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kinsoku/>
        <w:wordWrap/>
        <w:overflowPunct w:val="0"/>
        <w:topLinePunct/>
        <w:autoSpaceDE w:val="0"/>
        <w:autoSpaceDN w:val="0"/>
        <w:bidi w:val="0"/>
        <w:adjustRightInd w:val="0"/>
        <w:snapToGrid w:val="0"/>
        <w:spacing w:beforeAutospacing="0" w:afterAutospacing="0" w:line="600" w:lineRule="exact"/>
        <w:ind w:left="0" w:leftChars="0" w:firstLine="0" w:firstLineChars="0"/>
        <w:jc w:val="center"/>
        <w:textAlignment w:val="baseline"/>
        <w:outlineLvl w:val="0"/>
        <w:rPr>
          <w:rFonts w:hint="eastAsia" w:ascii="方正小标宋简体" w:hAnsi="方正小标宋简体" w:eastAsia="方正小标宋简体" w:cs="方正小标宋简体"/>
          <w:b w:val="0"/>
          <w:snapToGrid/>
          <w:color w:val="000000"/>
          <w:kern w:val="2"/>
          <w:sz w:val="44"/>
          <w:szCs w:val="44"/>
          <w:lang w:val="en-US" w:eastAsia="zh-CN" w:bidi="ar"/>
        </w:rPr>
      </w:pPr>
      <w:r>
        <w:rPr>
          <w:rFonts w:hint="eastAsia" w:ascii="方正小标宋简体" w:hAnsi="方正小标宋简体" w:eastAsia="方正小标宋简体" w:cs="方正小标宋简体"/>
          <w:b w:val="0"/>
          <w:snapToGrid/>
          <w:color w:val="000000"/>
          <w:kern w:val="2"/>
          <w:sz w:val="44"/>
          <w:szCs w:val="44"/>
          <w:lang w:val="en-US" w:eastAsia="zh-CN" w:bidi="ar"/>
        </w:rPr>
        <w:t>峨眉山市重大行政决策程序暂行规定</w:t>
      </w:r>
    </w:p>
    <w:p>
      <w:pPr>
        <w:keepNext/>
        <w:keepLines/>
        <w:pageBreakBefore w:val="0"/>
        <w:widowControl/>
        <w:kinsoku/>
        <w:wordWrap/>
        <w:overflowPunct w:val="0"/>
        <w:topLinePunct/>
        <w:autoSpaceDE w:val="0"/>
        <w:autoSpaceDN w:val="0"/>
        <w:bidi w:val="0"/>
        <w:adjustRightInd w:val="0"/>
        <w:snapToGrid w:val="0"/>
        <w:spacing w:beforeAutospacing="0" w:afterAutospacing="0" w:line="600" w:lineRule="exact"/>
        <w:ind w:left="0" w:leftChars="0" w:firstLine="0" w:firstLineChars="0"/>
        <w:jc w:val="center"/>
        <w:textAlignment w:val="baseline"/>
        <w:outlineLvl w:val="0"/>
        <w:rPr>
          <w:rFonts w:hint="eastAsia" w:ascii="方正小标宋简体" w:hAnsi="方正小标宋简体" w:eastAsia="方正小标宋简体" w:cs="方正小标宋简体"/>
          <w:b w:val="0"/>
          <w:snapToGrid/>
          <w:color w:val="000000"/>
          <w:kern w:val="2"/>
          <w:sz w:val="44"/>
          <w:szCs w:val="44"/>
          <w:lang w:val="en-US" w:eastAsia="en-US" w:bidi="ar"/>
        </w:rPr>
      </w:pPr>
      <w:r>
        <w:rPr>
          <w:rFonts w:hint="eastAsia" w:ascii="方正小标宋简体" w:hAnsi="方正小标宋简体" w:eastAsia="方正小标宋简体" w:cs="方正小标宋简体"/>
          <w:b w:val="0"/>
          <w:snapToGrid/>
          <w:color w:val="000000"/>
          <w:kern w:val="2"/>
          <w:sz w:val="44"/>
          <w:szCs w:val="44"/>
          <w:lang w:val="en-US" w:eastAsia="zh-CN" w:bidi="ar"/>
        </w:rPr>
        <w:t>（征求意见稿）</w:t>
      </w:r>
    </w:p>
    <w:p>
      <w:pPr>
        <w:keepNext/>
        <w:keepLines/>
        <w:pageBreakBefore w:val="0"/>
        <w:widowControl/>
        <w:suppressLineNumbers w:val="0"/>
        <w:kinsoku/>
        <w:wordWrap/>
        <w:overflowPunct w:val="0"/>
        <w:topLinePunct/>
        <w:autoSpaceDE/>
        <w:autoSpaceDN/>
        <w:bidi w:val="0"/>
        <w:adjustRightInd/>
        <w:snapToGrid/>
        <w:spacing w:beforeAutospacing="0" w:afterAutospacing="0" w:line="600" w:lineRule="exact"/>
        <w:ind w:left="0" w:right="0" w:firstLine="0" w:firstLineChars="0"/>
        <w:jc w:val="center"/>
        <w:textAlignment w:val="auto"/>
        <w:outlineLvl w:val="1"/>
        <w:rPr>
          <w:rFonts w:hint="eastAsia" w:ascii="黑体" w:hAnsi="黑体" w:eastAsia="黑体" w:cs="黑体"/>
          <w:b w:val="0"/>
          <w:bCs/>
          <w:snapToGrid/>
          <w:color w:val="000000"/>
          <w:kern w:val="2"/>
          <w:sz w:val="32"/>
          <w:szCs w:val="32"/>
          <w:lang w:val="en-US" w:eastAsia="zh-CN" w:bidi="ar"/>
        </w:rPr>
      </w:pPr>
    </w:p>
    <w:p>
      <w:pPr>
        <w:keepNext/>
        <w:keepLines/>
        <w:pageBreakBefore w:val="0"/>
        <w:widowControl/>
        <w:suppressLineNumbers w:val="0"/>
        <w:kinsoku/>
        <w:wordWrap/>
        <w:overflowPunct w:val="0"/>
        <w:topLinePunct/>
        <w:autoSpaceDE/>
        <w:autoSpaceDN/>
        <w:bidi w:val="0"/>
        <w:adjustRightInd/>
        <w:snapToGrid/>
        <w:spacing w:beforeAutospacing="0" w:afterAutospacing="0" w:line="600" w:lineRule="exact"/>
        <w:ind w:left="0" w:right="0" w:firstLine="0" w:firstLineChars="0"/>
        <w:jc w:val="center"/>
        <w:textAlignment w:val="auto"/>
        <w:outlineLvl w:val="1"/>
        <w:rPr>
          <w:rFonts w:hint="eastAsia" w:ascii="黑体" w:hAnsi="黑体" w:eastAsia="黑体" w:cs="黑体"/>
          <w:b/>
          <w:snapToGrid w:val="0"/>
          <w:color w:val="000000"/>
          <w:kern w:val="0"/>
          <w:sz w:val="32"/>
          <w:szCs w:val="21"/>
          <w:lang w:val="en-US" w:eastAsia="en-US" w:bidi="ar-SA"/>
        </w:rPr>
      </w:pPr>
      <w:r>
        <w:rPr>
          <w:rFonts w:hint="eastAsia" w:ascii="黑体" w:hAnsi="黑体" w:eastAsia="黑体" w:cs="黑体"/>
          <w:b w:val="0"/>
          <w:bCs/>
          <w:snapToGrid/>
          <w:color w:val="000000"/>
          <w:kern w:val="2"/>
          <w:sz w:val="32"/>
          <w:szCs w:val="32"/>
          <w:lang w:val="en-US" w:eastAsia="zh-CN" w:bidi="ar"/>
        </w:rPr>
        <w:t>第一章  总  则</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黑体" w:hAnsi="黑体" w:eastAsia="黑体" w:cs="黑体"/>
          <w:b w:val="0"/>
          <w:bCs w:val="0"/>
          <w:snapToGrid w:val="0"/>
          <w:color w:val="000000"/>
          <w:kern w:val="0"/>
          <w:sz w:val="32"/>
          <w:szCs w:val="21"/>
          <w:lang w:val="en-US" w:eastAsia="zh-CN"/>
        </w:rPr>
        <w:t xml:space="preserve">第一条  </w:t>
      </w:r>
      <w:r>
        <w:rPr>
          <w:rFonts w:hint="eastAsia" w:ascii="仿宋_GB2312" w:hAnsi="仿宋_GB2312" w:eastAsia="仿宋_GB2312" w:cs="仿宋_GB2312"/>
          <w:snapToGrid w:val="0"/>
          <w:color w:val="000000"/>
          <w:kern w:val="0"/>
          <w:sz w:val="32"/>
          <w:szCs w:val="21"/>
          <w:lang w:val="en-US" w:eastAsia="zh-CN"/>
        </w:rPr>
        <w:t>为了健全科学、民主、依法决策机制，规范重大行政决策程序，明确决策责任，提高决策质量，根据《重大行政决策程序暂行条例》等有关规定，结合本市实际，制定本规定。</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黑体" w:hAnsi="黑体" w:eastAsia="黑体" w:cs="黑体"/>
          <w:b w:val="0"/>
          <w:bCs w:val="0"/>
          <w:snapToGrid w:val="0"/>
          <w:color w:val="000000"/>
          <w:kern w:val="0"/>
          <w:sz w:val="32"/>
          <w:szCs w:val="21"/>
          <w:lang w:val="en-US" w:eastAsia="zh-CN"/>
        </w:rPr>
        <w:t xml:space="preserve">第二条  </w:t>
      </w:r>
      <w:r>
        <w:rPr>
          <w:rFonts w:hint="eastAsia" w:ascii="仿宋_GB2312" w:hAnsi="仿宋_GB2312" w:eastAsia="仿宋_GB2312" w:cs="仿宋_GB2312"/>
          <w:snapToGrid w:val="0"/>
          <w:color w:val="000000"/>
          <w:kern w:val="0"/>
          <w:sz w:val="32"/>
          <w:szCs w:val="21"/>
          <w:lang w:val="en-US" w:eastAsia="zh-CN"/>
        </w:rPr>
        <w:t>市政府重大行政决策的作出和调整程序，适用本规定。</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黑体" w:hAnsi="黑体" w:eastAsia="黑体" w:cs="黑体"/>
          <w:snapToGrid w:val="0"/>
          <w:color w:val="000000"/>
          <w:kern w:val="0"/>
          <w:sz w:val="32"/>
          <w:szCs w:val="21"/>
          <w:lang w:val="en-US" w:eastAsia="zh-CN"/>
        </w:rPr>
        <w:t xml:space="preserve">第三条  </w:t>
      </w:r>
      <w:r>
        <w:rPr>
          <w:rFonts w:hint="eastAsia" w:ascii="仿宋_GB2312" w:hAnsi="仿宋_GB2312" w:eastAsia="仿宋_GB2312" w:cs="仿宋_GB2312"/>
          <w:snapToGrid w:val="0"/>
          <w:color w:val="000000"/>
          <w:kern w:val="0"/>
          <w:sz w:val="32"/>
          <w:szCs w:val="21"/>
          <w:lang w:val="en-US" w:eastAsia="zh-CN"/>
        </w:rPr>
        <w:t>本规定所称重大行政决策事项（以下简称决策事项）是指市政府在法定权限内对关系本行政区域经济社会发展全局以及与公民、法人和其他组织利益密切相关的下列行政决策事项：</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zh-CN"/>
        </w:rPr>
        <w:t>（一）制定有关公共服务、市场监管、社会管理、环境保护等方面的重大公共政策和措施；</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zh-CN"/>
        </w:rPr>
        <w:t>（二）制定经济和社会发展等方面的重要规划；</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zh-CN"/>
        </w:rPr>
        <w:t>（三）制定开发利用、保护重要自然资源和文化资源的重大公共政策和措施；</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zh-CN"/>
        </w:rPr>
        <w:t>（四）决定在本行政区域实施的重大公共建设项目；</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zh-CN"/>
        </w:rPr>
        <w:t>（五）决定对经济社会发展有重大影响、涉及重大公共利益或者社会公众切身利益的其他重大事项。</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default" w:ascii="仿宋_GB2312" w:hAnsi="仿宋_GB2312" w:eastAsia="仿宋_GB2312" w:cs="仿宋_GB2312"/>
          <w:snapToGrid w:val="0"/>
          <w:color w:val="000000"/>
          <w:kern w:val="0"/>
          <w:sz w:val="32"/>
          <w:szCs w:val="21"/>
          <w:lang w:val="en-US" w:eastAsia="zh-CN"/>
        </w:rPr>
        <w:t>法律、法规、规章对本条第一款规定事项的决策程序另有规定的，依照其规定。财政政策等宏观调控决策以及突发事件应急处置决策不适用本规则。</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zh-CN"/>
        </w:rPr>
        <w:t>市政府应当在每年3月1日之前，根据《重大行政决策程序暂行条例》第三条第一款和本条第一款的决策事项范围,结合职责权限和本地实际,确定重大行政决策事项年度目录与标准，经市委同意后向社会公布，并根据实际情况调整。</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黑体" w:hAnsi="黑体" w:eastAsia="黑体" w:cs="黑体"/>
          <w:snapToGrid w:val="0"/>
          <w:color w:val="000000"/>
          <w:kern w:val="0"/>
          <w:sz w:val="32"/>
          <w:szCs w:val="21"/>
          <w:lang w:eastAsia="en-US"/>
        </w:rPr>
        <w:t>第四条</w:t>
      </w:r>
      <w:r>
        <w:rPr>
          <w:rFonts w:hint="eastAsia" w:ascii="黑体" w:hAnsi="黑体" w:eastAsia="黑体" w:cs="黑体"/>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val="en-US" w:eastAsia="zh-CN"/>
        </w:rPr>
        <w:t>市政府办公室负责组织实施本规定，相关职能部门按照职责负责有关工作。</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黑体" w:hAnsi="黑体" w:eastAsia="黑体" w:cs="黑体"/>
          <w:snapToGrid w:val="0"/>
          <w:color w:val="000000"/>
          <w:kern w:val="0"/>
          <w:sz w:val="32"/>
          <w:szCs w:val="21"/>
          <w:lang w:eastAsia="en-US"/>
        </w:rPr>
        <w:t>第五</w:t>
      </w:r>
      <w:bookmarkStart w:id="0" w:name="_GoBack"/>
      <w:bookmarkEnd w:id="0"/>
      <w:r>
        <w:rPr>
          <w:rFonts w:hint="eastAsia" w:ascii="黑体" w:hAnsi="黑体" w:eastAsia="黑体" w:cs="黑体"/>
          <w:snapToGrid w:val="0"/>
          <w:color w:val="000000"/>
          <w:kern w:val="0"/>
          <w:sz w:val="32"/>
          <w:szCs w:val="21"/>
          <w:lang w:eastAsia="en-US"/>
        </w:rPr>
        <w:t>条</w:t>
      </w:r>
      <w:r>
        <w:rPr>
          <w:rFonts w:hint="eastAsia" w:ascii="黑体" w:hAnsi="黑体" w:eastAsia="黑体" w:cs="黑体"/>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val="en-US" w:eastAsia="zh-CN"/>
        </w:rPr>
        <w:t>重大行政决策必须坚持和加强党的全面领导，全面贯彻党的路线方针政策和决策部署，发挥党的领导核心作用，把党的领导贯穿到重大行政决策全过程。</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ascii="Arial" w:hAnsi="Arial" w:eastAsia="仿宋" w:cs="Arial"/>
          <w:snapToGrid w:val="0"/>
          <w:color w:val="000000"/>
          <w:kern w:val="0"/>
          <w:sz w:val="32"/>
          <w:szCs w:val="21"/>
          <w:lang w:eastAsia="en-US"/>
        </w:rPr>
      </w:pPr>
      <w:r>
        <w:rPr>
          <w:rFonts w:hint="eastAsia" w:ascii="黑体" w:hAnsi="黑体" w:eastAsia="黑体" w:cs="黑体"/>
          <w:snapToGrid w:val="0"/>
          <w:color w:val="000000"/>
          <w:kern w:val="0"/>
          <w:sz w:val="32"/>
          <w:szCs w:val="21"/>
          <w:lang w:eastAsia="en-US"/>
        </w:rPr>
        <w:t>第六条</w:t>
      </w:r>
      <w:r>
        <w:rPr>
          <w:rFonts w:hint="eastAsia" w:ascii="黑体" w:hAnsi="黑体" w:eastAsia="黑体" w:cs="黑体"/>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val="en-US" w:eastAsia="zh-CN"/>
        </w:rPr>
        <w:t>作出重大行政决策应当遵循科学、民主、依法决策原则。贯彻创新、协调、绿色、开放、共享的发展理念，坚持从实际出发，尊重客观规律；充分听取各方面意见，保障人民群众通过多种途径和形式参与决策；严格遵守法定权限，依法履行法定程序，保证决策内容符合法律、法规和规章等规定。</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黑体" w:hAnsi="黑体" w:eastAsia="黑体" w:cs="黑体"/>
          <w:snapToGrid w:val="0"/>
          <w:color w:val="000000"/>
          <w:kern w:val="0"/>
          <w:sz w:val="32"/>
          <w:szCs w:val="21"/>
          <w:lang w:eastAsia="en-US"/>
        </w:rPr>
        <w:t>第七条</w:t>
      </w:r>
      <w:r>
        <w:rPr>
          <w:rFonts w:hint="eastAsia" w:ascii="黑体" w:hAnsi="黑体" w:eastAsia="黑体" w:cs="黑体"/>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val="en-US" w:eastAsia="zh-CN"/>
        </w:rPr>
        <w:t>重大行政决策依法接受市人民代表大会及其常务委员会的监督，根据法律、法规和规章规定属于市人民代表大会及其常务委员会讨论决定的重大事项范围或者应当在出台前向市人民代表大会常务委员会报告的，按照有关规定办理。</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黑体" w:hAnsi="黑体" w:eastAsia="黑体" w:cs="黑体"/>
          <w:snapToGrid w:val="0"/>
          <w:color w:val="000000"/>
          <w:kern w:val="0"/>
          <w:sz w:val="32"/>
          <w:szCs w:val="21"/>
          <w:lang w:eastAsia="en-US"/>
        </w:rPr>
        <w:t>第八条</w:t>
      </w:r>
      <w:r>
        <w:rPr>
          <w:rFonts w:hint="eastAsia" w:ascii="黑体" w:hAnsi="黑体" w:eastAsia="黑体" w:cs="黑体"/>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val="en-US" w:eastAsia="zh-CN"/>
        </w:rPr>
        <w:t>重大行政决策情况应当作为考核评价决策机关、决策事项的承办单位（以下简称“决策承办单位”）及其领导人员的重要内容。</w:t>
      </w:r>
    </w:p>
    <w:p>
      <w:pPr>
        <w:keepNext/>
        <w:keepLines/>
        <w:pageBreakBefore w:val="0"/>
        <w:widowControl/>
        <w:suppressLineNumbers w:val="0"/>
        <w:kinsoku/>
        <w:wordWrap/>
        <w:overflowPunct w:val="0"/>
        <w:topLinePunct/>
        <w:autoSpaceDE/>
        <w:autoSpaceDN/>
        <w:bidi w:val="0"/>
        <w:adjustRightInd/>
        <w:snapToGrid/>
        <w:spacing w:beforeAutospacing="0" w:afterAutospacing="0" w:line="600" w:lineRule="exact"/>
        <w:ind w:left="0" w:right="0" w:firstLine="0" w:firstLineChars="0"/>
        <w:jc w:val="center"/>
        <w:textAlignment w:val="auto"/>
        <w:outlineLvl w:val="1"/>
        <w:rPr>
          <w:rFonts w:hint="eastAsia" w:ascii="黑体" w:hAnsi="黑体" w:eastAsia="黑体" w:cs="黑体"/>
          <w:b w:val="0"/>
          <w:bCs/>
          <w:snapToGrid/>
          <w:color w:val="000000"/>
          <w:kern w:val="2"/>
          <w:sz w:val="32"/>
          <w:szCs w:val="32"/>
          <w:lang w:val="en-US" w:eastAsia="zh-CN" w:bidi="ar"/>
        </w:rPr>
      </w:pPr>
      <w:r>
        <w:rPr>
          <w:rFonts w:hint="eastAsia" w:ascii="黑体" w:hAnsi="黑体" w:eastAsia="黑体" w:cs="黑体"/>
          <w:b w:val="0"/>
          <w:bCs/>
          <w:snapToGrid/>
          <w:color w:val="000000"/>
          <w:kern w:val="2"/>
          <w:sz w:val="32"/>
          <w:szCs w:val="32"/>
          <w:lang w:val="en-US" w:eastAsia="zh-CN" w:bidi="ar"/>
        </w:rPr>
        <w:t>第二章  决策草案的形成</w:t>
      </w:r>
    </w:p>
    <w:p>
      <w:pPr>
        <w:keepNext/>
        <w:keepLines/>
        <w:pageBreakBefore w:val="0"/>
        <w:widowControl/>
        <w:suppressLineNumbers w:val="0"/>
        <w:kinsoku/>
        <w:wordWrap/>
        <w:overflowPunct w:val="0"/>
        <w:topLinePunct/>
        <w:autoSpaceDE/>
        <w:autoSpaceDN/>
        <w:bidi w:val="0"/>
        <w:adjustRightInd/>
        <w:snapToGrid/>
        <w:spacing w:beforeAutospacing="0" w:afterAutospacing="0" w:line="600" w:lineRule="exact"/>
        <w:ind w:left="0" w:right="0" w:firstLine="0" w:firstLineChars="0"/>
        <w:jc w:val="center"/>
        <w:textAlignment w:val="auto"/>
        <w:outlineLvl w:val="2"/>
        <w:rPr>
          <w:rFonts w:hint="eastAsia" w:ascii="黑体" w:hAnsi="黑体" w:eastAsia="黑体" w:cs="黑体"/>
          <w:b w:val="0"/>
          <w:bCs/>
          <w:snapToGrid/>
          <w:color w:val="000000"/>
          <w:kern w:val="2"/>
          <w:sz w:val="32"/>
          <w:szCs w:val="32"/>
          <w:lang w:val="en-US" w:eastAsia="zh-CN" w:bidi="ar"/>
        </w:rPr>
      </w:pPr>
      <w:r>
        <w:rPr>
          <w:rFonts w:hint="eastAsia" w:ascii="黑体" w:hAnsi="黑体" w:eastAsia="黑体" w:cs="黑体"/>
          <w:b w:val="0"/>
          <w:bCs/>
          <w:snapToGrid/>
          <w:color w:val="000000"/>
          <w:kern w:val="2"/>
          <w:sz w:val="32"/>
          <w:szCs w:val="32"/>
          <w:lang w:val="en-US" w:eastAsia="zh-CN" w:bidi="ar"/>
        </w:rPr>
        <w:t>第一节  决策启动</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黑体" w:hAnsi="黑体" w:eastAsia="黑体" w:cs="黑体"/>
          <w:snapToGrid w:val="0"/>
          <w:color w:val="000000"/>
          <w:kern w:val="0"/>
          <w:sz w:val="32"/>
          <w:szCs w:val="21"/>
          <w:lang w:eastAsia="en-US"/>
        </w:rPr>
        <w:t>第九条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val="en-US" w:eastAsia="zh-CN"/>
        </w:rPr>
        <w:t>对各方面提出的决策事项建议，按照下列规定进行研究论证后，报请市政府决定是否启动决策程序：</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zh-CN"/>
        </w:rPr>
        <w:t>（一）市政府领导提出决策事项建议的，交有关单位研究论证；</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zh-CN"/>
        </w:rPr>
        <w:t>（二）市级各部门、乡镇（街道）人民政府（办事处）提出决策事项建议的，应当论证拟解决的主要问题、建议理由和依据、解决问题的初步方案及其必要性、可行性等；</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zh-CN"/>
        </w:rPr>
        <w:t>（三）人大代表、政协委员等通过建议、提案等方式提出决策事项建议，以及公民、法人或者其他组织提出书面决策事项建议的，交有关单位研究论证。</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黑体" w:hAnsi="黑体" w:eastAsia="黑体" w:cs="黑体"/>
          <w:snapToGrid w:val="0"/>
          <w:color w:val="000000"/>
          <w:kern w:val="0"/>
          <w:sz w:val="32"/>
          <w:szCs w:val="21"/>
          <w:lang w:eastAsia="en-US"/>
        </w:rPr>
        <w:t>第十条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val="en-US" w:eastAsia="zh-CN"/>
        </w:rPr>
        <w:t>市政府决定启动决策程序的，应当明确决策承办单位，由决策承办单位负责重大行政决策草案的拟订等工作。决策事项需要两个以上单位承办的，应当明确牵头的决策承办单位。</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黑体" w:hAnsi="黑体" w:eastAsia="黑体" w:cs="黑体"/>
          <w:snapToGrid w:val="0"/>
          <w:color w:val="000000"/>
          <w:kern w:val="0"/>
          <w:sz w:val="32"/>
          <w:szCs w:val="21"/>
          <w:lang w:eastAsia="en-US"/>
        </w:rPr>
        <w:t>第十一条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ascii="Arial" w:hAnsi="Arial" w:eastAsia="仿宋" w:cs="Arial"/>
          <w:snapToGrid w:val="0"/>
          <w:color w:val="000000"/>
          <w:kern w:val="0"/>
          <w:sz w:val="32"/>
          <w:szCs w:val="21"/>
          <w:lang w:eastAsia="en-US"/>
        </w:rPr>
        <w:t xml:space="preserve"> </w:t>
      </w:r>
      <w:r>
        <w:rPr>
          <w:rFonts w:hint="eastAsia" w:ascii="仿宋_GB2312" w:hAnsi="仿宋_GB2312" w:eastAsia="仿宋_GB2312" w:cs="仿宋_GB2312"/>
          <w:snapToGrid w:val="0"/>
          <w:color w:val="000000"/>
          <w:kern w:val="0"/>
          <w:sz w:val="32"/>
          <w:szCs w:val="21"/>
          <w:lang w:val="en-US" w:eastAsia="zh-CN"/>
        </w:rPr>
        <w:t>决策承办单位应当在广泛深入开展调查研究、全面准确掌握有关信息、充分协商协调的基础上，结合实际拟订决策草案，也可以委托有关专家或者专业研究机构拟订决策草案。</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zh-CN"/>
        </w:rPr>
        <w:t>决策草案应当包括决策目标、工作任务、决策依据、经费预算、措施方法、时间步骤、决策实施单位、决策实施后评估计划等内容，并附拟定决策草案的起草说明。</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zh-CN"/>
        </w:rPr>
        <w:t>决策承办单位应当全面梳理与决策事项有关的法律、法规、规章和政策，加强研究论证，确保精准适用，使决策草案合法合规、与有关政策相衔接。</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zh-CN"/>
        </w:rPr>
        <w:t>决策承办单位根据需要对决策事项涉及的人财物投入、资源消耗、环境影响等成本和经济、社会、环境效益进行分析预测。</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zh-CN"/>
        </w:rPr>
        <w:t>有关方面对决策事项存在较大分歧的，决策承办单位可以提出两个以上方案。</w:t>
      </w:r>
    </w:p>
    <w:p>
      <w:pPr>
        <w:pageBreakBefore w:val="0"/>
        <w:widowControl/>
        <w:numPr>
          <w:ilvl w:val="0"/>
          <w:numId w:val="1"/>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Arial" w:hAnsi="Arial" w:eastAsia="仿宋" w:cs="Arial"/>
          <w:snapToGrid w:val="0"/>
          <w:color w:val="000000"/>
          <w:kern w:val="0"/>
          <w:sz w:val="32"/>
          <w:szCs w:val="21"/>
          <w:lang w:val="en-US" w:eastAsia="zh-CN"/>
        </w:rPr>
        <w:t xml:space="preserve"> </w:t>
      </w:r>
      <w:r>
        <w:rPr>
          <w:rFonts w:ascii="Arial" w:hAnsi="Arial" w:eastAsia="仿宋" w:cs="Arial"/>
          <w:snapToGrid w:val="0"/>
          <w:color w:val="000000"/>
          <w:kern w:val="0"/>
          <w:sz w:val="32"/>
          <w:szCs w:val="21"/>
          <w:lang w:eastAsia="en-US"/>
        </w:rPr>
        <w:t xml:space="preserve"> </w:t>
      </w:r>
      <w:r>
        <w:rPr>
          <w:rFonts w:hint="eastAsia" w:ascii="仿宋_GB2312" w:hAnsi="仿宋_GB2312" w:eastAsia="仿宋_GB2312" w:cs="仿宋_GB2312"/>
          <w:snapToGrid w:val="0"/>
          <w:color w:val="000000"/>
          <w:kern w:val="0"/>
          <w:sz w:val="32"/>
          <w:szCs w:val="21"/>
          <w:lang w:val="en-US" w:eastAsia="zh-CN"/>
        </w:rPr>
        <w:t>决策事项涉及市级部门、乡镇（街道）人民政府（办事处）的职责，或者与其关系紧密的，决策承办单位应当征求相关市级部门、乡镇（街道）人民政府（办事处）的意见。不能取得一致意见的，应当向市政府说明争议的主要问题、有关单位的意见以及决策承办单位的意见、理由和依据。</w:t>
      </w:r>
    </w:p>
    <w:p>
      <w:pPr>
        <w:pStyle w:val="2"/>
        <w:rPr>
          <w:rFonts w:hint="eastAsia"/>
          <w:lang w:val="en-US" w:eastAsia="zh-CN"/>
        </w:rPr>
      </w:pPr>
    </w:p>
    <w:p>
      <w:pPr>
        <w:keepNext/>
        <w:keepLines/>
        <w:pageBreakBefore w:val="0"/>
        <w:widowControl/>
        <w:suppressLineNumbers w:val="0"/>
        <w:kinsoku/>
        <w:wordWrap/>
        <w:overflowPunct w:val="0"/>
        <w:topLinePunct/>
        <w:autoSpaceDE/>
        <w:autoSpaceDN/>
        <w:bidi w:val="0"/>
        <w:adjustRightInd/>
        <w:snapToGrid/>
        <w:spacing w:beforeAutospacing="0" w:afterAutospacing="0" w:line="600" w:lineRule="exact"/>
        <w:ind w:left="0" w:right="0" w:firstLine="0" w:firstLineChars="0"/>
        <w:jc w:val="center"/>
        <w:textAlignment w:val="auto"/>
        <w:outlineLvl w:val="2"/>
        <w:rPr>
          <w:rFonts w:hint="eastAsia" w:ascii="黑体" w:hAnsi="黑体" w:eastAsia="黑体" w:cs="黑体"/>
          <w:snapToGrid w:val="0"/>
          <w:color w:val="000000"/>
          <w:kern w:val="2"/>
          <w:sz w:val="32"/>
          <w:szCs w:val="32"/>
          <w:lang w:val="en-US" w:eastAsia="zh-CN" w:bidi="ar"/>
        </w:rPr>
      </w:pPr>
      <w:r>
        <w:rPr>
          <w:rFonts w:hint="eastAsia" w:ascii="黑体" w:hAnsi="黑体" w:eastAsia="黑体" w:cs="黑体"/>
          <w:b w:val="0"/>
          <w:bCs/>
          <w:snapToGrid/>
          <w:color w:val="000000"/>
          <w:kern w:val="2"/>
          <w:sz w:val="32"/>
          <w:szCs w:val="32"/>
          <w:lang w:val="en-US" w:eastAsia="zh-CN" w:bidi="ar"/>
        </w:rPr>
        <w:t>第二节  公众参与</w:t>
      </w:r>
    </w:p>
    <w:p>
      <w:pPr>
        <w:pageBreakBefore w:val="0"/>
        <w:widowControl/>
        <w:numPr>
          <w:ilvl w:val="0"/>
          <w:numId w:val="1"/>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eastAsia="en-US"/>
        </w:rPr>
        <w:t>决策承办单位应当采</w:t>
      </w:r>
      <w:r>
        <w:rPr>
          <w:rFonts w:hint="eastAsia" w:ascii="仿宋_GB2312" w:hAnsi="仿宋_GB2312" w:eastAsia="仿宋_GB2312" w:cs="仿宋_GB2312"/>
          <w:snapToGrid w:val="0"/>
          <w:color w:val="000000"/>
          <w:kern w:val="0"/>
          <w:sz w:val="32"/>
          <w:szCs w:val="21"/>
          <w:lang w:val="en-US" w:eastAsia="zh-CN"/>
        </w:rPr>
        <w:t>取便于社会公众参与的方式充分听取意见，依法不予公开的决策事项除外。</w:t>
      </w:r>
    </w:p>
    <w:p>
      <w:pPr>
        <w:pageBreakBefore w:val="0"/>
        <w:widowControl/>
        <w:numPr>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zh-CN"/>
        </w:rPr>
        <w:t>决策承办单位根据重大行政决策的公众影响范围和程度，可以采取座谈会、听证会、实地走访、书面征求意见、向社会公开征求意见、问卷调查、民意调查等多种形式广泛听取意见。</w:t>
      </w:r>
    </w:p>
    <w:p>
      <w:pPr>
        <w:keepNext w:val="0"/>
        <w:keepLines w:val="0"/>
        <w:pageBreakBefore w:val="0"/>
        <w:widowControl/>
        <w:numPr>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zh-CN"/>
        </w:rPr>
        <w:t>重大行政决策征求公众意见，应当综合考虑地域、民族、职业、专业、受影响程度等因素，合理选择被征求意见的公民、法人或者其他组织。注重听取人大代表、政协委员、人民团体、基层组织、社会组织和群众代表的意见。</w:t>
      </w:r>
    </w:p>
    <w:p>
      <w:pPr>
        <w:keepNext w:val="0"/>
        <w:keepLines w:val="0"/>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zh-CN"/>
        </w:rPr>
        <w:t>决策事项与企业生产经营活动密切相关的，应当听取有代表性的企业和行业协会、商会的意见建议。</w:t>
      </w:r>
    </w:p>
    <w:p>
      <w:pPr>
        <w:keepNext w:val="0"/>
        <w:keepLines w:val="0"/>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lang w:val="en-US" w:eastAsia="zh-CN"/>
        </w:rPr>
      </w:pPr>
      <w:r>
        <w:rPr>
          <w:rFonts w:hint="eastAsia" w:ascii="仿宋_GB2312" w:hAnsi="仿宋_GB2312" w:eastAsia="仿宋_GB2312" w:cs="仿宋_GB2312"/>
          <w:snapToGrid w:val="0"/>
          <w:color w:val="000000"/>
          <w:kern w:val="0"/>
          <w:sz w:val="32"/>
          <w:szCs w:val="21"/>
          <w:lang w:val="en-US" w:eastAsia="zh-CN"/>
        </w:rPr>
        <w:t>决策事项涉及妇女、儿童、老人或者残疾人等特定群体利益的，决策承办单位应当与相关人民团体、社会组织以及群众代表进行沟通协商，充分听取相关群体的意见建议。</w:t>
      </w:r>
    </w:p>
    <w:p>
      <w:pPr>
        <w:keepNext w:val="0"/>
        <w:keepLines w:val="0"/>
        <w:pageBreakBefore w:val="0"/>
        <w:widowControl/>
        <w:numPr>
          <w:ilvl w:val="0"/>
          <w:numId w:val="1"/>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bidi="ar-SA"/>
        </w:rPr>
      </w:pPr>
      <w:r>
        <w:rPr>
          <w:rFonts w:hint="eastAsia" w:ascii="仿宋_GB2312" w:hAnsi="仿宋_GB2312" w:eastAsia="仿宋_GB2312" w:cs="仿宋_GB2312"/>
          <w:snapToGrid w:val="0"/>
          <w:color w:val="000000"/>
          <w:kern w:val="0"/>
          <w:sz w:val="32"/>
          <w:szCs w:val="21"/>
          <w:lang w:val="en-US" w:eastAsia="zh-CN"/>
        </w:rPr>
        <w:t>决策事项向社会公开征求意见的，由决策承办单位通过政府门户网站、政务新媒体以及报刊、广播、电视等便于公众知晓的途径，发布向社会公开征求意见的公告。征求意见期限一般不少于30日，因情况紧急等原因需要缩短期限的，公开征求意见时应当予以说明。</w:t>
      </w:r>
      <w:r>
        <w:rPr>
          <w:rFonts w:hint="eastAsia" w:ascii="仿宋_GB2312" w:hAnsi="仿宋_GB2312" w:eastAsia="仿宋_GB2312" w:cs="仿宋_GB2312"/>
          <w:snapToGrid w:val="0"/>
          <w:color w:val="000000"/>
          <w:kern w:val="0"/>
          <w:sz w:val="32"/>
          <w:szCs w:val="21"/>
          <w:lang w:val="en-US" w:eastAsia="zh-CN" w:bidi="ar-SA"/>
        </w:rPr>
        <w:t>公告应当包括下列内容：</w:t>
      </w:r>
    </w:p>
    <w:p>
      <w:pPr>
        <w:keepNext w:val="0"/>
        <w:keepLines w:val="0"/>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bidi="ar-SA"/>
        </w:rPr>
      </w:pPr>
      <w:r>
        <w:rPr>
          <w:rFonts w:hint="eastAsia" w:ascii="仿宋_GB2312" w:hAnsi="仿宋_GB2312" w:eastAsia="仿宋_GB2312" w:cs="仿宋_GB2312"/>
          <w:snapToGrid w:val="0"/>
          <w:color w:val="000000"/>
          <w:kern w:val="0"/>
          <w:sz w:val="32"/>
          <w:szCs w:val="21"/>
          <w:lang w:val="en-US" w:eastAsia="zh-CN" w:bidi="ar-SA"/>
        </w:rPr>
        <w:t>（一）决策草案、制定依据及其起草说明；</w:t>
      </w:r>
    </w:p>
    <w:p>
      <w:pPr>
        <w:keepNext w:val="0"/>
        <w:keepLines w:val="0"/>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bidi="ar-SA"/>
        </w:rPr>
      </w:pPr>
      <w:r>
        <w:rPr>
          <w:rFonts w:hint="eastAsia" w:ascii="仿宋_GB2312" w:hAnsi="仿宋_GB2312" w:eastAsia="仿宋_GB2312" w:cs="仿宋_GB2312"/>
          <w:snapToGrid w:val="0"/>
          <w:color w:val="000000"/>
          <w:kern w:val="0"/>
          <w:sz w:val="32"/>
          <w:szCs w:val="21"/>
          <w:lang w:val="en-US" w:eastAsia="zh-CN" w:bidi="ar-SA"/>
        </w:rPr>
        <w:t>（二）决策承办单位的联系方式，包括通信地址、电话、传真、电子邮箱等；</w:t>
      </w:r>
    </w:p>
    <w:p>
      <w:pPr>
        <w:keepNext w:val="0"/>
        <w:keepLines w:val="0"/>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bidi="ar-SA"/>
        </w:rPr>
      </w:pPr>
      <w:r>
        <w:rPr>
          <w:rFonts w:hint="eastAsia" w:ascii="仿宋_GB2312" w:hAnsi="仿宋_GB2312" w:eastAsia="仿宋_GB2312" w:cs="仿宋_GB2312"/>
          <w:snapToGrid w:val="0"/>
          <w:color w:val="000000"/>
          <w:kern w:val="0"/>
          <w:sz w:val="32"/>
          <w:szCs w:val="21"/>
          <w:lang w:val="en-US" w:eastAsia="zh-CN" w:bidi="ar-SA"/>
        </w:rPr>
        <w:t>（三）公众提出意见的途径、方式和起止时间；</w:t>
      </w:r>
    </w:p>
    <w:p>
      <w:pPr>
        <w:keepNext w:val="0"/>
        <w:keepLines w:val="0"/>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bidi="ar-SA"/>
        </w:rPr>
      </w:pPr>
      <w:r>
        <w:rPr>
          <w:rFonts w:hint="eastAsia" w:ascii="仿宋_GB2312" w:hAnsi="仿宋_GB2312" w:eastAsia="仿宋_GB2312" w:cs="仿宋_GB2312"/>
          <w:snapToGrid w:val="0"/>
          <w:color w:val="000000"/>
          <w:kern w:val="0"/>
          <w:sz w:val="32"/>
          <w:szCs w:val="21"/>
          <w:lang w:val="en-US" w:eastAsia="zh-CN" w:bidi="ar-SA"/>
        </w:rPr>
        <w:t>（四）其他需要公开的内容。</w:t>
      </w:r>
    </w:p>
    <w:p>
      <w:pPr>
        <w:keepNext w:val="0"/>
        <w:keepLines w:val="0"/>
        <w:pageBreakBefore w:val="0"/>
        <w:widowControl/>
        <w:numPr>
          <w:ilvl w:val="0"/>
          <w:numId w:val="1"/>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en-US"/>
        </w:rPr>
        <w:t>对社会公众提出的合理意见建议，决策承办单位应当予以采纳；对不予采纳的意见建议，应当说明理由</w:t>
      </w:r>
      <w:r>
        <w:rPr>
          <w:rFonts w:hint="eastAsia" w:ascii="仿宋_GB2312" w:hAnsi="仿宋_GB2312" w:eastAsia="仿宋_GB2312" w:cs="仿宋_GB2312"/>
          <w:snapToGrid w:val="0"/>
          <w:color w:val="000000"/>
          <w:kern w:val="0"/>
          <w:sz w:val="32"/>
          <w:szCs w:val="21"/>
          <w:lang w:val="en-US" w:eastAsia="zh-CN"/>
        </w:rPr>
        <w:t>。</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eastAsia="en-US"/>
        </w:rPr>
        <w:t>对社会公众普遍关心或者专业性、技术性较强的问题，决策承办单位可以通过专家访谈等方式进行解释说明。</w:t>
      </w:r>
    </w:p>
    <w:p>
      <w:pPr>
        <w:keepNext w:val="0"/>
        <w:keepLines w:val="0"/>
        <w:pageBreakBefore w:val="0"/>
        <w:widowControl/>
        <w:numPr>
          <w:ilvl w:val="0"/>
          <w:numId w:val="1"/>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en-US"/>
        </w:rPr>
      </w:pPr>
      <w:r>
        <w:rPr>
          <w:rFonts w:ascii="Arial" w:hAnsi="Arial" w:eastAsia="仿宋" w:cs="Arial"/>
          <w:snapToGrid w:val="0"/>
          <w:color w:val="000000"/>
          <w:kern w:val="0"/>
          <w:sz w:val="32"/>
          <w:szCs w:val="21"/>
          <w:lang w:eastAsia="en-US"/>
        </w:rPr>
        <w:t xml:space="preserve"> </w:t>
      </w:r>
      <w:r>
        <w:rPr>
          <w:rFonts w:hint="eastAsia" w:ascii="仿宋_GB2312" w:hAnsi="仿宋_GB2312" w:eastAsia="仿宋_GB2312" w:cs="仿宋_GB2312"/>
          <w:snapToGrid w:val="0"/>
          <w:color w:val="000000"/>
          <w:kern w:val="0"/>
          <w:sz w:val="32"/>
          <w:szCs w:val="21"/>
          <w:lang w:eastAsia="en-US"/>
        </w:rPr>
        <w:t>决策事项直接涉及公民、法人、其他组织切身利益或者存在较大分歧的，可以召开听证会。法律、法规、规章对召开听证会另</w:t>
      </w:r>
      <w:r>
        <w:rPr>
          <w:rFonts w:hint="eastAsia" w:ascii="仿宋_GB2312" w:hAnsi="仿宋_GB2312" w:eastAsia="仿宋_GB2312" w:cs="仿宋_GB2312"/>
          <w:snapToGrid w:val="0"/>
          <w:color w:val="000000"/>
          <w:kern w:val="0"/>
          <w:sz w:val="32"/>
          <w:szCs w:val="21"/>
          <w:lang w:val="en-US" w:eastAsia="en-US"/>
        </w:rPr>
        <w:t>有规定的，依照其规定。</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en-US"/>
        </w:rPr>
      </w:pPr>
      <w:r>
        <w:rPr>
          <w:rFonts w:hint="eastAsia" w:ascii="仿宋_GB2312" w:hAnsi="仿宋_GB2312" w:eastAsia="仿宋_GB2312" w:cs="仿宋_GB2312"/>
          <w:snapToGrid w:val="0"/>
          <w:color w:val="000000"/>
          <w:kern w:val="0"/>
          <w:sz w:val="32"/>
          <w:szCs w:val="21"/>
          <w:lang w:val="en-US" w:eastAsia="en-US"/>
        </w:rPr>
        <w:t>决策承办单位应当</w:t>
      </w:r>
      <w:r>
        <w:rPr>
          <w:rFonts w:hint="eastAsia" w:ascii="仿宋_GB2312" w:hAnsi="仿宋_GB2312" w:eastAsia="仿宋_GB2312" w:cs="仿宋_GB2312"/>
          <w:snapToGrid w:val="0"/>
          <w:color w:val="000000"/>
          <w:kern w:val="0"/>
          <w:sz w:val="32"/>
          <w:szCs w:val="21"/>
          <w:lang w:val="en-US" w:eastAsia="zh-CN"/>
        </w:rPr>
        <w:t>于</w:t>
      </w:r>
      <w:r>
        <w:rPr>
          <w:rFonts w:hint="eastAsia" w:ascii="仿宋_GB2312" w:hAnsi="仿宋_GB2312" w:eastAsia="仿宋_GB2312" w:cs="仿宋_GB2312"/>
          <w:snapToGrid w:val="0"/>
          <w:color w:val="000000"/>
          <w:kern w:val="0"/>
          <w:sz w:val="32"/>
          <w:szCs w:val="21"/>
          <w:lang w:val="en-US" w:eastAsia="en-US"/>
        </w:rPr>
        <w:t>听证会举行前通过政府门户网站、新媒体、报纸等方式发布听证公告</w:t>
      </w:r>
      <w:r>
        <w:rPr>
          <w:rFonts w:hint="eastAsia" w:ascii="仿宋_GB2312" w:hAnsi="仿宋_GB2312" w:eastAsia="仿宋_GB2312" w:cs="仿宋_GB2312"/>
          <w:snapToGrid w:val="0"/>
          <w:color w:val="000000"/>
          <w:kern w:val="0"/>
          <w:sz w:val="32"/>
          <w:szCs w:val="21"/>
          <w:lang w:val="en-US" w:eastAsia="zh-CN"/>
        </w:rPr>
        <w:t>，</w:t>
      </w:r>
      <w:r>
        <w:rPr>
          <w:rFonts w:hint="eastAsia" w:ascii="仿宋_GB2312" w:hAnsi="仿宋_GB2312" w:eastAsia="仿宋_GB2312" w:cs="仿宋_GB2312"/>
          <w:snapToGrid w:val="0"/>
          <w:color w:val="000000"/>
          <w:kern w:val="0"/>
          <w:sz w:val="32"/>
          <w:szCs w:val="21"/>
          <w:lang w:val="en-US" w:eastAsia="en-US"/>
        </w:rPr>
        <w:t>提前公布决策草案及其说明等材料，明确听证时间、地点等信息。</w:t>
      </w:r>
    </w:p>
    <w:p>
      <w:pPr>
        <w:pageBreakBefore w:val="0"/>
        <w:widowControl/>
        <w:kinsoku/>
        <w:wordWrap/>
        <w:overflowPunct w:val="0"/>
        <w:topLinePunct/>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eastAsia="en-US"/>
        </w:rPr>
        <w:t>需要遴选听证参加人的，决策承办单位应当提前公布听证参加人遴选办法，公平公开组织遴选，保证相关各方都有代表参加听证会。听证参加人名单应当提前向社会公布。听证会材料应当于召开听证会</w:t>
      </w:r>
      <w:r>
        <w:rPr>
          <w:rFonts w:hint="eastAsia" w:ascii="仿宋_GB2312" w:hAnsi="仿宋_GB2312" w:eastAsia="仿宋_GB2312" w:cs="仿宋_GB2312"/>
          <w:snapToGrid w:val="0"/>
          <w:color w:val="000000"/>
          <w:kern w:val="0"/>
          <w:sz w:val="32"/>
          <w:szCs w:val="21"/>
          <w:lang w:val="en-US" w:eastAsia="zh-CN"/>
        </w:rPr>
        <w:t>7日</w:t>
      </w:r>
      <w:r>
        <w:rPr>
          <w:rFonts w:hint="eastAsia" w:ascii="仿宋_GB2312" w:hAnsi="仿宋_GB2312" w:eastAsia="仿宋_GB2312" w:cs="仿宋_GB2312"/>
          <w:snapToGrid w:val="0"/>
          <w:color w:val="000000"/>
          <w:kern w:val="0"/>
          <w:sz w:val="32"/>
          <w:szCs w:val="21"/>
          <w:lang w:eastAsia="en-US"/>
        </w:rPr>
        <w:t>前送达听证参加人。</w:t>
      </w:r>
    </w:p>
    <w:p>
      <w:pPr>
        <w:keepNext w:val="0"/>
        <w:keepLines w:val="0"/>
        <w:pageBreakBefore w:val="0"/>
        <w:widowControl/>
        <w:numPr>
          <w:ilvl w:val="0"/>
          <w:numId w:val="1"/>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en-US"/>
        </w:rPr>
      </w:pPr>
      <w:r>
        <w:rPr>
          <w:rFonts w:hint="eastAsia" w:ascii="仿宋_GB2312" w:hAnsi="仿宋_GB2312" w:eastAsia="仿宋_GB2312" w:cs="仿宋_GB2312"/>
          <w:snapToGrid w:val="0"/>
          <w:color w:val="000000"/>
          <w:kern w:val="0"/>
          <w:sz w:val="32"/>
          <w:szCs w:val="21"/>
          <w:lang w:val="en-US" w:eastAsia="zh-CN"/>
        </w:rPr>
        <w:t xml:space="preserve"> </w:t>
      </w:r>
      <w:r>
        <w:rPr>
          <w:rFonts w:hint="eastAsia" w:ascii="仿宋_GB2312" w:hAnsi="仿宋_GB2312" w:eastAsia="仿宋_GB2312" w:cs="仿宋_GB2312"/>
          <w:snapToGrid w:val="0"/>
          <w:color w:val="0000FF"/>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val="en-US" w:eastAsia="en-US"/>
        </w:rPr>
        <w:t>决策承办单位应当对社会各方面提出的意见进行归纳整理、研究论证，充分采纳合理意见，完善决策草案。</w:t>
      </w:r>
    </w:p>
    <w:p>
      <w:pPr>
        <w:keepNext/>
        <w:keepLines/>
        <w:pageBreakBefore w:val="0"/>
        <w:widowControl/>
        <w:suppressLineNumbers w:val="0"/>
        <w:kinsoku/>
        <w:wordWrap/>
        <w:overflowPunct w:val="0"/>
        <w:topLinePunct/>
        <w:autoSpaceDE/>
        <w:autoSpaceDN/>
        <w:bidi w:val="0"/>
        <w:adjustRightInd/>
        <w:snapToGrid/>
        <w:spacing w:beforeAutospacing="0" w:afterAutospacing="0" w:line="600" w:lineRule="exact"/>
        <w:ind w:left="0" w:right="0" w:firstLine="0" w:firstLineChars="0"/>
        <w:jc w:val="center"/>
        <w:textAlignment w:val="auto"/>
        <w:outlineLvl w:val="2"/>
        <w:rPr>
          <w:rFonts w:hint="eastAsia" w:ascii="黑体" w:hAnsi="黑体" w:eastAsia="黑体" w:cs="黑体"/>
          <w:b w:val="0"/>
          <w:bCs/>
          <w:snapToGrid/>
          <w:color w:val="000000"/>
          <w:kern w:val="2"/>
          <w:sz w:val="32"/>
          <w:szCs w:val="32"/>
          <w:lang w:val="en-US" w:eastAsia="zh-CN" w:bidi="ar"/>
        </w:rPr>
      </w:pPr>
      <w:r>
        <w:rPr>
          <w:rFonts w:hint="eastAsia" w:ascii="黑体" w:hAnsi="黑体" w:eastAsia="黑体" w:cs="黑体"/>
          <w:b w:val="0"/>
          <w:bCs/>
          <w:snapToGrid/>
          <w:color w:val="000000"/>
          <w:kern w:val="2"/>
          <w:sz w:val="32"/>
          <w:szCs w:val="32"/>
          <w:lang w:val="en-US" w:eastAsia="zh-CN" w:bidi="ar"/>
        </w:rPr>
        <w:t>第三节  专家论证</w:t>
      </w:r>
    </w:p>
    <w:p>
      <w:pPr>
        <w:keepNext w:val="0"/>
        <w:keepLines w:val="0"/>
        <w:pageBreakBefore w:val="0"/>
        <w:widowControl/>
        <w:numPr>
          <w:ilvl w:val="0"/>
          <w:numId w:val="1"/>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黑体" w:hAnsi="黑体" w:eastAsia="黑体" w:cs="黑体"/>
          <w:snapToGrid w:val="0"/>
          <w:color w:val="000000"/>
          <w:kern w:val="0"/>
          <w:sz w:val="32"/>
          <w:szCs w:val="21"/>
          <w:lang w:val="en-US" w:eastAsia="zh-CN"/>
        </w:rPr>
        <w:t xml:space="preserve"> </w:t>
      </w:r>
      <w:r>
        <w:rPr>
          <w:rFonts w:ascii="Arial" w:hAnsi="Arial" w:eastAsia="仿宋" w:cs="Arial"/>
          <w:snapToGrid w:val="0"/>
          <w:color w:val="000000"/>
          <w:kern w:val="0"/>
          <w:sz w:val="32"/>
          <w:szCs w:val="21"/>
          <w:lang w:eastAsia="en-US"/>
        </w:rPr>
        <w:t xml:space="preserve"> </w:t>
      </w:r>
      <w:r>
        <w:rPr>
          <w:rFonts w:hint="eastAsia" w:ascii="仿宋_GB2312" w:hAnsi="仿宋_GB2312" w:eastAsia="仿宋_GB2312" w:cs="仿宋_GB2312"/>
          <w:snapToGrid w:val="0"/>
          <w:color w:val="000000"/>
          <w:kern w:val="0"/>
          <w:sz w:val="32"/>
          <w:szCs w:val="21"/>
          <w:lang w:eastAsia="en-US"/>
        </w:rPr>
        <w:t>对专业性、技术性较强的决策事项，决策承办单位应当组织专家、专业机构论证其必要性、可行性、科学性等，并提供必要保障。</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en-US"/>
        </w:rPr>
      </w:pPr>
      <w:r>
        <w:rPr>
          <w:rFonts w:hint="eastAsia" w:ascii="仿宋_GB2312" w:hAnsi="仿宋_GB2312" w:eastAsia="仿宋_GB2312" w:cs="仿宋_GB2312"/>
          <w:snapToGrid w:val="0"/>
          <w:color w:val="000000"/>
          <w:kern w:val="0"/>
          <w:sz w:val="32"/>
          <w:szCs w:val="21"/>
          <w:lang w:eastAsia="en-US"/>
        </w:rPr>
        <w:t>专家、专业机构应当独立开展论证工作，客观、公正、科学地提出论证意见，并对所知悉的国家秘密、商业秘密、个人隐私依法履行</w:t>
      </w:r>
      <w:r>
        <w:rPr>
          <w:rFonts w:hint="eastAsia" w:ascii="仿宋_GB2312" w:hAnsi="仿宋_GB2312" w:eastAsia="仿宋_GB2312" w:cs="仿宋_GB2312"/>
          <w:snapToGrid w:val="0"/>
          <w:color w:val="000000"/>
          <w:kern w:val="0"/>
          <w:sz w:val="32"/>
          <w:szCs w:val="21"/>
          <w:lang w:val="en-US" w:eastAsia="en-US"/>
        </w:rPr>
        <w:t>保密义务；提供书面论证意见的，应当署名、盖章。</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en-US"/>
        </w:rPr>
      </w:pPr>
      <w:r>
        <w:rPr>
          <w:rFonts w:hint="eastAsia" w:ascii="仿宋_GB2312" w:hAnsi="仿宋_GB2312" w:eastAsia="仿宋_GB2312" w:cs="仿宋_GB2312"/>
          <w:snapToGrid w:val="0"/>
          <w:color w:val="000000"/>
          <w:kern w:val="0"/>
          <w:sz w:val="32"/>
          <w:szCs w:val="21"/>
          <w:lang w:val="en-US" w:eastAsia="zh-CN"/>
        </w:rPr>
        <w:t>峨眉山市</w:t>
      </w:r>
      <w:r>
        <w:rPr>
          <w:rFonts w:hint="eastAsia" w:ascii="仿宋_GB2312" w:hAnsi="仿宋_GB2312" w:eastAsia="仿宋_GB2312" w:cs="仿宋_GB2312"/>
          <w:snapToGrid w:val="0"/>
          <w:color w:val="000000"/>
          <w:kern w:val="0"/>
          <w:sz w:val="32"/>
          <w:szCs w:val="21"/>
          <w:lang w:val="en-US" w:eastAsia="en-US"/>
        </w:rPr>
        <w:t>人民政府可以根据需要建立决策咨询论证专家库或者使用</w:t>
      </w:r>
      <w:r>
        <w:rPr>
          <w:rFonts w:hint="eastAsia" w:ascii="仿宋_GB2312" w:hAnsi="仿宋_GB2312" w:eastAsia="仿宋_GB2312" w:cs="仿宋_GB2312"/>
          <w:snapToGrid w:val="0"/>
          <w:color w:val="000000"/>
          <w:kern w:val="0"/>
          <w:sz w:val="32"/>
          <w:szCs w:val="21"/>
          <w:lang w:val="en-US" w:eastAsia="zh-CN"/>
        </w:rPr>
        <w:t>四川</w:t>
      </w:r>
      <w:r>
        <w:rPr>
          <w:rFonts w:hint="eastAsia" w:ascii="仿宋_GB2312" w:hAnsi="仿宋_GB2312" w:eastAsia="仿宋_GB2312" w:cs="仿宋_GB2312"/>
          <w:snapToGrid w:val="0"/>
          <w:color w:val="000000"/>
          <w:kern w:val="0"/>
          <w:sz w:val="32"/>
          <w:szCs w:val="21"/>
          <w:lang w:val="en-US" w:eastAsia="en-US"/>
        </w:rPr>
        <w:t>省、</w:t>
      </w:r>
      <w:r>
        <w:rPr>
          <w:rFonts w:hint="eastAsia" w:ascii="仿宋_GB2312" w:hAnsi="仿宋_GB2312" w:eastAsia="仿宋_GB2312" w:cs="仿宋_GB2312"/>
          <w:snapToGrid w:val="0"/>
          <w:color w:val="000000"/>
          <w:kern w:val="0"/>
          <w:sz w:val="32"/>
          <w:szCs w:val="21"/>
          <w:lang w:val="en-US" w:eastAsia="zh-CN"/>
        </w:rPr>
        <w:t>乐山</w:t>
      </w:r>
      <w:r>
        <w:rPr>
          <w:rFonts w:hint="eastAsia" w:ascii="仿宋_GB2312" w:hAnsi="仿宋_GB2312" w:eastAsia="仿宋_GB2312" w:cs="仿宋_GB2312"/>
          <w:snapToGrid w:val="0"/>
          <w:color w:val="000000"/>
          <w:kern w:val="0"/>
          <w:sz w:val="32"/>
          <w:szCs w:val="21"/>
          <w:lang w:val="en-US" w:eastAsia="en-US"/>
        </w:rPr>
        <w:t>市人民政府的专家库。</w:t>
      </w:r>
    </w:p>
    <w:p>
      <w:pPr>
        <w:keepNext w:val="0"/>
        <w:keepLines w:val="0"/>
        <w:pageBreakBefore w:val="0"/>
        <w:widowControl/>
        <w:numPr>
          <w:ilvl w:val="0"/>
          <w:numId w:val="1"/>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eastAsia="en-US"/>
        </w:rPr>
        <w:t>决策承办单位组织专家论证，可以采取论证会、书面咨询、委托咨询论证等方式。选择专家、专业机构参与论证，应当坚持专业性、代表性和中立性，注重选择持不同意见的专家、专业机构，不得选择与决策事项有直接利害关系的专家、专业机构。</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eastAsia="en-US"/>
        </w:rPr>
        <w:t>决策承办单位应当对专家、专业机构的论证意见进行归类整理，并对提出的合理意见予以采纳；拟不予采纳的，应当及时与专家、专业机构沟通协商。</w:t>
      </w:r>
    </w:p>
    <w:p>
      <w:pPr>
        <w:pageBreakBefore w:val="0"/>
        <w:widowControl/>
        <w:kinsoku/>
        <w:wordWrap/>
        <w:overflowPunct w:val="0"/>
        <w:topLinePunct/>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eastAsia="en-US"/>
        </w:rPr>
        <w:t>决策承办单位将专家或者专业机构的书面意见连同决策事</w:t>
      </w:r>
    </w:p>
    <w:p>
      <w:pPr>
        <w:pageBreakBefore w:val="0"/>
        <w:widowControl/>
        <w:kinsoku/>
        <w:wordWrap/>
        <w:overflowPunct w:val="0"/>
        <w:topLinePunct/>
        <w:autoSpaceDE w:val="0"/>
        <w:autoSpaceDN w:val="0"/>
        <w:bidi w:val="0"/>
        <w:adjustRightInd w:val="0"/>
        <w:snapToGrid w:val="0"/>
        <w:spacing w:line="600" w:lineRule="exact"/>
        <w:ind w:left="0" w:leftChars="0" w:firstLine="0" w:firstLineChars="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eastAsia="en-US"/>
        </w:rPr>
        <w:t>项一并提交</w:t>
      </w:r>
      <w:r>
        <w:rPr>
          <w:rFonts w:hint="eastAsia" w:ascii="仿宋_GB2312" w:hAnsi="仿宋_GB2312" w:eastAsia="仿宋_GB2312" w:cs="仿宋_GB2312"/>
          <w:snapToGrid w:val="0"/>
          <w:color w:val="000000"/>
          <w:kern w:val="0"/>
          <w:sz w:val="32"/>
          <w:szCs w:val="21"/>
          <w:lang w:eastAsia="zh-CN"/>
        </w:rPr>
        <w:t>市</w:t>
      </w:r>
      <w:r>
        <w:rPr>
          <w:rFonts w:hint="eastAsia" w:ascii="仿宋_GB2312" w:hAnsi="仿宋_GB2312" w:eastAsia="仿宋_GB2312" w:cs="仿宋_GB2312"/>
          <w:snapToGrid w:val="0"/>
          <w:color w:val="000000"/>
          <w:kern w:val="0"/>
          <w:sz w:val="32"/>
          <w:szCs w:val="21"/>
          <w:lang w:eastAsia="en-US"/>
        </w:rPr>
        <w:t>政府审议。</w:t>
      </w:r>
    </w:p>
    <w:p>
      <w:pPr>
        <w:keepNext/>
        <w:keepLines/>
        <w:pageBreakBefore w:val="0"/>
        <w:widowControl/>
        <w:suppressLineNumbers w:val="0"/>
        <w:kinsoku/>
        <w:wordWrap/>
        <w:overflowPunct w:val="0"/>
        <w:topLinePunct/>
        <w:autoSpaceDE/>
        <w:autoSpaceDN/>
        <w:bidi w:val="0"/>
        <w:adjustRightInd/>
        <w:snapToGrid/>
        <w:spacing w:beforeAutospacing="0" w:afterAutospacing="0" w:line="600" w:lineRule="exact"/>
        <w:ind w:left="0" w:right="0" w:firstLine="0" w:firstLineChars="0"/>
        <w:jc w:val="center"/>
        <w:textAlignment w:val="auto"/>
        <w:outlineLvl w:val="2"/>
        <w:rPr>
          <w:rFonts w:hint="eastAsia" w:ascii="黑体" w:hAnsi="黑体" w:eastAsia="黑体" w:cs="黑体"/>
          <w:snapToGrid w:val="0"/>
          <w:color w:val="000000"/>
          <w:kern w:val="2"/>
          <w:sz w:val="32"/>
          <w:szCs w:val="32"/>
          <w:lang w:val="en-US" w:eastAsia="zh-CN" w:bidi="ar"/>
        </w:rPr>
      </w:pPr>
      <w:r>
        <w:rPr>
          <w:rFonts w:hint="eastAsia" w:ascii="黑体" w:hAnsi="黑体" w:eastAsia="黑体" w:cs="黑体"/>
          <w:b w:val="0"/>
          <w:bCs/>
          <w:snapToGrid/>
          <w:color w:val="000000"/>
          <w:kern w:val="2"/>
          <w:sz w:val="32"/>
          <w:szCs w:val="32"/>
          <w:lang w:val="en-US" w:eastAsia="zh-CN" w:bidi="ar"/>
        </w:rPr>
        <w:t>第四节  风险评估和公平竞争审查</w:t>
      </w:r>
    </w:p>
    <w:p>
      <w:pPr>
        <w:keepNext w:val="0"/>
        <w:keepLines w:val="0"/>
        <w:pageBreakBefore w:val="0"/>
        <w:widowControl/>
        <w:numPr>
          <w:ilvl w:val="0"/>
          <w:numId w:val="1"/>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eastAsia="en-US"/>
        </w:rPr>
        <w:t>对直接关系人民群众切身利益且对社会稳定、公共安全等方面可能造成较大影响的重大行政决策事项作出前，决策承办单位应当进行社会稳定风险评估。</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eastAsia="en-US"/>
        </w:rPr>
        <w:t>决策承办单位可以自行组织社会稳定风险评估，除涉及国家安全、国民经济命脉等重大决策事项外，也可以委托有资质的第三方机构开展评估。委托评估的，决策承办单位要做好跟踪指导、监督检查、组织评审等工作，并与受托方一起共同对评估质量负责。</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eastAsia="en-US"/>
        </w:rPr>
        <w:t>社会稳定风险评估报告应当按规定向</w:t>
      </w:r>
      <w:r>
        <w:rPr>
          <w:rFonts w:hint="eastAsia" w:ascii="仿宋_GB2312" w:hAnsi="仿宋_GB2312" w:eastAsia="仿宋_GB2312" w:cs="仿宋_GB2312"/>
          <w:snapToGrid w:val="0"/>
          <w:color w:val="000000"/>
          <w:kern w:val="0"/>
          <w:sz w:val="32"/>
          <w:szCs w:val="21"/>
          <w:lang w:eastAsia="zh-CN"/>
        </w:rPr>
        <w:t>市</w:t>
      </w:r>
      <w:r>
        <w:rPr>
          <w:rFonts w:hint="eastAsia" w:ascii="仿宋_GB2312" w:hAnsi="仿宋_GB2312" w:eastAsia="仿宋_GB2312" w:cs="仿宋_GB2312"/>
          <w:snapToGrid w:val="0"/>
          <w:color w:val="000000"/>
          <w:kern w:val="0"/>
          <w:sz w:val="32"/>
          <w:szCs w:val="21"/>
          <w:lang w:eastAsia="en-US"/>
        </w:rPr>
        <w:t>委政法委备案。</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eastAsia="en-US"/>
        </w:rPr>
        <w:t>应当进行社会稳定风险评估而未评估或者评估报告未按规定备案的，不得提交</w:t>
      </w:r>
      <w:r>
        <w:rPr>
          <w:rFonts w:hint="eastAsia" w:ascii="仿宋_GB2312" w:hAnsi="仿宋_GB2312" w:eastAsia="仿宋_GB2312" w:cs="仿宋_GB2312"/>
          <w:snapToGrid w:val="0"/>
          <w:color w:val="000000"/>
          <w:kern w:val="0"/>
          <w:sz w:val="32"/>
          <w:szCs w:val="21"/>
          <w:lang w:eastAsia="zh-CN"/>
        </w:rPr>
        <w:t>市</w:t>
      </w:r>
      <w:r>
        <w:rPr>
          <w:rFonts w:hint="eastAsia" w:ascii="仿宋_GB2312" w:hAnsi="仿宋_GB2312" w:eastAsia="仿宋_GB2312" w:cs="仿宋_GB2312"/>
          <w:snapToGrid w:val="0"/>
          <w:color w:val="000000"/>
          <w:kern w:val="0"/>
          <w:sz w:val="32"/>
          <w:szCs w:val="21"/>
          <w:lang w:eastAsia="en-US"/>
        </w:rPr>
        <w:t>政府审议。</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黑体" w:hAnsi="黑体" w:eastAsia="黑体" w:cs="黑体"/>
          <w:snapToGrid w:val="0"/>
          <w:color w:val="000000"/>
          <w:kern w:val="0"/>
          <w:sz w:val="32"/>
          <w:szCs w:val="21"/>
          <w:lang w:eastAsia="en-US"/>
        </w:rPr>
        <w:t>第二十</w:t>
      </w:r>
      <w:r>
        <w:rPr>
          <w:rFonts w:hint="eastAsia" w:ascii="黑体" w:hAnsi="黑体" w:eastAsia="黑体" w:cs="黑体"/>
          <w:snapToGrid w:val="0"/>
          <w:color w:val="000000"/>
          <w:kern w:val="0"/>
          <w:sz w:val="32"/>
          <w:szCs w:val="21"/>
          <w:lang w:eastAsia="zh-CN"/>
        </w:rPr>
        <w:t>一</w:t>
      </w:r>
      <w:r>
        <w:rPr>
          <w:rFonts w:hint="eastAsia" w:ascii="黑体" w:hAnsi="黑体" w:eastAsia="黑体" w:cs="黑体"/>
          <w:snapToGrid w:val="0"/>
          <w:color w:val="000000"/>
          <w:kern w:val="0"/>
          <w:sz w:val="32"/>
          <w:szCs w:val="21"/>
          <w:lang w:eastAsia="en-US"/>
        </w:rPr>
        <w:t>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ascii="Arial" w:hAnsi="Arial" w:eastAsia="仿宋" w:cs="Arial"/>
          <w:snapToGrid w:val="0"/>
          <w:color w:val="000000"/>
          <w:kern w:val="0"/>
          <w:sz w:val="32"/>
          <w:szCs w:val="21"/>
          <w:lang w:eastAsia="en-US"/>
        </w:rPr>
        <w:t xml:space="preserve"> </w:t>
      </w:r>
      <w:r>
        <w:rPr>
          <w:rFonts w:hint="eastAsia" w:ascii="仿宋_GB2312" w:hAnsi="仿宋_GB2312" w:eastAsia="仿宋_GB2312" w:cs="仿宋_GB2312"/>
          <w:snapToGrid w:val="0"/>
          <w:color w:val="000000"/>
          <w:kern w:val="0"/>
          <w:sz w:val="32"/>
          <w:szCs w:val="21"/>
          <w:lang w:eastAsia="en-US"/>
        </w:rPr>
        <w:t>风险评估结果作为重大行政决策的重要依据。评估结果为低风险等级的，可以决策，但应当采取有效措施防范应对潜在风险；评估结果为中风险等级的，应当暂缓决策，待采取有效措施化解风险或降低风险等级，经综合分析论证后再决策；评估结果为高风险等级的，应当区别情况作出不予决策，或者在调整决策方案、降低风险等级后再进行决策。</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en-US"/>
        </w:rPr>
      </w:pPr>
      <w:r>
        <w:rPr>
          <w:rFonts w:hint="eastAsia" w:ascii="黑体" w:hAnsi="黑体" w:eastAsia="黑体" w:cs="黑体"/>
          <w:snapToGrid w:val="0"/>
          <w:color w:val="000000"/>
          <w:kern w:val="0"/>
          <w:sz w:val="32"/>
          <w:szCs w:val="21"/>
          <w:lang w:eastAsia="en-US"/>
        </w:rPr>
        <w:t>第二十</w:t>
      </w:r>
      <w:r>
        <w:rPr>
          <w:rFonts w:hint="eastAsia" w:ascii="黑体" w:hAnsi="黑体" w:eastAsia="黑体" w:cs="黑体"/>
          <w:snapToGrid w:val="0"/>
          <w:color w:val="000000"/>
          <w:kern w:val="0"/>
          <w:sz w:val="32"/>
          <w:szCs w:val="21"/>
          <w:lang w:eastAsia="zh-CN"/>
        </w:rPr>
        <w:t>二</w:t>
      </w:r>
      <w:r>
        <w:rPr>
          <w:rFonts w:hint="eastAsia" w:ascii="黑体" w:hAnsi="黑体" w:eastAsia="黑体" w:cs="黑体"/>
          <w:snapToGrid w:val="0"/>
          <w:color w:val="000000"/>
          <w:kern w:val="0"/>
          <w:sz w:val="32"/>
          <w:szCs w:val="21"/>
          <w:lang w:eastAsia="en-US"/>
        </w:rPr>
        <w:t>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val="en-US" w:eastAsia="zh-CN"/>
        </w:rPr>
        <w:t>决策承办单位</w:t>
      </w:r>
      <w:r>
        <w:rPr>
          <w:rFonts w:hint="eastAsia" w:ascii="仿宋_GB2312" w:hAnsi="仿宋_GB2312" w:eastAsia="仿宋_GB2312" w:cs="仿宋_GB2312"/>
          <w:snapToGrid w:val="0"/>
          <w:color w:val="000000"/>
          <w:kern w:val="0"/>
          <w:sz w:val="32"/>
          <w:szCs w:val="21"/>
          <w:lang w:val="en-US" w:eastAsia="en-US"/>
        </w:rPr>
        <w:t>在制定市场准入和退出产业发展、招商引资、招标投标、政府采购、经营行为规范、资质标准等涉及市场主体经济活动的</w:t>
      </w:r>
      <w:r>
        <w:rPr>
          <w:rFonts w:hint="eastAsia" w:ascii="仿宋_GB2312" w:hAnsi="仿宋_GB2312" w:eastAsia="仿宋_GB2312" w:cs="仿宋_GB2312"/>
          <w:snapToGrid w:val="0"/>
          <w:color w:val="000000"/>
          <w:kern w:val="0"/>
          <w:sz w:val="32"/>
          <w:szCs w:val="21"/>
          <w:lang w:val="en-US" w:eastAsia="zh-CN"/>
        </w:rPr>
        <w:t>重大行政决策</w:t>
      </w:r>
      <w:r>
        <w:rPr>
          <w:rFonts w:hint="eastAsia" w:ascii="仿宋_GB2312" w:hAnsi="仿宋_GB2312" w:eastAsia="仿宋_GB2312" w:cs="仿宋_GB2312"/>
          <w:snapToGrid w:val="0"/>
          <w:color w:val="000000"/>
          <w:kern w:val="0"/>
          <w:sz w:val="32"/>
          <w:szCs w:val="21"/>
          <w:lang w:val="en-US" w:eastAsia="en-US"/>
        </w:rPr>
        <w:t>时应当进行公平竞争审查。</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eastAsia="en-US"/>
        </w:rPr>
        <w:t>决策承办单位在</w:t>
      </w:r>
      <w:r>
        <w:rPr>
          <w:rFonts w:hint="eastAsia" w:ascii="仿宋_GB2312" w:hAnsi="仿宋_GB2312" w:eastAsia="仿宋_GB2312" w:cs="仿宋_GB2312"/>
          <w:snapToGrid w:val="0"/>
          <w:color w:val="000000"/>
          <w:kern w:val="0"/>
          <w:sz w:val="32"/>
          <w:szCs w:val="21"/>
          <w:lang w:val="en-US" w:eastAsia="zh-CN"/>
        </w:rPr>
        <w:t>公平竞争</w:t>
      </w:r>
      <w:r>
        <w:rPr>
          <w:rFonts w:hint="eastAsia" w:ascii="仿宋_GB2312" w:hAnsi="仿宋_GB2312" w:eastAsia="仿宋_GB2312" w:cs="仿宋_GB2312"/>
          <w:snapToGrid w:val="0"/>
          <w:color w:val="000000"/>
          <w:kern w:val="0"/>
          <w:sz w:val="32"/>
          <w:szCs w:val="21"/>
          <w:lang w:eastAsia="en-US"/>
        </w:rPr>
        <w:t>审查过程中，可以会同</w:t>
      </w:r>
      <w:r>
        <w:rPr>
          <w:rFonts w:hint="eastAsia" w:ascii="仿宋_GB2312" w:hAnsi="仿宋_GB2312" w:eastAsia="仿宋_GB2312" w:cs="仿宋_GB2312"/>
          <w:snapToGrid w:val="0"/>
          <w:color w:val="000000"/>
          <w:kern w:val="0"/>
          <w:sz w:val="32"/>
          <w:szCs w:val="21"/>
          <w:lang w:eastAsia="zh-CN"/>
        </w:rPr>
        <w:t>市市</w:t>
      </w:r>
      <w:r>
        <w:rPr>
          <w:rFonts w:hint="eastAsia" w:ascii="仿宋_GB2312" w:hAnsi="仿宋_GB2312" w:eastAsia="仿宋_GB2312" w:cs="仿宋_GB2312"/>
          <w:snapToGrid w:val="0"/>
          <w:color w:val="000000"/>
          <w:kern w:val="0"/>
          <w:sz w:val="32"/>
          <w:szCs w:val="21"/>
          <w:lang w:eastAsia="en-US"/>
        </w:rPr>
        <w:t>场监管部门进行公平竞争审查。多个单位联合起草的，由牵头单位负责公平竞争审查，其他单位在各自职责范围内参与公平竞争审查。</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eastAsia="en-US"/>
        </w:rPr>
        <w:t>决策事项涉及市级部门、乡镇（街道）人民政府（办事处）单位职权的，决策承办单位在公平竞争审查中应当充分征求其意见。</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eastAsia="en-US"/>
        </w:rPr>
        <w:t>未经公平竞争审查的，不得提交</w:t>
      </w:r>
      <w:r>
        <w:rPr>
          <w:rFonts w:hint="eastAsia" w:ascii="仿宋_GB2312" w:hAnsi="仿宋_GB2312" w:eastAsia="仿宋_GB2312" w:cs="仿宋_GB2312"/>
          <w:snapToGrid w:val="0"/>
          <w:color w:val="000000"/>
          <w:kern w:val="0"/>
          <w:sz w:val="32"/>
          <w:szCs w:val="21"/>
          <w:lang w:eastAsia="zh-CN"/>
        </w:rPr>
        <w:t>市</w:t>
      </w:r>
      <w:r>
        <w:rPr>
          <w:rFonts w:hint="eastAsia" w:ascii="仿宋_GB2312" w:hAnsi="仿宋_GB2312" w:eastAsia="仿宋_GB2312" w:cs="仿宋_GB2312"/>
          <w:snapToGrid w:val="0"/>
          <w:color w:val="000000"/>
          <w:kern w:val="0"/>
          <w:sz w:val="32"/>
          <w:szCs w:val="21"/>
          <w:lang w:eastAsia="en-US"/>
        </w:rPr>
        <w:t>政府审议。</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黑体" w:hAnsi="黑体" w:eastAsia="黑体" w:cs="黑体"/>
          <w:b w:val="0"/>
          <w:bCs w:val="0"/>
          <w:snapToGrid w:val="0"/>
          <w:color w:val="000000"/>
          <w:kern w:val="0"/>
          <w:sz w:val="32"/>
          <w:szCs w:val="21"/>
          <w:u w:val="none"/>
          <w:lang w:eastAsia="en-US"/>
        </w:rPr>
        <w:t>第</w:t>
      </w:r>
      <w:r>
        <w:rPr>
          <w:rFonts w:hint="eastAsia" w:ascii="黑体" w:hAnsi="黑体" w:eastAsia="黑体" w:cs="黑体"/>
          <w:b w:val="0"/>
          <w:bCs w:val="0"/>
          <w:snapToGrid w:val="0"/>
          <w:color w:val="000000"/>
          <w:kern w:val="0"/>
          <w:sz w:val="32"/>
          <w:szCs w:val="21"/>
          <w:u w:val="none"/>
          <w:lang w:eastAsia="zh-CN"/>
        </w:rPr>
        <w:t>二十三</w:t>
      </w:r>
      <w:r>
        <w:rPr>
          <w:rFonts w:hint="eastAsia" w:ascii="黑体" w:hAnsi="黑体" w:eastAsia="黑体" w:cs="黑体"/>
          <w:b w:val="0"/>
          <w:bCs w:val="0"/>
          <w:snapToGrid w:val="0"/>
          <w:color w:val="000000"/>
          <w:kern w:val="0"/>
          <w:sz w:val="32"/>
          <w:szCs w:val="21"/>
          <w:u w:val="none"/>
          <w:lang w:eastAsia="en-US"/>
        </w:rPr>
        <w:t>条</w:t>
      </w:r>
      <w:r>
        <w:rPr>
          <w:rFonts w:hint="eastAsia" w:ascii="仿宋_GB2312" w:hAnsi="仿宋_GB2312" w:eastAsia="仿宋_GB2312" w:cs="仿宋_GB2312"/>
          <w:snapToGrid w:val="0"/>
          <w:color w:val="000000"/>
          <w:kern w:val="0"/>
          <w:sz w:val="32"/>
          <w:szCs w:val="21"/>
          <w:u w:val="none"/>
          <w:lang w:eastAsia="en-US"/>
        </w:rPr>
        <w:t xml:space="preserve"> </w:t>
      </w:r>
      <w:r>
        <w:rPr>
          <w:rFonts w:hint="eastAsia" w:ascii="仿宋_GB2312" w:hAnsi="仿宋_GB2312" w:eastAsia="仿宋_GB2312" w:cs="仿宋_GB2312"/>
          <w:snapToGrid w:val="0"/>
          <w:color w:val="000000"/>
          <w:kern w:val="0"/>
          <w:sz w:val="32"/>
          <w:szCs w:val="21"/>
          <w:lang w:val="en-US" w:eastAsia="zh-CN"/>
        </w:rPr>
        <w:t>决策承办单位开展公平竞争审查应当识别相关政策措施是否涉及市场主体经济活动、判断是否违反审查标准、分析是否适用例外规定。涉及市场主体经济活动的，经审查后应当形成明确的书面审查结论。审查结论应当包括政策措施名称、涉及行业领域、性质类别、起草机构、审查机构、征求意见情况、审查结论、适用例外规定情况、审查机构主要负责人意见等内容。政策措施出台后,审查结论由政策制定机关存档备查。</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zh-CN"/>
        </w:rPr>
        <w:t>未形成书面审查结论出台政策措施的,视为未进行公平竞争审查。</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黑体" w:hAnsi="黑体" w:eastAsia="黑体" w:cs="黑体"/>
          <w:snapToGrid w:val="0"/>
          <w:color w:val="000000"/>
          <w:kern w:val="0"/>
          <w:sz w:val="32"/>
          <w:szCs w:val="21"/>
          <w:lang w:eastAsia="en-US"/>
        </w:rPr>
        <w:t>第二十</w:t>
      </w:r>
      <w:r>
        <w:rPr>
          <w:rFonts w:hint="eastAsia" w:ascii="黑体" w:hAnsi="黑体" w:eastAsia="黑体" w:cs="黑体"/>
          <w:snapToGrid w:val="0"/>
          <w:color w:val="000000"/>
          <w:kern w:val="0"/>
          <w:sz w:val="32"/>
          <w:szCs w:val="21"/>
          <w:lang w:eastAsia="zh-CN"/>
        </w:rPr>
        <w:t>四</w:t>
      </w:r>
      <w:r>
        <w:rPr>
          <w:rFonts w:hint="eastAsia" w:ascii="黑体" w:hAnsi="黑体" w:eastAsia="黑体" w:cs="黑体"/>
          <w:snapToGrid w:val="0"/>
          <w:color w:val="000000"/>
          <w:kern w:val="0"/>
          <w:sz w:val="32"/>
          <w:szCs w:val="21"/>
          <w:lang w:eastAsia="en-US"/>
        </w:rPr>
        <w:t>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eastAsia="en-US"/>
        </w:rPr>
        <w:t>经公平竞争审查认为不具有排除、限制竞争效果或者符合例外规定的，可以决策；具有排除、限制竞争效果且不符合例外规定的，不予决策或者调整至符合相关要求后决策。</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黑体" w:hAnsi="黑体" w:eastAsia="黑体" w:cs="黑体"/>
          <w:snapToGrid w:val="0"/>
          <w:color w:val="000000"/>
          <w:kern w:val="0"/>
          <w:sz w:val="32"/>
          <w:szCs w:val="21"/>
          <w:u w:val="none"/>
          <w:lang w:eastAsia="en-US"/>
        </w:rPr>
        <w:t>第</w:t>
      </w:r>
      <w:r>
        <w:rPr>
          <w:rFonts w:hint="eastAsia" w:ascii="黑体" w:hAnsi="黑体" w:eastAsia="黑体" w:cs="黑体"/>
          <w:snapToGrid w:val="0"/>
          <w:color w:val="000000"/>
          <w:kern w:val="0"/>
          <w:sz w:val="32"/>
          <w:szCs w:val="21"/>
          <w:u w:val="none"/>
          <w:lang w:eastAsia="zh-CN"/>
        </w:rPr>
        <w:t>二十五</w:t>
      </w:r>
      <w:r>
        <w:rPr>
          <w:rFonts w:hint="eastAsia" w:ascii="黑体" w:hAnsi="黑体" w:eastAsia="黑体" w:cs="黑体"/>
          <w:snapToGrid w:val="0"/>
          <w:color w:val="000000"/>
          <w:kern w:val="0"/>
          <w:sz w:val="32"/>
          <w:szCs w:val="21"/>
          <w:u w:val="none"/>
          <w:lang w:eastAsia="en-US"/>
        </w:rPr>
        <w:t>条</w:t>
      </w:r>
      <w:r>
        <w:rPr>
          <w:rFonts w:hint="eastAsia" w:ascii="黑体" w:hAnsi="黑体" w:eastAsia="黑体" w:cs="黑体"/>
          <w:snapToGrid w:val="0"/>
          <w:color w:val="000000"/>
          <w:kern w:val="0"/>
          <w:sz w:val="32"/>
          <w:szCs w:val="21"/>
          <w:u w:val="none"/>
          <w:lang w:val="en-US" w:eastAsia="zh-CN"/>
        </w:rPr>
        <w:t xml:space="preserve"> </w:t>
      </w:r>
      <w:r>
        <w:rPr>
          <w:rFonts w:hint="eastAsia" w:ascii="仿宋_GB2312" w:hAnsi="仿宋_GB2312" w:eastAsia="仿宋_GB2312" w:cs="仿宋_GB2312"/>
          <w:snapToGrid w:val="0"/>
          <w:color w:val="000000"/>
          <w:kern w:val="0"/>
          <w:sz w:val="32"/>
          <w:szCs w:val="21"/>
          <w:lang w:val="en-US" w:eastAsia="zh-CN"/>
        </w:rPr>
        <w:t>属于下列情形之一的重大行政决策,虽然在一定程度上具有限制竞争的效果,但在符合规定的情况下可以出台实施:</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zh-CN"/>
        </w:rPr>
        <w:t>(一)维护国家经济安全、文化安全、科技安全或者涉及国防建设的;</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zh-CN"/>
        </w:rPr>
        <w:t>(二)为实现扶贫开发、救灾救助等社会保障目的:</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zh-CN"/>
        </w:rPr>
        <w:t>(三)为实现节约能源资源、保护生态环境、维护公共卫生健康安全等社会公共利益的 :</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zh-CN"/>
        </w:rPr>
        <w:t>(四)法律、行政法规规定的其他情形。</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仿宋_GB2312" w:hAnsi="仿宋_GB2312" w:eastAsia="仿宋_GB2312" w:cs="仿宋_GB2312"/>
          <w:snapToGrid w:val="0"/>
          <w:color w:val="000000"/>
          <w:kern w:val="0"/>
          <w:sz w:val="32"/>
          <w:szCs w:val="21"/>
          <w:lang w:val="en-US" w:eastAsia="zh-CN"/>
        </w:rPr>
        <w:t>属于前款第一项至第三项情形的,决策承办单位应当说明相关政策措施对实现政策目的不可或缺，且不会严重限制市场竞争,并明确实施期限。</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u w:val="single"/>
          <w:lang w:eastAsia="en-US"/>
        </w:rPr>
      </w:pPr>
      <w:r>
        <w:rPr>
          <w:rFonts w:hint="eastAsia" w:ascii="仿宋_GB2312" w:hAnsi="仿宋_GB2312" w:eastAsia="仿宋_GB2312" w:cs="仿宋_GB2312"/>
          <w:snapToGrid w:val="0"/>
          <w:color w:val="000000"/>
          <w:kern w:val="0"/>
          <w:sz w:val="32"/>
          <w:szCs w:val="21"/>
          <w:lang w:val="en-US" w:eastAsia="zh-CN"/>
        </w:rPr>
        <w:t> 决策承办单位公平性竞争</w:t>
      </w:r>
      <w:r>
        <w:rPr>
          <w:rFonts w:hint="default" w:ascii="仿宋_GB2312" w:hAnsi="仿宋_GB2312" w:eastAsia="仿宋_GB2312" w:cs="仿宋_GB2312"/>
          <w:snapToGrid w:val="0"/>
          <w:color w:val="000000"/>
          <w:kern w:val="0"/>
          <w:sz w:val="32"/>
          <w:szCs w:val="21"/>
          <w:lang w:val="en-US" w:eastAsia="zh-CN"/>
        </w:rPr>
        <w:t>审查</w:t>
      </w:r>
      <w:r>
        <w:rPr>
          <w:rFonts w:hint="eastAsia" w:ascii="仿宋_GB2312" w:hAnsi="仿宋_GB2312" w:eastAsia="仿宋_GB2312" w:cs="仿宋_GB2312"/>
          <w:snapToGrid w:val="0"/>
          <w:color w:val="000000"/>
          <w:kern w:val="0"/>
          <w:sz w:val="32"/>
          <w:szCs w:val="21"/>
          <w:lang w:val="en-US" w:eastAsia="zh-CN"/>
        </w:rPr>
        <w:t>认为</w:t>
      </w:r>
      <w:r>
        <w:rPr>
          <w:rFonts w:hint="default" w:ascii="仿宋_GB2312" w:hAnsi="仿宋_GB2312" w:eastAsia="仿宋_GB2312" w:cs="仿宋_GB2312"/>
          <w:snapToGrid w:val="0"/>
          <w:color w:val="000000"/>
          <w:kern w:val="0"/>
          <w:sz w:val="32"/>
          <w:szCs w:val="21"/>
          <w:lang w:val="en-US" w:eastAsia="zh-CN"/>
        </w:rPr>
        <w:t>适用例外规定</w:t>
      </w:r>
      <w:r>
        <w:rPr>
          <w:rFonts w:hint="eastAsia" w:ascii="仿宋_GB2312" w:hAnsi="仿宋_GB2312" w:eastAsia="仿宋_GB2312" w:cs="仿宋_GB2312"/>
          <w:snapToGrid w:val="0"/>
          <w:color w:val="000000"/>
          <w:kern w:val="0"/>
          <w:sz w:val="32"/>
          <w:szCs w:val="21"/>
          <w:lang w:val="en-US" w:eastAsia="zh-CN"/>
        </w:rPr>
        <w:t>的，</w:t>
      </w:r>
      <w:r>
        <w:rPr>
          <w:rFonts w:hint="default" w:ascii="仿宋_GB2312" w:hAnsi="仿宋_GB2312" w:eastAsia="仿宋_GB2312" w:cs="仿宋_GB2312"/>
          <w:snapToGrid w:val="0"/>
          <w:color w:val="000000"/>
          <w:kern w:val="0"/>
          <w:sz w:val="32"/>
          <w:szCs w:val="21"/>
          <w:lang w:val="en-US" w:eastAsia="zh-CN"/>
        </w:rPr>
        <w:t>应当对符合适用例外规定的情形和条件进行详细说明。</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黑体" w:hAnsi="黑体" w:eastAsia="黑体" w:cs="黑体"/>
          <w:snapToGrid w:val="0"/>
          <w:color w:val="000000"/>
          <w:kern w:val="0"/>
          <w:sz w:val="32"/>
          <w:szCs w:val="21"/>
          <w:lang w:eastAsia="en-US"/>
        </w:rPr>
        <w:t>第二十</w:t>
      </w:r>
      <w:r>
        <w:rPr>
          <w:rFonts w:hint="eastAsia" w:ascii="黑体" w:hAnsi="黑体" w:eastAsia="黑体" w:cs="黑体"/>
          <w:snapToGrid w:val="0"/>
          <w:color w:val="000000"/>
          <w:kern w:val="0"/>
          <w:sz w:val="32"/>
          <w:szCs w:val="21"/>
          <w:lang w:eastAsia="zh-CN"/>
        </w:rPr>
        <w:t>六</w:t>
      </w:r>
      <w:r>
        <w:rPr>
          <w:rFonts w:hint="eastAsia" w:ascii="黑体" w:hAnsi="黑体" w:eastAsia="黑体" w:cs="黑体"/>
          <w:snapToGrid w:val="0"/>
          <w:color w:val="000000"/>
          <w:kern w:val="0"/>
          <w:sz w:val="32"/>
          <w:szCs w:val="21"/>
          <w:lang w:eastAsia="en-US"/>
        </w:rPr>
        <w:t>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eastAsia="en-US"/>
        </w:rPr>
        <w:t>其他按规定应当进行财政经济、生态环境或者法律纠纷风险评估的，按有关规定执行。</w:t>
      </w:r>
    </w:p>
    <w:p>
      <w:pPr>
        <w:keepNext/>
        <w:keepLines/>
        <w:pageBreakBefore w:val="0"/>
        <w:widowControl/>
        <w:suppressLineNumbers w:val="0"/>
        <w:kinsoku/>
        <w:wordWrap/>
        <w:overflowPunct w:val="0"/>
        <w:topLinePunct/>
        <w:autoSpaceDE/>
        <w:autoSpaceDN/>
        <w:bidi w:val="0"/>
        <w:adjustRightInd/>
        <w:snapToGrid/>
        <w:spacing w:beforeAutospacing="0" w:afterAutospacing="0" w:line="600" w:lineRule="exact"/>
        <w:ind w:left="0" w:right="0" w:firstLine="0" w:firstLineChars="0"/>
        <w:jc w:val="center"/>
        <w:textAlignment w:val="auto"/>
        <w:outlineLvl w:val="1"/>
        <w:rPr>
          <w:rFonts w:hint="eastAsia" w:ascii="黑体" w:hAnsi="黑体" w:eastAsia="黑体" w:cs="黑体"/>
          <w:b w:val="0"/>
          <w:bCs/>
          <w:snapToGrid/>
          <w:color w:val="000000"/>
          <w:kern w:val="2"/>
          <w:sz w:val="32"/>
          <w:szCs w:val="32"/>
          <w:lang w:val="en-US" w:eastAsia="zh-CN" w:bidi="ar"/>
        </w:rPr>
      </w:pPr>
      <w:r>
        <w:rPr>
          <w:rFonts w:hint="eastAsia" w:ascii="黑体" w:hAnsi="黑体" w:eastAsia="黑体" w:cs="黑体"/>
          <w:b w:val="0"/>
          <w:bCs/>
          <w:snapToGrid/>
          <w:color w:val="000000"/>
          <w:kern w:val="2"/>
          <w:sz w:val="32"/>
          <w:szCs w:val="32"/>
          <w:lang w:val="en-US" w:eastAsia="zh-CN" w:bidi="ar"/>
        </w:rPr>
        <w:t>第三章  合法性审查和集体讨论决定</w:t>
      </w:r>
    </w:p>
    <w:p>
      <w:pPr>
        <w:pageBreakBefore w:val="0"/>
        <w:widowControl/>
        <w:kinsoku/>
        <w:wordWrap/>
        <w:overflowPunct w:val="0"/>
        <w:topLinePunct/>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黑体" w:hAnsi="黑体" w:eastAsia="黑体" w:cs="黑体"/>
          <w:snapToGrid w:val="0"/>
          <w:color w:val="000000"/>
          <w:kern w:val="0"/>
          <w:sz w:val="32"/>
          <w:szCs w:val="21"/>
          <w:lang w:eastAsia="en-US"/>
        </w:rPr>
        <w:t>第二十</w:t>
      </w:r>
      <w:r>
        <w:rPr>
          <w:rFonts w:hint="eastAsia" w:ascii="黑体" w:hAnsi="黑体" w:eastAsia="黑体" w:cs="黑体"/>
          <w:snapToGrid w:val="0"/>
          <w:color w:val="000000"/>
          <w:kern w:val="0"/>
          <w:sz w:val="32"/>
          <w:szCs w:val="21"/>
          <w:lang w:eastAsia="zh-CN"/>
        </w:rPr>
        <w:t>七</w:t>
      </w:r>
      <w:r>
        <w:rPr>
          <w:rFonts w:hint="eastAsia" w:ascii="黑体" w:hAnsi="黑体" w:eastAsia="黑体" w:cs="黑体"/>
          <w:snapToGrid w:val="0"/>
          <w:color w:val="000000"/>
          <w:kern w:val="0"/>
          <w:sz w:val="32"/>
          <w:szCs w:val="21"/>
          <w:lang w:eastAsia="en-US"/>
        </w:rPr>
        <w:t>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eastAsia="en-US"/>
        </w:rPr>
        <w:t>重大行政决策草案提交</w:t>
      </w:r>
      <w:r>
        <w:rPr>
          <w:rFonts w:hint="eastAsia" w:ascii="仿宋_GB2312" w:hAnsi="仿宋_GB2312" w:eastAsia="仿宋_GB2312" w:cs="仿宋_GB2312"/>
          <w:snapToGrid w:val="0"/>
          <w:color w:val="000000"/>
          <w:kern w:val="0"/>
          <w:sz w:val="32"/>
          <w:szCs w:val="21"/>
          <w:lang w:eastAsia="zh-CN"/>
        </w:rPr>
        <w:t>市</w:t>
      </w:r>
      <w:r>
        <w:rPr>
          <w:rFonts w:hint="eastAsia" w:ascii="仿宋_GB2312" w:hAnsi="仿宋_GB2312" w:eastAsia="仿宋_GB2312" w:cs="仿宋_GB2312"/>
          <w:snapToGrid w:val="0"/>
          <w:color w:val="000000"/>
          <w:kern w:val="0"/>
          <w:sz w:val="32"/>
          <w:szCs w:val="21"/>
          <w:lang w:eastAsia="en-US"/>
        </w:rPr>
        <w:t>政府决策前，应当进行合法性审查，未经合法性审查或者经审查不合法的，不得提交</w:t>
      </w:r>
      <w:r>
        <w:rPr>
          <w:rFonts w:hint="eastAsia" w:ascii="仿宋_GB2312" w:hAnsi="仿宋_GB2312" w:eastAsia="仿宋_GB2312" w:cs="仿宋_GB2312"/>
          <w:snapToGrid w:val="0"/>
          <w:color w:val="000000"/>
          <w:kern w:val="0"/>
          <w:sz w:val="32"/>
          <w:szCs w:val="21"/>
          <w:lang w:eastAsia="zh-CN"/>
        </w:rPr>
        <w:t>市</w:t>
      </w:r>
      <w:r>
        <w:rPr>
          <w:rFonts w:hint="eastAsia" w:ascii="仿宋_GB2312" w:hAnsi="仿宋_GB2312" w:eastAsia="仿宋_GB2312" w:cs="仿宋_GB2312"/>
          <w:snapToGrid w:val="0"/>
          <w:color w:val="000000"/>
          <w:kern w:val="0"/>
          <w:sz w:val="32"/>
          <w:szCs w:val="21"/>
          <w:lang w:eastAsia="en-US"/>
        </w:rPr>
        <w:t>政府讨论。不得以征求意见等方式代替合法性审查。对国家尚无明确规定的探索性改革决策事项，可以明示法律风险，提交</w:t>
      </w:r>
      <w:r>
        <w:rPr>
          <w:rFonts w:hint="eastAsia" w:ascii="仿宋_GB2312" w:hAnsi="仿宋_GB2312" w:eastAsia="仿宋_GB2312" w:cs="仿宋_GB2312"/>
          <w:snapToGrid w:val="0"/>
          <w:color w:val="000000"/>
          <w:kern w:val="0"/>
          <w:sz w:val="32"/>
          <w:szCs w:val="21"/>
          <w:lang w:eastAsia="zh-CN"/>
        </w:rPr>
        <w:t>市</w:t>
      </w:r>
      <w:r>
        <w:rPr>
          <w:rFonts w:hint="eastAsia" w:ascii="仿宋_GB2312" w:hAnsi="仿宋_GB2312" w:eastAsia="仿宋_GB2312" w:cs="仿宋_GB2312"/>
          <w:snapToGrid w:val="0"/>
          <w:color w:val="000000"/>
          <w:kern w:val="0"/>
          <w:sz w:val="32"/>
          <w:szCs w:val="21"/>
          <w:lang w:eastAsia="en-US"/>
        </w:rPr>
        <w:t>政府研究。</w:t>
      </w:r>
    </w:p>
    <w:p>
      <w:pPr>
        <w:pageBreakBefore w:val="0"/>
        <w:widowControl/>
        <w:kinsoku/>
        <w:wordWrap/>
        <w:overflowPunct w:val="0"/>
        <w:topLinePunct/>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黑体" w:hAnsi="黑体" w:eastAsia="黑体" w:cs="黑体"/>
          <w:snapToGrid w:val="0"/>
          <w:color w:val="000000"/>
          <w:kern w:val="0"/>
          <w:sz w:val="32"/>
          <w:szCs w:val="21"/>
          <w:lang w:eastAsia="en-US"/>
        </w:rPr>
        <w:t>第二十</w:t>
      </w:r>
      <w:r>
        <w:rPr>
          <w:rFonts w:hint="eastAsia" w:ascii="黑体" w:hAnsi="黑体" w:eastAsia="黑体" w:cs="黑体"/>
          <w:snapToGrid w:val="0"/>
          <w:color w:val="000000"/>
          <w:kern w:val="0"/>
          <w:sz w:val="32"/>
          <w:szCs w:val="21"/>
          <w:lang w:eastAsia="zh-CN"/>
        </w:rPr>
        <w:t>八</w:t>
      </w:r>
      <w:r>
        <w:rPr>
          <w:rFonts w:hint="eastAsia" w:ascii="黑体" w:hAnsi="黑体" w:eastAsia="黑体" w:cs="黑体"/>
          <w:snapToGrid w:val="0"/>
          <w:color w:val="000000"/>
          <w:kern w:val="0"/>
          <w:sz w:val="32"/>
          <w:szCs w:val="21"/>
          <w:lang w:eastAsia="en-US"/>
        </w:rPr>
        <w:t>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eastAsia="en-US"/>
        </w:rPr>
        <w:t>决策承办单位向</w:t>
      </w:r>
      <w:r>
        <w:rPr>
          <w:rFonts w:hint="eastAsia" w:ascii="仿宋_GB2312" w:hAnsi="仿宋_GB2312" w:eastAsia="仿宋_GB2312" w:cs="仿宋_GB2312"/>
          <w:snapToGrid w:val="0"/>
          <w:color w:val="000000"/>
          <w:kern w:val="0"/>
          <w:sz w:val="32"/>
          <w:szCs w:val="21"/>
          <w:lang w:eastAsia="zh-CN"/>
        </w:rPr>
        <w:t>市</w:t>
      </w:r>
      <w:r>
        <w:rPr>
          <w:rFonts w:hint="eastAsia" w:ascii="仿宋_GB2312" w:hAnsi="仿宋_GB2312" w:eastAsia="仿宋_GB2312" w:cs="仿宋_GB2312"/>
          <w:snapToGrid w:val="0"/>
          <w:color w:val="000000"/>
          <w:kern w:val="0"/>
          <w:sz w:val="32"/>
          <w:szCs w:val="21"/>
          <w:lang w:eastAsia="en-US"/>
        </w:rPr>
        <w:t>政府报送重大行政决策事</w:t>
      </w:r>
    </w:p>
    <w:p>
      <w:pPr>
        <w:pageBreakBefore w:val="0"/>
        <w:widowControl/>
        <w:kinsoku/>
        <w:wordWrap/>
        <w:overflowPunct w:val="0"/>
        <w:topLinePunct/>
        <w:autoSpaceDE w:val="0"/>
        <w:autoSpaceDN w:val="0"/>
        <w:bidi w:val="0"/>
        <w:adjustRightInd w:val="0"/>
        <w:snapToGrid w:val="0"/>
        <w:spacing w:line="600" w:lineRule="exact"/>
        <w:ind w:left="0" w:leftChars="0" w:firstLine="0" w:firstLineChars="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仿宋_GB2312" w:hAnsi="仿宋_GB2312" w:eastAsia="仿宋_GB2312" w:cs="仿宋_GB2312"/>
          <w:snapToGrid w:val="0"/>
          <w:color w:val="000000"/>
          <w:kern w:val="0"/>
          <w:sz w:val="32"/>
          <w:szCs w:val="21"/>
          <w:lang w:eastAsia="en-US"/>
        </w:rPr>
        <w:t>项应提交下列材料</w:t>
      </w:r>
      <w:r>
        <w:rPr>
          <w:rFonts w:hint="eastAsia" w:ascii="仿宋_GB2312" w:hAnsi="仿宋_GB2312" w:eastAsia="仿宋_GB2312" w:cs="仿宋_GB2312"/>
          <w:snapToGrid w:val="0"/>
          <w:color w:val="000000"/>
          <w:kern w:val="0"/>
          <w:sz w:val="32"/>
          <w:szCs w:val="21"/>
          <w:lang w:eastAsia="zh-CN"/>
        </w:rPr>
        <w:t>，市政府办公室对报送材料是否齐全进行审核、把关。对符合要求的，经分管该决策事项的市人民政府领导批示同意后，转交至市司法局进行合法性审查；对不符合有关要求的，市政府办公室可以退回决策承办单位，或者要求决策承办单位在指定时间内补充资料、完善程序。</w:t>
      </w:r>
    </w:p>
    <w:p>
      <w:pPr>
        <w:pageBreakBefore w:val="0"/>
        <w:widowControl/>
        <w:kinsoku/>
        <w:wordWrap/>
        <w:overflowPunct w:val="0"/>
        <w:topLinePunct/>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eastAsia="en-US"/>
        </w:rPr>
        <w:t>（一）决策草案及相关材料；涉及</w:t>
      </w:r>
      <w:r>
        <w:rPr>
          <w:rFonts w:hint="eastAsia" w:ascii="仿宋_GB2312" w:hAnsi="仿宋_GB2312" w:eastAsia="仿宋_GB2312" w:cs="仿宋_GB2312"/>
          <w:snapToGrid w:val="0"/>
          <w:color w:val="000000"/>
          <w:kern w:val="0"/>
          <w:sz w:val="32"/>
          <w:szCs w:val="21"/>
          <w:lang w:eastAsia="zh-CN"/>
        </w:rPr>
        <w:t>市</w:t>
      </w:r>
      <w:r>
        <w:rPr>
          <w:rFonts w:hint="eastAsia" w:ascii="仿宋_GB2312" w:hAnsi="仿宋_GB2312" w:eastAsia="仿宋_GB2312" w:cs="仿宋_GB2312"/>
          <w:snapToGrid w:val="0"/>
          <w:color w:val="000000"/>
          <w:kern w:val="0"/>
          <w:sz w:val="32"/>
          <w:szCs w:val="21"/>
          <w:lang w:eastAsia="en-US"/>
        </w:rPr>
        <w:t>场主体经济活动的，应当包含公平竞争审查的有关情况。</w:t>
      </w:r>
    </w:p>
    <w:p>
      <w:pPr>
        <w:pageBreakBefore w:val="0"/>
        <w:widowControl/>
        <w:kinsoku/>
        <w:wordWrap/>
        <w:overflowPunct w:val="0"/>
        <w:topLinePunct/>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eastAsia="en-US"/>
        </w:rPr>
        <w:t>（二）有关法律、法规、规章和政策依据；</w:t>
      </w:r>
    </w:p>
    <w:p>
      <w:pPr>
        <w:pageBreakBefore w:val="0"/>
        <w:widowControl/>
        <w:kinsoku/>
        <w:wordWrap/>
        <w:overflowPunct w:val="0"/>
        <w:topLinePunct/>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eastAsia="en-US"/>
        </w:rPr>
        <w:t>（三）履行公众参与程序的，同时报送反馈意见的研究采纳情况；</w:t>
      </w:r>
    </w:p>
    <w:p>
      <w:pPr>
        <w:pageBreakBefore w:val="0"/>
        <w:widowControl/>
        <w:kinsoku/>
        <w:wordWrap/>
        <w:overflowPunct w:val="0"/>
        <w:topLinePunct/>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eastAsia="en-US"/>
        </w:rPr>
        <w:t>（四）履行专家论证程序的，同时报送专家论证意见的研究采纳情况；</w:t>
      </w:r>
    </w:p>
    <w:p>
      <w:pPr>
        <w:pageBreakBefore w:val="0"/>
        <w:widowControl/>
        <w:kinsoku/>
        <w:wordWrap/>
        <w:overflowPunct w:val="0"/>
        <w:topLinePunct/>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eastAsia="en-US"/>
        </w:rPr>
        <w:t>（五）履行风险评估程序的，同时报送风险评估报告等有关材料；</w:t>
      </w:r>
    </w:p>
    <w:p>
      <w:pPr>
        <w:pageBreakBefore w:val="0"/>
        <w:widowControl/>
        <w:kinsoku/>
        <w:wordWrap/>
        <w:overflowPunct w:val="0"/>
        <w:topLinePunct/>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eastAsia="en-US"/>
        </w:rPr>
        <w:t>（六）决策承办单位法制审核机构（法律顾问）的合法性初审意见；</w:t>
      </w:r>
    </w:p>
    <w:p>
      <w:pPr>
        <w:pageBreakBefore w:val="0"/>
        <w:widowControl/>
        <w:kinsoku/>
        <w:wordWrap/>
        <w:overflowPunct w:val="0"/>
        <w:topLinePunct/>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eastAsia="en-US"/>
        </w:rPr>
        <w:t>（七）征求相关单位意见及采纳情况；</w:t>
      </w:r>
    </w:p>
    <w:p>
      <w:pPr>
        <w:pageBreakBefore w:val="0"/>
        <w:widowControl/>
        <w:kinsoku/>
        <w:wordWrap/>
        <w:overflowPunct w:val="0"/>
        <w:topLinePunct/>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eastAsia="en-US"/>
        </w:rPr>
        <w:t>（八）需要报送的其他材料。</w:t>
      </w:r>
    </w:p>
    <w:p>
      <w:pPr>
        <w:pageBreakBefore w:val="0"/>
        <w:widowControl/>
        <w:kinsoku/>
        <w:wordWrap/>
        <w:overflowPunct w:val="0"/>
        <w:topLinePunct/>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eastAsia="en-US"/>
        </w:rPr>
        <w:t>决策草案含有两个以上备选方案的，决策承办单位应当在起草说明中分析利弊，提出倾向性意见。</w:t>
      </w:r>
    </w:p>
    <w:p>
      <w:pPr>
        <w:pageBreakBefore w:val="0"/>
        <w:widowControl/>
        <w:kinsoku/>
        <w:wordWrap/>
        <w:overflowPunct w:val="0"/>
        <w:topLinePunct/>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eastAsia="en-US"/>
        </w:rPr>
        <w:t>决策承办单位对提供材料的真实性、完整性负责。</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黑体" w:hAnsi="黑体" w:eastAsia="黑体" w:cs="黑体"/>
          <w:snapToGrid w:val="0"/>
          <w:color w:val="000000"/>
          <w:kern w:val="0"/>
          <w:sz w:val="32"/>
          <w:szCs w:val="21"/>
          <w:lang w:eastAsia="en-US"/>
        </w:rPr>
        <w:t>第</w:t>
      </w:r>
      <w:r>
        <w:rPr>
          <w:rFonts w:hint="eastAsia" w:ascii="黑体" w:hAnsi="黑体" w:eastAsia="黑体" w:cs="黑体"/>
          <w:snapToGrid w:val="0"/>
          <w:color w:val="000000"/>
          <w:kern w:val="0"/>
          <w:sz w:val="32"/>
          <w:szCs w:val="21"/>
          <w:lang w:eastAsia="zh-CN"/>
        </w:rPr>
        <w:t>二十九</w:t>
      </w:r>
      <w:r>
        <w:rPr>
          <w:rFonts w:hint="eastAsia" w:ascii="黑体" w:hAnsi="黑体" w:eastAsia="黑体" w:cs="黑体"/>
          <w:snapToGrid w:val="0"/>
          <w:color w:val="000000"/>
          <w:kern w:val="0"/>
          <w:sz w:val="32"/>
          <w:szCs w:val="21"/>
          <w:lang w:eastAsia="en-US"/>
        </w:rPr>
        <w:t>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eastAsia="zh-CN"/>
        </w:rPr>
        <w:t>送请合法性审查，应当保证必要的审查时间，除为了预防、应对和处置突发事件，或者执行上级机关的紧急命令和决定外，一般不少于7个工作日。审核时限从市司法局接到全部审核材料之日起</w:t>
      </w:r>
      <w:r>
        <w:rPr>
          <w:rFonts w:hint="eastAsia" w:ascii="仿宋_GB2312" w:hAnsi="仿宋_GB2312" w:eastAsia="仿宋_GB2312" w:cs="仿宋_GB2312"/>
          <w:snapToGrid w:val="0"/>
          <w:color w:val="000000"/>
          <w:kern w:val="0"/>
          <w:sz w:val="32"/>
          <w:szCs w:val="21"/>
          <w:lang w:val="en-US" w:eastAsia="zh-CN"/>
        </w:rPr>
        <w:t>计算。在审查过程中，市司法局认为需要决策承办单位协助或继续补充材料、完善程序的，</w:t>
      </w:r>
      <w:r>
        <w:rPr>
          <w:rFonts w:hint="default" w:ascii="仿宋_GB2312" w:hAnsi="仿宋_GB2312" w:eastAsia="仿宋_GB2312" w:cs="仿宋_GB2312"/>
          <w:snapToGrid w:val="0"/>
          <w:color w:val="000000"/>
          <w:kern w:val="0"/>
          <w:sz w:val="32"/>
          <w:szCs w:val="21"/>
          <w:lang w:val="en-US" w:eastAsia="zh-CN"/>
        </w:rPr>
        <w:t>决策承办单位应在2个工作日内予以</w:t>
      </w:r>
      <w:r>
        <w:rPr>
          <w:rFonts w:hint="eastAsia" w:ascii="仿宋_GB2312" w:hAnsi="仿宋_GB2312" w:eastAsia="仿宋_GB2312" w:cs="仿宋_GB2312"/>
          <w:snapToGrid w:val="0"/>
          <w:color w:val="000000"/>
          <w:kern w:val="0"/>
          <w:sz w:val="32"/>
          <w:szCs w:val="21"/>
          <w:lang w:val="en-US" w:eastAsia="zh-CN"/>
        </w:rPr>
        <w:t>协助或继续</w:t>
      </w:r>
      <w:r>
        <w:rPr>
          <w:rFonts w:hint="default" w:ascii="仿宋_GB2312" w:hAnsi="仿宋_GB2312" w:eastAsia="仿宋_GB2312" w:cs="仿宋_GB2312"/>
          <w:snapToGrid w:val="0"/>
          <w:color w:val="000000"/>
          <w:kern w:val="0"/>
          <w:sz w:val="32"/>
          <w:szCs w:val="21"/>
          <w:lang w:val="en-US" w:eastAsia="zh-CN"/>
        </w:rPr>
        <w:t>补充</w:t>
      </w:r>
      <w:r>
        <w:rPr>
          <w:rFonts w:hint="eastAsia" w:ascii="仿宋_GB2312" w:hAnsi="仿宋_GB2312" w:eastAsia="仿宋_GB2312" w:cs="仿宋_GB2312"/>
          <w:snapToGrid w:val="0"/>
          <w:color w:val="000000"/>
          <w:kern w:val="0"/>
          <w:sz w:val="32"/>
          <w:szCs w:val="21"/>
          <w:lang w:val="en-US" w:eastAsia="zh-CN"/>
        </w:rPr>
        <w:t>材料、完善程序</w:t>
      </w:r>
      <w:r>
        <w:rPr>
          <w:rFonts w:hint="default" w:ascii="仿宋_GB2312" w:hAnsi="仿宋_GB2312" w:eastAsia="仿宋_GB2312" w:cs="仿宋_GB2312"/>
          <w:snapToGrid w:val="0"/>
          <w:color w:val="000000"/>
          <w:kern w:val="0"/>
          <w:sz w:val="32"/>
          <w:szCs w:val="21"/>
          <w:lang w:val="en-US" w:eastAsia="zh-CN"/>
        </w:rPr>
        <w:t>，2个工作日内未能</w:t>
      </w:r>
      <w:r>
        <w:rPr>
          <w:rFonts w:hint="eastAsia" w:ascii="仿宋_GB2312" w:hAnsi="仿宋_GB2312" w:eastAsia="仿宋_GB2312" w:cs="仿宋_GB2312"/>
          <w:snapToGrid w:val="0"/>
          <w:color w:val="000000"/>
          <w:kern w:val="0"/>
          <w:sz w:val="32"/>
          <w:szCs w:val="21"/>
          <w:lang w:val="en-US" w:eastAsia="zh-CN"/>
        </w:rPr>
        <w:t>予以协助或</w:t>
      </w:r>
      <w:r>
        <w:rPr>
          <w:rFonts w:hint="default" w:ascii="仿宋_GB2312" w:hAnsi="仿宋_GB2312" w:eastAsia="仿宋_GB2312" w:cs="仿宋_GB2312"/>
          <w:snapToGrid w:val="0"/>
          <w:color w:val="000000"/>
          <w:kern w:val="0"/>
          <w:sz w:val="32"/>
          <w:szCs w:val="21"/>
          <w:lang w:val="en-US" w:eastAsia="zh-CN"/>
        </w:rPr>
        <w:t>补充相关资料</w:t>
      </w:r>
      <w:r>
        <w:rPr>
          <w:rFonts w:hint="eastAsia" w:ascii="仿宋_GB2312" w:hAnsi="仿宋_GB2312" w:eastAsia="仿宋_GB2312" w:cs="仿宋_GB2312"/>
          <w:snapToGrid w:val="0"/>
          <w:color w:val="000000"/>
          <w:kern w:val="0"/>
          <w:sz w:val="32"/>
          <w:szCs w:val="21"/>
          <w:lang w:val="en-US" w:eastAsia="zh-CN"/>
        </w:rPr>
        <w:t>、完善程序</w:t>
      </w:r>
      <w:r>
        <w:rPr>
          <w:rFonts w:hint="default" w:ascii="仿宋_GB2312" w:hAnsi="仿宋_GB2312" w:eastAsia="仿宋_GB2312" w:cs="仿宋_GB2312"/>
          <w:snapToGrid w:val="0"/>
          <w:color w:val="000000"/>
          <w:kern w:val="0"/>
          <w:sz w:val="32"/>
          <w:szCs w:val="21"/>
          <w:lang w:val="en-US" w:eastAsia="zh-CN"/>
        </w:rPr>
        <w:t>的，市司法局可以</w:t>
      </w:r>
      <w:r>
        <w:rPr>
          <w:rFonts w:hint="eastAsia" w:ascii="仿宋_GB2312" w:hAnsi="仿宋_GB2312" w:eastAsia="仿宋_GB2312" w:cs="仿宋_GB2312"/>
          <w:snapToGrid w:val="0"/>
          <w:color w:val="000000"/>
          <w:kern w:val="0"/>
          <w:sz w:val="32"/>
          <w:szCs w:val="21"/>
          <w:lang w:val="en-US" w:eastAsia="zh-CN"/>
        </w:rPr>
        <w:t>终止审查，并退回相关材料。</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仿宋_GB2312" w:hAnsi="仿宋_GB2312" w:eastAsia="仿宋_GB2312" w:cs="仿宋_GB2312"/>
          <w:snapToGrid w:val="0"/>
          <w:color w:val="000000"/>
          <w:kern w:val="0"/>
          <w:sz w:val="32"/>
          <w:szCs w:val="21"/>
          <w:lang w:eastAsia="zh-CN"/>
        </w:rPr>
        <w:t>决策承办单位补充材料、完善程序的时间不计入合法性审查时间。</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黑体" w:hAnsi="黑体" w:eastAsia="黑体" w:cs="黑体"/>
          <w:snapToGrid w:val="0"/>
          <w:color w:val="000000"/>
          <w:kern w:val="0"/>
          <w:sz w:val="32"/>
          <w:szCs w:val="21"/>
          <w:lang w:eastAsia="en-US"/>
        </w:rPr>
        <w:t>第</w:t>
      </w:r>
      <w:r>
        <w:rPr>
          <w:rFonts w:hint="eastAsia" w:ascii="黑体" w:hAnsi="黑体" w:eastAsia="黑体" w:cs="黑体"/>
          <w:snapToGrid w:val="0"/>
          <w:color w:val="000000"/>
          <w:kern w:val="0"/>
          <w:sz w:val="32"/>
          <w:szCs w:val="21"/>
          <w:lang w:eastAsia="zh-CN"/>
        </w:rPr>
        <w:t>三十</w:t>
      </w:r>
      <w:r>
        <w:rPr>
          <w:rFonts w:hint="eastAsia" w:ascii="黑体" w:hAnsi="黑体" w:eastAsia="黑体" w:cs="黑体"/>
          <w:snapToGrid w:val="0"/>
          <w:color w:val="000000"/>
          <w:kern w:val="0"/>
          <w:sz w:val="32"/>
          <w:szCs w:val="21"/>
          <w:lang w:eastAsia="en-US"/>
        </w:rPr>
        <w:t>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eastAsia="zh-CN"/>
        </w:rPr>
        <w:t>合法性审查的内容包括：决策事项是否符合法定权限；决策草案的形成是否履行相关法定程序；决策草案内容是否符合有关法律、法规、规章和国家政策的规定。</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黑体" w:hAnsi="黑体" w:eastAsia="黑体" w:cs="黑体"/>
          <w:snapToGrid w:val="0"/>
          <w:color w:val="000000"/>
          <w:kern w:val="0"/>
          <w:sz w:val="32"/>
          <w:szCs w:val="21"/>
          <w:lang w:eastAsia="en-US"/>
        </w:rPr>
        <w:t>第</w:t>
      </w:r>
      <w:r>
        <w:rPr>
          <w:rFonts w:hint="eastAsia" w:ascii="黑体" w:hAnsi="黑体" w:eastAsia="黑体" w:cs="黑体"/>
          <w:snapToGrid w:val="0"/>
          <w:color w:val="000000"/>
          <w:kern w:val="0"/>
          <w:sz w:val="32"/>
          <w:szCs w:val="21"/>
          <w:lang w:eastAsia="zh-CN"/>
        </w:rPr>
        <w:t>三十一</w:t>
      </w:r>
      <w:r>
        <w:rPr>
          <w:rFonts w:hint="eastAsia" w:ascii="黑体" w:hAnsi="黑体" w:eastAsia="黑体" w:cs="黑体"/>
          <w:snapToGrid w:val="0"/>
          <w:color w:val="000000"/>
          <w:kern w:val="0"/>
          <w:sz w:val="32"/>
          <w:szCs w:val="21"/>
          <w:lang w:eastAsia="en-US"/>
        </w:rPr>
        <w:t>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ascii="Arial" w:hAnsi="Arial" w:eastAsia="仿宋" w:cs="Arial"/>
          <w:snapToGrid w:val="0"/>
          <w:color w:val="000000"/>
          <w:kern w:val="0"/>
          <w:sz w:val="32"/>
          <w:szCs w:val="21"/>
          <w:lang w:eastAsia="en-US"/>
        </w:rPr>
        <w:t xml:space="preserve"> </w:t>
      </w:r>
      <w:r>
        <w:rPr>
          <w:rFonts w:hint="eastAsia" w:ascii="仿宋_GB2312" w:hAnsi="仿宋_GB2312" w:eastAsia="仿宋_GB2312" w:cs="仿宋_GB2312"/>
          <w:snapToGrid w:val="0"/>
          <w:color w:val="000000"/>
          <w:kern w:val="0"/>
          <w:sz w:val="32"/>
          <w:szCs w:val="21"/>
          <w:lang w:eastAsia="zh-CN"/>
        </w:rPr>
        <w:t>市司法局应当及时提出合法性审查意见，并对合法性审查意见负责。在合法性审查过程中，应当充分发挥法律顾问团、公职律师、有关专家作用，为重大行政决策提供专业法律咨询服务、提出法律意见。决策承办单位根据合法性审查意见进行必要的调整或者补充。</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val="en-US" w:eastAsia="zh-CN"/>
        </w:rPr>
      </w:pPr>
      <w:r>
        <w:rPr>
          <w:rFonts w:hint="eastAsia" w:ascii="黑体" w:hAnsi="黑体" w:eastAsia="黑体" w:cs="黑体"/>
          <w:snapToGrid w:val="0"/>
          <w:color w:val="000000"/>
          <w:kern w:val="0"/>
          <w:sz w:val="32"/>
          <w:szCs w:val="21"/>
          <w:u w:val="none"/>
          <w:lang w:val="en-US" w:eastAsia="zh-CN" w:bidi="ar-SA"/>
        </w:rPr>
        <w:t>第三十二条</w:t>
      </w:r>
      <w:r>
        <w:rPr>
          <w:rFonts w:hint="eastAsia" w:ascii="仿宋_GB2312" w:hAnsi="仿宋_GB2312" w:eastAsia="仿宋_GB2312" w:cs="仿宋_GB2312"/>
          <w:snapToGrid w:val="0"/>
          <w:color w:val="000000"/>
          <w:kern w:val="0"/>
          <w:sz w:val="32"/>
          <w:szCs w:val="21"/>
          <w:u w:val="none"/>
          <w:lang w:val="en-US" w:eastAsia="zh-CN" w:bidi="ar-SA"/>
        </w:rPr>
        <w:t xml:space="preserve"> </w:t>
      </w:r>
      <w:r>
        <w:rPr>
          <w:rFonts w:hint="default" w:ascii="仿宋_GB2312" w:hAnsi="仿宋_GB2312" w:eastAsia="仿宋_GB2312" w:cs="仿宋_GB2312"/>
          <w:snapToGrid w:val="0"/>
          <w:color w:val="000000"/>
          <w:kern w:val="0"/>
          <w:sz w:val="32"/>
          <w:szCs w:val="21"/>
          <w:lang w:val="en-US" w:eastAsia="zh-CN"/>
        </w:rPr>
        <w:t>《合法性审查意见书》仅限市人民政府决策使用，有关单位或者个人不得泄露相关内容。</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黑体" w:hAnsi="黑体" w:eastAsia="黑体" w:cs="黑体"/>
          <w:snapToGrid w:val="0"/>
          <w:color w:val="000000"/>
          <w:kern w:val="0"/>
          <w:sz w:val="32"/>
          <w:szCs w:val="21"/>
          <w:lang w:eastAsia="en-US"/>
        </w:rPr>
        <w:t>第三十</w:t>
      </w:r>
      <w:r>
        <w:rPr>
          <w:rFonts w:hint="eastAsia" w:ascii="黑体" w:hAnsi="黑体" w:eastAsia="黑体" w:cs="黑体"/>
          <w:snapToGrid w:val="0"/>
          <w:color w:val="000000"/>
          <w:kern w:val="0"/>
          <w:sz w:val="32"/>
          <w:szCs w:val="21"/>
          <w:lang w:eastAsia="zh-CN"/>
        </w:rPr>
        <w:t>三</w:t>
      </w:r>
      <w:r>
        <w:rPr>
          <w:rFonts w:hint="eastAsia" w:ascii="黑体" w:hAnsi="黑体" w:eastAsia="黑体" w:cs="黑体"/>
          <w:snapToGrid w:val="0"/>
          <w:color w:val="000000"/>
          <w:kern w:val="0"/>
          <w:sz w:val="32"/>
          <w:szCs w:val="21"/>
          <w:lang w:eastAsia="en-US"/>
        </w:rPr>
        <w:t>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eastAsia="zh-CN"/>
        </w:rPr>
        <w:t>市政府集体讨论决定按照《市政府工作规则》《市政府常务会议议事决策规则》和</w:t>
      </w:r>
      <w:r>
        <w:rPr>
          <w:rFonts w:hint="eastAsia" w:ascii="仿宋_GB2312" w:hAnsi="仿宋_GB2312" w:eastAsia="仿宋_GB2312" w:cs="仿宋_GB2312"/>
          <w:snapToGrid w:val="0"/>
          <w:color w:val="000000"/>
          <w:kern w:val="0"/>
          <w:sz w:val="32"/>
          <w:szCs w:val="21"/>
          <w:lang w:val="en-US" w:eastAsia="zh-CN"/>
        </w:rPr>
        <w:t>峨眉山市</w:t>
      </w:r>
      <w:r>
        <w:rPr>
          <w:rFonts w:hint="eastAsia" w:ascii="仿宋_GB2312" w:hAnsi="仿宋_GB2312" w:eastAsia="仿宋_GB2312" w:cs="仿宋_GB2312"/>
          <w:snapToGrid w:val="0"/>
          <w:color w:val="000000"/>
          <w:kern w:val="0"/>
          <w:sz w:val="32"/>
          <w:szCs w:val="21"/>
          <w:lang w:eastAsia="zh-CN"/>
        </w:rPr>
        <w:t>重大经济事项决策程序执行。严格贯彻落实“三重一大”事项集体决策制度，严格遵循法定权限和程序作出决策。</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黑体" w:hAnsi="黑体" w:eastAsia="黑体" w:cs="黑体"/>
          <w:snapToGrid w:val="0"/>
          <w:color w:val="000000"/>
          <w:kern w:val="0"/>
          <w:sz w:val="32"/>
          <w:szCs w:val="21"/>
          <w:lang w:eastAsia="en-US"/>
        </w:rPr>
        <w:t>第三十</w:t>
      </w:r>
      <w:r>
        <w:rPr>
          <w:rFonts w:hint="eastAsia" w:ascii="黑体" w:hAnsi="黑体" w:eastAsia="黑体" w:cs="黑体"/>
          <w:snapToGrid w:val="0"/>
          <w:color w:val="000000"/>
          <w:kern w:val="0"/>
          <w:sz w:val="32"/>
          <w:szCs w:val="21"/>
          <w:lang w:eastAsia="zh-CN"/>
        </w:rPr>
        <w:t>四</w:t>
      </w:r>
      <w:r>
        <w:rPr>
          <w:rFonts w:hint="eastAsia" w:ascii="黑体" w:hAnsi="黑体" w:eastAsia="黑体" w:cs="黑体"/>
          <w:snapToGrid w:val="0"/>
          <w:color w:val="000000"/>
          <w:kern w:val="0"/>
          <w:sz w:val="32"/>
          <w:szCs w:val="21"/>
          <w:lang w:eastAsia="en-US"/>
        </w:rPr>
        <w:t>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eastAsia="zh-CN"/>
        </w:rPr>
        <w:t>重大行政决策出台前应当按照规定向市委请示报告。</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黑体" w:hAnsi="黑体" w:eastAsia="黑体" w:cs="黑体"/>
          <w:snapToGrid w:val="0"/>
          <w:color w:val="000000"/>
          <w:kern w:val="0"/>
          <w:sz w:val="32"/>
          <w:szCs w:val="21"/>
          <w:lang w:eastAsia="en-US"/>
        </w:rPr>
        <w:t>第三十</w:t>
      </w:r>
      <w:r>
        <w:rPr>
          <w:rFonts w:hint="eastAsia" w:ascii="黑体" w:hAnsi="黑体" w:eastAsia="黑体" w:cs="黑体"/>
          <w:snapToGrid w:val="0"/>
          <w:color w:val="000000"/>
          <w:kern w:val="0"/>
          <w:sz w:val="32"/>
          <w:szCs w:val="21"/>
          <w:lang w:eastAsia="zh-CN"/>
        </w:rPr>
        <w:t>五</w:t>
      </w:r>
      <w:r>
        <w:rPr>
          <w:rFonts w:hint="eastAsia" w:ascii="黑体" w:hAnsi="黑体" w:eastAsia="黑体" w:cs="黑体"/>
          <w:snapToGrid w:val="0"/>
          <w:color w:val="000000"/>
          <w:kern w:val="0"/>
          <w:sz w:val="32"/>
          <w:szCs w:val="21"/>
          <w:lang w:eastAsia="en-US"/>
        </w:rPr>
        <w:t>条</w:t>
      </w:r>
      <w:r>
        <w:rPr>
          <w:rFonts w:hint="eastAsia" w:ascii="黑体" w:hAnsi="黑体" w:eastAsia="黑体" w:cs="黑体"/>
          <w:snapToGrid w:val="0"/>
          <w:color w:val="000000"/>
          <w:kern w:val="0"/>
          <w:sz w:val="32"/>
          <w:szCs w:val="21"/>
          <w:lang w:val="en-US" w:eastAsia="zh-CN"/>
        </w:rPr>
        <w:t xml:space="preserve"> </w:t>
      </w:r>
      <w:r>
        <w:rPr>
          <w:rFonts w:ascii="Arial" w:hAnsi="Arial" w:eastAsia="仿宋" w:cs="Arial"/>
          <w:snapToGrid w:val="0"/>
          <w:color w:val="000000"/>
          <w:kern w:val="0"/>
          <w:sz w:val="32"/>
          <w:szCs w:val="21"/>
          <w:lang w:eastAsia="en-US"/>
        </w:rPr>
        <w:t xml:space="preserve">  </w:t>
      </w:r>
      <w:r>
        <w:rPr>
          <w:rFonts w:hint="eastAsia" w:ascii="仿宋_GB2312" w:hAnsi="仿宋_GB2312" w:eastAsia="仿宋_GB2312" w:cs="仿宋_GB2312"/>
          <w:snapToGrid w:val="0"/>
          <w:color w:val="000000"/>
          <w:kern w:val="0"/>
          <w:sz w:val="32"/>
          <w:szCs w:val="21"/>
          <w:lang w:eastAsia="zh-CN"/>
        </w:rPr>
        <w:t>市政府应当通过政府网站以及在本行政区域内发行的报纸等途径及时公布重大行政决策。对社会公众普遍关心或者专业性、技术性较强的重大行政决策，应当说明公众意见、专家论证意见的采纳情况，通过新闻发布会、接受访谈等方式进行宣传解读。依法不予公开的除外。</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ascii="Arial" w:hAnsi="Arial" w:eastAsia="仿宋" w:cs="Arial"/>
          <w:snapToGrid w:val="0"/>
          <w:color w:val="000000"/>
          <w:kern w:val="0"/>
          <w:sz w:val="32"/>
          <w:szCs w:val="21"/>
          <w:lang w:eastAsia="en-US"/>
        </w:rPr>
      </w:pPr>
      <w:r>
        <w:rPr>
          <w:rFonts w:hint="eastAsia" w:ascii="黑体" w:hAnsi="黑体" w:eastAsia="黑体" w:cs="黑体"/>
          <w:snapToGrid w:val="0"/>
          <w:color w:val="000000"/>
          <w:kern w:val="0"/>
          <w:sz w:val="32"/>
          <w:szCs w:val="21"/>
          <w:lang w:eastAsia="en-US"/>
        </w:rPr>
        <w:t>第三十</w:t>
      </w:r>
      <w:r>
        <w:rPr>
          <w:rFonts w:hint="eastAsia" w:ascii="黑体" w:hAnsi="黑体" w:eastAsia="黑体" w:cs="黑体"/>
          <w:snapToGrid w:val="0"/>
          <w:color w:val="000000"/>
          <w:kern w:val="0"/>
          <w:sz w:val="32"/>
          <w:szCs w:val="21"/>
          <w:lang w:eastAsia="zh-CN"/>
        </w:rPr>
        <w:t>六</w:t>
      </w:r>
      <w:r>
        <w:rPr>
          <w:rFonts w:hint="eastAsia" w:ascii="黑体" w:hAnsi="黑体" w:eastAsia="黑体" w:cs="黑体"/>
          <w:snapToGrid w:val="0"/>
          <w:color w:val="000000"/>
          <w:kern w:val="0"/>
          <w:sz w:val="32"/>
          <w:szCs w:val="21"/>
          <w:lang w:eastAsia="en-US"/>
        </w:rPr>
        <w:t>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ascii="Arial" w:hAnsi="Arial" w:eastAsia="仿宋" w:cs="Arial"/>
          <w:snapToGrid w:val="0"/>
          <w:color w:val="000000"/>
          <w:kern w:val="0"/>
          <w:sz w:val="32"/>
          <w:szCs w:val="21"/>
          <w:lang w:eastAsia="en-US"/>
        </w:rPr>
        <w:t xml:space="preserve"> </w:t>
      </w:r>
      <w:r>
        <w:rPr>
          <w:rFonts w:hint="eastAsia" w:ascii="仿宋_GB2312" w:hAnsi="仿宋_GB2312" w:eastAsia="仿宋_GB2312" w:cs="仿宋_GB2312"/>
          <w:snapToGrid w:val="0"/>
          <w:color w:val="000000"/>
          <w:kern w:val="0"/>
          <w:sz w:val="32"/>
          <w:szCs w:val="21"/>
          <w:lang w:eastAsia="zh-CN"/>
        </w:rPr>
        <w:t>决策承办单位应当加强决策事项目录化、案卷化管理，推行重大行政决策事项年度目录公开制度，建立健全决策过程记录和材料归档制度，将履行决策程序形成的记录、材料及时完整归档。</w:t>
      </w:r>
    </w:p>
    <w:p>
      <w:pPr>
        <w:keepNext/>
        <w:keepLines/>
        <w:pageBreakBefore w:val="0"/>
        <w:widowControl/>
        <w:suppressLineNumbers w:val="0"/>
        <w:kinsoku/>
        <w:wordWrap/>
        <w:overflowPunct w:val="0"/>
        <w:topLinePunct/>
        <w:autoSpaceDE/>
        <w:autoSpaceDN/>
        <w:bidi w:val="0"/>
        <w:adjustRightInd/>
        <w:snapToGrid/>
        <w:spacing w:beforeAutospacing="0" w:afterAutospacing="0" w:line="600" w:lineRule="exact"/>
        <w:ind w:left="0" w:right="0" w:firstLine="0" w:firstLineChars="0"/>
        <w:jc w:val="center"/>
        <w:textAlignment w:val="auto"/>
        <w:outlineLvl w:val="1"/>
        <w:rPr>
          <w:rFonts w:hint="eastAsia" w:ascii="方正黑体_GBK" w:hAnsi="Times New Roman" w:eastAsia="方正黑体_GBK" w:cs="Times New Roman"/>
          <w:b w:val="0"/>
          <w:bCs/>
          <w:snapToGrid/>
          <w:color w:val="000000"/>
          <w:kern w:val="2"/>
          <w:sz w:val="32"/>
          <w:szCs w:val="32"/>
          <w:lang w:val="en-US" w:eastAsia="zh-CN" w:bidi="ar"/>
        </w:rPr>
      </w:pPr>
      <w:r>
        <w:rPr>
          <w:rFonts w:hint="eastAsia" w:ascii="黑体" w:hAnsi="黑体" w:eastAsia="黑体" w:cs="黑体"/>
          <w:b w:val="0"/>
          <w:bCs/>
          <w:snapToGrid/>
          <w:color w:val="000000"/>
          <w:kern w:val="2"/>
          <w:sz w:val="32"/>
          <w:szCs w:val="32"/>
          <w:lang w:val="en-US" w:eastAsia="zh-CN" w:bidi="ar"/>
        </w:rPr>
        <w:t>第四章  决策执行和调整</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黑体" w:hAnsi="黑体" w:eastAsia="黑体" w:cs="黑体"/>
          <w:snapToGrid w:val="0"/>
          <w:color w:val="000000"/>
          <w:kern w:val="0"/>
          <w:sz w:val="32"/>
          <w:szCs w:val="21"/>
          <w:lang w:eastAsia="en-US"/>
        </w:rPr>
        <w:t>第三十</w:t>
      </w:r>
      <w:r>
        <w:rPr>
          <w:rFonts w:hint="eastAsia" w:ascii="黑体" w:hAnsi="黑体" w:eastAsia="黑体" w:cs="黑体"/>
          <w:snapToGrid w:val="0"/>
          <w:color w:val="000000"/>
          <w:kern w:val="0"/>
          <w:sz w:val="32"/>
          <w:szCs w:val="21"/>
          <w:lang w:eastAsia="zh-CN"/>
        </w:rPr>
        <w:t>七</w:t>
      </w:r>
      <w:r>
        <w:rPr>
          <w:rFonts w:hint="eastAsia" w:ascii="黑体" w:hAnsi="黑体" w:eastAsia="黑体" w:cs="黑体"/>
          <w:snapToGrid w:val="0"/>
          <w:color w:val="000000"/>
          <w:kern w:val="0"/>
          <w:sz w:val="32"/>
          <w:szCs w:val="21"/>
          <w:lang w:eastAsia="en-US"/>
        </w:rPr>
        <w:t>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eastAsia="zh-CN"/>
        </w:rPr>
        <w:t>市政府应当明确负责重大行政决策执行工作的单位（以下简称决策执行单位），并对决策执行情况进行督促检查。决策执行单位应当依法全面、及时、正确执行重大行政决策，并向市政府报告决策执行情况。</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黑体" w:hAnsi="黑体" w:eastAsia="黑体" w:cs="黑体"/>
          <w:snapToGrid w:val="0"/>
          <w:color w:val="000000"/>
          <w:kern w:val="0"/>
          <w:sz w:val="32"/>
          <w:szCs w:val="21"/>
          <w:lang w:eastAsia="en-US"/>
        </w:rPr>
        <w:t>第三</w:t>
      </w:r>
      <w:r>
        <w:rPr>
          <w:rFonts w:hint="eastAsia" w:ascii="黑体" w:hAnsi="黑体" w:eastAsia="黑体" w:cs="黑体"/>
          <w:snapToGrid w:val="0"/>
          <w:color w:val="000000"/>
          <w:kern w:val="0"/>
          <w:sz w:val="32"/>
          <w:szCs w:val="21"/>
          <w:lang w:eastAsia="zh-CN"/>
        </w:rPr>
        <w:t>十八</w:t>
      </w:r>
      <w:r>
        <w:rPr>
          <w:rFonts w:hint="eastAsia" w:ascii="黑体" w:hAnsi="黑体" w:eastAsia="黑体" w:cs="黑体"/>
          <w:snapToGrid w:val="0"/>
          <w:color w:val="000000"/>
          <w:kern w:val="0"/>
          <w:sz w:val="32"/>
          <w:szCs w:val="21"/>
          <w:lang w:eastAsia="en-US"/>
        </w:rPr>
        <w:t>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ascii="Arial" w:hAnsi="Arial" w:eastAsia="仿宋" w:cs="Arial"/>
          <w:snapToGrid w:val="0"/>
          <w:color w:val="000000"/>
          <w:kern w:val="0"/>
          <w:sz w:val="32"/>
          <w:szCs w:val="21"/>
          <w:lang w:eastAsia="en-US"/>
        </w:rPr>
        <w:t xml:space="preserve"> </w:t>
      </w:r>
      <w:r>
        <w:rPr>
          <w:rFonts w:hint="eastAsia" w:ascii="仿宋_GB2312" w:hAnsi="仿宋_GB2312" w:eastAsia="仿宋_GB2312" w:cs="仿宋_GB2312"/>
          <w:snapToGrid w:val="0"/>
          <w:color w:val="000000"/>
          <w:kern w:val="0"/>
          <w:sz w:val="32"/>
          <w:szCs w:val="21"/>
          <w:lang w:eastAsia="zh-CN"/>
        </w:rPr>
        <w:t>决策执行单位发现重大行政决策存在问题、客观情况发生重大变化，或者决策执行中发生不可抗力等严重影响决策目标实现的，应当及时向市政府报告。</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仿宋_GB2312" w:hAnsi="仿宋_GB2312" w:eastAsia="仿宋_GB2312" w:cs="仿宋_GB2312"/>
          <w:snapToGrid w:val="0"/>
          <w:color w:val="000000"/>
          <w:kern w:val="0"/>
          <w:sz w:val="32"/>
          <w:szCs w:val="21"/>
          <w:lang w:eastAsia="zh-CN"/>
        </w:rPr>
        <w:t>公民、法人或者其他组织认为重大行政决策及其实施存在问题的，可以通过信件、电话、电子邮件等方式向市政府或者决策执行单位提出意见建议。</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黑体" w:hAnsi="黑体" w:eastAsia="黑体" w:cs="黑体"/>
          <w:snapToGrid w:val="0"/>
          <w:color w:val="000000"/>
          <w:kern w:val="0"/>
          <w:sz w:val="32"/>
          <w:szCs w:val="21"/>
          <w:lang w:eastAsia="en-US"/>
        </w:rPr>
        <w:t>第</w:t>
      </w:r>
      <w:r>
        <w:rPr>
          <w:rFonts w:hint="eastAsia" w:ascii="黑体" w:hAnsi="黑体" w:eastAsia="黑体" w:cs="黑体"/>
          <w:snapToGrid w:val="0"/>
          <w:color w:val="000000"/>
          <w:kern w:val="0"/>
          <w:sz w:val="32"/>
          <w:szCs w:val="21"/>
          <w:lang w:eastAsia="zh-CN"/>
        </w:rPr>
        <w:t>三十九</w:t>
      </w:r>
      <w:r>
        <w:rPr>
          <w:rFonts w:hint="eastAsia" w:ascii="黑体" w:hAnsi="黑体" w:eastAsia="黑体" w:cs="黑体"/>
          <w:snapToGrid w:val="0"/>
          <w:color w:val="000000"/>
          <w:kern w:val="0"/>
          <w:sz w:val="32"/>
          <w:szCs w:val="21"/>
          <w:lang w:eastAsia="en-US"/>
        </w:rPr>
        <w:t>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eastAsia="zh-CN"/>
        </w:rPr>
        <w:t>重大行政决策有下列情形之一的，决策执行单位应当进行决策后评估：</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仿宋_GB2312" w:hAnsi="仿宋_GB2312" w:eastAsia="仿宋_GB2312" w:cs="仿宋_GB2312"/>
          <w:snapToGrid w:val="0"/>
          <w:color w:val="000000"/>
          <w:kern w:val="0"/>
          <w:sz w:val="32"/>
          <w:szCs w:val="21"/>
          <w:lang w:eastAsia="zh-CN"/>
        </w:rPr>
        <w:t>（一）重大行政决策实施后明显未达到预期效果；</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仿宋_GB2312" w:hAnsi="仿宋_GB2312" w:eastAsia="仿宋_GB2312" w:cs="仿宋_GB2312"/>
          <w:snapToGrid w:val="0"/>
          <w:color w:val="000000"/>
          <w:kern w:val="0"/>
          <w:sz w:val="32"/>
          <w:szCs w:val="21"/>
          <w:lang w:eastAsia="zh-CN"/>
        </w:rPr>
        <w:t>（二）公民、法人或者其他组织提出较多意见；</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仿宋_GB2312" w:hAnsi="仿宋_GB2312" w:eastAsia="仿宋_GB2312" w:cs="仿宋_GB2312"/>
          <w:snapToGrid w:val="0"/>
          <w:color w:val="000000"/>
          <w:kern w:val="0"/>
          <w:sz w:val="32"/>
          <w:szCs w:val="21"/>
          <w:lang w:eastAsia="zh-CN"/>
        </w:rPr>
        <w:t>（三）决策机关认为有必要。</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黑体" w:hAnsi="黑体" w:eastAsia="黑体" w:cs="黑体"/>
          <w:snapToGrid w:val="0"/>
          <w:color w:val="000000"/>
          <w:kern w:val="0"/>
          <w:sz w:val="32"/>
          <w:szCs w:val="21"/>
          <w:lang w:eastAsia="zh-CN"/>
        </w:rPr>
        <w:t>第</w:t>
      </w:r>
      <w:r>
        <w:rPr>
          <w:rFonts w:hint="eastAsia" w:ascii="黑体" w:hAnsi="黑体" w:eastAsia="黑体" w:cs="黑体"/>
          <w:snapToGrid w:val="0"/>
          <w:color w:val="000000"/>
          <w:kern w:val="0"/>
          <w:sz w:val="32"/>
          <w:szCs w:val="21"/>
          <w:lang w:val="en-US" w:eastAsia="zh-CN"/>
        </w:rPr>
        <w:t>四十条</w:t>
      </w:r>
      <w:r>
        <w:rPr>
          <w:rFonts w:hint="eastAsia" w:ascii="仿宋_GB2312" w:hAnsi="仿宋_GB2312" w:eastAsia="仿宋_GB2312" w:cs="仿宋_GB2312"/>
          <w:snapToGrid w:val="0"/>
          <w:color w:val="000000"/>
          <w:kern w:val="0"/>
          <w:sz w:val="32"/>
          <w:szCs w:val="21"/>
          <w:u w:val="none"/>
          <w:lang w:val="en-US" w:eastAsia="zh-CN"/>
        </w:rPr>
        <w:t xml:space="preserve"> </w:t>
      </w:r>
      <w:r>
        <w:rPr>
          <w:rFonts w:hint="eastAsia" w:ascii="仿宋_GB2312" w:hAnsi="仿宋_GB2312" w:eastAsia="仿宋_GB2312" w:cs="仿宋_GB2312"/>
          <w:snapToGrid w:val="0"/>
          <w:color w:val="000000"/>
          <w:kern w:val="0"/>
          <w:sz w:val="32"/>
          <w:szCs w:val="21"/>
          <w:lang w:eastAsia="zh-CN"/>
        </w:rPr>
        <w:t>重大行政决策后评估应围绕以下内容开展：</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仿宋_GB2312" w:hAnsi="仿宋_GB2312" w:eastAsia="仿宋_GB2312" w:cs="仿宋_GB2312"/>
          <w:snapToGrid w:val="0"/>
          <w:color w:val="000000"/>
          <w:kern w:val="0"/>
          <w:sz w:val="32"/>
          <w:szCs w:val="21"/>
          <w:lang w:eastAsia="zh-CN"/>
        </w:rPr>
        <w:t>（一）决策的实施结果与决策制定目的的符合程度；</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仿宋_GB2312" w:hAnsi="仿宋_GB2312" w:eastAsia="仿宋_GB2312" w:cs="仿宋_GB2312"/>
          <w:snapToGrid w:val="0"/>
          <w:color w:val="000000"/>
          <w:kern w:val="0"/>
          <w:sz w:val="32"/>
          <w:szCs w:val="21"/>
          <w:lang w:eastAsia="zh-CN"/>
        </w:rPr>
        <w:t>（二）决策实施的成本、效益分析；</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仿宋_GB2312" w:hAnsi="仿宋_GB2312" w:eastAsia="仿宋_GB2312" w:cs="仿宋_GB2312"/>
          <w:snapToGrid w:val="0"/>
          <w:color w:val="000000"/>
          <w:kern w:val="0"/>
          <w:sz w:val="32"/>
          <w:szCs w:val="21"/>
          <w:lang w:eastAsia="zh-CN"/>
        </w:rPr>
        <w:t>（三）决策带来的负面影响；</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仿宋_GB2312" w:hAnsi="仿宋_GB2312" w:eastAsia="仿宋_GB2312" w:cs="仿宋_GB2312"/>
          <w:snapToGrid w:val="0"/>
          <w:color w:val="000000"/>
          <w:kern w:val="0"/>
          <w:sz w:val="32"/>
          <w:szCs w:val="21"/>
          <w:lang w:eastAsia="zh-CN"/>
        </w:rPr>
        <w:t>（四）决策实施在群众中的接受程度；</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仿宋_GB2312" w:hAnsi="仿宋_GB2312" w:eastAsia="仿宋_GB2312" w:cs="仿宋_GB2312"/>
          <w:snapToGrid w:val="0"/>
          <w:color w:val="000000"/>
          <w:kern w:val="0"/>
          <w:sz w:val="32"/>
          <w:szCs w:val="21"/>
          <w:lang w:eastAsia="zh-CN"/>
        </w:rPr>
        <w:t>（五）决策实施带来的近期效益和长远影响；</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仿宋_GB2312" w:hAnsi="仿宋_GB2312" w:eastAsia="仿宋_GB2312" w:cs="仿宋_GB2312"/>
          <w:snapToGrid w:val="0"/>
          <w:color w:val="000000"/>
          <w:kern w:val="0"/>
          <w:sz w:val="32"/>
          <w:szCs w:val="21"/>
          <w:lang w:eastAsia="zh-CN"/>
        </w:rPr>
        <w:t>（六）主要经验、教训、措施和建议等。</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仿宋_GB2312" w:hAnsi="仿宋_GB2312" w:eastAsia="仿宋_GB2312" w:cs="仿宋_GB2312"/>
          <w:snapToGrid w:val="0"/>
          <w:color w:val="000000"/>
          <w:kern w:val="0"/>
          <w:sz w:val="32"/>
          <w:szCs w:val="21"/>
          <w:lang w:eastAsia="zh-CN"/>
        </w:rPr>
        <w:t>开展决策后评估，可以委托专业机构、社会组织等第三方进行，决策作出前承担主要论证评估工作的单位除外。</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仿宋_GB2312" w:hAnsi="仿宋_GB2312" w:eastAsia="仿宋_GB2312" w:cs="仿宋_GB2312"/>
          <w:snapToGrid w:val="0"/>
          <w:color w:val="000000"/>
          <w:kern w:val="0"/>
          <w:sz w:val="32"/>
          <w:szCs w:val="21"/>
          <w:lang w:eastAsia="zh-CN"/>
        </w:rPr>
        <w:t>开展决策后评估，应当注重听取社会公众的意见，吸收人大代表、政协委员、人民团体、基层组织、社会组织参与评估。</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仿宋_GB2312" w:hAnsi="仿宋_GB2312" w:eastAsia="仿宋_GB2312" w:cs="仿宋_GB2312"/>
          <w:snapToGrid w:val="0"/>
          <w:color w:val="000000"/>
          <w:kern w:val="0"/>
          <w:sz w:val="32"/>
          <w:szCs w:val="21"/>
          <w:lang w:eastAsia="zh-CN"/>
        </w:rPr>
        <w:t>组织完成评估后，应当形成评估报告，报告应包括决策评估的相关信息、对决策作出调整的建议及理由，并作为延续、调整、暂缓、停止执行重大行政决策、完善配套制度和改进行政管理工作的重要依据。</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仿宋_GB2312" w:hAnsi="仿宋_GB2312" w:eastAsia="仿宋_GB2312" w:cs="仿宋_GB2312"/>
          <w:snapToGrid w:val="0"/>
          <w:color w:val="000000"/>
          <w:kern w:val="0"/>
          <w:sz w:val="32"/>
          <w:szCs w:val="21"/>
          <w:lang w:val="en-US" w:eastAsia="zh-CN"/>
        </w:rPr>
        <w:t>市</w:t>
      </w:r>
      <w:r>
        <w:rPr>
          <w:rFonts w:hint="eastAsia" w:ascii="仿宋_GB2312" w:hAnsi="仿宋_GB2312" w:eastAsia="仿宋_GB2312" w:cs="仿宋_GB2312"/>
          <w:snapToGrid w:val="0"/>
          <w:color w:val="000000"/>
          <w:kern w:val="0"/>
          <w:sz w:val="32"/>
          <w:szCs w:val="21"/>
          <w:lang w:val="en-US" w:eastAsia="en-US"/>
        </w:rPr>
        <w:t>政府对重大行政决策后评估报告审核后，形成对决策继续实施、调整或废止的最终决定。</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黑体" w:hAnsi="黑体" w:eastAsia="黑体" w:cs="黑体"/>
          <w:snapToGrid w:val="0"/>
          <w:color w:val="000000"/>
          <w:kern w:val="0"/>
          <w:sz w:val="32"/>
          <w:szCs w:val="21"/>
          <w:lang w:eastAsia="en-US"/>
        </w:rPr>
        <w:t>第</w:t>
      </w:r>
      <w:r>
        <w:rPr>
          <w:rFonts w:hint="eastAsia" w:ascii="黑体" w:hAnsi="黑体" w:eastAsia="黑体" w:cs="黑体"/>
          <w:snapToGrid w:val="0"/>
          <w:color w:val="000000"/>
          <w:kern w:val="0"/>
          <w:sz w:val="32"/>
          <w:szCs w:val="21"/>
          <w:lang w:eastAsia="zh-CN"/>
        </w:rPr>
        <w:t>四十一</w:t>
      </w:r>
      <w:r>
        <w:rPr>
          <w:rFonts w:hint="eastAsia" w:ascii="黑体" w:hAnsi="黑体" w:eastAsia="黑体" w:cs="黑体"/>
          <w:snapToGrid w:val="0"/>
          <w:color w:val="000000"/>
          <w:kern w:val="0"/>
          <w:sz w:val="32"/>
          <w:szCs w:val="21"/>
          <w:lang w:eastAsia="en-US"/>
        </w:rPr>
        <w:t>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ascii="Arial" w:hAnsi="Arial" w:eastAsia="仿宋" w:cs="Arial"/>
          <w:snapToGrid w:val="0"/>
          <w:color w:val="000000"/>
          <w:kern w:val="0"/>
          <w:sz w:val="32"/>
          <w:szCs w:val="21"/>
          <w:lang w:eastAsia="en-US"/>
        </w:rPr>
        <w:t xml:space="preserve"> </w:t>
      </w:r>
      <w:r>
        <w:rPr>
          <w:rFonts w:hint="eastAsia" w:ascii="仿宋_GB2312" w:hAnsi="仿宋_GB2312" w:eastAsia="仿宋_GB2312" w:cs="仿宋_GB2312"/>
          <w:snapToGrid w:val="0"/>
          <w:color w:val="000000"/>
          <w:kern w:val="0"/>
          <w:sz w:val="32"/>
          <w:szCs w:val="21"/>
          <w:lang w:eastAsia="zh-CN"/>
        </w:rPr>
        <w:t>依法作出的重大行政决策，未经法定程序不得随意变更或者停止执行。执行中出现</w:t>
      </w:r>
      <w:r>
        <w:rPr>
          <w:rFonts w:hint="eastAsia" w:ascii="仿宋_GB2312" w:hAnsi="仿宋_GB2312" w:eastAsia="仿宋_GB2312" w:cs="仿宋_GB2312"/>
          <w:snapToGrid w:val="0"/>
          <w:color w:val="000000"/>
          <w:kern w:val="0"/>
          <w:sz w:val="32"/>
          <w:szCs w:val="21"/>
          <w:highlight w:val="none"/>
          <w:lang w:eastAsia="zh-CN"/>
        </w:rPr>
        <w:t>第三十八条</w:t>
      </w:r>
      <w:r>
        <w:rPr>
          <w:rFonts w:hint="eastAsia" w:ascii="仿宋_GB2312" w:hAnsi="仿宋_GB2312" w:eastAsia="仿宋_GB2312" w:cs="仿宋_GB2312"/>
          <w:snapToGrid w:val="0"/>
          <w:color w:val="000000"/>
          <w:kern w:val="0"/>
          <w:sz w:val="32"/>
          <w:szCs w:val="21"/>
          <w:lang w:eastAsia="zh-CN"/>
        </w:rPr>
        <w:t>规定的情形、情况紧急的，市长可以先决定中止执行。</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仿宋_GB2312" w:hAnsi="仿宋_GB2312" w:eastAsia="仿宋_GB2312" w:cs="仿宋_GB2312"/>
          <w:snapToGrid w:val="0"/>
          <w:color w:val="000000"/>
          <w:kern w:val="0"/>
          <w:sz w:val="32"/>
          <w:szCs w:val="21"/>
          <w:lang w:eastAsia="zh-CN"/>
        </w:rPr>
        <w:t>按前款规定中止执行后需要作出重大调整的和按</w:t>
      </w:r>
      <w:r>
        <w:rPr>
          <w:rFonts w:hint="eastAsia" w:ascii="仿宋_GB2312" w:hAnsi="仿宋_GB2312" w:eastAsia="仿宋_GB2312" w:cs="仿宋_GB2312"/>
          <w:snapToGrid w:val="0"/>
          <w:color w:val="auto"/>
          <w:kern w:val="0"/>
          <w:sz w:val="32"/>
          <w:szCs w:val="21"/>
          <w:highlight w:val="none"/>
          <w:lang w:eastAsia="zh-CN"/>
        </w:rPr>
        <w:t>第三十九</w:t>
      </w:r>
      <w:r>
        <w:rPr>
          <w:rFonts w:hint="eastAsia" w:ascii="仿宋_GB2312" w:hAnsi="仿宋_GB2312" w:eastAsia="仿宋_GB2312" w:cs="仿宋_GB2312"/>
          <w:snapToGrid w:val="0"/>
          <w:color w:val="000000"/>
          <w:kern w:val="0"/>
          <w:sz w:val="32"/>
          <w:szCs w:val="21"/>
          <w:lang w:eastAsia="zh-CN"/>
        </w:rPr>
        <w:t>条规定评估后需要作出重大调整的，应当按本办法第二章的规定履行相关程序。</w:t>
      </w:r>
    </w:p>
    <w:p>
      <w:pPr>
        <w:pageBreakBefore w:val="0"/>
        <w:widowControl/>
        <w:numPr>
          <w:ilvl w:val="0"/>
          <w:numId w:val="0"/>
        </w:numPr>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zh-CN"/>
        </w:rPr>
      </w:pPr>
      <w:r>
        <w:rPr>
          <w:rFonts w:hint="eastAsia" w:ascii="仿宋_GB2312" w:hAnsi="仿宋_GB2312" w:eastAsia="仿宋_GB2312" w:cs="仿宋_GB2312"/>
          <w:snapToGrid w:val="0"/>
          <w:color w:val="000000"/>
          <w:kern w:val="0"/>
          <w:sz w:val="32"/>
          <w:szCs w:val="21"/>
          <w:lang w:eastAsia="zh-CN"/>
        </w:rPr>
        <w:t>作出中止执行、停止执行、暂缓执行、调整重大行政决策决定的，决策执行单位应当采取有效措施，避免或者减少损失。</w:t>
      </w:r>
    </w:p>
    <w:p>
      <w:pPr>
        <w:keepNext/>
        <w:keepLines/>
        <w:pageBreakBefore w:val="0"/>
        <w:widowControl/>
        <w:suppressLineNumbers w:val="0"/>
        <w:kinsoku/>
        <w:wordWrap/>
        <w:overflowPunct w:val="0"/>
        <w:topLinePunct/>
        <w:autoSpaceDE/>
        <w:autoSpaceDN/>
        <w:bidi w:val="0"/>
        <w:adjustRightInd/>
        <w:snapToGrid/>
        <w:spacing w:beforeAutospacing="0" w:afterAutospacing="0" w:line="600" w:lineRule="exact"/>
        <w:ind w:left="0" w:right="0" w:firstLine="0" w:firstLineChars="0"/>
        <w:jc w:val="center"/>
        <w:textAlignment w:val="auto"/>
        <w:outlineLvl w:val="1"/>
        <w:rPr>
          <w:rFonts w:hint="eastAsia" w:ascii="黑体" w:hAnsi="黑体" w:eastAsia="黑体" w:cs="黑体"/>
          <w:b w:val="0"/>
          <w:bCs/>
          <w:snapToGrid/>
          <w:color w:val="000000"/>
          <w:kern w:val="2"/>
          <w:sz w:val="32"/>
          <w:szCs w:val="32"/>
          <w:lang w:val="en-US" w:eastAsia="zh-CN" w:bidi="ar"/>
        </w:rPr>
      </w:pPr>
      <w:r>
        <w:rPr>
          <w:rFonts w:hint="eastAsia" w:ascii="黑体" w:hAnsi="黑体" w:eastAsia="黑体" w:cs="黑体"/>
          <w:b w:val="0"/>
          <w:bCs/>
          <w:snapToGrid/>
          <w:color w:val="000000"/>
          <w:kern w:val="2"/>
          <w:sz w:val="32"/>
          <w:szCs w:val="32"/>
          <w:lang w:val="en-US" w:eastAsia="zh-CN" w:bidi="ar"/>
        </w:rPr>
        <w:t>第五章  法律责任</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黑体" w:hAnsi="黑体" w:eastAsia="黑体" w:cs="黑体"/>
          <w:snapToGrid w:val="0"/>
          <w:color w:val="000000"/>
          <w:kern w:val="0"/>
          <w:sz w:val="32"/>
          <w:szCs w:val="21"/>
          <w:lang w:eastAsia="en-US"/>
        </w:rPr>
        <w:t>第</w:t>
      </w:r>
      <w:r>
        <w:rPr>
          <w:rFonts w:hint="eastAsia" w:ascii="黑体" w:hAnsi="黑体" w:eastAsia="黑体" w:cs="黑体"/>
          <w:snapToGrid w:val="0"/>
          <w:color w:val="000000"/>
          <w:kern w:val="0"/>
          <w:sz w:val="32"/>
          <w:szCs w:val="21"/>
          <w:lang w:eastAsia="zh-CN"/>
        </w:rPr>
        <w:t>四十二</w:t>
      </w:r>
      <w:r>
        <w:rPr>
          <w:rFonts w:hint="eastAsia" w:ascii="黑体" w:hAnsi="黑体" w:eastAsia="黑体" w:cs="黑体"/>
          <w:snapToGrid w:val="0"/>
          <w:color w:val="000000"/>
          <w:kern w:val="0"/>
          <w:sz w:val="32"/>
          <w:szCs w:val="21"/>
          <w:lang w:eastAsia="en-US"/>
        </w:rPr>
        <w:t>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eastAsia="en-US"/>
        </w:rPr>
        <w:t>对违反本规定，导致决策严重失误或者依法应该及时作出决策但久拖不决造成重大损失、恶劣影响的，实行终身责任追究，对负有责任的领导人员和直接责任人员依法追究责任。</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ascii="Arial" w:hAnsi="Arial" w:eastAsia="仿宋" w:cs="Arial"/>
          <w:snapToGrid w:val="0"/>
          <w:color w:val="000000"/>
          <w:kern w:val="0"/>
          <w:sz w:val="32"/>
          <w:szCs w:val="21"/>
          <w:lang w:eastAsia="en-US"/>
        </w:rPr>
      </w:pPr>
      <w:r>
        <w:rPr>
          <w:rFonts w:hint="eastAsia" w:ascii="仿宋_GB2312" w:hAnsi="仿宋_GB2312" w:eastAsia="仿宋_GB2312" w:cs="仿宋_GB2312"/>
          <w:snapToGrid w:val="0"/>
          <w:color w:val="000000"/>
          <w:kern w:val="0"/>
          <w:sz w:val="32"/>
          <w:szCs w:val="21"/>
          <w:lang w:eastAsia="zh-CN"/>
        </w:rPr>
        <w:t>市</w:t>
      </w:r>
      <w:r>
        <w:rPr>
          <w:rFonts w:hint="eastAsia" w:ascii="仿宋_GB2312" w:hAnsi="仿宋_GB2312" w:eastAsia="仿宋_GB2312" w:cs="仿宋_GB2312"/>
          <w:snapToGrid w:val="0"/>
          <w:color w:val="000000"/>
          <w:kern w:val="0"/>
          <w:sz w:val="32"/>
          <w:szCs w:val="21"/>
          <w:lang w:eastAsia="en-US"/>
        </w:rPr>
        <w:t>政府集体讨论决策草案时，有关人员对严重失误的决策表示不同意见的，按照规定减免责任。</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黑体" w:hAnsi="黑体" w:eastAsia="黑体" w:cs="黑体"/>
          <w:snapToGrid w:val="0"/>
          <w:color w:val="000000"/>
          <w:kern w:val="0"/>
          <w:sz w:val="32"/>
          <w:szCs w:val="21"/>
          <w:lang w:eastAsia="en-US"/>
        </w:rPr>
        <w:t>第</w:t>
      </w:r>
      <w:r>
        <w:rPr>
          <w:rFonts w:hint="eastAsia" w:ascii="黑体" w:hAnsi="黑体" w:eastAsia="黑体" w:cs="黑体"/>
          <w:snapToGrid w:val="0"/>
          <w:color w:val="000000"/>
          <w:kern w:val="0"/>
          <w:sz w:val="32"/>
          <w:szCs w:val="21"/>
          <w:lang w:eastAsia="zh-CN"/>
        </w:rPr>
        <w:t>四十三</w:t>
      </w:r>
      <w:r>
        <w:rPr>
          <w:rFonts w:hint="eastAsia" w:ascii="黑体" w:hAnsi="黑体" w:eastAsia="黑体" w:cs="黑体"/>
          <w:snapToGrid w:val="0"/>
          <w:color w:val="000000"/>
          <w:kern w:val="0"/>
          <w:sz w:val="32"/>
          <w:szCs w:val="21"/>
          <w:lang w:eastAsia="en-US"/>
        </w:rPr>
        <w:t>条</w:t>
      </w:r>
      <w:r>
        <w:rPr>
          <w:rFonts w:hint="eastAsia" w:ascii="黑体" w:hAnsi="黑体" w:eastAsia="黑体" w:cs="黑体"/>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eastAsia="en-US"/>
        </w:rPr>
        <w:t>决策承办单位或者承担决策有关工作的单位未按照本规定履行决策程序或者履行决策程序时失职渎职、弄虚作假的，由</w:t>
      </w:r>
      <w:r>
        <w:rPr>
          <w:rFonts w:hint="eastAsia" w:ascii="仿宋_GB2312" w:hAnsi="仿宋_GB2312" w:eastAsia="仿宋_GB2312" w:cs="仿宋_GB2312"/>
          <w:snapToGrid w:val="0"/>
          <w:color w:val="000000"/>
          <w:kern w:val="0"/>
          <w:sz w:val="32"/>
          <w:szCs w:val="21"/>
          <w:lang w:eastAsia="zh-CN"/>
        </w:rPr>
        <w:t>市</w:t>
      </w:r>
      <w:r>
        <w:rPr>
          <w:rFonts w:hint="eastAsia" w:ascii="仿宋_GB2312" w:hAnsi="仿宋_GB2312" w:eastAsia="仿宋_GB2312" w:cs="仿宋_GB2312"/>
          <w:snapToGrid w:val="0"/>
          <w:color w:val="000000"/>
          <w:kern w:val="0"/>
          <w:sz w:val="32"/>
          <w:szCs w:val="21"/>
          <w:lang w:eastAsia="en-US"/>
        </w:rPr>
        <w:t>政府责令改正，对负有责任的领导人员和直接责任人员依法追究责任。</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ascii="Arial" w:hAnsi="Arial" w:eastAsia="仿宋" w:cs="Arial"/>
          <w:snapToGrid w:val="0"/>
          <w:color w:val="000000"/>
          <w:kern w:val="0"/>
          <w:sz w:val="32"/>
          <w:szCs w:val="21"/>
          <w:lang w:eastAsia="en-US"/>
        </w:rPr>
      </w:pPr>
      <w:r>
        <w:rPr>
          <w:rFonts w:hint="eastAsia" w:ascii="黑体" w:hAnsi="黑体" w:eastAsia="黑体" w:cs="黑体"/>
          <w:snapToGrid w:val="0"/>
          <w:color w:val="000000"/>
          <w:kern w:val="0"/>
          <w:sz w:val="32"/>
          <w:szCs w:val="21"/>
          <w:lang w:eastAsia="en-US"/>
        </w:rPr>
        <w:t>第四十</w:t>
      </w:r>
      <w:r>
        <w:rPr>
          <w:rFonts w:hint="eastAsia" w:ascii="黑体" w:hAnsi="黑体" w:eastAsia="黑体" w:cs="黑体"/>
          <w:snapToGrid w:val="0"/>
          <w:color w:val="000000"/>
          <w:kern w:val="0"/>
          <w:sz w:val="32"/>
          <w:szCs w:val="21"/>
          <w:lang w:eastAsia="zh-CN"/>
        </w:rPr>
        <w:t>四</w:t>
      </w:r>
      <w:r>
        <w:rPr>
          <w:rFonts w:hint="eastAsia" w:ascii="黑体" w:hAnsi="黑体" w:eastAsia="黑体" w:cs="黑体"/>
          <w:snapToGrid w:val="0"/>
          <w:color w:val="000000"/>
          <w:kern w:val="0"/>
          <w:sz w:val="32"/>
          <w:szCs w:val="21"/>
          <w:lang w:eastAsia="en-US"/>
        </w:rPr>
        <w:t>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eastAsia="en-US"/>
        </w:rPr>
        <w:t>决策执行单位拒不执行、推诿执行、拖延执行重大行政决策，或者对执行中发现的重大问题瞒报、谎报或者漏报的，由</w:t>
      </w:r>
      <w:r>
        <w:rPr>
          <w:rFonts w:hint="eastAsia" w:ascii="仿宋_GB2312" w:hAnsi="仿宋_GB2312" w:eastAsia="仿宋_GB2312" w:cs="仿宋_GB2312"/>
          <w:snapToGrid w:val="0"/>
          <w:color w:val="000000"/>
          <w:kern w:val="0"/>
          <w:sz w:val="32"/>
          <w:szCs w:val="21"/>
          <w:lang w:eastAsia="zh-CN"/>
        </w:rPr>
        <w:t>市</w:t>
      </w:r>
      <w:r>
        <w:rPr>
          <w:rFonts w:hint="eastAsia" w:ascii="仿宋_GB2312" w:hAnsi="仿宋_GB2312" w:eastAsia="仿宋_GB2312" w:cs="仿宋_GB2312"/>
          <w:snapToGrid w:val="0"/>
          <w:color w:val="000000"/>
          <w:kern w:val="0"/>
          <w:sz w:val="32"/>
          <w:szCs w:val="21"/>
          <w:lang w:eastAsia="en-US"/>
        </w:rPr>
        <w:t>政府责令改正，对负有责任的领导人员和直接责任人员依法追究责任。</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Arial" w:hAnsi="Arial" w:eastAsia="仿宋" w:cs="Arial"/>
          <w:snapToGrid w:val="0"/>
          <w:color w:val="000000"/>
          <w:kern w:val="0"/>
          <w:sz w:val="32"/>
          <w:szCs w:val="21"/>
          <w:lang w:eastAsia="zh-CN"/>
        </w:rPr>
      </w:pPr>
      <w:r>
        <w:rPr>
          <w:rFonts w:hint="eastAsia" w:ascii="黑体" w:hAnsi="黑体" w:eastAsia="黑体" w:cs="黑体"/>
          <w:snapToGrid w:val="0"/>
          <w:color w:val="000000"/>
          <w:kern w:val="0"/>
          <w:sz w:val="32"/>
          <w:szCs w:val="21"/>
          <w:lang w:eastAsia="en-US"/>
        </w:rPr>
        <w:t>第四十</w:t>
      </w:r>
      <w:r>
        <w:rPr>
          <w:rFonts w:hint="eastAsia" w:ascii="黑体" w:hAnsi="黑体" w:eastAsia="黑体" w:cs="黑体"/>
          <w:snapToGrid w:val="0"/>
          <w:color w:val="000000"/>
          <w:kern w:val="0"/>
          <w:sz w:val="32"/>
          <w:szCs w:val="21"/>
          <w:lang w:eastAsia="zh-CN"/>
        </w:rPr>
        <w:t>五</w:t>
      </w:r>
      <w:r>
        <w:rPr>
          <w:rFonts w:hint="eastAsia" w:ascii="黑体" w:hAnsi="黑体" w:eastAsia="黑体" w:cs="黑体"/>
          <w:snapToGrid w:val="0"/>
          <w:color w:val="000000"/>
          <w:kern w:val="0"/>
          <w:sz w:val="32"/>
          <w:szCs w:val="21"/>
          <w:lang w:eastAsia="en-US"/>
        </w:rPr>
        <w:t>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eastAsia="en-US"/>
        </w:rPr>
        <w:t>承担论证评估工作的专家、专业机构、社会组织等违反职业道德和本规定的，依法承担相应责任</w:t>
      </w:r>
      <w:r>
        <w:rPr>
          <w:rFonts w:hint="eastAsia" w:ascii="仿宋_GB2312" w:hAnsi="仿宋_GB2312" w:eastAsia="仿宋_GB2312" w:cs="仿宋_GB2312"/>
          <w:snapToGrid w:val="0"/>
          <w:color w:val="000000"/>
          <w:kern w:val="0"/>
          <w:sz w:val="32"/>
          <w:szCs w:val="21"/>
          <w:lang w:eastAsia="zh-CN"/>
        </w:rPr>
        <w:t>。</w:t>
      </w:r>
    </w:p>
    <w:p>
      <w:pPr>
        <w:keepNext/>
        <w:keepLines/>
        <w:pageBreakBefore w:val="0"/>
        <w:widowControl/>
        <w:suppressLineNumbers w:val="0"/>
        <w:kinsoku/>
        <w:wordWrap/>
        <w:overflowPunct w:val="0"/>
        <w:topLinePunct/>
        <w:autoSpaceDE/>
        <w:autoSpaceDN/>
        <w:bidi w:val="0"/>
        <w:adjustRightInd/>
        <w:snapToGrid/>
        <w:spacing w:beforeAutospacing="0" w:afterAutospacing="0" w:line="600" w:lineRule="exact"/>
        <w:ind w:left="0" w:right="0" w:firstLine="0" w:firstLineChars="0"/>
        <w:jc w:val="center"/>
        <w:textAlignment w:val="auto"/>
        <w:outlineLvl w:val="1"/>
        <w:rPr>
          <w:rFonts w:hint="eastAsia" w:ascii="黑体" w:hAnsi="黑体" w:eastAsia="黑体" w:cs="黑体"/>
          <w:b w:val="0"/>
          <w:bCs/>
          <w:snapToGrid/>
          <w:color w:val="000000"/>
          <w:kern w:val="2"/>
          <w:sz w:val="32"/>
          <w:szCs w:val="32"/>
          <w:lang w:val="en-US" w:eastAsia="zh-CN" w:bidi="ar"/>
        </w:rPr>
      </w:pPr>
      <w:r>
        <w:rPr>
          <w:rFonts w:hint="eastAsia" w:ascii="黑体" w:hAnsi="黑体" w:eastAsia="黑体" w:cs="黑体"/>
          <w:b w:val="0"/>
          <w:bCs/>
          <w:snapToGrid/>
          <w:color w:val="000000"/>
          <w:kern w:val="2"/>
          <w:sz w:val="32"/>
          <w:szCs w:val="32"/>
          <w:lang w:val="en-US" w:eastAsia="zh-CN" w:bidi="ar"/>
        </w:rPr>
        <w:t>第六章  附则</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napToGrid w:val="0"/>
          <w:color w:val="000000"/>
          <w:kern w:val="0"/>
          <w:sz w:val="32"/>
          <w:szCs w:val="21"/>
          <w:lang w:eastAsia="en-US"/>
        </w:rPr>
      </w:pPr>
      <w:r>
        <w:rPr>
          <w:rFonts w:hint="eastAsia" w:ascii="黑体" w:hAnsi="黑体" w:eastAsia="黑体" w:cs="黑体"/>
          <w:snapToGrid w:val="0"/>
          <w:color w:val="000000"/>
          <w:kern w:val="0"/>
          <w:sz w:val="32"/>
          <w:szCs w:val="21"/>
          <w:lang w:eastAsia="en-US"/>
        </w:rPr>
        <w:t>第四十</w:t>
      </w:r>
      <w:r>
        <w:rPr>
          <w:rFonts w:hint="eastAsia" w:ascii="黑体" w:hAnsi="黑体" w:eastAsia="黑体" w:cs="黑体"/>
          <w:snapToGrid w:val="0"/>
          <w:color w:val="000000"/>
          <w:kern w:val="0"/>
          <w:sz w:val="32"/>
          <w:szCs w:val="21"/>
          <w:lang w:eastAsia="zh-CN"/>
        </w:rPr>
        <w:t>六</w:t>
      </w:r>
      <w:r>
        <w:rPr>
          <w:rFonts w:hint="eastAsia" w:ascii="黑体" w:hAnsi="黑体" w:eastAsia="黑体" w:cs="黑体"/>
          <w:snapToGrid w:val="0"/>
          <w:color w:val="000000"/>
          <w:kern w:val="0"/>
          <w:sz w:val="32"/>
          <w:szCs w:val="21"/>
          <w:lang w:eastAsia="en-US"/>
        </w:rPr>
        <w:t>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eastAsia="zh-CN"/>
        </w:rPr>
        <w:t>乡镇（</w:t>
      </w:r>
      <w:r>
        <w:rPr>
          <w:rFonts w:hint="eastAsia" w:ascii="仿宋_GB2312" w:hAnsi="仿宋_GB2312" w:eastAsia="仿宋_GB2312" w:cs="仿宋_GB2312"/>
          <w:snapToGrid w:val="0"/>
          <w:color w:val="000000"/>
          <w:kern w:val="0"/>
          <w:sz w:val="32"/>
          <w:szCs w:val="21"/>
          <w:lang w:val="en-US" w:eastAsia="zh-CN"/>
        </w:rPr>
        <w:t>街道</w:t>
      </w:r>
      <w:r>
        <w:rPr>
          <w:rFonts w:hint="eastAsia" w:ascii="仿宋_GB2312" w:hAnsi="仿宋_GB2312" w:eastAsia="仿宋_GB2312" w:cs="仿宋_GB2312"/>
          <w:snapToGrid w:val="0"/>
          <w:color w:val="000000"/>
          <w:kern w:val="0"/>
          <w:sz w:val="32"/>
          <w:szCs w:val="21"/>
          <w:lang w:eastAsia="zh-CN"/>
        </w:rPr>
        <w:t>）</w:t>
      </w:r>
      <w:r>
        <w:rPr>
          <w:rFonts w:hint="eastAsia" w:ascii="仿宋_GB2312" w:hAnsi="仿宋_GB2312" w:eastAsia="仿宋_GB2312" w:cs="仿宋_GB2312"/>
          <w:snapToGrid w:val="0"/>
          <w:color w:val="000000"/>
          <w:kern w:val="0"/>
          <w:sz w:val="32"/>
          <w:szCs w:val="21"/>
          <w:lang w:eastAsia="en-US"/>
        </w:rPr>
        <w:t>人民政府</w:t>
      </w:r>
      <w:r>
        <w:rPr>
          <w:rFonts w:hint="eastAsia" w:ascii="仿宋_GB2312" w:hAnsi="仿宋_GB2312" w:eastAsia="仿宋_GB2312" w:cs="仿宋_GB2312"/>
          <w:snapToGrid w:val="0"/>
          <w:color w:val="000000"/>
          <w:kern w:val="0"/>
          <w:sz w:val="32"/>
          <w:szCs w:val="21"/>
          <w:lang w:eastAsia="zh-CN"/>
        </w:rPr>
        <w:t>（</w:t>
      </w:r>
      <w:r>
        <w:rPr>
          <w:rFonts w:hint="eastAsia" w:ascii="仿宋_GB2312" w:hAnsi="仿宋_GB2312" w:eastAsia="仿宋_GB2312" w:cs="仿宋_GB2312"/>
          <w:snapToGrid w:val="0"/>
          <w:color w:val="000000"/>
          <w:kern w:val="0"/>
          <w:sz w:val="32"/>
          <w:szCs w:val="21"/>
          <w:lang w:val="en-US" w:eastAsia="zh-CN"/>
        </w:rPr>
        <w:t>办事处</w:t>
      </w:r>
      <w:r>
        <w:rPr>
          <w:rFonts w:hint="eastAsia" w:ascii="仿宋_GB2312" w:hAnsi="仿宋_GB2312" w:eastAsia="仿宋_GB2312" w:cs="仿宋_GB2312"/>
          <w:snapToGrid w:val="0"/>
          <w:color w:val="000000"/>
          <w:kern w:val="0"/>
          <w:sz w:val="32"/>
          <w:szCs w:val="21"/>
          <w:lang w:eastAsia="zh-CN"/>
        </w:rPr>
        <w:t>）</w:t>
      </w:r>
      <w:r>
        <w:rPr>
          <w:rFonts w:hint="eastAsia" w:ascii="仿宋_GB2312" w:hAnsi="仿宋_GB2312" w:eastAsia="仿宋_GB2312" w:cs="仿宋_GB2312"/>
          <w:snapToGrid w:val="0"/>
          <w:color w:val="000000"/>
          <w:kern w:val="0"/>
          <w:sz w:val="32"/>
          <w:szCs w:val="21"/>
          <w:lang w:eastAsia="en-US"/>
        </w:rPr>
        <w:t>可以结合实际</w:t>
      </w:r>
      <w:r>
        <w:rPr>
          <w:rFonts w:hint="eastAsia" w:ascii="仿宋_GB2312" w:hAnsi="仿宋_GB2312" w:eastAsia="仿宋_GB2312" w:cs="仿宋_GB2312"/>
          <w:snapToGrid w:val="0"/>
          <w:color w:val="000000"/>
          <w:kern w:val="0"/>
          <w:sz w:val="32"/>
          <w:szCs w:val="21"/>
          <w:lang w:eastAsia="zh-CN"/>
        </w:rPr>
        <w:t>情况，</w:t>
      </w:r>
      <w:r>
        <w:rPr>
          <w:rFonts w:hint="eastAsia" w:ascii="仿宋_GB2312" w:hAnsi="仿宋_GB2312" w:eastAsia="仿宋_GB2312" w:cs="仿宋_GB2312"/>
          <w:snapToGrid w:val="0"/>
          <w:color w:val="000000"/>
          <w:kern w:val="0"/>
          <w:sz w:val="32"/>
          <w:szCs w:val="21"/>
          <w:lang w:eastAsia="en-US"/>
        </w:rPr>
        <w:t>参照本规制定相关工作制度。</w:t>
      </w:r>
    </w:p>
    <w:p>
      <w:pPr>
        <w:pageBreakBefore w:val="0"/>
        <w:widowControl/>
        <w:kinsoku/>
        <w:wordWrap/>
        <w:overflowPunct w:val="0"/>
        <w:topLinePunct/>
        <w:autoSpaceDE w:val="0"/>
        <w:autoSpaceDN w:val="0"/>
        <w:bidi w:val="0"/>
        <w:adjustRightInd w:val="0"/>
        <w:snapToGrid w:val="0"/>
        <w:spacing w:line="600" w:lineRule="exact"/>
        <w:ind w:firstLine="640" w:firstLineChars="200"/>
        <w:jc w:val="left"/>
        <w:textAlignment w:val="baseline"/>
        <w:rPr>
          <w:rFonts w:ascii="Arial" w:hAnsi="Arial" w:eastAsia="Arial" w:cs="Arial"/>
          <w:snapToGrid w:val="0"/>
          <w:color w:val="000000"/>
          <w:kern w:val="0"/>
          <w:sz w:val="21"/>
          <w:szCs w:val="21"/>
          <w:lang w:val="en-US" w:eastAsia="en-US" w:bidi="ar-SA"/>
        </w:rPr>
      </w:pPr>
      <w:r>
        <w:rPr>
          <w:rFonts w:hint="eastAsia" w:ascii="黑体" w:hAnsi="黑体" w:eastAsia="黑体" w:cs="黑体"/>
          <w:snapToGrid w:val="0"/>
          <w:color w:val="000000"/>
          <w:kern w:val="0"/>
          <w:sz w:val="32"/>
          <w:szCs w:val="21"/>
          <w:lang w:eastAsia="en-US"/>
        </w:rPr>
        <w:t>第四十</w:t>
      </w:r>
      <w:r>
        <w:rPr>
          <w:rFonts w:hint="eastAsia" w:ascii="黑体" w:hAnsi="黑体" w:eastAsia="黑体" w:cs="黑体"/>
          <w:snapToGrid w:val="0"/>
          <w:color w:val="000000"/>
          <w:kern w:val="0"/>
          <w:sz w:val="32"/>
          <w:szCs w:val="21"/>
          <w:lang w:eastAsia="zh-CN"/>
        </w:rPr>
        <w:t>七</w:t>
      </w:r>
      <w:r>
        <w:rPr>
          <w:rFonts w:hint="eastAsia" w:ascii="黑体" w:hAnsi="黑体" w:eastAsia="黑体" w:cs="黑体"/>
          <w:snapToGrid w:val="0"/>
          <w:color w:val="000000"/>
          <w:kern w:val="0"/>
          <w:sz w:val="32"/>
          <w:szCs w:val="21"/>
          <w:lang w:eastAsia="en-US"/>
        </w:rPr>
        <w:t>条</w:t>
      </w:r>
      <w:r>
        <w:rPr>
          <w:rFonts w:ascii="Arial" w:hAnsi="Arial" w:eastAsia="仿宋" w:cs="Arial"/>
          <w:snapToGrid w:val="0"/>
          <w:color w:val="000000"/>
          <w:kern w:val="0"/>
          <w:sz w:val="32"/>
          <w:szCs w:val="21"/>
          <w:lang w:eastAsia="en-US"/>
        </w:rPr>
        <w:t xml:space="preserve">  </w:t>
      </w:r>
      <w:r>
        <w:rPr>
          <w:rFonts w:hint="eastAsia" w:ascii="Arial" w:hAnsi="Arial" w:eastAsia="仿宋" w:cs="Arial"/>
          <w:snapToGrid w:val="0"/>
          <w:color w:val="000000"/>
          <w:kern w:val="0"/>
          <w:sz w:val="32"/>
          <w:szCs w:val="21"/>
          <w:lang w:val="en-US" w:eastAsia="zh-CN"/>
        </w:rPr>
        <w:t xml:space="preserve"> </w:t>
      </w:r>
      <w:r>
        <w:rPr>
          <w:rFonts w:hint="eastAsia" w:ascii="仿宋_GB2312" w:hAnsi="仿宋_GB2312" w:eastAsia="仿宋_GB2312" w:cs="仿宋_GB2312"/>
          <w:snapToGrid w:val="0"/>
          <w:color w:val="000000"/>
          <w:kern w:val="0"/>
          <w:sz w:val="32"/>
          <w:szCs w:val="21"/>
          <w:lang w:eastAsia="zh-CN"/>
        </w:rPr>
        <w:t>本规定自</w:t>
      </w:r>
      <w:r>
        <w:rPr>
          <w:rFonts w:hint="eastAsia" w:ascii="仿宋_GB2312" w:hAnsi="仿宋_GB2312" w:eastAsia="仿宋_GB2312" w:cs="仿宋_GB2312"/>
          <w:snapToGrid w:val="0"/>
          <w:color w:val="000000"/>
          <w:kern w:val="0"/>
          <w:sz w:val="32"/>
          <w:szCs w:val="21"/>
          <w:lang w:val="en-US" w:eastAsia="zh-CN"/>
        </w:rPr>
        <w:t>2023</w:t>
      </w:r>
      <w:r>
        <w:rPr>
          <w:rFonts w:hint="eastAsia" w:ascii="仿宋_GB2312" w:hAnsi="仿宋_GB2312" w:eastAsia="仿宋_GB2312" w:cs="仿宋_GB2312"/>
          <w:snapToGrid w:val="0"/>
          <w:color w:val="000000"/>
          <w:kern w:val="0"/>
          <w:sz w:val="32"/>
          <w:szCs w:val="21"/>
          <w:lang w:eastAsia="zh-CN"/>
        </w:rPr>
        <w:t>年</w:t>
      </w:r>
      <w:r>
        <w:rPr>
          <w:rFonts w:hint="eastAsia" w:ascii="仿宋_GB2312" w:hAnsi="仿宋_GB2312" w:eastAsia="仿宋_GB2312" w:cs="仿宋_GB2312"/>
          <w:snapToGrid w:val="0"/>
          <w:color w:val="000000"/>
          <w:kern w:val="0"/>
          <w:sz w:val="32"/>
          <w:szCs w:val="21"/>
          <w:lang w:val="en-US" w:eastAsia="zh-CN"/>
        </w:rPr>
        <w:t>XX</w:t>
      </w:r>
      <w:r>
        <w:rPr>
          <w:rFonts w:hint="eastAsia" w:ascii="仿宋_GB2312" w:hAnsi="仿宋_GB2312" w:eastAsia="仿宋_GB2312" w:cs="仿宋_GB2312"/>
          <w:snapToGrid w:val="0"/>
          <w:color w:val="000000"/>
          <w:kern w:val="0"/>
          <w:sz w:val="32"/>
          <w:szCs w:val="21"/>
          <w:lang w:eastAsia="zh-CN"/>
        </w:rPr>
        <w:t>月</w:t>
      </w:r>
      <w:r>
        <w:rPr>
          <w:rFonts w:hint="eastAsia" w:ascii="仿宋_GB2312" w:hAnsi="仿宋_GB2312" w:eastAsia="仿宋_GB2312" w:cs="仿宋_GB2312"/>
          <w:snapToGrid w:val="0"/>
          <w:color w:val="000000"/>
          <w:kern w:val="0"/>
          <w:sz w:val="32"/>
          <w:szCs w:val="21"/>
          <w:lang w:val="en-US" w:eastAsia="zh-CN"/>
        </w:rPr>
        <w:t>XX</w:t>
      </w:r>
      <w:r>
        <w:rPr>
          <w:rFonts w:hint="eastAsia" w:ascii="仿宋_GB2312" w:hAnsi="仿宋_GB2312" w:eastAsia="仿宋_GB2312" w:cs="仿宋_GB2312"/>
          <w:snapToGrid w:val="0"/>
          <w:color w:val="000000"/>
          <w:kern w:val="0"/>
          <w:sz w:val="32"/>
          <w:szCs w:val="21"/>
          <w:lang w:eastAsia="zh-CN"/>
        </w:rPr>
        <w:t>日起施行</w:t>
      </w:r>
      <w:r>
        <w:rPr>
          <w:rFonts w:hint="eastAsia" w:ascii="仿宋_GB2312" w:hAnsi="仿宋_GB2312" w:eastAsia="仿宋_GB2312" w:cs="仿宋_GB2312"/>
          <w:snapToGrid w:val="0"/>
          <w:color w:val="000000"/>
          <w:kern w:val="0"/>
          <w:sz w:val="32"/>
          <w:szCs w:val="21"/>
          <w:lang w:val="en-US" w:eastAsia="zh-CN"/>
        </w:rPr>
        <w:t>。若国家、省、市有新的规定，从其规定。</w:t>
      </w:r>
    </w:p>
    <w:p>
      <w:pPr>
        <w:pageBreakBefore w:val="0"/>
        <w:widowControl/>
        <w:kinsoku/>
        <w:wordWrap/>
        <w:overflowPunct w:val="0"/>
        <w:topLinePunct/>
        <w:autoSpaceDE w:val="0"/>
        <w:autoSpaceDN w:val="0"/>
        <w:bidi w:val="0"/>
        <w:adjustRightInd w:val="0"/>
        <w:snapToGrid w:val="0"/>
        <w:spacing w:line="600" w:lineRule="exact"/>
        <w:ind w:firstLine="420" w:firstLineChars="200"/>
        <w:jc w:val="left"/>
        <w:textAlignment w:val="baseline"/>
        <w:rPr>
          <w:rFonts w:ascii="Arial" w:hAnsi="Arial" w:eastAsia="Arial" w:cs="Arial"/>
          <w:snapToGrid w:val="0"/>
          <w:color w:val="000000"/>
          <w:kern w:val="0"/>
          <w:sz w:val="21"/>
          <w:szCs w:val="21"/>
          <w:lang w:val="en-US" w:eastAsia="en-US" w:bidi="ar-SA"/>
        </w:rPr>
      </w:pPr>
    </w:p>
    <w:p>
      <w:pPr>
        <w:pageBreakBefore w:val="0"/>
        <w:widowControl/>
        <w:kinsoku/>
        <w:wordWrap/>
        <w:overflowPunct w:val="0"/>
        <w:topLinePunct/>
        <w:autoSpaceDE w:val="0"/>
        <w:autoSpaceDN w:val="0"/>
        <w:bidi w:val="0"/>
        <w:adjustRightInd w:val="0"/>
        <w:snapToGrid w:val="0"/>
        <w:spacing w:line="600" w:lineRule="exact"/>
        <w:ind w:firstLine="420" w:firstLineChars="200"/>
        <w:jc w:val="left"/>
        <w:textAlignment w:val="baseline"/>
        <w:rPr>
          <w:rFonts w:ascii="Arial" w:hAnsi="Arial" w:eastAsia="Arial" w:cs="Arial"/>
          <w:snapToGrid w:val="0"/>
          <w:color w:val="000000"/>
          <w:kern w:val="0"/>
          <w:sz w:val="21"/>
          <w:szCs w:val="21"/>
          <w:lang w:val="en-US" w:eastAsia="en-US" w:bidi="ar-SA"/>
        </w:rPr>
      </w:pPr>
    </w:p>
    <w:p>
      <w:pPr>
        <w:pageBreakBefore w:val="0"/>
        <w:kinsoku/>
        <w:wordWrap/>
        <w:bidi w:val="0"/>
        <w:spacing w:line="600" w:lineRule="exact"/>
        <w:rPr>
          <w:rFonts w:hint="default"/>
          <w:lang w:val="en-US" w:eastAsia="zh-CN"/>
        </w:rPr>
      </w:pPr>
    </w:p>
    <w:sectPr>
      <w:footerReference r:id="rId3" w:type="default"/>
      <w:pgSz w:w="11906" w:h="16838"/>
      <w:pgMar w:top="2041" w:right="1468" w:bottom="1587" w:left="146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280" w:firstLineChars="100"/>
                            <w:rPr>
                              <w:rFonts w:hint="eastAsia" w:ascii="宋体" w:hAnsi="宋体" w:eastAsia="宋体" w:cs="宋体"/>
                              <w:color w:val="FFFFFF" w:themeColor="background1"/>
                              <w:sz w:val="28"/>
                              <w:szCs w:val="28"/>
                              <w:lang w:val="en-US" w:eastAsia="zh-CN"/>
                              <w14:textFill>
                                <w14:solidFill>
                                  <w14:schemeClr w14:val="bg1"/>
                                </w14:solidFill>
                              </w14:textFill>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color w:val="FFFFFF" w:themeColor="background1"/>
                              <w:sz w:val="28"/>
                              <w:szCs w:val="28"/>
                              <w:lang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ind w:firstLine="280" w:firstLineChars="100"/>
                      <w:rPr>
                        <w:rFonts w:hint="eastAsia" w:ascii="宋体" w:hAnsi="宋体" w:eastAsia="宋体" w:cs="宋体"/>
                        <w:color w:val="FFFFFF" w:themeColor="background1"/>
                        <w:sz w:val="28"/>
                        <w:szCs w:val="28"/>
                        <w:lang w:val="en-US" w:eastAsia="zh-CN"/>
                        <w14:textFill>
                          <w14:solidFill>
                            <w14:schemeClr w14:val="bg1"/>
                          </w14:solidFill>
                        </w14:textFill>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color w:val="FFFFFF" w:themeColor="background1"/>
                        <w:sz w:val="28"/>
                        <w:szCs w:val="28"/>
                        <w:lang w:eastAsia="zh-CN"/>
                        <w14:textFill>
                          <w14:solidFill>
                            <w14:schemeClr w14:val="bg1"/>
                          </w14:solidFill>
                        </w14:textFill>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E42F1B"/>
    <w:multiLevelType w:val="singleLevel"/>
    <w:tmpl w:val="6AE42F1B"/>
    <w:lvl w:ilvl="0" w:tentative="0">
      <w:start w:val="12"/>
      <w:numFmt w:val="chineseCounting"/>
      <w:suff w:val="space"/>
      <w:lvlText w:val="第%1条"/>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2ZTI3YWNjZGUzOWQ0MzFjZDYzY2ZkNmY1NWM2Y2EifQ=="/>
  </w:docVars>
  <w:rsids>
    <w:rsidRoot w:val="0024316A"/>
    <w:rsid w:val="00000114"/>
    <w:rsid w:val="00051DD6"/>
    <w:rsid w:val="00094499"/>
    <w:rsid w:val="000B4530"/>
    <w:rsid w:val="000B7453"/>
    <w:rsid w:val="000E6447"/>
    <w:rsid w:val="000F1C27"/>
    <w:rsid w:val="0013583A"/>
    <w:rsid w:val="00155211"/>
    <w:rsid w:val="0017599D"/>
    <w:rsid w:val="00176374"/>
    <w:rsid w:val="001A2A67"/>
    <w:rsid w:val="0024316A"/>
    <w:rsid w:val="00281DB9"/>
    <w:rsid w:val="002B4949"/>
    <w:rsid w:val="002B4B83"/>
    <w:rsid w:val="002C128A"/>
    <w:rsid w:val="002C4DAC"/>
    <w:rsid w:val="002D0362"/>
    <w:rsid w:val="00312981"/>
    <w:rsid w:val="003208B1"/>
    <w:rsid w:val="00356221"/>
    <w:rsid w:val="003A6ABA"/>
    <w:rsid w:val="003E1BE7"/>
    <w:rsid w:val="00446498"/>
    <w:rsid w:val="00447559"/>
    <w:rsid w:val="004611A4"/>
    <w:rsid w:val="0047363B"/>
    <w:rsid w:val="004C4149"/>
    <w:rsid w:val="0051060C"/>
    <w:rsid w:val="00533021"/>
    <w:rsid w:val="00594AD6"/>
    <w:rsid w:val="005B0E10"/>
    <w:rsid w:val="005B6A9C"/>
    <w:rsid w:val="00620F33"/>
    <w:rsid w:val="0067003B"/>
    <w:rsid w:val="00690A4B"/>
    <w:rsid w:val="0069386C"/>
    <w:rsid w:val="00727C51"/>
    <w:rsid w:val="0074125D"/>
    <w:rsid w:val="00754788"/>
    <w:rsid w:val="007B4037"/>
    <w:rsid w:val="007B4B6E"/>
    <w:rsid w:val="007B4F1E"/>
    <w:rsid w:val="007C322F"/>
    <w:rsid w:val="0089792B"/>
    <w:rsid w:val="008D47A2"/>
    <w:rsid w:val="009158EC"/>
    <w:rsid w:val="00917188"/>
    <w:rsid w:val="0095490E"/>
    <w:rsid w:val="0095722E"/>
    <w:rsid w:val="00960B4C"/>
    <w:rsid w:val="009678D2"/>
    <w:rsid w:val="009A4688"/>
    <w:rsid w:val="009C2098"/>
    <w:rsid w:val="009F7F9D"/>
    <w:rsid w:val="00A0224C"/>
    <w:rsid w:val="00A86685"/>
    <w:rsid w:val="00B20157"/>
    <w:rsid w:val="00B2324C"/>
    <w:rsid w:val="00B44248"/>
    <w:rsid w:val="00B74CD0"/>
    <w:rsid w:val="00B83203"/>
    <w:rsid w:val="00BC1A72"/>
    <w:rsid w:val="00C4311C"/>
    <w:rsid w:val="00C6013E"/>
    <w:rsid w:val="00C82133"/>
    <w:rsid w:val="00C87619"/>
    <w:rsid w:val="00C8761C"/>
    <w:rsid w:val="00D469AA"/>
    <w:rsid w:val="00D658D4"/>
    <w:rsid w:val="00D70CF1"/>
    <w:rsid w:val="00DD1E56"/>
    <w:rsid w:val="00DE1037"/>
    <w:rsid w:val="00DF0B25"/>
    <w:rsid w:val="00E473C0"/>
    <w:rsid w:val="00E85807"/>
    <w:rsid w:val="00E95015"/>
    <w:rsid w:val="00E957AA"/>
    <w:rsid w:val="00EA6A51"/>
    <w:rsid w:val="00ED6E88"/>
    <w:rsid w:val="00EE2558"/>
    <w:rsid w:val="00EE28D1"/>
    <w:rsid w:val="00F32EC2"/>
    <w:rsid w:val="00F4198B"/>
    <w:rsid w:val="00F6054E"/>
    <w:rsid w:val="00F61A3E"/>
    <w:rsid w:val="00FA175B"/>
    <w:rsid w:val="00FB7001"/>
    <w:rsid w:val="00FF0FF2"/>
    <w:rsid w:val="04003396"/>
    <w:rsid w:val="16A96868"/>
    <w:rsid w:val="1A2332EC"/>
    <w:rsid w:val="1ABC26DA"/>
    <w:rsid w:val="1C557A46"/>
    <w:rsid w:val="1DFD2B55"/>
    <w:rsid w:val="25ED53E5"/>
    <w:rsid w:val="263348AC"/>
    <w:rsid w:val="2A4F3000"/>
    <w:rsid w:val="2C467D48"/>
    <w:rsid w:val="3213100E"/>
    <w:rsid w:val="37103AC5"/>
    <w:rsid w:val="3AEA349B"/>
    <w:rsid w:val="3D7812DA"/>
    <w:rsid w:val="3EB25B1E"/>
    <w:rsid w:val="3FF877DE"/>
    <w:rsid w:val="49C62AC9"/>
    <w:rsid w:val="4C4315FC"/>
    <w:rsid w:val="587A78F1"/>
    <w:rsid w:val="5B4E4F56"/>
    <w:rsid w:val="5EA33B5C"/>
    <w:rsid w:val="63D405F5"/>
    <w:rsid w:val="6E39034B"/>
    <w:rsid w:val="73FF9478"/>
    <w:rsid w:val="753325A0"/>
    <w:rsid w:val="7C1E320D"/>
    <w:rsid w:val="7C9751C4"/>
    <w:rsid w:val="7F1C255D"/>
    <w:rsid w:val="9EBBB8B8"/>
    <w:rsid w:val="DFA69FA6"/>
    <w:rsid w:val="E89DDC67"/>
    <w:rsid w:val="F5920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4">
    <w:name w:val="Body Text"/>
    <w:basedOn w:val="1"/>
    <w:next w:val="1"/>
    <w:qFormat/>
    <w:uiPriority w:val="0"/>
    <w:pPr>
      <w:spacing w:after="120"/>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10"/>
    <w:pPr>
      <w:spacing w:before="240" w:after="60"/>
      <w:jc w:val="center"/>
      <w:outlineLvl w:val="0"/>
    </w:pPr>
    <w:rPr>
      <w:rFonts w:ascii="Cambria" w:hAnsi="Cambria"/>
      <w:b/>
      <w:bCs/>
      <w:sz w:val="32"/>
      <w:szCs w:val="32"/>
    </w:rPr>
  </w:style>
  <w:style w:type="character" w:styleId="10">
    <w:name w:val="page number"/>
    <w:basedOn w:val="9"/>
    <w:qFormat/>
    <w:uiPriority w:val="0"/>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7185</Words>
  <Characters>7192</Characters>
  <Lines>5</Lines>
  <Paragraphs>1</Paragraphs>
  <TotalTime>306</TotalTime>
  <ScaleCrop>false</ScaleCrop>
  <LinksUpToDate>false</LinksUpToDate>
  <CharactersWithSpaces>7343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2019-11-14T10:05:00Z</dcterms:created>
  <dc:creator>EM99</dc:creator>
  <cp:lastModifiedBy>Administrator</cp:lastModifiedBy>
  <cp:lastPrinted>2023-11-01T04:25:56Z</cp:lastPrinted>
  <dcterms:modified xsi:type="dcterms:W3CDTF">2023-11-01T08:48:40Z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7FF7FA384EF44137A1F5F2F30D648CB4</vt:lpwstr>
  </property>
</Properties>
</file>