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eastAsia="方正小标宋简体" w:cs="Times New Roman"/>
          <w:kern w:val="2"/>
          <w:sz w:val="44"/>
          <w:szCs w:val="44"/>
          <w:lang w:val="en-US" w:eastAsia="zh-CN"/>
        </w:rPr>
        <w:t>峨眉山市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城镇土地使用税征</w:t>
      </w:r>
      <w:r>
        <w:rPr>
          <w:rFonts w:hint="eastAsia" w:ascii="方正小标宋简体" w:eastAsia="方正小标宋简体" w:cs="Times New Roman"/>
          <w:kern w:val="2"/>
          <w:sz w:val="44"/>
          <w:szCs w:val="44"/>
          <w:lang w:eastAsia="zh-CN"/>
        </w:rPr>
        <w:t>税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eastAsia="方正小标宋简体" w:cs="Times New Roman"/>
          <w:kern w:val="2"/>
          <w:sz w:val="44"/>
          <w:szCs w:val="44"/>
          <w:lang w:eastAsia="zh-CN"/>
        </w:rPr>
        <w:t>及适用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税额标准</w:t>
      </w:r>
    </w:p>
    <w:p>
      <w:pPr>
        <w:widowControl w:val="0"/>
        <w:overflowPunct/>
        <w:autoSpaceDE/>
        <w:autoSpaceDN/>
        <w:adjustRightIn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pacing w:val="-6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6"/>
          <w:kern w:val="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pacing w:val="-6"/>
          <w:kern w:val="2"/>
          <w:sz w:val="32"/>
          <w:szCs w:val="32"/>
          <w:lang w:eastAsia="zh-CN"/>
        </w:rPr>
        <w:t>征求意见</w:t>
      </w:r>
      <w:r>
        <w:rPr>
          <w:rFonts w:hint="eastAsia" w:ascii="楷体_GB2312" w:hAnsi="楷体_GB2312" w:eastAsia="楷体_GB2312" w:cs="楷体_GB2312"/>
          <w:spacing w:val="-6"/>
          <w:kern w:val="2"/>
          <w:sz w:val="32"/>
          <w:szCs w:val="32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根据《中华人民共和国城镇土地使用税暂行条例》（国务院〔2006〕第483号令）《四川省城镇土地使用税实施办法》（川府令第7—1号）的规定，对峨眉山市城镇土地使用税的征税范围及适用税额标准作如下调整：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一、征收范围和税额标准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调整城镇土地使用税征税范围为峨眉山市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城区、建制镇规划范围内应税土地。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/>
        </w:rPr>
        <w:t>根据市政建设情况、经济繁荣程度等条件，将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峨眉山市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城镇土地划分为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五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/>
        </w:rPr>
        <w:t>级（城区划分为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一、二、三、四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级，建制镇为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五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/>
        </w:rPr>
        <w:t>），城镇土地使用税年税额标准为每平方米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/>
        </w:rPr>
        <w:t>元至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/>
        </w:rPr>
        <w:t>元，具体等级范围及税额标准详见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下表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二、执行时间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/>
        </w:rPr>
        <w:t>上述征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税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/>
        </w:rPr>
        <w:t>范围和税额标准自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2026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/>
        </w:rPr>
        <w:t>日起施行（以最终政府发文时间为准），有效期5年。如有效期内相关法律法规等政策文件修订或者重新发布，则按修订或者重新发布的政策文件执行。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峨眉山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市人民政府关于调整城镇土地使用税税额标准的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通告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发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〔2008〕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号)同时废止。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598" w:leftChars="304" w:hanging="960" w:hangingChars="300"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kern w:val="2"/>
          <w:sz w:val="44"/>
          <w:szCs w:val="44"/>
          <w:lang w:eastAsia="zh-CN"/>
        </w:rPr>
        <w:t>峨眉山市土地等级范围及城镇土地使用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kern w:val="2"/>
          <w:sz w:val="44"/>
          <w:szCs w:val="44"/>
        </w:rPr>
        <w:t>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kern w:val="2"/>
          <w:sz w:val="44"/>
          <w:szCs w:val="44"/>
          <w:lang w:eastAsia="zh-CN"/>
        </w:rPr>
        <w:t>税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kern w:val="2"/>
          <w:sz w:val="44"/>
          <w:szCs w:val="44"/>
        </w:rPr>
        <w:t>额标准表</w:t>
      </w:r>
    </w:p>
    <w:p>
      <w:pPr>
        <w:pStyle w:val="2"/>
        <w:spacing w:line="240" w:lineRule="exact"/>
      </w:pPr>
    </w:p>
    <w:tbl>
      <w:tblPr>
        <w:tblStyle w:val="4"/>
        <w:tblW w:w="97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347"/>
        <w:gridCol w:w="669"/>
        <w:gridCol w:w="2659"/>
        <w:gridCol w:w="4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ascii="Calibri" w:hAnsi="Calibri"/>
                <w:b w:val="0"/>
                <w:bCs/>
                <w:color w:val="000000"/>
                <w:szCs w:val="21"/>
                <w:lang w:bidi="ar"/>
              </w:rPr>
            </w:pPr>
            <w:r>
              <w:rPr>
                <w:rFonts w:ascii="Calibri" w:hAnsi="Calibri"/>
                <w:b w:val="0"/>
                <w:bCs/>
                <w:color w:val="000000"/>
                <w:szCs w:val="21"/>
                <w:lang w:bidi="ar"/>
              </w:rPr>
              <w:t>土地</w:t>
            </w:r>
          </w:p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ascii="Calibri" w:hAnsi="Calibri"/>
                <w:b w:val="0"/>
                <w:bCs/>
                <w:color w:val="000000"/>
                <w:szCs w:val="21"/>
              </w:rPr>
            </w:pPr>
            <w:r>
              <w:rPr>
                <w:rFonts w:ascii="Calibri" w:hAnsi="Calibri"/>
                <w:b w:val="0"/>
                <w:bCs/>
                <w:color w:val="000000"/>
                <w:szCs w:val="21"/>
                <w:lang w:bidi="ar"/>
              </w:rPr>
              <w:t>等级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ascii="Calibri" w:hAnsi="Calibri"/>
                <w:b w:val="0"/>
                <w:bCs/>
                <w:color w:val="000000"/>
                <w:szCs w:val="21"/>
                <w:lang w:bidi="ar"/>
              </w:rPr>
            </w:pPr>
            <w:r>
              <w:rPr>
                <w:rFonts w:ascii="Calibri" w:hAnsi="Calibri"/>
                <w:b w:val="0"/>
                <w:bCs/>
                <w:color w:val="000000"/>
                <w:szCs w:val="21"/>
                <w:lang w:bidi="ar"/>
              </w:rPr>
              <w:t>每平方米</w:t>
            </w:r>
          </w:p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ascii="Calibri" w:hAnsi="Calibri"/>
                <w:b w:val="0"/>
                <w:bCs/>
                <w:color w:val="000000"/>
                <w:szCs w:val="21"/>
              </w:rPr>
            </w:pPr>
            <w:r>
              <w:rPr>
                <w:rFonts w:ascii="Calibri" w:hAnsi="Calibri"/>
                <w:b w:val="0"/>
                <w:bCs/>
                <w:color w:val="000000"/>
                <w:szCs w:val="21"/>
                <w:lang w:bidi="ar"/>
              </w:rPr>
              <w:t>年税额（元）</w:t>
            </w: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ascii="Calibri" w:hAnsi="Calibri"/>
                <w:b w:val="0"/>
                <w:bCs/>
                <w:color w:val="000000"/>
                <w:szCs w:val="21"/>
              </w:rPr>
            </w:pPr>
            <w:r>
              <w:rPr>
                <w:rFonts w:ascii="Calibri" w:hAnsi="Calibri"/>
                <w:b w:val="0"/>
                <w:bCs/>
                <w:color w:val="000000"/>
                <w:szCs w:val="21"/>
                <w:lang w:bidi="ar"/>
              </w:rPr>
              <w:t>等级地域范围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hint="eastAsia" w:ascii="Calibri" w:hAnsi="Calibri" w:eastAsia="宋体"/>
                <w:b w:val="0"/>
                <w:bCs/>
                <w:color w:val="000000"/>
                <w:szCs w:val="21"/>
                <w:lang w:eastAsia="zh-CN" w:bidi="ar"/>
              </w:rPr>
            </w:pPr>
            <w:r>
              <w:rPr>
                <w:rFonts w:hint="eastAsia" w:ascii="Calibri" w:hAnsi="Calibri"/>
                <w:b w:val="0"/>
                <w:bCs/>
                <w:color w:val="000000"/>
                <w:szCs w:val="21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ascii="Calibri" w:hAnsi="Calibri"/>
                <w:b w:val="0"/>
                <w:bCs/>
                <w:color w:val="000000"/>
                <w:szCs w:val="21"/>
                <w:lang w:bidi="ar"/>
              </w:rPr>
            </w:pPr>
            <w:r>
              <w:rPr>
                <w:rFonts w:ascii="Calibri" w:hAnsi="Calibri"/>
                <w:b w:val="0"/>
                <w:bCs/>
                <w:color w:val="000000"/>
                <w:szCs w:val="21"/>
                <w:lang w:bidi="ar"/>
              </w:rPr>
              <w:t>一级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hint="default" w:ascii="Calibri" w:hAnsi="Calibri" w:eastAsia="宋体"/>
                <w:b w:val="0"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Calibri" w:hAnsi="Calibri"/>
                <w:b w:val="0"/>
                <w:bCs/>
                <w:color w:val="000000"/>
                <w:szCs w:val="21"/>
                <w:lang w:val="en-US" w:eastAsia="zh-CN" w:bidi="ar"/>
              </w:rPr>
              <w:t>10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hint="eastAsia" w:ascii="Calibri" w:hAnsi="Calibri" w:eastAsia="宋体"/>
                <w:b w:val="0"/>
                <w:bCs/>
                <w:color w:val="000000"/>
                <w:szCs w:val="21"/>
                <w:lang w:eastAsia="zh-CN" w:bidi="ar"/>
              </w:rPr>
            </w:pPr>
            <w:r>
              <w:rPr>
                <w:rFonts w:hint="eastAsia" w:ascii="Calibri" w:hAnsi="Calibri"/>
                <w:b w:val="0"/>
                <w:bCs/>
                <w:color w:val="000000"/>
                <w:szCs w:val="21"/>
                <w:lang w:eastAsia="zh-CN" w:bidi="ar"/>
              </w:rPr>
              <w:t>城区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Calibri" w:hAnsi="Calibri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 w:val="0"/>
                <w:bCs/>
                <w:szCs w:val="21"/>
              </w:rPr>
              <w:t>东至：</w:t>
            </w:r>
            <w:r>
              <w:rPr>
                <w:rFonts w:hint="eastAsia" w:ascii="Calibri" w:hAnsi="Calibri"/>
                <w:b w:val="0"/>
                <w:bCs/>
                <w:szCs w:val="21"/>
                <w:lang w:eastAsia="zh-CN"/>
              </w:rPr>
              <w:t>云海北路</w:t>
            </w:r>
            <w:r>
              <w:rPr>
                <w:rFonts w:hint="eastAsia" w:ascii="Calibri" w:hAnsi="Calibri"/>
                <w:b w:val="0"/>
                <w:bCs/>
                <w:szCs w:val="21"/>
                <w:lang w:val="en-US" w:eastAsia="zh-CN"/>
              </w:rPr>
              <w:t>-万年华地财富广场</w:t>
            </w:r>
          </w:p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Calibri" w:hAnsi="Calibri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 w:val="0"/>
                <w:bCs/>
                <w:szCs w:val="21"/>
              </w:rPr>
              <w:t>南至：</w:t>
            </w:r>
            <w:r>
              <w:rPr>
                <w:rFonts w:hint="eastAsia" w:ascii="Calibri" w:hAnsi="Calibri"/>
                <w:b w:val="0"/>
                <w:bCs/>
                <w:szCs w:val="21"/>
                <w:lang w:eastAsia="zh-CN"/>
              </w:rPr>
              <w:t>杨柳街</w:t>
            </w:r>
          </w:p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Calibri" w:hAnsi="Calibri"/>
                <w:b w:val="0"/>
                <w:bCs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szCs w:val="21"/>
              </w:rPr>
              <w:t>西至：</w:t>
            </w:r>
            <w:r>
              <w:rPr>
                <w:rFonts w:hint="eastAsia" w:ascii="Calibri" w:hAnsi="Calibri"/>
                <w:b w:val="0"/>
                <w:bCs/>
                <w:szCs w:val="21"/>
                <w:lang w:eastAsia="zh-CN"/>
              </w:rPr>
              <w:t>西城家园以西</w:t>
            </w:r>
          </w:p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ascii="Calibri" w:hAnsi="Calibri"/>
                <w:b w:val="0"/>
                <w:bCs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szCs w:val="21"/>
              </w:rPr>
              <w:t>北至：</w:t>
            </w:r>
            <w:r>
              <w:rPr>
                <w:rFonts w:hint="eastAsia" w:ascii="Calibri" w:hAnsi="Calibri"/>
                <w:b w:val="0"/>
                <w:bCs/>
                <w:szCs w:val="21"/>
                <w:lang w:eastAsia="zh-CN"/>
              </w:rPr>
              <w:t>峨眉河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default" w:ascii="Calibri" w:hAnsi="Calibri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 w:val="0"/>
                <w:bCs/>
                <w:szCs w:val="21"/>
                <w:lang w:eastAsia="zh-CN"/>
              </w:rPr>
              <w:t>金顶北路（峨眉河以南段）、名山中路、名山东路、万年西路、万年东路（云海北路以西）、绥山西路、绥山东路、报国路、书院街、白龙北路、白龙南路（杨柳街以北段）、大佛北路、大佛南路（杨柳街以北段）、云海北路、云海南路（杨柳街以北段）、杨柳街、东盛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ascii="Calibri" w:hAnsi="Calibri"/>
                <w:b w:val="0"/>
                <w:bCs/>
                <w:color w:val="000000"/>
                <w:szCs w:val="21"/>
                <w:lang w:bidi="ar"/>
              </w:rPr>
            </w:pPr>
            <w:r>
              <w:rPr>
                <w:rFonts w:ascii="Calibri" w:hAnsi="Calibri"/>
                <w:b w:val="0"/>
                <w:bCs/>
                <w:color w:val="000000"/>
                <w:szCs w:val="21"/>
                <w:lang w:bidi="ar"/>
              </w:rPr>
              <w:t>二级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hint="default" w:ascii="Calibri" w:hAnsi="Calibri" w:eastAsia="宋体"/>
                <w:b w:val="0"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Calibri" w:hAnsi="Calibri"/>
                <w:b w:val="0"/>
                <w:bCs/>
                <w:color w:val="000000"/>
                <w:szCs w:val="21"/>
                <w:lang w:val="en-US" w:eastAsia="zh-CN" w:bidi="ar"/>
              </w:rPr>
              <w:t>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hint="eastAsia" w:ascii="Calibri" w:hAnsi="Calibri" w:eastAsia="宋体"/>
                <w:b w:val="0"/>
                <w:bCs/>
                <w:color w:val="000000"/>
                <w:szCs w:val="21"/>
                <w:lang w:eastAsia="zh-CN" w:bidi="ar"/>
              </w:rPr>
            </w:pPr>
            <w:r>
              <w:rPr>
                <w:rFonts w:hint="eastAsia" w:ascii="Calibri" w:hAnsi="Calibri"/>
                <w:b w:val="0"/>
                <w:bCs/>
                <w:color w:val="000000"/>
                <w:szCs w:val="21"/>
                <w:lang w:eastAsia="zh-CN" w:bidi="ar"/>
              </w:rPr>
              <w:t>城区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default" w:ascii="Calibri" w:hAnsi="Calibri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 w:val="0"/>
                <w:bCs/>
                <w:szCs w:val="21"/>
              </w:rPr>
              <w:t>东至：</w:t>
            </w:r>
            <w:r>
              <w:rPr>
                <w:rFonts w:hint="eastAsia" w:ascii="Calibri" w:hAnsi="Calibri"/>
                <w:b w:val="0"/>
                <w:bCs/>
                <w:szCs w:val="21"/>
                <w:lang w:eastAsia="zh-CN"/>
              </w:rPr>
              <w:t>旅博大道</w:t>
            </w:r>
            <w:r>
              <w:rPr>
                <w:rFonts w:hint="eastAsia" w:ascii="Calibri" w:hAnsi="Calibri"/>
                <w:b w:val="0"/>
                <w:bCs/>
                <w:szCs w:val="21"/>
                <w:lang w:val="en-US" w:eastAsia="zh-CN"/>
              </w:rPr>
              <w:t>-南陈街</w:t>
            </w:r>
          </w:p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Calibri" w:hAnsi="Calibri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 w:val="0"/>
                <w:bCs/>
                <w:szCs w:val="21"/>
              </w:rPr>
              <w:t>南至：</w:t>
            </w:r>
            <w:r>
              <w:rPr>
                <w:rFonts w:hint="eastAsia" w:ascii="Calibri" w:hAnsi="Calibri"/>
                <w:b w:val="0"/>
                <w:bCs/>
                <w:szCs w:val="21"/>
                <w:lang w:eastAsia="zh-CN"/>
              </w:rPr>
              <w:t>育贤路以北</w:t>
            </w:r>
          </w:p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Calibri" w:hAnsi="Calibri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Calibri" w:hAnsi="Calibri"/>
                <w:b w:val="0"/>
                <w:bCs/>
                <w:szCs w:val="21"/>
              </w:rPr>
              <w:t>西至：</w:t>
            </w:r>
            <w:r>
              <w:rPr>
                <w:rFonts w:hint="eastAsia" w:ascii="Calibri" w:hAnsi="Calibri"/>
                <w:b w:val="0"/>
                <w:bCs/>
                <w:szCs w:val="21"/>
                <w:lang w:eastAsia="zh-CN"/>
              </w:rPr>
              <w:t>佛光西路峨半家园小区以西</w:t>
            </w:r>
          </w:p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Calibri" w:hAnsi="Calibri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Calibri" w:hAnsi="Calibri"/>
                <w:b w:val="0"/>
                <w:bCs/>
                <w:szCs w:val="21"/>
              </w:rPr>
              <w:t>北至：</w:t>
            </w:r>
            <w:r>
              <w:rPr>
                <w:rFonts w:hint="eastAsia" w:ascii="Calibri" w:hAnsi="Calibri"/>
                <w:b w:val="0"/>
                <w:bCs/>
                <w:szCs w:val="21"/>
                <w:lang w:eastAsia="zh-CN"/>
              </w:rPr>
              <w:t>太泉广场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Calibri" w:hAnsi="Calibri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Calibri" w:hAnsi="Calibri"/>
                <w:b w:val="0"/>
                <w:bCs/>
                <w:szCs w:val="21"/>
                <w:lang w:eastAsia="zh-CN"/>
              </w:rPr>
              <w:t>金顶北路（峨眉河以北段）、光辉路（佛光东路以西段）、万福路（佛光东路以西段）、佛光东路、雁北北路、雁北南路、景秀路、红华路、符北路、滨河路、佛光西路（符北路以南段）、名山西路、名山南路（川秀路以北段）、育贤路、白龙南路（杨柳街以南段）、大佛南路（杨柳街以南段）、云海南路（杨柳街以南段）、兴隆街、洪椿路、佛光南路、光明大道、万年东路（云海北路以东）、环湖路、滨湖西路、滨湖东路（旅博大道以西段）、名山路东段、佛欣路、东胜大街、花园街、胜利南街（光明大道以北段）、名秀路（光明大道以北段）、胜利大道（光明大道以北段）、胜燕路（光明大道以北段）、胜燕北路、宝马北街、宝马南街、龚海路、旅博大道（峨眉河以南段）、南陈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ascii="Calibri" w:hAnsi="Calibri"/>
                <w:b w:val="0"/>
                <w:bCs/>
                <w:color w:val="000000"/>
                <w:szCs w:val="21"/>
                <w:lang w:bidi="ar"/>
              </w:rPr>
            </w:pPr>
            <w:r>
              <w:rPr>
                <w:rFonts w:ascii="Calibri" w:hAnsi="Calibri"/>
                <w:b w:val="0"/>
                <w:bCs/>
                <w:color w:val="000000"/>
                <w:szCs w:val="21"/>
                <w:lang w:bidi="ar"/>
              </w:rPr>
              <w:t>三级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hint="eastAsia" w:ascii="Calibri" w:hAnsi="Calibri" w:eastAsia="宋体"/>
                <w:b w:val="0"/>
                <w:bCs/>
                <w:color w:val="000000"/>
                <w:szCs w:val="21"/>
                <w:lang w:eastAsia="zh-CN" w:bidi="ar"/>
              </w:rPr>
            </w:pPr>
            <w:r>
              <w:rPr>
                <w:rFonts w:hint="eastAsia" w:ascii="Calibri" w:hAnsi="Calibri"/>
                <w:b w:val="0"/>
                <w:bCs/>
                <w:color w:val="000000"/>
                <w:szCs w:val="21"/>
                <w:lang w:val="en-US" w:eastAsia="zh-CN" w:bidi="ar"/>
              </w:rPr>
              <w:t>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hint="eastAsia" w:ascii="Calibri" w:hAnsi="Calibri" w:eastAsia="楷体_GB2312"/>
                <w:b w:val="0"/>
                <w:bCs/>
                <w:szCs w:val="22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szCs w:val="21"/>
                <w:lang w:eastAsia="zh-CN" w:bidi="ar"/>
              </w:rPr>
              <w:t>城区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eastAsia="zh-CN"/>
              </w:rPr>
              <w:t>东至：</w:t>
            </w:r>
            <w:r>
              <w:rPr>
                <w:rFonts w:hint="eastAsia" w:ascii="Calibri" w:hAnsi="Calibri" w:cs="Times New Roman"/>
                <w:b w:val="0"/>
                <w:bCs/>
                <w:szCs w:val="21"/>
                <w:lang w:val="en-US" w:eastAsia="zh-CN"/>
              </w:rPr>
              <w:t>仙芝竹尖以西</w:t>
            </w:r>
          </w:p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  <w:t>南至：</w:t>
            </w:r>
            <w:r>
              <w:rPr>
                <w:rFonts w:hint="eastAsia" w:ascii="Calibri" w:hAnsi="Calibri" w:cs="Times New Roman"/>
                <w:b w:val="0"/>
                <w:bCs/>
                <w:szCs w:val="21"/>
                <w:lang w:val="en-US" w:eastAsia="zh-CN"/>
              </w:rPr>
              <w:t>万象北路</w:t>
            </w:r>
          </w:p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  <w:t>西至：</w:t>
            </w:r>
            <w:r>
              <w:rPr>
                <w:rFonts w:hint="eastAsia" w:ascii="Calibri" w:hAnsi="Calibri" w:cs="Times New Roman"/>
                <w:b w:val="0"/>
                <w:bCs/>
                <w:szCs w:val="21"/>
                <w:lang w:val="en-US" w:eastAsia="zh-CN"/>
              </w:rPr>
              <w:t>黄湾游客中心</w:t>
            </w:r>
          </w:p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default" w:ascii="Calibri" w:hAnsi="Calibri"/>
                <w:b w:val="0"/>
                <w:bCs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  <w:t>北至：</w:t>
            </w:r>
            <w:r>
              <w:rPr>
                <w:rFonts w:hint="eastAsia" w:ascii="Calibri" w:hAnsi="Calibri" w:cs="Times New Roman"/>
                <w:b w:val="0"/>
                <w:bCs/>
                <w:szCs w:val="21"/>
                <w:lang w:val="en-US" w:eastAsia="zh-CN"/>
              </w:rPr>
              <w:t>乐峨大道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Calibri" w:hAnsi="Calibri" w:eastAsia="宋体"/>
                <w:b w:val="0"/>
                <w:bCs/>
                <w:color w:val="FF0000"/>
                <w:szCs w:val="21"/>
                <w:lang w:eastAsia="zh-CN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  <w:lang w:eastAsia="zh-CN"/>
              </w:rPr>
              <w:t>佛光西路（符北路以北段）、川秀路、名山南路（川秀路以南段）、景区路、峨洪路、瑜伽路、朝拜路、环湖路、万象北路、温泉大道、秀湖东路、秀湖大道、金顶南路、胜利南街（光明大道以南段）、名秀路（光明大道以南段）、胜利大道（光明大道以南段）、胜燕街（光明大道以南段）、滨湖东路（旅博大道以东段）、雪花大道南段、乐峨路、红星中路、红星北路、旅博大道（峨眉河以北段）、光辉路（佛光东路以东段）、万福路（佛光东路以东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ascii="Calibri" w:hAnsi="Calibri"/>
                <w:b w:val="0"/>
                <w:bCs/>
                <w:color w:val="000000"/>
                <w:szCs w:val="21"/>
                <w:lang w:bidi="ar"/>
              </w:rPr>
            </w:pPr>
            <w:r>
              <w:rPr>
                <w:rFonts w:ascii="Calibri" w:hAnsi="Calibri"/>
                <w:b w:val="0"/>
                <w:bCs/>
                <w:color w:val="000000"/>
                <w:szCs w:val="21"/>
                <w:lang w:bidi="ar"/>
              </w:rPr>
              <w:t>四级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hint="eastAsia" w:ascii="Calibri" w:hAnsi="Calibri" w:eastAsia="宋体"/>
                <w:b w:val="0"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Calibri" w:hAnsi="Calibri"/>
                <w:b w:val="0"/>
                <w:bCs/>
                <w:color w:val="000000"/>
                <w:szCs w:val="21"/>
                <w:lang w:val="en-US" w:eastAsia="zh-CN" w:bidi="ar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hint="eastAsia" w:ascii="Calibri" w:hAnsi="Calibri" w:eastAsia="宋体"/>
                <w:b w:val="0"/>
                <w:bCs/>
                <w:color w:val="000000"/>
                <w:szCs w:val="21"/>
                <w:lang w:eastAsia="zh-CN" w:bidi="ar"/>
              </w:rPr>
            </w:pPr>
            <w:r>
              <w:rPr>
                <w:rFonts w:hint="eastAsia" w:ascii="Calibri" w:hAnsi="Calibri"/>
                <w:b w:val="0"/>
                <w:bCs/>
                <w:color w:val="000000"/>
                <w:szCs w:val="21"/>
                <w:lang w:eastAsia="zh-CN" w:bidi="ar"/>
              </w:rPr>
              <w:t>城区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Calibri" w:hAnsi="Calibri"/>
                <w:b w:val="0"/>
                <w:bCs/>
                <w:szCs w:val="22"/>
                <w:lang w:eastAsia="zh-CN"/>
              </w:rPr>
            </w:pPr>
            <w:r>
              <w:rPr>
                <w:rFonts w:hint="eastAsia" w:ascii="Calibri" w:hAnsi="Calibri" w:cs="Times New Roman"/>
                <w:b w:val="0"/>
                <w:bCs/>
                <w:szCs w:val="21"/>
                <w:lang w:eastAsia="zh-CN"/>
              </w:rPr>
              <w:t>街道规划范围内除一至三级土地等级外未列明的其他区域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default" w:ascii="Calibri" w:hAnsi="Calibri"/>
                <w:b w:val="0"/>
                <w:bCs/>
                <w:szCs w:val="22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街道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规划范围内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  <w:t>除一至三级土地等级外未列明的其他区域</w:t>
            </w:r>
            <w:r>
              <w:rPr>
                <w:rFonts w:hint="eastAsia" w:ascii="Calibri" w:hAnsi="Calibri" w:cs="Times New Roman"/>
                <w:b w:val="0"/>
                <w:bCs/>
                <w:szCs w:val="21"/>
                <w:lang w:val="en-US" w:eastAsia="zh-CN"/>
              </w:rPr>
              <w:t>。新批准设立的街道，</w:t>
            </w:r>
            <w:r>
              <w:rPr>
                <w:rFonts w:hint="eastAsia" w:ascii="Calibri" w:hAnsi="Calibri"/>
                <w:b w:val="0"/>
                <w:bCs/>
                <w:szCs w:val="21"/>
                <w:lang w:val="en-US" w:eastAsia="zh-CN"/>
              </w:rPr>
              <w:t>自批准的当月起执行。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hint="eastAsia" w:ascii="Calibri" w:hAnsi="Calibri" w:eastAsia="宋体"/>
                <w:b w:val="0"/>
                <w:bCs/>
                <w:color w:val="000000"/>
                <w:szCs w:val="21"/>
                <w:lang w:eastAsia="zh-CN" w:bidi="ar"/>
              </w:rPr>
            </w:pPr>
            <w:r>
              <w:rPr>
                <w:rFonts w:hint="eastAsia" w:ascii="Calibri" w:hAnsi="Calibri"/>
                <w:b w:val="0"/>
                <w:bCs/>
                <w:color w:val="000000"/>
                <w:szCs w:val="21"/>
                <w:lang w:eastAsia="zh-CN" w:bidi="ar"/>
              </w:rPr>
              <w:t>五级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hint="default" w:ascii="Calibri" w:hAnsi="Calibri"/>
                <w:b w:val="0"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Calibri" w:hAnsi="Calibri"/>
                <w:b w:val="0"/>
                <w:bCs/>
                <w:color w:val="000000"/>
                <w:szCs w:val="21"/>
                <w:lang w:val="en-US" w:eastAsia="zh-CN" w:bidi="ar"/>
              </w:rPr>
              <w:t>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ascii="Calibri" w:hAnsi="Calibri"/>
                <w:b w:val="0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Calibri" w:hAnsi="Calibri"/>
                <w:b w:val="0"/>
                <w:bCs/>
                <w:color w:val="000000"/>
                <w:szCs w:val="21"/>
                <w:lang w:eastAsia="zh-CN" w:bidi="ar"/>
              </w:rPr>
              <w:t>各</w:t>
            </w:r>
            <w:r>
              <w:rPr>
                <w:rFonts w:ascii="Calibri" w:hAnsi="Calibri"/>
                <w:b w:val="0"/>
                <w:bCs/>
                <w:color w:val="000000"/>
                <w:szCs w:val="21"/>
                <w:lang w:bidi="ar"/>
              </w:rPr>
              <w:t>建制镇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default" w:ascii="Calibri" w:hAnsi="Calibri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bCs/>
                <w:szCs w:val="21"/>
                <w:lang w:eastAsia="zh-CN"/>
              </w:rPr>
              <w:t>除一至四级土地等级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eastAsia="zh-CN"/>
              </w:rPr>
              <w:t>外</w:t>
            </w:r>
            <w:r>
              <w:rPr>
                <w:rFonts w:hint="eastAsia" w:ascii="Calibri" w:hAnsi="Calibri" w:cs="Times New Roman"/>
                <w:b w:val="0"/>
                <w:bCs/>
                <w:szCs w:val="21"/>
                <w:lang w:eastAsia="zh-CN"/>
              </w:rPr>
              <w:t>未列明的其他区域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default" w:ascii="Calibri" w:hAnsi="Calibri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/>
                <w:b w:val="0"/>
                <w:bCs/>
                <w:szCs w:val="21"/>
                <w:lang w:val="en-US" w:eastAsia="zh-CN"/>
              </w:rPr>
              <w:t>以上未列明区域，但属于</w:t>
            </w:r>
            <w:r>
              <w:rPr>
                <w:rFonts w:hint="eastAsia" w:ascii="Calibri" w:hAnsi="Calibri"/>
                <w:b w:val="0"/>
                <w:bCs/>
                <w:szCs w:val="21"/>
                <w:lang w:val="en-US" w:eastAsia="zh-CN"/>
              </w:rPr>
              <w:t>各</w:t>
            </w:r>
            <w:r>
              <w:rPr>
                <w:rFonts w:hint="default" w:ascii="Calibri" w:hAnsi="Calibri" w:eastAsia="宋体"/>
                <w:b w:val="0"/>
                <w:bCs/>
                <w:szCs w:val="21"/>
                <w:lang w:val="en-US" w:eastAsia="zh-CN"/>
              </w:rPr>
              <w:t>建制镇</w:t>
            </w:r>
            <w:r>
              <w:rPr>
                <w:rFonts w:hint="eastAsia" w:ascii="Calibri" w:hAnsi="Calibri"/>
                <w:b w:val="0"/>
                <w:bCs/>
                <w:szCs w:val="21"/>
                <w:lang w:val="en-US" w:eastAsia="zh-CN"/>
              </w:rPr>
              <w:t>规划</w:t>
            </w:r>
            <w:r>
              <w:rPr>
                <w:rFonts w:hint="default" w:ascii="Calibri" w:hAnsi="Calibri" w:eastAsia="宋体"/>
                <w:b w:val="0"/>
                <w:bCs/>
                <w:szCs w:val="21"/>
                <w:lang w:val="en-US" w:eastAsia="zh-CN"/>
              </w:rPr>
              <w:t>范围</w:t>
            </w:r>
            <w:r>
              <w:rPr>
                <w:rFonts w:hint="eastAsia" w:ascii="Calibri" w:hAnsi="Calibri"/>
                <w:b w:val="0"/>
                <w:bCs/>
                <w:szCs w:val="21"/>
                <w:lang w:val="en-US" w:eastAsia="zh-CN"/>
              </w:rPr>
              <w:t>内的土地。新批准设立的建制镇，自批准的当月起执行。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C4DBB"/>
    <w:rsid w:val="09965BE3"/>
    <w:rsid w:val="0C601AB6"/>
    <w:rsid w:val="0F7C27A0"/>
    <w:rsid w:val="0FB163AA"/>
    <w:rsid w:val="17245C76"/>
    <w:rsid w:val="1F1F7042"/>
    <w:rsid w:val="214B6FE6"/>
    <w:rsid w:val="28A35EFD"/>
    <w:rsid w:val="2CB5560C"/>
    <w:rsid w:val="3013729F"/>
    <w:rsid w:val="31706889"/>
    <w:rsid w:val="348C7538"/>
    <w:rsid w:val="3A061E08"/>
    <w:rsid w:val="41774647"/>
    <w:rsid w:val="42810488"/>
    <w:rsid w:val="456F5766"/>
    <w:rsid w:val="49442A10"/>
    <w:rsid w:val="49884AB8"/>
    <w:rsid w:val="4E600CC9"/>
    <w:rsid w:val="4EBA7690"/>
    <w:rsid w:val="50694AAC"/>
    <w:rsid w:val="560F652F"/>
    <w:rsid w:val="5A76602A"/>
    <w:rsid w:val="5BC54F62"/>
    <w:rsid w:val="5C4D7724"/>
    <w:rsid w:val="5F1F63E5"/>
    <w:rsid w:val="5F8C4DBB"/>
    <w:rsid w:val="612F6393"/>
    <w:rsid w:val="688A7366"/>
    <w:rsid w:val="6B606A7D"/>
    <w:rsid w:val="6CF61F5F"/>
    <w:rsid w:val="737E58E6"/>
    <w:rsid w:val="739D57FE"/>
    <w:rsid w:val="751147D1"/>
    <w:rsid w:val="79853EAB"/>
    <w:rsid w:val="79C24A30"/>
    <w:rsid w:val="7ABC071B"/>
    <w:rsid w:val="7D0A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next w:val="1"/>
    <w:qFormat/>
    <w:uiPriority w:val="0"/>
    <w:pPr>
      <w:widowControl w:val="0"/>
      <w:spacing w:line="660" w:lineRule="exact"/>
      <w:ind w:firstLine="720" w:firstLineChars="200"/>
      <w:jc w:val="both"/>
    </w:pPr>
    <w:rPr>
      <w:rFonts w:ascii="Calibri" w:hAnsi="Calibri" w:eastAsia="楷体_GB2312" w:cs="Times New Roman"/>
      <w:kern w:val="2"/>
      <w:sz w:val="36"/>
      <w:szCs w:val="36"/>
      <w:lang w:bidi="ar-SA"/>
    </w:r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2025-05-16T06:46:00Z</dcterms:created>
  <dc:creator>Administrator</dc:creator>
  <cp:lastModifiedBy>雷娟</cp:lastModifiedBy>
  <cp:lastPrinted>2025-07-10T03:23:00Z</cp:lastPrinted>
  <dcterms:modified xsi:type="dcterms:W3CDTF">2025-07-11T07:38:29Z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