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D214D8">
      <w:pPr>
        <w:pStyle w:val="32"/>
        <w:ind w:firstLine="442"/>
        <w:rPr>
          <w:b/>
          <w:sz w:val="44"/>
          <w:szCs w:val="44"/>
        </w:rPr>
      </w:pPr>
    </w:p>
    <w:p w14:paraId="4B479EA0">
      <w:pPr>
        <w:ind w:firstLine="640"/>
        <w:rPr>
          <w:lang w:val="zh-CN"/>
        </w:rPr>
      </w:pPr>
    </w:p>
    <w:tbl>
      <w:tblPr>
        <w:tblStyle w:val="35"/>
        <w:tblW w:w="525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8"/>
      </w:tblGrid>
      <w:tr w14:paraId="3C37B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942" w:type="dxa"/>
            <w:tcBorders>
              <w:tl2br w:val="nil"/>
              <w:tr2bl w:val="nil"/>
            </w:tcBorders>
          </w:tcPr>
          <w:p w14:paraId="3EF87E86">
            <w:pPr>
              <w:pStyle w:val="86"/>
              <w:jc w:val="center"/>
              <w:rPr>
                <w:rFonts w:hint="eastAsia" w:ascii="Times New Roman" w:hAnsi="Times New Roman" w:eastAsia="方正小标宋简体"/>
                <w:bCs/>
                <w:sz w:val="44"/>
                <w:szCs w:val="44"/>
                <w:lang w:eastAsia="zh-CN"/>
              </w:rPr>
            </w:pPr>
            <w:r>
              <w:rPr>
                <w:rFonts w:hint="eastAsia" w:ascii="方正小标宋简体" w:hAnsi="方正小标宋简体" w:eastAsia="方正小标宋简体" w:cs="方正小标宋简体"/>
                <w:bCs/>
                <w:sz w:val="44"/>
                <w:szCs w:val="44"/>
                <w:lang w:eastAsia="zh-CN"/>
              </w:rPr>
              <w:t>峨眉山市集中式饮用水水源地</w:t>
            </w:r>
          </w:p>
        </w:tc>
      </w:tr>
      <w:tr w14:paraId="6A07C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942" w:type="dxa"/>
            <w:tcBorders>
              <w:tl2br w:val="nil"/>
              <w:tr2bl w:val="nil"/>
            </w:tcBorders>
          </w:tcPr>
          <w:p w14:paraId="6C6F52BD">
            <w:pPr>
              <w:pStyle w:val="86"/>
              <w:jc w:val="center"/>
              <w:rPr>
                <w:rFonts w:ascii="Times New Roman" w:hAnsi="Times New Roman" w:eastAsia="方正小标宋简体"/>
                <w:bCs/>
                <w:sz w:val="44"/>
                <w:szCs w:val="44"/>
              </w:rPr>
            </w:pPr>
            <w:r>
              <w:rPr>
                <w:rFonts w:hint="eastAsia" w:ascii="Times New Roman" w:hAnsi="Times New Roman" w:eastAsia="方正小标宋简体"/>
                <w:bCs/>
                <w:sz w:val="44"/>
                <w:szCs w:val="44"/>
              </w:rPr>
              <w:t>突发环境事件应急预案</w:t>
            </w:r>
          </w:p>
        </w:tc>
      </w:tr>
      <w:tr w14:paraId="58F15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942" w:type="dxa"/>
            <w:tcBorders>
              <w:tl2br w:val="nil"/>
              <w:tr2bl w:val="nil"/>
            </w:tcBorders>
          </w:tcPr>
          <w:p w14:paraId="61452CCA">
            <w:pPr>
              <w:pStyle w:val="86"/>
              <w:jc w:val="center"/>
              <w:rPr>
                <w:rFonts w:ascii="Times New Roman" w:hAnsi="Times New Roman" w:eastAsia="仿宋_GB2312"/>
                <w:bCs/>
                <w:sz w:val="44"/>
                <w:szCs w:val="44"/>
              </w:rPr>
            </w:pPr>
            <w:r>
              <w:rPr>
                <w:rFonts w:hint="eastAsia" w:ascii="仿宋_GB2312" w:hAnsi="仿宋_GB2312" w:eastAsia="仿宋_GB2312" w:cs="仿宋_GB2312"/>
                <w:bCs/>
                <w:color w:val="FF0000"/>
                <w:sz w:val="32"/>
                <w:szCs w:val="32"/>
                <w:u w:val="single"/>
              </w:rPr>
              <w:t>（</w:t>
            </w:r>
            <w:r>
              <w:rPr>
                <w:rFonts w:hint="eastAsia" w:ascii="仿宋_GB2312" w:hAnsi="仿宋_GB2312" w:eastAsia="仿宋_GB2312" w:cs="仿宋_GB2312"/>
                <w:bCs/>
                <w:color w:val="FF0000"/>
                <w:sz w:val="32"/>
                <w:szCs w:val="32"/>
                <w:u w:val="single"/>
                <w:lang w:val="en-US" w:eastAsia="zh-CN"/>
              </w:rPr>
              <w:t>修订稿</w:t>
            </w:r>
            <w:r>
              <w:rPr>
                <w:rFonts w:hint="eastAsia" w:ascii="仿宋_GB2312" w:hAnsi="仿宋_GB2312" w:eastAsia="仿宋_GB2312" w:cs="仿宋_GB2312"/>
                <w:bCs/>
                <w:color w:val="FF0000"/>
                <w:sz w:val="32"/>
                <w:szCs w:val="32"/>
                <w:u w:val="single"/>
              </w:rPr>
              <w:t>）</w:t>
            </w:r>
          </w:p>
        </w:tc>
      </w:tr>
    </w:tbl>
    <w:p w14:paraId="155AAA83">
      <w:pPr>
        <w:pStyle w:val="86"/>
        <w:rPr>
          <w:rFonts w:ascii="Times New Roman" w:hAnsi="Times New Roman" w:eastAsia="方正小标宋简体"/>
          <w:b/>
          <w:sz w:val="44"/>
          <w:szCs w:val="44"/>
        </w:rPr>
      </w:pPr>
    </w:p>
    <w:p w14:paraId="565376BE">
      <w:pPr>
        <w:pStyle w:val="86"/>
        <w:ind w:firstLine="960"/>
        <w:rPr>
          <w:rFonts w:ascii="Times New Roman" w:hAnsi="Times New Roman" w:eastAsia="方正小标宋简体"/>
          <w:sz w:val="24"/>
          <w:szCs w:val="24"/>
        </w:rPr>
      </w:pPr>
    </w:p>
    <w:p w14:paraId="043DE372">
      <w:pPr>
        <w:pStyle w:val="86"/>
        <w:rPr>
          <w:rFonts w:ascii="Times New Roman" w:hAnsi="Times New Roman" w:eastAsia="方正小标宋简体"/>
          <w:sz w:val="24"/>
          <w:szCs w:val="24"/>
        </w:rPr>
      </w:pPr>
    </w:p>
    <w:p w14:paraId="511B0596">
      <w:pPr>
        <w:pStyle w:val="86"/>
        <w:rPr>
          <w:rFonts w:ascii="Times New Roman" w:hAnsi="Times New Roman" w:eastAsia="方正小标宋简体"/>
          <w:sz w:val="24"/>
          <w:szCs w:val="24"/>
        </w:rPr>
      </w:pPr>
    </w:p>
    <w:p w14:paraId="25638D91">
      <w:pPr>
        <w:pStyle w:val="86"/>
        <w:rPr>
          <w:rFonts w:ascii="Times New Roman" w:hAnsi="Times New Roman" w:eastAsia="方正小标宋简体"/>
          <w:sz w:val="24"/>
          <w:szCs w:val="24"/>
        </w:rPr>
      </w:pPr>
    </w:p>
    <w:p w14:paraId="5853C048">
      <w:pPr>
        <w:pStyle w:val="86"/>
        <w:rPr>
          <w:rFonts w:ascii="Times New Roman" w:hAnsi="Times New Roman" w:eastAsia="方正小标宋简体"/>
          <w:sz w:val="24"/>
          <w:szCs w:val="24"/>
        </w:rPr>
      </w:pPr>
    </w:p>
    <w:p w14:paraId="4F6C66D6">
      <w:pPr>
        <w:pStyle w:val="86"/>
        <w:rPr>
          <w:rFonts w:ascii="Times New Roman" w:hAnsi="Times New Roman" w:eastAsia="方正小标宋简体"/>
          <w:sz w:val="24"/>
          <w:szCs w:val="24"/>
        </w:rPr>
      </w:pPr>
    </w:p>
    <w:p w14:paraId="16D80B82">
      <w:pPr>
        <w:pStyle w:val="86"/>
        <w:rPr>
          <w:rFonts w:ascii="Times New Roman" w:hAnsi="Times New Roman" w:eastAsia="方正小标宋简体"/>
          <w:sz w:val="24"/>
          <w:szCs w:val="24"/>
        </w:rPr>
      </w:pPr>
    </w:p>
    <w:p w14:paraId="07C3A19F">
      <w:pPr>
        <w:pStyle w:val="86"/>
        <w:rPr>
          <w:rFonts w:ascii="Times New Roman" w:hAnsi="Times New Roman" w:eastAsia="方正小标宋简体"/>
          <w:sz w:val="24"/>
          <w:szCs w:val="24"/>
        </w:rPr>
      </w:pPr>
    </w:p>
    <w:p w14:paraId="5F5C67FA">
      <w:pPr>
        <w:pStyle w:val="86"/>
        <w:rPr>
          <w:rFonts w:ascii="Times New Roman" w:hAnsi="Times New Roman" w:eastAsia="方正小标宋简体"/>
          <w:sz w:val="24"/>
          <w:szCs w:val="24"/>
        </w:rPr>
      </w:pPr>
    </w:p>
    <w:p w14:paraId="26345155">
      <w:pPr>
        <w:pStyle w:val="86"/>
        <w:rPr>
          <w:rFonts w:ascii="Times New Roman" w:hAnsi="Times New Roman" w:eastAsia="方正小标宋简体"/>
          <w:sz w:val="24"/>
          <w:szCs w:val="24"/>
        </w:rPr>
      </w:pPr>
    </w:p>
    <w:p w14:paraId="4F24EA65">
      <w:pPr>
        <w:pStyle w:val="86"/>
        <w:rPr>
          <w:rFonts w:ascii="Times New Roman" w:hAnsi="Times New Roman" w:eastAsia="方正小标宋简体"/>
          <w:sz w:val="24"/>
          <w:szCs w:val="24"/>
        </w:rPr>
      </w:pPr>
    </w:p>
    <w:p w14:paraId="440356C8">
      <w:pPr>
        <w:pStyle w:val="86"/>
        <w:rPr>
          <w:rFonts w:ascii="Times New Roman" w:hAnsi="Times New Roman" w:eastAsia="方正小标宋简体"/>
          <w:sz w:val="24"/>
          <w:szCs w:val="24"/>
        </w:rPr>
      </w:pPr>
    </w:p>
    <w:p w14:paraId="57739EE7">
      <w:pPr>
        <w:pStyle w:val="86"/>
        <w:rPr>
          <w:rFonts w:ascii="Times New Roman" w:hAnsi="Times New Roman" w:eastAsia="方正小标宋简体"/>
          <w:sz w:val="24"/>
          <w:szCs w:val="24"/>
        </w:rPr>
      </w:pPr>
    </w:p>
    <w:p w14:paraId="292DD0F5">
      <w:pPr>
        <w:pStyle w:val="86"/>
        <w:rPr>
          <w:rFonts w:ascii="Times New Roman" w:hAnsi="Times New Roman" w:eastAsia="方正小标宋简体"/>
          <w:sz w:val="24"/>
          <w:szCs w:val="24"/>
        </w:rPr>
      </w:pPr>
    </w:p>
    <w:p w14:paraId="41F5B4CC">
      <w:pPr>
        <w:pStyle w:val="86"/>
        <w:rPr>
          <w:rFonts w:ascii="Times New Roman" w:hAnsi="Times New Roman" w:eastAsia="方正小标宋简体"/>
          <w:sz w:val="24"/>
          <w:szCs w:val="24"/>
        </w:rPr>
      </w:pPr>
    </w:p>
    <w:p w14:paraId="2E90EDE7">
      <w:pPr>
        <w:pStyle w:val="86"/>
        <w:rPr>
          <w:rFonts w:hint="eastAsia" w:ascii="Times New Roman" w:hAnsi="Times New Roman" w:eastAsia="方正小标宋简体"/>
          <w:sz w:val="24"/>
          <w:szCs w:val="24"/>
        </w:rPr>
      </w:pPr>
    </w:p>
    <w:p w14:paraId="4378F635">
      <w:pPr>
        <w:pStyle w:val="86"/>
        <w:rPr>
          <w:rFonts w:ascii="Times New Roman" w:hAnsi="Times New Roman" w:eastAsia="方正小标宋简体"/>
          <w:sz w:val="24"/>
          <w:szCs w:val="24"/>
        </w:rPr>
      </w:pPr>
    </w:p>
    <w:p w14:paraId="3D7979AB">
      <w:pPr>
        <w:pStyle w:val="86"/>
        <w:rPr>
          <w:rFonts w:ascii="Times New Roman" w:hAnsi="Times New Roman" w:eastAsia="方正小标宋简体"/>
          <w:sz w:val="24"/>
          <w:szCs w:val="24"/>
        </w:rPr>
      </w:pPr>
    </w:p>
    <w:p w14:paraId="36240932">
      <w:pPr>
        <w:pStyle w:val="86"/>
        <w:rPr>
          <w:rFonts w:hint="eastAsia" w:ascii="Times New Roman" w:hAnsi="Times New Roman" w:eastAsia="方正小标宋简体"/>
          <w:sz w:val="24"/>
          <w:szCs w:val="24"/>
        </w:rPr>
      </w:pPr>
    </w:p>
    <w:p w14:paraId="2A2AF548">
      <w:pPr>
        <w:pStyle w:val="86"/>
        <w:rPr>
          <w:rFonts w:ascii="Times New Roman" w:hAnsi="Times New Roman" w:eastAsia="方正小标宋简体"/>
          <w:sz w:val="24"/>
          <w:szCs w:val="24"/>
        </w:rPr>
      </w:pPr>
    </w:p>
    <w:p w14:paraId="5F551040">
      <w:pPr>
        <w:pStyle w:val="86"/>
        <w:rPr>
          <w:rFonts w:ascii="Times New Roman" w:hAnsi="Times New Roman" w:eastAsia="方正小标宋简体"/>
          <w:sz w:val="24"/>
          <w:szCs w:val="24"/>
        </w:rPr>
      </w:pPr>
    </w:p>
    <w:p w14:paraId="20FBB924">
      <w:pPr>
        <w:pStyle w:val="86"/>
        <w:rPr>
          <w:rFonts w:ascii="Times New Roman" w:hAnsi="Times New Roman" w:eastAsia="方正小标宋简体"/>
          <w:sz w:val="24"/>
          <w:szCs w:val="24"/>
        </w:rPr>
      </w:pPr>
    </w:p>
    <w:p w14:paraId="651BC447">
      <w:pPr>
        <w:pStyle w:val="86"/>
        <w:rPr>
          <w:rFonts w:ascii="Times New Roman" w:hAnsi="Times New Roman" w:eastAsia="方正小标宋简体"/>
          <w:sz w:val="24"/>
          <w:szCs w:val="24"/>
        </w:rPr>
      </w:pPr>
    </w:p>
    <w:p w14:paraId="2DD0F05A">
      <w:pPr>
        <w:pStyle w:val="86"/>
        <w:rPr>
          <w:rFonts w:ascii="Times New Roman" w:hAnsi="Times New Roman" w:eastAsia="方正小标宋简体"/>
          <w:sz w:val="24"/>
          <w:szCs w:val="24"/>
        </w:rPr>
      </w:pPr>
    </w:p>
    <w:tbl>
      <w:tblPr>
        <w:tblStyle w:val="35"/>
        <w:tblW w:w="0" w:type="auto"/>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92"/>
      </w:tblGrid>
      <w:tr w14:paraId="7712617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567" w:hRule="atLeast"/>
          <w:jc w:val="center"/>
        </w:trPr>
        <w:tc>
          <w:tcPr>
            <w:tcW w:w="4592" w:type="dxa"/>
            <w:tcBorders>
              <w:top w:val="nil"/>
              <w:left w:val="nil"/>
              <w:bottom w:val="nil"/>
              <w:right w:val="nil"/>
            </w:tcBorders>
            <w:vAlign w:val="center"/>
          </w:tcPr>
          <w:p w14:paraId="255B1D58">
            <w:pPr>
              <w:pStyle w:val="86"/>
              <w:jc w:val="center"/>
              <w:rPr>
                <w:rFonts w:ascii="Times New Roman" w:hAnsi="Times New Roman" w:eastAsia="方正小标宋简体"/>
                <w:sz w:val="32"/>
                <w:szCs w:val="32"/>
              </w:rPr>
            </w:pPr>
            <w:r>
              <w:rPr>
                <w:rFonts w:hint="eastAsia" w:ascii="Times New Roman" w:hAnsi="Times New Roman" w:eastAsia="方正小标宋简体"/>
                <w:sz w:val="32"/>
                <w:szCs w:val="32"/>
              </w:rPr>
              <w:t>峨眉山市人民政府</w:t>
            </w:r>
          </w:p>
        </w:tc>
      </w:tr>
      <w:tr w14:paraId="219FCD8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92" w:type="dxa"/>
            <w:tcBorders>
              <w:top w:val="nil"/>
              <w:left w:val="nil"/>
              <w:bottom w:val="nil"/>
              <w:right w:val="nil"/>
            </w:tcBorders>
            <w:vAlign w:val="center"/>
          </w:tcPr>
          <w:p w14:paraId="2D9AB5CF">
            <w:pPr>
              <w:pStyle w:val="86"/>
              <w:jc w:val="center"/>
              <w:rPr>
                <w:rFonts w:ascii="Times New Roman" w:hAnsi="Times New Roman" w:eastAsia="方正小标宋简体"/>
                <w:sz w:val="32"/>
                <w:szCs w:val="32"/>
              </w:rPr>
            </w:pPr>
            <w:r>
              <w:rPr>
                <w:rFonts w:ascii="Times New Roman" w:hAnsi="Times New Roman" w:eastAsia="方正小标宋简体"/>
                <w:sz w:val="32"/>
                <w:szCs w:val="32"/>
              </w:rPr>
              <w:t>二</w:t>
            </w:r>
            <w:r>
              <w:rPr>
                <w:rFonts w:ascii="Times New Roman" w:hAnsi="Times New Roman"/>
                <w:sz w:val="32"/>
                <w:szCs w:val="32"/>
              </w:rPr>
              <w:t>〇</w:t>
            </w:r>
            <w:r>
              <w:rPr>
                <w:rFonts w:ascii="Times New Roman" w:hAnsi="Times New Roman" w:eastAsia="方正小标宋简体"/>
                <w:sz w:val="32"/>
                <w:szCs w:val="32"/>
              </w:rPr>
              <w:t>二</w:t>
            </w:r>
            <w:r>
              <w:rPr>
                <w:rFonts w:hint="eastAsia" w:ascii="Times New Roman" w:hAnsi="Times New Roman" w:eastAsia="方正小标宋简体"/>
                <w:sz w:val="32"/>
                <w:szCs w:val="32"/>
                <w:lang w:val="en-US" w:eastAsia="zh-CN"/>
              </w:rPr>
              <w:t>四</w:t>
            </w:r>
            <w:r>
              <w:rPr>
                <w:rFonts w:ascii="Times New Roman" w:hAnsi="Times New Roman" w:eastAsia="方正小标宋简体"/>
                <w:sz w:val="32"/>
                <w:szCs w:val="32"/>
              </w:rPr>
              <w:t>年</w:t>
            </w:r>
            <w:r>
              <w:rPr>
                <w:rFonts w:hint="eastAsia" w:ascii="Times New Roman" w:hAnsi="Times New Roman" w:eastAsia="方正小标宋简体"/>
                <w:sz w:val="32"/>
                <w:szCs w:val="32"/>
                <w:lang w:val="en-US" w:eastAsia="zh-CN"/>
              </w:rPr>
              <w:t>五</w:t>
            </w:r>
            <w:r>
              <w:rPr>
                <w:rFonts w:ascii="Times New Roman" w:hAnsi="Times New Roman" w:eastAsia="方正小标宋简体"/>
                <w:sz w:val="32"/>
                <w:szCs w:val="32"/>
              </w:rPr>
              <w:t>月</w:t>
            </w:r>
          </w:p>
        </w:tc>
      </w:tr>
    </w:tbl>
    <w:p w14:paraId="1CEE3CD7">
      <w:pPr>
        <w:pStyle w:val="86"/>
        <w:rPr>
          <w:rFonts w:ascii="Times New Roman" w:hAnsi="Times New Roman" w:eastAsia="方正小标宋简体"/>
          <w:sz w:val="24"/>
          <w:szCs w:val="24"/>
        </w:rPr>
      </w:pPr>
    </w:p>
    <w:p w14:paraId="161EC3CE">
      <w:pPr>
        <w:spacing w:line="360" w:lineRule="auto"/>
        <w:ind w:firstLine="643"/>
        <w:jc w:val="center"/>
        <w:rPr>
          <w:b/>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titlePg/>
          <w:docGrid w:type="lines" w:linePitch="312" w:charSpace="0"/>
        </w:sectPr>
      </w:pPr>
    </w:p>
    <w:p w14:paraId="0115A518">
      <w:pPr>
        <w:spacing w:line="360" w:lineRule="auto"/>
        <w:ind w:firstLine="0" w:firstLineChars="0"/>
        <w:jc w:val="center"/>
        <w:rPr>
          <w:rFonts w:hint="eastAsia"/>
          <w:b/>
        </w:rPr>
      </w:pPr>
    </w:p>
    <w:p w14:paraId="34D46B13">
      <w:pPr>
        <w:spacing w:line="360" w:lineRule="auto"/>
        <w:ind w:firstLine="0" w:firstLineChars="0"/>
        <w:jc w:val="center"/>
        <w:rPr>
          <w:b/>
        </w:rPr>
      </w:pPr>
      <w:r>
        <w:rPr>
          <w:rFonts w:hint="eastAsia"/>
          <w:b/>
        </w:rPr>
        <w:t>目    录</w:t>
      </w:r>
    </w:p>
    <w:p w14:paraId="23EF459D">
      <w:pPr>
        <w:pStyle w:val="23"/>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TOC \o "1-3" \h \u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_Toc30880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1. 总则</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_Toc30880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1</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1671E656">
      <w:pPr>
        <w:pStyle w:val="26"/>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_Toc3749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1.1. 编制目的</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_Toc3749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2</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45A4A2C2">
      <w:pPr>
        <w:pStyle w:val="26"/>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_Toc1799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1.2. 编制依据</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_Toc1799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4</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680A96F1">
      <w:pPr>
        <w:pStyle w:val="14"/>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_Toc25282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1.2.1. 环境保护法律法规和规章</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_Toc25282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4</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3AC17F40">
      <w:pPr>
        <w:pStyle w:val="14"/>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_Toc25690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1.2.2. 技术标准和规范</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_Toc25690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5</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27011C75">
      <w:pPr>
        <w:pStyle w:val="14"/>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_Toc14055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1.2.3. 其他文件</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_Toc14055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5</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1D074756">
      <w:pPr>
        <w:pStyle w:val="26"/>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_Toc14391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1.3. 适用范围</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_Toc14391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6</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14970121">
      <w:pPr>
        <w:pStyle w:val="26"/>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_Toc3217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1.4. 预案衔接</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_Toc3217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10</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50DF4B8B">
      <w:pPr>
        <w:pStyle w:val="26"/>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_Toc32020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1.5. 工作原则</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_Toc32020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10</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325D7FCB">
      <w:pPr>
        <w:pStyle w:val="23"/>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_Toc16268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2. 应急组织指挥体系</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_Toc16268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12</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3276761C">
      <w:pPr>
        <w:pStyle w:val="26"/>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_Toc26127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2.1. 应急组织指挥机构</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_Toc26127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12</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5594751E">
      <w:pPr>
        <w:pStyle w:val="14"/>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_Toc27382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2.1.1. 机构组成</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_Toc27382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12</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16B9CED5">
      <w:pPr>
        <w:pStyle w:val="14"/>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_Toc27745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2.1.2. 应急组织指挥机构职责</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_Toc27745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12</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6C0E9C22">
      <w:pPr>
        <w:pStyle w:val="26"/>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_Toc2924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2.2. 现场应急指挥部</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_Toc2924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18</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114B341C">
      <w:pPr>
        <w:pStyle w:val="26"/>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_Toc2389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2.3. 现场应急工作组</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_Toc2389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19</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5C8F18FB">
      <w:pPr>
        <w:pStyle w:val="14"/>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_Toc28587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2.3.1. 应急处置组</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_Toc28587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19</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142F84E8">
      <w:pPr>
        <w:pStyle w:val="14"/>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_Toc2279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2.3.2. 应急监测组</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_Toc2279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19</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4C630F51">
      <w:pPr>
        <w:pStyle w:val="14"/>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_Toc21286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2.3.3. 应急供水保障组</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_Toc21286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20</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48986B2E">
      <w:pPr>
        <w:pStyle w:val="14"/>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_Toc639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2.3.4. 应急物资保障组</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_Toc639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20</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59F0D73A">
      <w:pPr>
        <w:pStyle w:val="14"/>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_Toc6753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2.3.5. 应急专家组</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_Toc6753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21</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6BEA18E1">
      <w:pPr>
        <w:pStyle w:val="14"/>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_Toc12388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2.3.6. 应急综合组</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_Toc12388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21</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6B010929">
      <w:pPr>
        <w:pStyle w:val="23"/>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_Toc10003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3. 应急响应</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_Toc10003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22</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539376CA">
      <w:pPr>
        <w:pStyle w:val="26"/>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_Toc25556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3.1. 信息收集和研判</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_Toc25556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23</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70A56B44">
      <w:pPr>
        <w:pStyle w:val="14"/>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_Toc10838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3.1.1. 信息收集</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_Toc10838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23</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7B90D3E2">
      <w:pPr>
        <w:pStyle w:val="14"/>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_Toc751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3.1.2. 信息研判与会商</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_Toc751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24</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7E1DFE31">
      <w:pPr>
        <w:pStyle w:val="14"/>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_Toc19832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3.1.3. 预防工作</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_Toc19832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24</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65D46296">
      <w:pPr>
        <w:pStyle w:val="26"/>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_Toc9935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3.2. 预警</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_Toc9935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25</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0E6B66DB">
      <w:pPr>
        <w:pStyle w:val="14"/>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_Toc3622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3.2.1. 突发环境事件分级</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_Toc3622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25</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3F51A4DC">
      <w:pPr>
        <w:pStyle w:val="14"/>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_Toc25473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3.2.2. 预警分级</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_Toc25473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26</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423272AF">
      <w:pPr>
        <w:pStyle w:val="14"/>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_Toc20736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3.2.3. 预警启动条件</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_Toc20736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27</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6FC2E986">
      <w:pPr>
        <w:pStyle w:val="14"/>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_Toc20676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3.2.4. 发布预警和预警级别调整</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_Toc20676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29</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51EE1FDB">
      <w:pPr>
        <w:pStyle w:val="14"/>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_Toc1507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3.2.5. 预警行动</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_Toc1507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30</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0F0F4903">
      <w:pPr>
        <w:pStyle w:val="14"/>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_Toc25011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3.2.6. 预警解除</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_Toc25011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30</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5FD28D4D">
      <w:pPr>
        <w:pStyle w:val="26"/>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_Toc21353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3.3. 信息报告与通报</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_Toc21353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31</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50D2B527">
      <w:pPr>
        <w:pStyle w:val="14"/>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_Toc19141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3.3.1. 信息报告与通报原则及对象</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_Toc19141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31</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2DAEC6B4">
      <w:pPr>
        <w:pStyle w:val="14"/>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_Toc11111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3.3.2. 信息报告与通报内容程序及内容</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_Toc11111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31</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1ACF738D">
      <w:pPr>
        <w:pStyle w:val="26"/>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_Toc28873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3.4. 事态研判</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_Toc28873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33</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253C4971">
      <w:pPr>
        <w:pStyle w:val="26"/>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_Toc30845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3.5. 应急监测</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_Toc30845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33</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1606703A">
      <w:pPr>
        <w:pStyle w:val="14"/>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_Toc28871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3.5.1. 开展应急监测程序</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_Toc28871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33</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34D1897C">
      <w:pPr>
        <w:pStyle w:val="14"/>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_Toc21737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3.5.2. 制定应急监测方案</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_Toc21737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34</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2ED815EE">
      <w:pPr>
        <w:pStyle w:val="14"/>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_Toc4080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3.5.3. 跨界应急监测</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_Toc4080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35</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620EC457">
      <w:pPr>
        <w:pStyle w:val="26"/>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_Toc32068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3.6. 污染源排查与处置</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_Toc32068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35</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6166F951">
      <w:pPr>
        <w:pStyle w:val="14"/>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_Toc7169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3.6.1. 明确排查对象</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_Toc7169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35</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7DC1FA9B">
      <w:pPr>
        <w:pStyle w:val="14"/>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_Toc1487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3.6.2. 切断污染源</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_Toc1487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36</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7FF36B71">
      <w:pPr>
        <w:pStyle w:val="26"/>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_Toc18372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3.7. 应急处置</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_Toc18372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37</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3AAAC682">
      <w:pPr>
        <w:pStyle w:val="14"/>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_Toc20344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3.7.1. 制定现场处置方案</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_Toc20344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37</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16C0F851">
      <w:pPr>
        <w:pStyle w:val="14"/>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_Toc11413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3.7.2. 现场处置</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_Toc11413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39</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3187F95A">
      <w:pPr>
        <w:pStyle w:val="14"/>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_Toc25027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3.7.3. 供水安全保障</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_Toc25027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40</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177ACCB6">
      <w:pPr>
        <w:pStyle w:val="26"/>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_Toc8469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3.8. 物资调集及应急设施启用</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_Toc8469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40</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070A6C37">
      <w:pPr>
        <w:pStyle w:val="26"/>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_Toc14649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3.9. 舆情监测与信息发布</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_Toc14649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41</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55452CA7">
      <w:pPr>
        <w:pStyle w:val="26"/>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_Toc22130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3.10. 响应终止</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_Toc22130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41</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3FEE98F0">
      <w:pPr>
        <w:pStyle w:val="23"/>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_Toc22025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4. 后期工作</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_Toc22025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43</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29C4461D">
      <w:pPr>
        <w:pStyle w:val="26"/>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_Toc30955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4.1. 后期防控</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_Toc30955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43</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42DBCE2B">
      <w:pPr>
        <w:pStyle w:val="26"/>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_Toc29954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4.2. 事件调查</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_Toc29954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43</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79339BF9">
      <w:pPr>
        <w:pStyle w:val="26"/>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_Toc13689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4.3. 损害评估</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_Toc13689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44</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63295BD4">
      <w:pPr>
        <w:pStyle w:val="26"/>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_Toc27920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4.4. 善后处置</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_Toc27920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44</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72245F32">
      <w:pPr>
        <w:pStyle w:val="14"/>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_Toc21959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4.4.1. 社会救助</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_Toc21959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44</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37E790DD">
      <w:pPr>
        <w:pStyle w:val="14"/>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_Toc15836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4.4.2. 危险品处置</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_Toc15836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44</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49A48BB1">
      <w:pPr>
        <w:pStyle w:val="23"/>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_Toc27871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5. 应急保障</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_Toc27871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46</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5644321D">
      <w:pPr>
        <w:pStyle w:val="26"/>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_Toc71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5.1. 通讯与信息保障</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_Toc71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46</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575EFBCA">
      <w:pPr>
        <w:pStyle w:val="26"/>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_Toc8748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5.2. 应急队伍保障</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_Toc8748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46</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62C0CC1F">
      <w:pPr>
        <w:pStyle w:val="26"/>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_Toc12241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5.3. 应急资源保障</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_Toc12241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47</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170A900F">
      <w:pPr>
        <w:pStyle w:val="26"/>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_Toc21970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5.4. 经费保障</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_Toc21970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47</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5538B244">
      <w:pPr>
        <w:pStyle w:val="26"/>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_Toc15409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5.5. 其他保障</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_Toc15409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47</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39E4DF47">
      <w:pPr>
        <w:pStyle w:val="23"/>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_Toc28766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6. 附则</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_Toc28766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49</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22CB407F">
      <w:pPr>
        <w:pStyle w:val="26"/>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_Toc3236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6.1. 名词术语</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_Toc3236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49</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043599E4">
      <w:pPr>
        <w:pStyle w:val="26"/>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_Toc351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6.2. 预案解释权属</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_Toc351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51</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5C91D19B">
      <w:pPr>
        <w:pStyle w:val="26"/>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_Toc10940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6.3. 预案演练和修订</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_Toc10940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51</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148B349D">
      <w:pPr>
        <w:pStyle w:val="26"/>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_Toc11114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6.4. 预案实施日期</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_Toc11114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51</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6CC0BF76">
      <w:pPr>
        <w:pStyle w:val="23"/>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_Toc14527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 xml:space="preserve">7. </w:t>
      </w:r>
      <w:r>
        <w:rPr>
          <w:rFonts w:hint="default" w:ascii="Times New Roman" w:hAnsi="Times New Roman" w:eastAsia="仿宋_GB2312" w:cs="Times New Roman"/>
          <w:i w:val="0"/>
          <w:iCs w:val="0"/>
          <w:sz w:val="32"/>
          <w:szCs w:val="32"/>
          <w:highlight w:val="none"/>
          <w:lang w:val="en-US" w:eastAsia="zh-CN"/>
        </w:rPr>
        <w:t>附图、</w:t>
      </w:r>
      <w:r>
        <w:rPr>
          <w:rFonts w:hint="default" w:ascii="Times New Roman" w:hAnsi="Times New Roman" w:eastAsia="仿宋_GB2312" w:cs="Times New Roman"/>
          <w:i w:val="0"/>
          <w:iCs w:val="0"/>
          <w:sz w:val="32"/>
          <w:szCs w:val="32"/>
          <w:highlight w:val="none"/>
        </w:rPr>
        <w:t>附件</w:t>
      </w:r>
      <w:r>
        <w:rPr>
          <w:rFonts w:hint="default" w:ascii="Times New Roman" w:hAnsi="Times New Roman" w:eastAsia="仿宋_GB2312" w:cs="Times New Roman"/>
          <w:i w:val="0"/>
          <w:iCs w:val="0"/>
          <w:sz w:val="32"/>
          <w:szCs w:val="32"/>
          <w:highlight w:val="none"/>
          <w:lang w:eastAsia="zh-CN"/>
        </w:rPr>
        <w:t>、</w:t>
      </w:r>
      <w:r>
        <w:rPr>
          <w:rFonts w:hint="default" w:ascii="Times New Roman" w:hAnsi="Times New Roman" w:eastAsia="仿宋_GB2312" w:cs="Times New Roman"/>
          <w:i w:val="0"/>
          <w:iCs w:val="0"/>
          <w:sz w:val="32"/>
          <w:szCs w:val="32"/>
          <w:highlight w:val="none"/>
          <w:lang w:val="en-US" w:eastAsia="zh-CN"/>
        </w:rPr>
        <w:t>附表</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_Toc14527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52</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07387854">
      <w:pPr>
        <w:pStyle w:val="26"/>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_Toc4499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7.1. 附图</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_Toc4499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52</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0AF5EAD5">
      <w:pPr>
        <w:pStyle w:val="26"/>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_Toc14287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7.2. 附件</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_Toc14287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52</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05876ACD">
      <w:pPr>
        <w:pStyle w:val="26"/>
        <w:tabs>
          <w:tab w:val="right" w:leader="dot" w:pos="8312"/>
        </w:tabs>
        <w:rPr>
          <w:rFonts w:hint="default" w:ascii="Times New Roman" w:hAnsi="Times New Roman" w:eastAsia="仿宋_GB2312" w:cs="Times New Roman"/>
          <w:i w:val="0"/>
          <w:iCs w:val="0"/>
          <w:sz w:val="32"/>
          <w:szCs w:val="32"/>
        </w:rPr>
      </w:pPr>
      <w:r>
        <w:rPr>
          <w:rFonts w:hint="default" w:ascii="Times New Roman" w:hAnsi="Times New Roman" w:eastAsia="仿宋_GB2312" w:cs="Times New Roman"/>
          <w:i w:val="0"/>
          <w:iCs w:val="0"/>
          <w:caps w:val="0"/>
          <w:sz w:val="32"/>
          <w:szCs w:val="32"/>
        </w:rPr>
        <w:fldChar w:fldCharType="begin"/>
      </w:r>
      <w:r>
        <w:rPr>
          <w:rFonts w:hint="default" w:ascii="Times New Roman" w:hAnsi="Times New Roman" w:eastAsia="仿宋_GB2312" w:cs="Times New Roman"/>
          <w:i w:val="0"/>
          <w:iCs w:val="0"/>
          <w:caps w:val="0"/>
          <w:sz w:val="32"/>
          <w:szCs w:val="32"/>
        </w:rPr>
        <w:instrText xml:space="preserve"> HYPERLINK \l _Toc22886 </w:instrText>
      </w:r>
      <w:r>
        <w:rPr>
          <w:rFonts w:hint="default" w:ascii="Times New Roman" w:hAnsi="Times New Roman" w:eastAsia="仿宋_GB2312" w:cs="Times New Roman"/>
          <w:i w:val="0"/>
          <w:iCs w:val="0"/>
          <w:caps w:val="0"/>
          <w:sz w:val="32"/>
          <w:szCs w:val="32"/>
        </w:rPr>
        <w:fldChar w:fldCharType="separate"/>
      </w:r>
      <w:r>
        <w:rPr>
          <w:rFonts w:hint="default" w:ascii="Times New Roman" w:hAnsi="Times New Roman" w:eastAsia="仿宋_GB2312" w:cs="Times New Roman"/>
          <w:i w:val="0"/>
          <w:iCs w:val="0"/>
          <w:sz w:val="32"/>
          <w:szCs w:val="32"/>
        </w:rPr>
        <w:t>7.3. 附表</w:t>
      </w:r>
      <w:r>
        <w:rPr>
          <w:rFonts w:hint="default" w:ascii="Times New Roman" w:hAnsi="Times New Roman" w:eastAsia="仿宋_GB2312" w:cs="Times New Roman"/>
          <w:i w:val="0"/>
          <w:iCs w:val="0"/>
          <w:sz w:val="32"/>
          <w:szCs w:val="32"/>
        </w:rPr>
        <w:tab/>
      </w:r>
      <w:r>
        <w:rPr>
          <w:rFonts w:hint="default" w:ascii="Times New Roman" w:hAnsi="Times New Roman" w:eastAsia="仿宋_GB2312" w:cs="Times New Roman"/>
          <w:i w:val="0"/>
          <w:iCs w:val="0"/>
          <w:sz w:val="32"/>
          <w:szCs w:val="32"/>
        </w:rPr>
        <w:fldChar w:fldCharType="begin"/>
      </w:r>
      <w:r>
        <w:rPr>
          <w:rFonts w:hint="default" w:ascii="Times New Roman" w:hAnsi="Times New Roman" w:eastAsia="仿宋_GB2312" w:cs="Times New Roman"/>
          <w:i w:val="0"/>
          <w:iCs w:val="0"/>
          <w:sz w:val="32"/>
          <w:szCs w:val="32"/>
        </w:rPr>
        <w:instrText xml:space="preserve"> PAGEREF _Toc22886 \h </w:instrText>
      </w:r>
      <w:r>
        <w:rPr>
          <w:rFonts w:hint="default" w:ascii="Times New Roman" w:hAnsi="Times New Roman" w:eastAsia="仿宋_GB2312" w:cs="Times New Roman"/>
          <w:i w:val="0"/>
          <w:iCs w:val="0"/>
          <w:sz w:val="32"/>
          <w:szCs w:val="32"/>
        </w:rPr>
        <w:fldChar w:fldCharType="separate"/>
      </w:r>
      <w:r>
        <w:rPr>
          <w:rFonts w:hint="default" w:ascii="Times New Roman" w:hAnsi="Times New Roman" w:eastAsia="仿宋_GB2312" w:cs="Times New Roman"/>
          <w:i w:val="0"/>
          <w:iCs w:val="0"/>
          <w:sz w:val="32"/>
          <w:szCs w:val="32"/>
        </w:rPr>
        <w:t>52</w:t>
      </w:r>
      <w:r>
        <w:rPr>
          <w:rFonts w:hint="default" w:ascii="Times New Roman" w:hAnsi="Times New Roman" w:eastAsia="仿宋_GB2312" w:cs="Times New Roman"/>
          <w:i w:val="0"/>
          <w:iCs w:val="0"/>
          <w:sz w:val="32"/>
          <w:szCs w:val="32"/>
        </w:rPr>
        <w:fldChar w:fldCharType="end"/>
      </w:r>
      <w:r>
        <w:rPr>
          <w:rFonts w:hint="default" w:ascii="Times New Roman" w:hAnsi="Times New Roman" w:eastAsia="仿宋_GB2312" w:cs="Times New Roman"/>
          <w:i w:val="0"/>
          <w:iCs w:val="0"/>
          <w:caps w:val="0"/>
          <w:sz w:val="32"/>
          <w:szCs w:val="32"/>
        </w:rPr>
        <w:fldChar w:fldCharType="end"/>
      </w:r>
    </w:p>
    <w:p w14:paraId="34780398">
      <w:pPr>
        <w:pStyle w:val="23"/>
        <w:tabs>
          <w:tab w:val="right" w:leader="dot" w:pos="8312"/>
        </w:tabs>
        <w:spacing w:before="0" w:after="0" w:line="360" w:lineRule="auto"/>
        <w:ind w:firstLine="562"/>
        <w:rPr>
          <w:rFonts w:hint="default" w:ascii="Times New Roman" w:hAnsi="Times New Roman" w:eastAsia="仿宋_GB2312" w:cs="Times New Roman"/>
          <w:i w:val="0"/>
          <w:iCs w:val="0"/>
          <w:caps w:val="0"/>
          <w:sz w:val="32"/>
          <w:szCs w:val="32"/>
        </w:rPr>
      </w:pPr>
      <w:r>
        <w:rPr>
          <w:rFonts w:hint="default" w:ascii="Times New Roman" w:hAnsi="Times New Roman" w:eastAsia="仿宋_GB2312" w:cs="Times New Roman"/>
          <w:i w:val="0"/>
          <w:iCs w:val="0"/>
          <w:caps w:val="0"/>
          <w:sz w:val="32"/>
          <w:szCs w:val="32"/>
        </w:rPr>
        <w:fldChar w:fldCharType="end"/>
      </w:r>
    </w:p>
    <w:p w14:paraId="3EC5C8AA">
      <w:pPr>
        <w:spacing w:line="360" w:lineRule="auto"/>
        <w:ind w:firstLine="562"/>
        <w:jc w:val="left"/>
        <w:rPr>
          <w:rFonts w:hint="default" w:ascii="Times New Roman" w:hAnsi="Times New Roman" w:eastAsia="仿宋_GB2312" w:cs="Times New Roman"/>
          <w:b/>
          <w:i w:val="0"/>
          <w:iCs w:val="0"/>
          <w:sz w:val="32"/>
          <w:szCs w:val="32"/>
        </w:rPr>
        <w:sectPr>
          <w:headerReference r:id="rId11" w:type="default"/>
          <w:footerReference r:id="rId12" w:type="default"/>
          <w:pgSz w:w="11906" w:h="16838"/>
          <w:pgMar w:top="1440" w:right="1797" w:bottom="1440" w:left="1797" w:header="851" w:footer="992" w:gutter="0"/>
          <w:pgBorders>
            <w:top w:val="none" w:sz="0" w:space="0"/>
            <w:left w:val="none" w:sz="0" w:space="0"/>
            <w:bottom w:val="none" w:sz="0" w:space="0"/>
            <w:right w:val="none" w:sz="0" w:space="0"/>
          </w:pgBorders>
          <w:pgNumType w:fmt="upperRoman" w:start="1"/>
          <w:cols w:space="425" w:num="1"/>
          <w:docGrid w:linePitch="312" w:charSpace="0"/>
        </w:sectPr>
      </w:pPr>
    </w:p>
    <w:p w14:paraId="5B576D60">
      <w:pPr>
        <w:spacing w:line="360" w:lineRule="auto"/>
        <w:ind w:left="0" w:leftChars="0" w:firstLine="0" w:firstLineChars="0"/>
        <w:jc w:val="left"/>
        <w:rPr>
          <w:rFonts w:hint="eastAsia" w:ascii="Times New Roman" w:hAnsi="Times New Roman" w:eastAsia="仿宋_GB2312" w:cs="Times New Roman"/>
          <w:b/>
          <w:i w:val="0"/>
          <w:iCs w:val="0"/>
          <w:sz w:val="32"/>
          <w:szCs w:val="32"/>
          <w:lang w:val="en-US" w:eastAsia="zh-CN"/>
        </w:rPr>
      </w:pPr>
      <w:r>
        <w:rPr>
          <w:rFonts w:hint="eastAsia" w:cs="Times New Roman"/>
          <w:b/>
          <w:i w:val="0"/>
          <w:iCs w:val="0"/>
          <w:sz w:val="32"/>
          <w:szCs w:val="32"/>
          <w:lang w:val="en-US" w:eastAsia="zh-CN"/>
        </w:rPr>
        <w:t>附图</w:t>
      </w:r>
    </w:p>
    <w:p w14:paraId="009A1A11">
      <w:pPr>
        <w:spacing w:line="360" w:lineRule="auto"/>
        <w:ind w:firstLine="562"/>
        <w:jc w:val="left"/>
        <w:rPr>
          <w:rFonts w:hint="default" w:ascii="Times New Roman" w:hAnsi="Times New Roman" w:eastAsia="仿宋_GB2312" w:cs="Times New Roman"/>
          <w:b w:val="0"/>
          <w:bCs/>
          <w:i w:val="0"/>
          <w:iCs w:val="0"/>
          <w:sz w:val="32"/>
          <w:szCs w:val="32"/>
        </w:rPr>
      </w:pPr>
      <w:r>
        <w:rPr>
          <w:rFonts w:hint="default" w:ascii="Times New Roman" w:hAnsi="Times New Roman" w:eastAsia="仿宋_GB2312" w:cs="Times New Roman"/>
          <w:b w:val="0"/>
          <w:bCs/>
          <w:i w:val="0"/>
          <w:iCs w:val="0"/>
          <w:sz w:val="32"/>
          <w:szCs w:val="32"/>
        </w:rPr>
        <w:t>附图1    峨眉山市集中</w:t>
      </w:r>
      <w:bookmarkStart w:id="73" w:name="_GoBack"/>
      <w:bookmarkEnd w:id="73"/>
      <w:r>
        <w:rPr>
          <w:rFonts w:hint="default" w:ascii="Times New Roman" w:hAnsi="Times New Roman" w:eastAsia="仿宋_GB2312" w:cs="Times New Roman"/>
          <w:b w:val="0"/>
          <w:bCs/>
          <w:i w:val="0"/>
          <w:iCs w:val="0"/>
          <w:sz w:val="32"/>
          <w:szCs w:val="32"/>
        </w:rPr>
        <w:t>式饮用水水源地分布图</w:t>
      </w:r>
    </w:p>
    <w:p w14:paraId="558C9C9A">
      <w:pPr>
        <w:spacing w:line="360" w:lineRule="auto"/>
        <w:ind w:firstLine="562"/>
        <w:jc w:val="left"/>
        <w:rPr>
          <w:rFonts w:hint="default" w:ascii="Times New Roman" w:hAnsi="Times New Roman" w:eastAsia="仿宋_GB2312" w:cs="Times New Roman"/>
          <w:b w:val="0"/>
          <w:bCs/>
          <w:i w:val="0"/>
          <w:iCs w:val="0"/>
          <w:sz w:val="32"/>
          <w:szCs w:val="32"/>
        </w:rPr>
      </w:pPr>
      <w:r>
        <w:rPr>
          <w:rFonts w:hint="default" w:ascii="Times New Roman" w:hAnsi="Times New Roman" w:eastAsia="仿宋_GB2312" w:cs="Times New Roman"/>
          <w:b w:val="0"/>
          <w:bCs/>
          <w:i w:val="0"/>
          <w:iCs w:val="0"/>
          <w:sz w:val="32"/>
          <w:szCs w:val="32"/>
        </w:rPr>
        <w:t>附图2    峨眉山市水系图</w:t>
      </w:r>
    </w:p>
    <w:p w14:paraId="3ECE33CA">
      <w:pPr>
        <w:spacing w:line="360" w:lineRule="auto"/>
        <w:ind w:firstLine="562"/>
        <w:jc w:val="left"/>
        <w:rPr>
          <w:rFonts w:hint="default" w:ascii="Times New Roman" w:hAnsi="Times New Roman" w:eastAsia="仿宋_GB2312" w:cs="Times New Roman"/>
          <w:b w:val="0"/>
          <w:bCs/>
          <w:i w:val="0"/>
          <w:iCs w:val="0"/>
          <w:sz w:val="32"/>
          <w:szCs w:val="32"/>
        </w:rPr>
      </w:pPr>
      <w:r>
        <w:rPr>
          <w:rFonts w:hint="default" w:ascii="Times New Roman" w:hAnsi="Times New Roman" w:eastAsia="仿宋_GB2312" w:cs="Times New Roman"/>
          <w:b w:val="0"/>
          <w:bCs/>
          <w:i w:val="0"/>
          <w:iCs w:val="0"/>
          <w:sz w:val="32"/>
          <w:szCs w:val="32"/>
        </w:rPr>
        <w:t>附图3    峨眉山集中式饮用水水源地突发环境事件处置流程图</w:t>
      </w:r>
    </w:p>
    <w:p w14:paraId="0E51B54B">
      <w:pPr>
        <w:spacing w:line="360" w:lineRule="auto"/>
        <w:ind w:firstLine="562"/>
        <w:jc w:val="left"/>
        <w:rPr>
          <w:rFonts w:hint="default" w:ascii="Times New Roman" w:hAnsi="Times New Roman" w:eastAsia="仿宋_GB2312" w:cs="Times New Roman"/>
          <w:b/>
          <w:i w:val="0"/>
          <w:iCs w:val="0"/>
          <w:sz w:val="32"/>
          <w:szCs w:val="32"/>
        </w:rPr>
      </w:pPr>
    </w:p>
    <w:p w14:paraId="2908FE5D">
      <w:pPr>
        <w:spacing w:line="360" w:lineRule="auto"/>
        <w:ind w:left="0" w:leftChars="0" w:firstLine="0" w:firstLineChars="0"/>
        <w:jc w:val="left"/>
        <w:rPr>
          <w:rFonts w:hint="eastAsia" w:ascii="Times New Roman" w:hAnsi="Times New Roman" w:eastAsia="仿宋_GB2312" w:cs="Times New Roman"/>
          <w:b/>
          <w:i w:val="0"/>
          <w:iCs w:val="0"/>
          <w:sz w:val="32"/>
          <w:szCs w:val="32"/>
          <w:lang w:val="en-US" w:eastAsia="zh-CN"/>
        </w:rPr>
      </w:pPr>
      <w:r>
        <w:rPr>
          <w:rFonts w:hint="eastAsia" w:cs="Times New Roman"/>
          <w:b/>
          <w:i w:val="0"/>
          <w:iCs w:val="0"/>
          <w:sz w:val="32"/>
          <w:szCs w:val="32"/>
          <w:lang w:val="en-US" w:eastAsia="zh-CN"/>
        </w:rPr>
        <w:t>附件</w:t>
      </w:r>
    </w:p>
    <w:p w14:paraId="574AD32D">
      <w:pPr>
        <w:spacing w:line="360" w:lineRule="auto"/>
        <w:ind w:firstLine="562"/>
        <w:jc w:val="left"/>
        <w:rPr>
          <w:rFonts w:hint="default" w:ascii="Times New Roman" w:hAnsi="Times New Roman" w:eastAsia="仿宋_GB2312" w:cs="Times New Roman"/>
          <w:b w:val="0"/>
          <w:bCs/>
          <w:i w:val="0"/>
          <w:iCs w:val="0"/>
          <w:sz w:val="32"/>
          <w:szCs w:val="32"/>
        </w:rPr>
      </w:pPr>
      <w:r>
        <w:rPr>
          <w:rFonts w:hint="default" w:ascii="Times New Roman" w:hAnsi="Times New Roman" w:eastAsia="仿宋_GB2312" w:cs="Times New Roman"/>
          <w:b w:val="0"/>
          <w:bCs/>
          <w:i w:val="0"/>
          <w:iCs w:val="0"/>
          <w:sz w:val="32"/>
          <w:szCs w:val="32"/>
        </w:rPr>
        <w:t>附件1    突发饮用水水源污染事件分级标准</w:t>
      </w:r>
    </w:p>
    <w:p w14:paraId="46D12575">
      <w:pPr>
        <w:spacing w:line="360" w:lineRule="auto"/>
        <w:ind w:firstLine="562"/>
        <w:jc w:val="left"/>
        <w:rPr>
          <w:rFonts w:hint="default" w:ascii="Times New Roman" w:hAnsi="Times New Roman" w:eastAsia="仿宋_GB2312" w:cs="Times New Roman"/>
          <w:b w:val="0"/>
          <w:bCs/>
          <w:i w:val="0"/>
          <w:iCs w:val="0"/>
          <w:sz w:val="32"/>
          <w:szCs w:val="32"/>
        </w:rPr>
      </w:pPr>
      <w:r>
        <w:rPr>
          <w:rFonts w:hint="default" w:ascii="Times New Roman" w:hAnsi="Times New Roman" w:eastAsia="仿宋_GB2312" w:cs="Times New Roman"/>
          <w:b w:val="0"/>
          <w:bCs/>
          <w:i w:val="0"/>
          <w:iCs w:val="0"/>
          <w:sz w:val="32"/>
          <w:szCs w:val="32"/>
        </w:rPr>
        <w:t>附件2    应急组织机构名单及工作职责</w:t>
      </w:r>
    </w:p>
    <w:p w14:paraId="5BEA5F6A">
      <w:pPr>
        <w:spacing w:line="360" w:lineRule="auto"/>
        <w:ind w:firstLine="562"/>
        <w:jc w:val="left"/>
        <w:rPr>
          <w:rFonts w:hint="default" w:ascii="Times New Roman" w:hAnsi="Times New Roman" w:eastAsia="仿宋_GB2312" w:cs="Times New Roman"/>
          <w:b w:val="0"/>
          <w:bCs/>
          <w:i w:val="0"/>
          <w:iCs w:val="0"/>
          <w:sz w:val="32"/>
          <w:szCs w:val="32"/>
        </w:rPr>
      </w:pPr>
      <w:r>
        <w:rPr>
          <w:rFonts w:hint="default" w:ascii="Times New Roman" w:hAnsi="Times New Roman" w:eastAsia="仿宋_GB2312" w:cs="Times New Roman"/>
          <w:b w:val="0"/>
          <w:bCs/>
          <w:i w:val="0"/>
          <w:iCs w:val="0"/>
          <w:sz w:val="32"/>
          <w:szCs w:val="32"/>
        </w:rPr>
        <w:t>附件3    应急响应机构及联络表</w:t>
      </w:r>
    </w:p>
    <w:p w14:paraId="51A4989D">
      <w:pPr>
        <w:spacing w:line="360" w:lineRule="auto"/>
        <w:ind w:firstLine="562"/>
        <w:jc w:val="left"/>
        <w:rPr>
          <w:rFonts w:hint="default" w:ascii="Times New Roman" w:hAnsi="Times New Roman" w:eastAsia="仿宋_GB2312" w:cs="Times New Roman"/>
          <w:b w:val="0"/>
          <w:bCs/>
          <w:i w:val="0"/>
          <w:iCs w:val="0"/>
          <w:sz w:val="32"/>
          <w:szCs w:val="32"/>
        </w:rPr>
      </w:pPr>
      <w:r>
        <w:rPr>
          <w:rFonts w:hint="default" w:ascii="Times New Roman" w:hAnsi="Times New Roman" w:eastAsia="仿宋_GB2312" w:cs="Times New Roman"/>
          <w:b w:val="0"/>
          <w:bCs/>
          <w:i w:val="0"/>
          <w:iCs w:val="0"/>
          <w:sz w:val="32"/>
          <w:szCs w:val="32"/>
        </w:rPr>
        <w:t>附件4    突发环境事件应急专家名单</w:t>
      </w:r>
    </w:p>
    <w:p w14:paraId="1B2CF2E2">
      <w:pPr>
        <w:spacing w:line="360" w:lineRule="auto"/>
        <w:ind w:firstLine="562"/>
        <w:jc w:val="left"/>
        <w:rPr>
          <w:rFonts w:hint="default" w:ascii="Times New Roman" w:hAnsi="Times New Roman" w:eastAsia="仿宋_GB2312" w:cs="Times New Roman"/>
          <w:b w:val="0"/>
          <w:bCs/>
          <w:i w:val="0"/>
          <w:iCs w:val="0"/>
          <w:sz w:val="32"/>
          <w:szCs w:val="32"/>
        </w:rPr>
      </w:pPr>
      <w:r>
        <w:rPr>
          <w:rFonts w:hint="default" w:ascii="Times New Roman" w:hAnsi="Times New Roman" w:eastAsia="仿宋_GB2312" w:cs="Times New Roman"/>
          <w:b w:val="0"/>
          <w:bCs/>
          <w:i w:val="0"/>
          <w:iCs w:val="0"/>
          <w:sz w:val="32"/>
          <w:szCs w:val="32"/>
        </w:rPr>
        <w:t>附件5    峨眉山市集中式饮用水水源地突发环境事件情景构建及应急处置案例</w:t>
      </w:r>
    </w:p>
    <w:p w14:paraId="53CF7F3D">
      <w:pPr>
        <w:spacing w:line="360" w:lineRule="auto"/>
        <w:ind w:firstLine="562"/>
        <w:jc w:val="left"/>
        <w:rPr>
          <w:rFonts w:hint="default" w:ascii="Times New Roman" w:hAnsi="Times New Roman" w:eastAsia="仿宋_GB2312" w:cs="Times New Roman"/>
          <w:b/>
          <w:i w:val="0"/>
          <w:iCs w:val="0"/>
          <w:sz w:val="32"/>
          <w:szCs w:val="32"/>
        </w:rPr>
      </w:pPr>
    </w:p>
    <w:p w14:paraId="06208764">
      <w:pPr>
        <w:spacing w:line="360" w:lineRule="auto"/>
        <w:ind w:left="0" w:leftChars="0" w:firstLine="0" w:firstLineChars="0"/>
        <w:jc w:val="left"/>
        <w:rPr>
          <w:rFonts w:hint="default" w:ascii="Times New Roman" w:hAnsi="Times New Roman" w:eastAsia="仿宋_GB2312" w:cs="Times New Roman"/>
          <w:b/>
          <w:i w:val="0"/>
          <w:iCs w:val="0"/>
          <w:sz w:val="32"/>
          <w:szCs w:val="32"/>
          <w:lang w:val="en-US" w:eastAsia="zh-CN"/>
        </w:rPr>
      </w:pPr>
      <w:r>
        <w:rPr>
          <w:rFonts w:hint="eastAsia" w:cs="Times New Roman"/>
          <w:b/>
          <w:i w:val="0"/>
          <w:iCs w:val="0"/>
          <w:sz w:val="32"/>
          <w:szCs w:val="32"/>
          <w:lang w:val="en-US" w:eastAsia="zh-CN"/>
        </w:rPr>
        <w:t>附表</w:t>
      </w:r>
    </w:p>
    <w:p w14:paraId="1A043D3C">
      <w:pPr>
        <w:spacing w:line="360" w:lineRule="auto"/>
        <w:ind w:firstLine="562"/>
        <w:jc w:val="left"/>
        <w:rPr>
          <w:rFonts w:hint="default" w:ascii="Times New Roman" w:hAnsi="Times New Roman" w:eastAsia="仿宋_GB2312" w:cs="Times New Roman"/>
          <w:b w:val="0"/>
          <w:bCs/>
          <w:i w:val="0"/>
          <w:iCs w:val="0"/>
          <w:sz w:val="32"/>
          <w:szCs w:val="32"/>
        </w:rPr>
      </w:pPr>
      <w:r>
        <w:rPr>
          <w:rFonts w:hint="default" w:ascii="Times New Roman" w:hAnsi="Times New Roman" w:eastAsia="仿宋_GB2312" w:cs="Times New Roman"/>
          <w:b w:val="0"/>
          <w:bCs/>
          <w:i w:val="0"/>
          <w:iCs w:val="0"/>
          <w:sz w:val="32"/>
          <w:szCs w:val="32"/>
        </w:rPr>
        <w:t>附表1    突发环境事件信息接收表</w:t>
      </w:r>
    </w:p>
    <w:p w14:paraId="198586EB">
      <w:pPr>
        <w:spacing w:line="360" w:lineRule="auto"/>
        <w:ind w:firstLine="562"/>
        <w:jc w:val="left"/>
        <w:rPr>
          <w:rFonts w:hint="default" w:ascii="Times New Roman" w:hAnsi="Times New Roman" w:eastAsia="仿宋_GB2312" w:cs="Times New Roman"/>
          <w:b w:val="0"/>
          <w:bCs/>
          <w:i w:val="0"/>
          <w:iCs w:val="0"/>
          <w:sz w:val="32"/>
          <w:szCs w:val="32"/>
        </w:rPr>
      </w:pPr>
      <w:r>
        <w:rPr>
          <w:rFonts w:hint="default" w:ascii="Times New Roman" w:hAnsi="Times New Roman" w:eastAsia="仿宋_GB2312" w:cs="Times New Roman"/>
          <w:b w:val="0"/>
          <w:bCs/>
          <w:i w:val="0"/>
          <w:iCs w:val="0"/>
          <w:sz w:val="32"/>
          <w:szCs w:val="32"/>
        </w:rPr>
        <w:t>附表2    突发环境事件报告表</w:t>
      </w:r>
    </w:p>
    <w:p w14:paraId="1F6B889A">
      <w:pPr>
        <w:spacing w:line="360" w:lineRule="auto"/>
        <w:ind w:firstLine="562"/>
        <w:jc w:val="left"/>
        <w:rPr>
          <w:rFonts w:hint="default" w:ascii="Times New Roman" w:hAnsi="Times New Roman" w:eastAsia="仿宋_GB2312" w:cs="Times New Roman"/>
          <w:b w:val="0"/>
          <w:bCs/>
          <w:i w:val="0"/>
          <w:iCs w:val="0"/>
          <w:sz w:val="32"/>
          <w:szCs w:val="32"/>
        </w:rPr>
      </w:pPr>
      <w:r>
        <w:rPr>
          <w:rFonts w:hint="default" w:ascii="Times New Roman" w:hAnsi="Times New Roman" w:eastAsia="仿宋_GB2312" w:cs="Times New Roman"/>
          <w:b w:val="0"/>
          <w:bCs/>
          <w:i w:val="0"/>
          <w:iCs w:val="0"/>
          <w:sz w:val="32"/>
          <w:szCs w:val="32"/>
        </w:rPr>
        <w:t>附表3    突发环境事件处理信息表</w:t>
      </w:r>
    </w:p>
    <w:p w14:paraId="765B8DBA">
      <w:pPr>
        <w:spacing w:line="360" w:lineRule="auto"/>
        <w:ind w:firstLine="562"/>
        <w:jc w:val="left"/>
        <w:rPr>
          <w:rFonts w:hint="default" w:ascii="Times New Roman" w:hAnsi="Times New Roman" w:eastAsia="仿宋_GB2312" w:cs="Times New Roman"/>
          <w:b w:val="0"/>
          <w:bCs/>
          <w:i w:val="0"/>
          <w:iCs w:val="0"/>
          <w:sz w:val="32"/>
          <w:szCs w:val="32"/>
        </w:rPr>
      </w:pPr>
      <w:r>
        <w:rPr>
          <w:rFonts w:hint="default" w:ascii="Times New Roman" w:hAnsi="Times New Roman" w:eastAsia="仿宋_GB2312" w:cs="Times New Roman"/>
          <w:b w:val="0"/>
          <w:bCs/>
          <w:i w:val="0"/>
          <w:iCs w:val="0"/>
          <w:sz w:val="32"/>
          <w:szCs w:val="32"/>
        </w:rPr>
        <w:t>附表4    突发环境事件应急预案启动令</w:t>
      </w:r>
    </w:p>
    <w:p w14:paraId="2D6D180A">
      <w:pPr>
        <w:spacing w:line="360" w:lineRule="auto"/>
        <w:ind w:firstLine="562"/>
        <w:jc w:val="left"/>
        <w:rPr>
          <w:rFonts w:hint="default" w:ascii="Times New Roman" w:hAnsi="Times New Roman" w:eastAsia="仿宋_GB2312" w:cs="Times New Roman"/>
          <w:b w:val="0"/>
          <w:bCs/>
          <w:i w:val="0"/>
          <w:iCs w:val="0"/>
          <w:sz w:val="32"/>
          <w:szCs w:val="32"/>
        </w:rPr>
      </w:pPr>
      <w:r>
        <w:rPr>
          <w:rFonts w:hint="default" w:ascii="Times New Roman" w:hAnsi="Times New Roman" w:eastAsia="仿宋_GB2312" w:cs="Times New Roman"/>
          <w:b w:val="0"/>
          <w:bCs/>
          <w:i w:val="0"/>
          <w:iCs w:val="0"/>
          <w:sz w:val="32"/>
          <w:szCs w:val="32"/>
        </w:rPr>
        <w:t>附表5    突发环境事件应急预案终止令</w:t>
      </w:r>
    </w:p>
    <w:p w14:paraId="015C5A3F">
      <w:pPr>
        <w:spacing w:line="360" w:lineRule="auto"/>
        <w:ind w:firstLine="562"/>
        <w:jc w:val="left"/>
        <w:rPr>
          <w:rFonts w:hint="default" w:ascii="Times New Roman" w:hAnsi="Times New Roman" w:eastAsia="仿宋_GB2312" w:cs="Times New Roman"/>
          <w:b w:val="0"/>
          <w:bCs/>
          <w:i w:val="0"/>
          <w:iCs w:val="0"/>
          <w:sz w:val="32"/>
          <w:szCs w:val="32"/>
        </w:rPr>
      </w:pPr>
      <w:r>
        <w:rPr>
          <w:rFonts w:hint="default" w:ascii="Times New Roman" w:hAnsi="Times New Roman" w:eastAsia="仿宋_GB2312" w:cs="Times New Roman"/>
          <w:b w:val="0"/>
          <w:bCs/>
          <w:i w:val="0"/>
          <w:iCs w:val="0"/>
          <w:sz w:val="32"/>
          <w:szCs w:val="32"/>
        </w:rPr>
        <w:t xml:space="preserve">附表6   </w:t>
      </w:r>
      <w:r>
        <w:rPr>
          <w:rFonts w:hint="eastAsia" w:cs="Times New Roman"/>
          <w:b w:val="0"/>
          <w:bCs/>
          <w:i w:val="0"/>
          <w:iCs w:val="0"/>
          <w:sz w:val="32"/>
          <w:szCs w:val="32"/>
          <w:lang w:val="en-US" w:eastAsia="zh-CN"/>
        </w:rPr>
        <w:t xml:space="preserve"> </w:t>
      </w:r>
      <w:r>
        <w:rPr>
          <w:rFonts w:hint="default" w:ascii="Times New Roman" w:hAnsi="Times New Roman" w:eastAsia="仿宋_GB2312" w:cs="Times New Roman"/>
          <w:b w:val="0"/>
          <w:bCs/>
          <w:i w:val="0"/>
          <w:iCs w:val="0"/>
          <w:sz w:val="32"/>
          <w:szCs w:val="32"/>
        </w:rPr>
        <w:t>突发环境事件应急预案演练记录表</w:t>
      </w:r>
    </w:p>
    <w:p w14:paraId="271D28AD">
      <w:pPr>
        <w:spacing w:line="360" w:lineRule="auto"/>
        <w:ind w:firstLine="562"/>
        <w:jc w:val="left"/>
        <w:rPr>
          <w:rFonts w:hint="default" w:ascii="Times New Roman" w:hAnsi="Times New Roman" w:eastAsia="仿宋_GB2312" w:cs="Times New Roman"/>
          <w:b w:val="0"/>
          <w:bCs/>
          <w:i w:val="0"/>
          <w:iCs w:val="0"/>
          <w:sz w:val="32"/>
          <w:szCs w:val="32"/>
        </w:rPr>
      </w:pPr>
      <w:r>
        <w:rPr>
          <w:rFonts w:hint="default" w:ascii="Times New Roman" w:hAnsi="Times New Roman" w:eastAsia="仿宋_GB2312" w:cs="Times New Roman"/>
          <w:b w:val="0"/>
          <w:bCs/>
          <w:i w:val="0"/>
          <w:iCs w:val="0"/>
          <w:sz w:val="32"/>
          <w:szCs w:val="32"/>
        </w:rPr>
        <w:t>附表7    突发环境事件应急响应培训人员记录表</w:t>
      </w:r>
    </w:p>
    <w:p w14:paraId="19A3184A">
      <w:pPr>
        <w:spacing w:line="360" w:lineRule="auto"/>
        <w:ind w:firstLine="562"/>
        <w:jc w:val="left"/>
        <w:rPr>
          <w:rFonts w:hint="default" w:ascii="Times New Roman" w:hAnsi="Times New Roman" w:eastAsia="仿宋_GB2312" w:cs="Times New Roman"/>
          <w:b w:val="0"/>
          <w:bCs/>
          <w:i w:val="0"/>
          <w:iCs w:val="0"/>
          <w:sz w:val="32"/>
          <w:szCs w:val="32"/>
        </w:rPr>
        <w:sectPr>
          <w:pgSz w:w="11906" w:h="16838"/>
          <w:pgMar w:top="1440" w:right="1797" w:bottom="1440" w:left="1797" w:header="851" w:footer="992" w:gutter="0"/>
          <w:pgBorders>
            <w:top w:val="none" w:sz="0" w:space="0"/>
            <w:left w:val="none" w:sz="0" w:space="0"/>
            <w:bottom w:val="none" w:sz="0" w:space="0"/>
            <w:right w:val="none" w:sz="0" w:space="0"/>
          </w:pgBorders>
          <w:pgNumType w:fmt="upperRoman"/>
          <w:cols w:space="425" w:num="1"/>
          <w:docGrid w:linePitch="312" w:charSpace="0"/>
        </w:sectPr>
      </w:pPr>
    </w:p>
    <w:p w14:paraId="460DE800">
      <w:pPr>
        <w:pStyle w:val="2"/>
        <w:numPr>
          <w:ilvl w:val="0"/>
          <w:numId w:val="2"/>
        </w:numPr>
      </w:pPr>
      <w:bookmarkStart w:id="0" w:name="_Toc30880"/>
      <w:r>
        <w:rPr>
          <w:rFonts w:hint="eastAsia"/>
        </w:rPr>
        <w:t>总则</w:t>
      </w:r>
      <w:bookmarkEnd w:id="0"/>
    </w:p>
    <w:p w14:paraId="28F4B85A">
      <w:pPr>
        <w:pStyle w:val="3"/>
        <w:numPr>
          <w:ilvl w:val="1"/>
          <w:numId w:val="2"/>
        </w:numPr>
      </w:pPr>
      <w:r>
        <w:rPr>
          <w:rFonts w:hint="eastAsia"/>
          <w:lang w:val="en-US" w:eastAsia="zh-CN"/>
        </w:rPr>
        <w:t>水源地情况</w:t>
      </w:r>
    </w:p>
    <w:p w14:paraId="3F7677E6">
      <w:pPr>
        <w:ind w:firstLine="640"/>
        <w:rPr>
          <w:rFonts w:hint="eastAsia"/>
          <w:color w:val="FF0000"/>
          <w:u w:val="single"/>
        </w:rPr>
      </w:pPr>
      <w:r>
        <w:rPr>
          <w:rFonts w:hint="eastAsia"/>
          <w:color w:val="FF0000"/>
          <w:u w:val="single"/>
        </w:rPr>
        <w:t>峨眉山市的供水和取水体系包括城区和乡镇供水系统。近年来，峨眉山市积极推进城乡供水一体化项目，这是市政府“挂图作战”重点民生实事项目之一。该项目总投资约2亿元，主要包括改造和新建约100公里的管网、新建水厂和加压站等设施，覆盖桂花桥、九里、罗目、龙池、大为等城区周边的10余个乡镇（街道）。该项目自2021年3月开始实施，截至目前已完成约33公里的管网改造，总体工程完成了近40%。</w:t>
      </w:r>
    </w:p>
    <w:p w14:paraId="0498DB4C">
      <w:pPr>
        <w:ind w:firstLine="640"/>
        <w:rPr>
          <w:rFonts w:hint="eastAsia"/>
          <w:color w:val="FF0000"/>
          <w:u w:val="single"/>
          <w:lang w:eastAsia="zh-CN"/>
        </w:rPr>
      </w:pPr>
      <w:r>
        <w:rPr>
          <w:rFonts w:hint="eastAsia"/>
          <w:color w:val="FF0000"/>
          <w:u w:val="single"/>
        </w:rPr>
        <w:t>此外，峨眉山市在13个乡镇（街道）分批有序推进供水主管网建设。目前，胜利街道、峨山街道、双福镇、龙池镇、大为镇、高桥镇、黄湾镇、罗目镇等8个乡镇（街道）已实现城乡供水一体化。绥山镇、桂花桥镇、符溪镇等地的建设已接近尾声，全市城乡供水一体化建设预计在2023年1月全部完工。这个项目完成后，将有效解决水压不稳、管网老化、跑冒滴漏等问题，形成一个较为完整的城乡供水体系</w:t>
      </w:r>
      <w:r>
        <w:rPr>
          <w:rFonts w:hint="eastAsia"/>
          <w:color w:val="FF0000"/>
          <w:u w:val="single"/>
          <w:lang w:eastAsia="zh-CN"/>
        </w:rPr>
        <w:t>。</w:t>
      </w:r>
    </w:p>
    <w:p w14:paraId="439DEE3A">
      <w:pPr>
        <w:ind w:firstLine="640"/>
        <w:rPr>
          <w:rFonts w:hint="eastAsia"/>
          <w:color w:val="FF0000"/>
          <w:u w:val="single"/>
          <w:lang w:val="en-US" w:eastAsia="zh-CN"/>
        </w:rPr>
      </w:pPr>
      <w:r>
        <w:rPr>
          <w:rFonts w:hint="eastAsia"/>
          <w:color w:val="FF0000"/>
          <w:u w:val="single"/>
          <w:lang w:val="en-US" w:eastAsia="zh-CN"/>
        </w:rPr>
        <w:t>截至目前，峨眉山市现有供水体系如下：</w:t>
      </w:r>
    </w:p>
    <w:p w14:paraId="583BF7C9">
      <w:pPr>
        <w:ind w:firstLine="640"/>
        <w:rPr>
          <w:rFonts w:hint="eastAsia"/>
          <w:color w:val="FF0000"/>
          <w:u w:val="single"/>
          <w:lang w:val="en-US" w:eastAsia="zh-CN"/>
        </w:rPr>
      </w:pPr>
      <w:r>
        <w:rPr>
          <w:rFonts w:hint="eastAsia"/>
          <w:color w:val="FF0000"/>
          <w:u w:val="single"/>
          <w:lang w:val="en-US" w:eastAsia="zh-CN"/>
        </w:rPr>
        <w:t>城市集中式饮用水水源地（3个）：</w:t>
      </w:r>
    </w:p>
    <w:p w14:paraId="607ADDA9">
      <w:pPr>
        <w:numPr>
          <w:ilvl w:val="0"/>
          <w:numId w:val="3"/>
        </w:numPr>
        <w:ind w:firstLine="640"/>
        <w:rPr>
          <w:rFonts w:hint="eastAsia"/>
          <w:color w:val="FF0000"/>
          <w:u w:val="single"/>
          <w:lang w:val="en-US" w:eastAsia="zh-CN"/>
        </w:rPr>
      </w:pPr>
      <w:r>
        <w:rPr>
          <w:rFonts w:hint="eastAsia"/>
          <w:color w:val="FF0000"/>
          <w:u w:val="single"/>
          <w:lang w:val="en-US" w:eastAsia="zh-CN"/>
        </w:rPr>
        <w:t>峨眉山虎溪河高洞口水源地（河流型）；</w:t>
      </w:r>
    </w:p>
    <w:p w14:paraId="1B593DC6">
      <w:pPr>
        <w:numPr>
          <w:ilvl w:val="0"/>
          <w:numId w:val="3"/>
        </w:numPr>
        <w:ind w:firstLine="640"/>
        <w:rPr>
          <w:rFonts w:hint="eastAsia"/>
          <w:color w:val="FF0000"/>
          <w:u w:val="single"/>
          <w:lang w:val="en-US" w:eastAsia="zh-CN"/>
        </w:rPr>
      </w:pPr>
      <w:r>
        <w:rPr>
          <w:rFonts w:hint="eastAsia"/>
          <w:color w:val="FF0000"/>
          <w:u w:val="single"/>
          <w:lang w:val="en-US" w:eastAsia="zh-CN"/>
        </w:rPr>
        <w:t>夹江县、峨眉山市青衣江群星村水源地（河流型）；</w:t>
      </w:r>
    </w:p>
    <w:p w14:paraId="74198C3B">
      <w:pPr>
        <w:numPr>
          <w:ilvl w:val="0"/>
          <w:numId w:val="3"/>
        </w:numPr>
        <w:ind w:firstLine="640"/>
        <w:rPr>
          <w:rFonts w:hint="eastAsia"/>
          <w:color w:val="FF0000"/>
          <w:u w:val="single"/>
          <w:lang w:val="en-US" w:eastAsia="zh-CN"/>
        </w:rPr>
      </w:pPr>
      <w:r>
        <w:rPr>
          <w:rFonts w:hint="eastAsia"/>
          <w:color w:val="FF0000"/>
          <w:u w:val="single"/>
          <w:lang w:val="en-US" w:eastAsia="zh-CN"/>
        </w:rPr>
        <w:t>观音岩水库饮用水水源地（湖库型）。</w:t>
      </w:r>
    </w:p>
    <w:p w14:paraId="2220E0ED">
      <w:pPr>
        <w:ind w:firstLine="640"/>
        <w:rPr>
          <w:rFonts w:hint="eastAsia"/>
          <w:color w:val="FF0000"/>
          <w:u w:val="single"/>
          <w:lang w:val="en-US" w:eastAsia="zh-CN"/>
        </w:rPr>
      </w:pPr>
      <w:r>
        <w:rPr>
          <w:rFonts w:hint="eastAsia"/>
          <w:color w:val="FF0000"/>
          <w:u w:val="single"/>
          <w:lang w:val="en-US" w:eastAsia="zh-CN"/>
        </w:rPr>
        <w:t>乡镇及以下</w:t>
      </w:r>
      <w:r>
        <w:rPr>
          <w:rFonts w:hint="default"/>
          <w:color w:val="FF0000"/>
          <w:u w:val="single"/>
          <w:lang w:val="en-US" w:eastAsia="zh-CN"/>
        </w:rPr>
        <w:t>饮用水水源地</w:t>
      </w:r>
      <w:r>
        <w:rPr>
          <w:rFonts w:hint="eastAsia"/>
          <w:color w:val="FF0000"/>
          <w:u w:val="single"/>
          <w:lang w:val="en-US" w:eastAsia="zh-CN"/>
        </w:rPr>
        <w:t>（7个）：</w:t>
      </w:r>
    </w:p>
    <w:p w14:paraId="23980748">
      <w:pPr>
        <w:numPr>
          <w:ilvl w:val="0"/>
          <w:numId w:val="4"/>
        </w:numPr>
        <w:ind w:firstLine="640"/>
        <w:rPr>
          <w:rFonts w:hint="eastAsia"/>
          <w:color w:val="FF0000"/>
          <w:u w:val="single"/>
          <w:lang w:val="en-US" w:eastAsia="zh-CN"/>
        </w:rPr>
      </w:pPr>
      <w:r>
        <w:rPr>
          <w:rFonts w:hint="eastAsia"/>
          <w:color w:val="FF0000"/>
          <w:u w:val="single"/>
          <w:lang w:val="en-US" w:eastAsia="zh-CN"/>
        </w:rPr>
        <w:t>黄湾乡、川主乡、峨山镇乡（镇）集中式饮用水水源保护区（河流型）；</w:t>
      </w:r>
    </w:p>
    <w:p w14:paraId="2EE34074">
      <w:pPr>
        <w:numPr>
          <w:ilvl w:val="0"/>
          <w:numId w:val="4"/>
        </w:numPr>
        <w:ind w:firstLine="640"/>
        <w:rPr>
          <w:rFonts w:hint="eastAsia"/>
          <w:color w:val="FF0000"/>
          <w:u w:val="single"/>
        </w:rPr>
      </w:pPr>
      <w:r>
        <w:rPr>
          <w:rFonts w:hint="eastAsia"/>
          <w:color w:val="FF0000"/>
          <w:u w:val="single"/>
          <w:lang w:val="en-US" w:eastAsia="zh-CN"/>
        </w:rPr>
        <w:t>龙池镇白果村8组水源保护区（河流型）；</w:t>
      </w:r>
    </w:p>
    <w:p w14:paraId="0708A4FF">
      <w:pPr>
        <w:numPr>
          <w:ilvl w:val="0"/>
          <w:numId w:val="4"/>
        </w:numPr>
        <w:ind w:firstLine="640"/>
        <w:rPr>
          <w:rFonts w:hint="eastAsia"/>
          <w:color w:val="FF0000"/>
          <w:u w:val="single"/>
        </w:rPr>
      </w:pPr>
      <w:r>
        <w:rPr>
          <w:rFonts w:hint="eastAsia"/>
          <w:color w:val="FF0000"/>
          <w:u w:val="single"/>
          <w:lang w:val="en-US" w:eastAsia="zh-CN"/>
        </w:rPr>
        <w:t>龙池镇龙池村4组水源（备用水源）保护区（地下水）；</w:t>
      </w:r>
    </w:p>
    <w:p w14:paraId="26FE54D0">
      <w:pPr>
        <w:numPr>
          <w:ilvl w:val="0"/>
          <w:numId w:val="4"/>
        </w:numPr>
        <w:ind w:firstLine="640"/>
        <w:rPr>
          <w:rFonts w:hint="eastAsia"/>
          <w:color w:val="FF0000"/>
          <w:u w:val="single"/>
        </w:rPr>
      </w:pPr>
      <w:r>
        <w:rPr>
          <w:rFonts w:hint="eastAsia"/>
          <w:color w:val="FF0000"/>
          <w:u w:val="single"/>
          <w:lang w:val="en-US" w:eastAsia="zh-CN"/>
        </w:rPr>
        <w:t>大为镇中坪村7组水源保护区（地下水）；</w:t>
      </w:r>
    </w:p>
    <w:p w14:paraId="4F7FD338">
      <w:pPr>
        <w:numPr>
          <w:ilvl w:val="0"/>
          <w:numId w:val="4"/>
        </w:numPr>
        <w:ind w:firstLine="640"/>
        <w:rPr>
          <w:rFonts w:hint="eastAsia"/>
          <w:color w:val="FF0000"/>
          <w:u w:val="single"/>
        </w:rPr>
      </w:pPr>
      <w:r>
        <w:rPr>
          <w:rFonts w:hint="eastAsia"/>
          <w:color w:val="FF0000"/>
          <w:u w:val="single"/>
          <w:lang w:val="en-US" w:eastAsia="zh-CN"/>
        </w:rPr>
        <w:t>龙门乡王山村饮用水水源地（河流型）；</w:t>
      </w:r>
    </w:p>
    <w:p w14:paraId="1813DA38">
      <w:pPr>
        <w:numPr>
          <w:ilvl w:val="0"/>
          <w:numId w:val="4"/>
        </w:numPr>
        <w:ind w:firstLine="640"/>
        <w:rPr>
          <w:rFonts w:hint="eastAsia"/>
          <w:color w:val="FF0000"/>
          <w:u w:val="single"/>
        </w:rPr>
      </w:pPr>
      <w:r>
        <w:rPr>
          <w:rFonts w:hint="eastAsia"/>
          <w:color w:val="FF0000"/>
          <w:u w:val="single"/>
          <w:lang w:val="en-US" w:eastAsia="zh-CN"/>
        </w:rPr>
        <w:t>龙池镇杨村铺饮用水水源地（河流型）；</w:t>
      </w:r>
    </w:p>
    <w:p w14:paraId="673736C7">
      <w:pPr>
        <w:numPr>
          <w:ilvl w:val="0"/>
          <w:numId w:val="4"/>
        </w:numPr>
        <w:ind w:firstLine="640"/>
        <w:rPr>
          <w:rFonts w:hint="eastAsia"/>
          <w:color w:val="FF0000"/>
          <w:u w:val="single"/>
        </w:rPr>
      </w:pPr>
      <w:r>
        <w:rPr>
          <w:rFonts w:hint="eastAsia"/>
          <w:color w:val="FF0000"/>
          <w:u w:val="single"/>
          <w:lang w:val="en-US" w:eastAsia="zh-CN"/>
        </w:rPr>
        <w:t>九里镇新沟村饮用水水源地（河流型）</w:t>
      </w:r>
      <w:r>
        <w:rPr>
          <w:rFonts w:hint="eastAsia"/>
          <w:color w:val="FF0000"/>
          <w:u w:val="single"/>
        </w:rPr>
        <w:t>。</w:t>
      </w:r>
    </w:p>
    <w:p w14:paraId="335CDECE">
      <w:pPr>
        <w:pStyle w:val="3"/>
        <w:numPr>
          <w:ilvl w:val="1"/>
          <w:numId w:val="2"/>
        </w:numPr>
      </w:pPr>
      <w:r>
        <w:rPr>
          <w:rFonts w:hint="eastAsia"/>
          <w:lang w:val="en-US" w:eastAsia="zh-CN"/>
        </w:rPr>
        <w:t>现有预案</w:t>
      </w:r>
    </w:p>
    <w:p w14:paraId="7D166970">
      <w:pPr>
        <w:ind w:firstLine="640"/>
        <w:rPr>
          <w:rFonts w:hint="eastAsia"/>
          <w:color w:val="FF0000"/>
          <w:u w:val="single"/>
        </w:rPr>
      </w:pPr>
      <w:r>
        <w:rPr>
          <w:rFonts w:hint="default" w:ascii="Times New Roman" w:hAnsi="Times New Roman" w:eastAsia="仿宋_GB2312" w:cs="Times New Roman"/>
          <w:color w:val="FF0000"/>
          <w:u w:val="single"/>
          <w:lang w:val="en-US" w:eastAsia="zh-CN"/>
        </w:rPr>
        <w:t>峨眉山市人民政府办公室于2017年8月11日印发了《峨眉山市突发饮用水水源污染事件应急预案》（</w:t>
      </w:r>
      <w:r>
        <w:rPr>
          <w:rFonts w:hint="default" w:ascii="Times New Roman" w:hAnsi="Times New Roman" w:eastAsia="仿宋_GB2312" w:cs="Times New Roman"/>
          <w:color w:val="FF0000"/>
          <w:spacing w:val="-3"/>
          <w:u w:val="single"/>
        </w:rPr>
        <w:t>峨府办函〔2017〕35号</w:t>
      </w:r>
      <w:r>
        <w:rPr>
          <w:rFonts w:hint="default" w:ascii="Times New Roman" w:hAnsi="Times New Roman" w:eastAsia="仿宋_GB2312" w:cs="Times New Roman"/>
          <w:color w:val="FF0000"/>
          <w:u w:val="single"/>
          <w:lang w:val="en-US" w:eastAsia="zh-CN"/>
        </w:rPr>
        <w:t>），</w:t>
      </w:r>
      <w:r>
        <w:rPr>
          <w:rFonts w:hint="eastAsia" w:ascii="Times New Roman" w:hAnsi="Times New Roman" w:cs="Times New Roman"/>
          <w:color w:val="FF0000"/>
          <w:u w:val="single"/>
          <w:lang w:val="en-US" w:eastAsia="zh-CN"/>
        </w:rPr>
        <w:t>该预案在峨眉山市水源地突发污染事件管理中发挥了重要的作用，但因其编制年限久远，已超过三年修编期限，同时峨眉山市现已新增多个水源地，现有预案已不适应当前管理需要</w:t>
      </w:r>
      <w:r>
        <w:rPr>
          <w:rFonts w:hint="eastAsia" w:cs="Times New Roman"/>
          <w:color w:val="FF0000"/>
          <w:u w:val="single"/>
          <w:lang w:val="en-US" w:eastAsia="zh-CN"/>
        </w:rPr>
        <w:t>。</w:t>
      </w:r>
    </w:p>
    <w:p w14:paraId="58A913B8">
      <w:pPr>
        <w:pStyle w:val="3"/>
        <w:numPr>
          <w:ilvl w:val="1"/>
          <w:numId w:val="2"/>
        </w:numPr>
      </w:pPr>
      <w:bookmarkStart w:id="1" w:name="_Toc3749"/>
      <w:r>
        <w:rPr>
          <w:rFonts w:hint="eastAsia"/>
        </w:rPr>
        <w:t>编制目的</w:t>
      </w:r>
      <w:bookmarkEnd w:id="1"/>
    </w:p>
    <w:p w14:paraId="091D67BD">
      <w:pPr>
        <w:ind w:firstLine="640"/>
        <w:rPr>
          <w:rFonts w:hint="eastAsia"/>
          <w:color w:val="FF0000"/>
          <w:u w:val="single"/>
        </w:rPr>
      </w:pPr>
      <w:r>
        <w:rPr>
          <w:rFonts w:hint="eastAsia"/>
          <w:color w:val="FF0000"/>
          <w:u w:val="single"/>
        </w:rPr>
        <w:t>近年来，随着城市化进程的加快和工业化的推进，水源地面临着越来越多的环境风险和潜在威胁</w:t>
      </w:r>
      <w:r>
        <w:rPr>
          <w:rFonts w:hint="eastAsia"/>
          <w:color w:val="FF0000"/>
          <w:u w:val="single"/>
          <w:lang w:eastAsia="zh-CN"/>
        </w:rPr>
        <w:t>，</w:t>
      </w:r>
      <w:r>
        <w:rPr>
          <w:rFonts w:hint="eastAsia"/>
          <w:color w:val="FF0000"/>
          <w:u w:val="single"/>
        </w:rPr>
        <w:t>突发环境事件，如水污染、自然灾害等，可能对水源地水质造成严重影响，威胁到广大人民群众的饮水安全。</w:t>
      </w:r>
    </w:p>
    <w:p w14:paraId="59B5DBA9">
      <w:pPr>
        <w:ind w:firstLine="640"/>
        <w:rPr>
          <w:rFonts w:hint="eastAsia"/>
          <w:color w:val="FF0000"/>
          <w:u w:val="single"/>
        </w:rPr>
      </w:pPr>
      <w:r>
        <w:rPr>
          <w:rFonts w:hint="default" w:ascii="Times New Roman" w:hAnsi="Times New Roman" w:eastAsia="仿宋_GB2312" w:cs="Times New Roman"/>
          <w:color w:val="FF0000"/>
          <w:u w:val="single"/>
          <w:lang w:val="en-US" w:eastAsia="zh-CN"/>
        </w:rPr>
        <w:t>峨眉山市人民政府办公室于2017年8月11日印发了《峨眉山市突发饮用水水源污染事件应急预案》（</w:t>
      </w:r>
      <w:r>
        <w:rPr>
          <w:rFonts w:hint="default" w:ascii="Times New Roman" w:hAnsi="Times New Roman" w:eastAsia="仿宋_GB2312" w:cs="Times New Roman"/>
          <w:color w:val="FF0000"/>
          <w:spacing w:val="-3"/>
          <w:u w:val="single"/>
        </w:rPr>
        <w:t>峨府办函〔2017〕35号</w:t>
      </w:r>
      <w:r>
        <w:rPr>
          <w:rFonts w:hint="default" w:ascii="Times New Roman" w:hAnsi="Times New Roman" w:eastAsia="仿宋_GB2312" w:cs="Times New Roman"/>
          <w:color w:val="FF0000"/>
          <w:u w:val="single"/>
          <w:lang w:val="en-US" w:eastAsia="zh-CN"/>
        </w:rPr>
        <w:t>），</w:t>
      </w:r>
      <w:r>
        <w:rPr>
          <w:rFonts w:hint="eastAsia" w:ascii="Times New Roman" w:hAnsi="Times New Roman" w:cs="Times New Roman"/>
          <w:color w:val="FF0000"/>
          <w:u w:val="single"/>
          <w:lang w:val="en-US" w:eastAsia="zh-CN"/>
        </w:rPr>
        <w:t>该预案在峨眉山市水源地突发污染事件管理中发挥了重要的作用，但因其编制年限久远，已超过三年修编期限，同时峨眉山市现已新增多个水源地，现有预案已不适应当前管理需要，</w:t>
      </w:r>
      <w:r>
        <w:rPr>
          <w:rFonts w:hint="eastAsia"/>
          <w:color w:val="FF0000"/>
          <w:u w:val="single"/>
        </w:rPr>
        <w:t>为了解决这些问题，提升峨眉山市集中式饮用水水源地应对突发环境事件的能力，确保人民群众的饮水安全，峨眉山市决定对现有的应急预案进行修编。本次修编的目的是：</w:t>
      </w:r>
    </w:p>
    <w:p w14:paraId="4248FA34">
      <w:pPr>
        <w:ind w:firstLine="640"/>
        <w:rPr>
          <w:rFonts w:hint="eastAsia"/>
          <w:color w:val="FF0000"/>
          <w:u w:val="single"/>
        </w:rPr>
      </w:pPr>
      <w:r>
        <w:rPr>
          <w:rFonts w:hint="eastAsia"/>
          <w:color w:val="FF0000"/>
          <w:u w:val="single"/>
        </w:rPr>
        <w:t>1. 强化应急预案的预警功能和快速响应机制，确保在突发环境事件发生时能够迅速启动应急程序。</w:t>
      </w:r>
    </w:p>
    <w:p w14:paraId="012E9ED0">
      <w:pPr>
        <w:ind w:firstLine="640"/>
        <w:rPr>
          <w:rFonts w:hint="eastAsia"/>
          <w:color w:val="FF0000"/>
          <w:u w:val="single"/>
        </w:rPr>
      </w:pPr>
      <w:r>
        <w:rPr>
          <w:rFonts w:hint="eastAsia"/>
          <w:color w:val="FF0000"/>
          <w:u w:val="single"/>
        </w:rPr>
        <w:t>2. 完善应急预案的内容，增加针对不同类型突发环境事件的专项应对措施，提高预案的实用性。</w:t>
      </w:r>
    </w:p>
    <w:p w14:paraId="68BF925A">
      <w:pPr>
        <w:ind w:firstLine="640"/>
        <w:rPr>
          <w:rFonts w:hint="eastAsia"/>
          <w:color w:val="FF0000"/>
          <w:u w:val="single"/>
        </w:rPr>
      </w:pPr>
      <w:r>
        <w:rPr>
          <w:rFonts w:hint="eastAsia"/>
          <w:color w:val="FF0000"/>
          <w:u w:val="single"/>
        </w:rPr>
        <w:t>3. 加强应急预案的培训和演练，提升应急人员处理突发环境事件的专业技能和应对能力。</w:t>
      </w:r>
    </w:p>
    <w:p w14:paraId="4FF9A811">
      <w:pPr>
        <w:ind w:firstLine="640"/>
        <w:rPr>
          <w:rFonts w:hint="eastAsia"/>
          <w:color w:val="FF0000"/>
          <w:u w:val="single"/>
        </w:rPr>
      </w:pPr>
      <w:r>
        <w:rPr>
          <w:rFonts w:hint="eastAsia"/>
          <w:color w:val="FF0000"/>
          <w:u w:val="single"/>
        </w:rPr>
        <w:t>4. 增强公众对水源地保护重要性的认识，提高社会公众的参与度和自我保护意识。</w:t>
      </w:r>
    </w:p>
    <w:p w14:paraId="1BB39F1A">
      <w:pPr>
        <w:ind w:firstLine="640"/>
        <w:rPr>
          <w:rFonts w:hint="eastAsia"/>
          <w:color w:val="FF0000"/>
          <w:u w:val="single"/>
        </w:rPr>
      </w:pPr>
      <w:r>
        <w:rPr>
          <w:rFonts w:hint="eastAsia"/>
          <w:color w:val="FF0000"/>
          <w:u w:val="single"/>
        </w:rPr>
        <w:t>通过本次修编，峨眉山市旨在构建一个更加科学、高效、全面的集中式饮用水水源地突发环境事件应急预案体系，为保障人民群众饮水安全和维护城市环境安全提供有力支撑。</w:t>
      </w:r>
    </w:p>
    <w:p w14:paraId="2C453A3D">
      <w:pPr>
        <w:ind w:firstLine="640"/>
        <w:rPr>
          <w:rFonts w:hint="eastAsia"/>
          <w:color w:val="FF0000"/>
          <w:u w:val="single"/>
        </w:rPr>
      </w:pPr>
      <w:r>
        <w:rPr>
          <w:rFonts w:hint="eastAsia"/>
          <w:strike w:val="0"/>
          <w:dstrike w:val="0"/>
          <w:lang w:val="en-US" w:eastAsia="zh-CN"/>
        </w:rPr>
        <w:t>本预案共包括10个水源地，</w:t>
      </w:r>
      <w:r>
        <w:rPr>
          <w:rFonts w:hint="eastAsia"/>
          <w:lang w:val="en-US" w:eastAsia="zh-CN"/>
        </w:rPr>
        <w:t>因</w:t>
      </w:r>
      <w:r>
        <w:rPr>
          <w:rFonts w:hint="eastAsia"/>
          <w:color w:val="auto"/>
          <w:lang w:val="en-US" w:eastAsia="zh-CN"/>
        </w:rPr>
        <w:t>夹江县、峨眉山市青衣江群星集中式饮用水水源地保护区位于夹江县迎江乡，夹江县已编制《夹江县饮用水水源突发环境事件应急预案》并将青衣江群星集中式饮用水水源地保护区纳入应急范围，</w:t>
      </w:r>
      <w:r>
        <w:rPr>
          <w:rFonts w:hint="eastAsia"/>
          <w:color w:val="auto"/>
          <w:u w:val="none"/>
          <w:lang w:val="en-US" w:eastAsia="zh-CN"/>
        </w:rPr>
        <w:t>当该水源地发生突发环境事件时，</w:t>
      </w:r>
      <w:r>
        <w:rPr>
          <w:rFonts w:hint="eastAsia"/>
          <w:color w:val="FF0000"/>
          <w:u w:val="single"/>
          <w:lang w:val="en-US" w:eastAsia="zh-CN"/>
        </w:rPr>
        <w:t>峨眉山市应积极配合做好各类应急处置工作，包括启用备用水源地、开展自来水厂、管网末梢等应急监测工作，故未将其纳入本次应急范围，故本次仅对其余9个水源地保护区开展基础环境状况调查、评估突发环境事件风险，编制</w:t>
      </w:r>
      <w:r>
        <w:rPr>
          <w:rFonts w:hint="eastAsia"/>
          <w:color w:val="FF0000"/>
          <w:u w:val="single"/>
        </w:rPr>
        <w:t>《</w:t>
      </w:r>
      <w:r>
        <w:rPr>
          <w:rFonts w:hint="eastAsia"/>
          <w:color w:val="FF0000"/>
          <w:u w:val="single"/>
          <w:lang w:eastAsia="zh-CN"/>
        </w:rPr>
        <w:t>峨眉山市集中式饮用水水源地</w:t>
      </w:r>
      <w:r>
        <w:rPr>
          <w:rFonts w:hint="eastAsia"/>
          <w:color w:val="FF0000"/>
          <w:u w:val="single"/>
        </w:rPr>
        <w:t>突发环境事件应急预案》</w:t>
      </w:r>
      <w:r>
        <w:rPr>
          <w:rFonts w:hint="eastAsia"/>
          <w:color w:val="FF0000"/>
          <w:u w:val="single"/>
          <w:lang w:eastAsia="zh-CN"/>
        </w:rPr>
        <w:t>（</w:t>
      </w:r>
      <w:r>
        <w:rPr>
          <w:rFonts w:hint="eastAsia"/>
          <w:color w:val="FF0000"/>
          <w:u w:val="single"/>
          <w:lang w:val="en-US" w:eastAsia="zh-CN"/>
        </w:rPr>
        <w:t>修订版</w:t>
      </w:r>
      <w:r>
        <w:rPr>
          <w:rFonts w:hint="eastAsia"/>
          <w:color w:val="FF0000"/>
          <w:u w:val="single"/>
          <w:lang w:eastAsia="zh-CN"/>
        </w:rPr>
        <w:t>）</w:t>
      </w:r>
      <w:r>
        <w:rPr>
          <w:rFonts w:hint="eastAsia"/>
          <w:color w:val="FF0000"/>
          <w:u w:val="single"/>
        </w:rPr>
        <w:t>。</w:t>
      </w:r>
    </w:p>
    <w:p w14:paraId="0D67FE53">
      <w:pPr>
        <w:pStyle w:val="3"/>
        <w:numPr>
          <w:ilvl w:val="1"/>
          <w:numId w:val="2"/>
        </w:numPr>
      </w:pPr>
      <w:bookmarkStart w:id="2" w:name="_Toc1799"/>
      <w:r>
        <w:rPr>
          <w:rFonts w:hint="eastAsia"/>
        </w:rPr>
        <w:t>编制依据</w:t>
      </w:r>
      <w:bookmarkEnd w:id="2"/>
    </w:p>
    <w:p w14:paraId="0A6B84A9">
      <w:pPr>
        <w:pStyle w:val="4"/>
        <w:numPr>
          <w:ilvl w:val="2"/>
          <w:numId w:val="2"/>
        </w:numPr>
      </w:pPr>
      <w:bookmarkStart w:id="3" w:name="_Toc25282"/>
      <w:r>
        <w:rPr>
          <w:rFonts w:hint="eastAsia"/>
        </w:rPr>
        <w:t>环境保护法律法规和规章</w:t>
      </w:r>
      <w:bookmarkEnd w:id="3"/>
    </w:p>
    <w:p w14:paraId="4FCB9A8E">
      <w:pPr>
        <w:numPr>
          <w:ilvl w:val="0"/>
          <w:numId w:val="5"/>
        </w:numPr>
        <w:ind w:firstLine="640"/>
      </w:pPr>
      <w:r>
        <w:rPr>
          <w:rFonts w:hint="eastAsia"/>
        </w:rPr>
        <w:t>《中华人民共和国突发事件应对法》（国家主席令第六十九号，2007年11月1日）；</w:t>
      </w:r>
    </w:p>
    <w:p w14:paraId="20A53EBF">
      <w:pPr>
        <w:numPr>
          <w:ilvl w:val="0"/>
          <w:numId w:val="5"/>
        </w:numPr>
        <w:ind w:firstLine="640"/>
      </w:pPr>
      <w:r>
        <w:rPr>
          <w:rFonts w:hint="eastAsia"/>
        </w:rPr>
        <w:t>《中华人民共和国环境保护法》（国家主席令第九号，2015年1月1日）；</w:t>
      </w:r>
    </w:p>
    <w:p w14:paraId="31132156">
      <w:pPr>
        <w:numPr>
          <w:ilvl w:val="0"/>
          <w:numId w:val="5"/>
        </w:numPr>
        <w:ind w:firstLine="640"/>
      </w:pPr>
      <w:r>
        <w:rPr>
          <w:rFonts w:hint="eastAsia"/>
        </w:rPr>
        <w:t>《中华人民共和国水污染防治法》（国家主席令第七十号修订，2017年6月27日）；</w:t>
      </w:r>
    </w:p>
    <w:p w14:paraId="4AAD6CD5">
      <w:pPr>
        <w:numPr>
          <w:ilvl w:val="0"/>
          <w:numId w:val="5"/>
        </w:numPr>
        <w:ind w:firstLine="640"/>
      </w:pPr>
      <w:r>
        <w:rPr>
          <w:rFonts w:hint="eastAsia"/>
        </w:rPr>
        <w:t>《突发事件应急预案管理办法》（国办发〔2017〕101号）；</w:t>
      </w:r>
    </w:p>
    <w:p w14:paraId="297C2B9A">
      <w:pPr>
        <w:numPr>
          <w:ilvl w:val="0"/>
          <w:numId w:val="5"/>
        </w:numPr>
        <w:ind w:firstLine="640"/>
      </w:pPr>
      <w:r>
        <w:rPr>
          <w:rFonts w:hint="eastAsia"/>
        </w:rPr>
        <w:t>《突发环境事件信息报告办法》（环境保护部令第17号）；</w:t>
      </w:r>
    </w:p>
    <w:p w14:paraId="565D9FFD">
      <w:pPr>
        <w:numPr>
          <w:ilvl w:val="0"/>
          <w:numId w:val="5"/>
        </w:numPr>
        <w:ind w:firstLine="640"/>
      </w:pPr>
      <w:r>
        <w:rPr>
          <w:rFonts w:hint="eastAsia"/>
        </w:rPr>
        <w:t>《突发环境事件应急管理办法》（环境保护部令第34号）；</w:t>
      </w:r>
    </w:p>
    <w:p w14:paraId="4317DBEB">
      <w:pPr>
        <w:numPr>
          <w:ilvl w:val="0"/>
          <w:numId w:val="5"/>
        </w:numPr>
        <w:ind w:firstLine="640"/>
      </w:pPr>
      <w:r>
        <w:rPr>
          <w:rFonts w:hint="eastAsia"/>
        </w:rPr>
        <w:t>《四川省突发事件应对办法》（2012年8月1日起施行）；</w:t>
      </w:r>
    </w:p>
    <w:p w14:paraId="6FD13350">
      <w:pPr>
        <w:numPr>
          <w:ilvl w:val="0"/>
          <w:numId w:val="5"/>
        </w:numPr>
        <w:ind w:firstLine="640"/>
      </w:pPr>
      <w:r>
        <w:rPr>
          <w:rFonts w:hint="eastAsia"/>
        </w:rPr>
        <w:t>《四川省环境保护条例》（2018年1月1日起施行）；</w:t>
      </w:r>
    </w:p>
    <w:p w14:paraId="327FBEE4">
      <w:pPr>
        <w:numPr>
          <w:ilvl w:val="0"/>
          <w:numId w:val="5"/>
        </w:numPr>
        <w:ind w:firstLine="640"/>
      </w:pPr>
      <w:r>
        <w:rPr>
          <w:rFonts w:hint="eastAsia"/>
        </w:rPr>
        <w:t>《四川省饮用水水源保护管理条例》（2012年1月1日起施行，2019修正）</w:t>
      </w:r>
      <w:r>
        <w:rPr>
          <w:rFonts w:hint="eastAsia"/>
          <w:lang w:eastAsia="zh-CN"/>
        </w:rPr>
        <w:t>；</w:t>
      </w:r>
    </w:p>
    <w:p w14:paraId="221C772D">
      <w:pPr>
        <w:numPr>
          <w:ilvl w:val="0"/>
          <w:numId w:val="5"/>
        </w:numPr>
        <w:ind w:firstLine="640"/>
        <w:rPr>
          <w:color w:val="FF0000"/>
          <w:u w:val="single"/>
        </w:rPr>
      </w:pPr>
      <w:r>
        <w:rPr>
          <w:rFonts w:hint="eastAsia"/>
          <w:color w:val="FF0000"/>
          <w:u w:val="single"/>
          <w:lang w:eastAsia="zh-CN"/>
        </w:rPr>
        <w:t>《乐山市集中式饮用水水源保护管理条例》</w:t>
      </w:r>
      <w:r>
        <w:rPr>
          <w:rFonts w:hint="eastAsia"/>
          <w:color w:val="FF0000"/>
          <w:u w:val="single"/>
        </w:rPr>
        <w:t>（20</w:t>
      </w:r>
      <w:r>
        <w:rPr>
          <w:rFonts w:hint="eastAsia"/>
          <w:color w:val="FF0000"/>
          <w:u w:val="single"/>
          <w:lang w:val="en-US" w:eastAsia="zh-CN"/>
        </w:rPr>
        <w:t>19</w:t>
      </w:r>
      <w:r>
        <w:rPr>
          <w:rFonts w:hint="eastAsia"/>
          <w:color w:val="FF0000"/>
          <w:u w:val="single"/>
        </w:rPr>
        <w:t>年</w:t>
      </w:r>
      <w:r>
        <w:rPr>
          <w:rFonts w:hint="eastAsia"/>
          <w:color w:val="FF0000"/>
          <w:u w:val="single"/>
          <w:lang w:val="en-US" w:eastAsia="zh-CN"/>
        </w:rPr>
        <w:t>1</w:t>
      </w:r>
      <w:r>
        <w:rPr>
          <w:rFonts w:hint="eastAsia"/>
          <w:color w:val="FF0000"/>
          <w:u w:val="single"/>
        </w:rPr>
        <w:t>月</w:t>
      </w:r>
      <w:r>
        <w:rPr>
          <w:rFonts w:hint="eastAsia"/>
          <w:color w:val="FF0000"/>
          <w:u w:val="single"/>
          <w:lang w:val="en-US" w:eastAsia="zh-CN"/>
        </w:rPr>
        <w:t>1</w:t>
      </w:r>
      <w:r>
        <w:rPr>
          <w:rFonts w:hint="eastAsia"/>
          <w:color w:val="FF0000"/>
          <w:u w:val="single"/>
        </w:rPr>
        <w:t>日）；</w:t>
      </w:r>
    </w:p>
    <w:p w14:paraId="149036D9">
      <w:pPr>
        <w:numPr>
          <w:ilvl w:val="0"/>
          <w:numId w:val="5"/>
        </w:numPr>
        <w:ind w:firstLine="640"/>
        <w:rPr>
          <w:color w:val="FF0000"/>
          <w:u w:val="single"/>
        </w:rPr>
      </w:pPr>
      <w:r>
        <w:rPr>
          <w:rFonts w:hint="eastAsia"/>
          <w:color w:val="FF0000"/>
          <w:u w:val="single"/>
        </w:rPr>
        <w:t>《乐山市村镇集中供水工程运行管理制度（试行）》。</w:t>
      </w:r>
    </w:p>
    <w:p w14:paraId="7314C4A8">
      <w:pPr>
        <w:pStyle w:val="4"/>
        <w:numPr>
          <w:ilvl w:val="2"/>
          <w:numId w:val="2"/>
        </w:numPr>
      </w:pPr>
      <w:bookmarkStart w:id="4" w:name="_Toc25690"/>
      <w:r>
        <w:rPr>
          <w:rFonts w:hint="eastAsia"/>
        </w:rPr>
        <w:t>技术标准和规范</w:t>
      </w:r>
      <w:bookmarkEnd w:id="4"/>
    </w:p>
    <w:p w14:paraId="40ED13AE">
      <w:pPr>
        <w:numPr>
          <w:ilvl w:val="0"/>
          <w:numId w:val="6"/>
        </w:numPr>
        <w:ind w:firstLine="640"/>
      </w:pPr>
      <w:r>
        <w:rPr>
          <w:rFonts w:hint="eastAsia"/>
        </w:rPr>
        <w:t>《地表水环境质量标准》（GB3838－2002）；</w:t>
      </w:r>
    </w:p>
    <w:p w14:paraId="5DD718FE">
      <w:pPr>
        <w:numPr>
          <w:ilvl w:val="0"/>
          <w:numId w:val="6"/>
        </w:numPr>
        <w:ind w:firstLine="640"/>
      </w:pPr>
      <w:r>
        <w:rPr>
          <w:rFonts w:hint="eastAsia"/>
        </w:rPr>
        <w:t>《地下水质量标准》（GB/T14848－2017）；</w:t>
      </w:r>
    </w:p>
    <w:p w14:paraId="76343D17">
      <w:pPr>
        <w:numPr>
          <w:ilvl w:val="0"/>
          <w:numId w:val="6"/>
        </w:numPr>
        <w:ind w:firstLine="640"/>
      </w:pPr>
      <w:r>
        <w:rPr>
          <w:rFonts w:hint="eastAsia"/>
        </w:rPr>
        <w:t>《突发环境事件应急监测技术规范》（HJ589－2010）；</w:t>
      </w:r>
    </w:p>
    <w:p w14:paraId="0D80674B">
      <w:pPr>
        <w:numPr>
          <w:ilvl w:val="0"/>
          <w:numId w:val="6"/>
        </w:numPr>
        <w:ind w:firstLine="640"/>
      </w:pPr>
      <w:r>
        <w:rPr>
          <w:rFonts w:hint="eastAsia"/>
        </w:rPr>
        <w:t>《集中式饮用水水源地规范化建设环境保护技术要求》（HJ773－2015）；</w:t>
      </w:r>
    </w:p>
    <w:p w14:paraId="5A3491E6">
      <w:pPr>
        <w:numPr>
          <w:ilvl w:val="0"/>
          <w:numId w:val="6"/>
        </w:numPr>
        <w:ind w:firstLine="640"/>
      </w:pPr>
      <w:r>
        <w:rPr>
          <w:rFonts w:hint="eastAsia"/>
        </w:rPr>
        <w:t>《企业突发环境事件风险分级方法》（HJ941－2018）；</w:t>
      </w:r>
    </w:p>
    <w:p w14:paraId="35026A23">
      <w:pPr>
        <w:numPr>
          <w:ilvl w:val="0"/>
          <w:numId w:val="6"/>
        </w:numPr>
        <w:ind w:firstLine="640"/>
      </w:pPr>
      <w:r>
        <w:rPr>
          <w:rFonts w:hint="eastAsia"/>
        </w:rPr>
        <w:t>《企业事业单位突发环境事件应急预案备案管理办法（试行）》（环发〔2015〕4号）；</w:t>
      </w:r>
    </w:p>
    <w:p w14:paraId="73B6625C">
      <w:pPr>
        <w:numPr>
          <w:ilvl w:val="0"/>
          <w:numId w:val="6"/>
        </w:numPr>
        <w:ind w:firstLine="640"/>
      </w:pPr>
      <w:r>
        <w:rPr>
          <w:rFonts w:hint="eastAsia"/>
        </w:rPr>
        <w:t>《集中式地表饮用水水源地环境应急管理工作指南》（环办〔2011〕93号）；</w:t>
      </w:r>
    </w:p>
    <w:p w14:paraId="1CF06070">
      <w:pPr>
        <w:numPr>
          <w:ilvl w:val="0"/>
          <w:numId w:val="6"/>
        </w:numPr>
        <w:ind w:firstLine="640"/>
      </w:pPr>
      <w:r>
        <w:rPr>
          <w:rFonts w:hint="eastAsia"/>
        </w:rPr>
        <w:t>《集中式饮用水水源环境保护指南（试行）》（环办〔2012〕50号）；</w:t>
      </w:r>
    </w:p>
    <w:p w14:paraId="5EEF1F89">
      <w:pPr>
        <w:numPr>
          <w:ilvl w:val="0"/>
          <w:numId w:val="6"/>
        </w:numPr>
        <w:ind w:firstLine="640"/>
      </w:pPr>
      <w:r>
        <w:rPr>
          <w:rFonts w:hint="eastAsia"/>
        </w:rPr>
        <w:t>《行政区域突发环境事件风险评估推荐方法》（环办应急〔2018〕9号）；</w:t>
      </w:r>
    </w:p>
    <w:p w14:paraId="7A0956E8">
      <w:pPr>
        <w:numPr>
          <w:ilvl w:val="0"/>
          <w:numId w:val="6"/>
        </w:numPr>
        <w:ind w:firstLine="640"/>
      </w:pPr>
      <w:r>
        <w:rPr>
          <w:rFonts w:hint="eastAsia"/>
        </w:rPr>
        <w:t>《集中式地表水饮用水水源地突发环境事件应急预案编制指南（试行）》（生态环境部公告2018年第1号）。</w:t>
      </w:r>
    </w:p>
    <w:p w14:paraId="1CB0CF81">
      <w:pPr>
        <w:pStyle w:val="4"/>
        <w:numPr>
          <w:ilvl w:val="2"/>
          <w:numId w:val="2"/>
        </w:numPr>
      </w:pPr>
      <w:bookmarkStart w:id="5" w:name="_Toc14055"/>
      <w:r>
        <w:rPr>
          <w:rFonts w:hint="eastAsia"/>
        </w:rPr>
        <w:t>其他文件</w:t>
      </w:r>
      <w:bookmarkEnd w:id="5"/>
    </w:p>
    <w:p w14:paraId="1EEB6F54">
      <w:pPr>
        <w:numPr>
          <w:ilvl w:val="0"/>
          <w:numId w:val="7"/>
        </w:numPr>
        <w:ind w:firstLine="640"/>
        <w:rPr>
          <w:color w:val="FF0000"/>
          <w:u w:val="single"/>
        </w:rPr>
      </w:pPr>
      <w:r>
        <w:rPr>
          <w:rFonts w:hint="eastAsia"/>
          <w:color w:val="FF0000"/>
          <w:u w:val="single"/>
        </w:rPr>
        <w:t>《国家突发环境事件应急预案》（国办函〔2014〕119号）；</w:t>
      </w:r>
    </w:p>
    <w:p w14:paraId="7A9ADD07">
      <w:pPr>
        <w:numPr>
          <w:ilvl w:val="0"/>
          <w:numId w:val="7"/>
        </w:numPr>
        <w:ind w:firstLine="640"/>
      </w:pPr>
      <w:r>
        <w:rPr>
          <w:rFonts w:hint="eastAsia"/>
        </w:rPr>
        <w:t>《四川省突发事件总体应急预案（试行）》（川府发〔2021〕5号）；</w:t>
      </w:r>
    </w:p>
    <w:p w14:paraId="0D284724">
      <w:pPr>
        <w:numPr>
          <w:ilvl w:val="0"/>
          <w:numId w:val="7"/>
        </w:numPr>
        <w:ind w:firstLine="640"/>
      </w:pPr>
      <w:r>
        <w:rPr>
          <w:rFonts w:hint="eastAsia"/>
        </w:rPr>
        <w:t>《四川省突发生态环境事件应急预案（试行）》（2022年2月18日）；</w:t>
      </w:r>
    </w:p>
    <w:p w14:paraId="0D448E23">
      <w:pPr>
        <w:numPr>
          <w:ilvl w:val="0"/>
          <w:numId w:val="7"/>
        </w:numPr>
        <w:ind w:firstLine="640"/>
      </w:pPr>
      <w:r>
        <w:rPr>
          <w:rFonts w:hint="eastAsia"/>
        </w:rPr>
        <w:t>《乐山市突发事件总体应急预案（试行）》（2021年10月11日）；</w:t>
      </w:r>
    </w:p>
    <w:p w14:paraId="0C5115AF">
      <w:pPr>
        <w:numPr>
          <w:ilvl w:val="0"/>
          <w:numId w:val="7"/>
        </w:numPr>
        <w:ind w:firstLine="640"/>
      </w:pPr>
      <w:r>
        <w:rPr>
          <w:rFonts w:hint="eastAsia"/>
        </w:rPr>
        <w:t>《乐山市突发生态环境事件应急预案（试行）》（2022年6月23日）；</w:t>
      </w:r>
    </w:p>
    <w:p w14:paraId="0BE9A6D3">
      <w:pPr>
        <w:numPr>
          <w:ilvl w:val="0"/>
          <w:numId w:val="7"/>
        </w:numPr>
        <w:ind w:firstLine="640"/>
      </w:pPr>
      <w:r>
        <w:rPr>
          <w:rFonts w:hint="eastAsia"/>
        </w:rPr>
        <w:t>《峨眉山市突发事件总体应急预案（试行）》（2021年12月25日）；</w:t>
      </w:r>
    </w:p>
    <w:p w14:paraId="1E2395F6">
      <w:pPr>
        <w:numPr>
          <w:ilvl w:val="0"/>
          <w:numId w:val="7"/>
        </w:numPr>
        <w:ind w:firstLine="640"/>
      </w:pPr>
      <w:r>
        <w:rPr>
          <w:rFonts w:hint="eastAsia"/>
        </w:rPr>
        <w:t>《峨眉山市饮用水水源地保护区环境保护和污染防治规划（2021—2025）》；</w:t>
      </w:r>
    </w:p>
    <w:p w14:paraId="1B8AA0B3">
      <w:pPr>
        <w:numPr>
          <w:ilvl w:val="0"/>
          <w:numId w:val="7"/>
        </w:numPr>
        <w:ind w:firstLine="640"/>
      </w:pPr>
      <w:r>
        <w:rPr>
          <w:rFonts w:hint="eastAsia"/>
        </w:rPr>
        <w:t>《峨眉山市水功能区划分技术报告》（2022年12月）；</w:t>
      </w:r>
    </w:p>
    <w:p w14:paraId="0DB198EB">
      <w:pPr>
        <w:numPr>
          <w:ilvl w:val="0"/>
          <w:numId w:val="7"/>
        </w:numPr>
        <w:ind w:firstLine="640"/>
      </w:pPr>
      <w:r>
        <w:rPr>
          <w:rFonts w:hint="eastAsia"/>
        </w:rPr>
        <w:t>《峨眉山市突发饮用水水源污染事件应急预案》（峨府办函〔2017〕35号）；</w:t>
      </w:r>
    </w:p>
    <w:p w14:paraId="70CCE08A">
      <w:pPr>
        <w:numPr>
          <w:ilvl w:val="0"/>
          <w:numId w:val="7"/>
        </w:numPr>
        <w:ind w:firstLine="640"/>
      </w:pPr>
      <w:r>
        <w:rPr>
          <w:rFonts w:hint="eastAsia"/>
        </w:rPr>
        <w:t>《峨眉山市市级河流、湖泊水质监测报告》（2021年-2023年）；</w:t>
      </w:r>
    </w:p>
    <w:p w14:paraId="1C13248B">
      <w:pPr>
        <w:numPr>
          <w:ilvl w:val="0"/>
          <w:numId w:val="7"/>
        </w:numPr>
        <w:ind w:firstLine="640"/>
      </w:pPr>
      <w:r>
        <w:rPr>
          <w:rFonts w:hint="eastAsia"/>
        </w:rPr>
        <w:t>《峨眉山市乡村振兴规划》；</w:t>
      </w:r>
    </w:p>
    <w:p w14:paraId="59FF9F03">
      <w:pPr>
        <w:numPr>
          <w:ilvl w:val="0"/>
          <w:numId w:val="7"/>
        </w:numPr>
        <w:ind w:firstLine="640"/>
      </w:pPr>
      <w:r>
        <w:rPr>
          <w:rFonts w:hint="eastAsia"/>
        </w:rPr>
        <w:t>《乐山市峨眉河“一河一策一图”环境应急响应方案》；</w:t>
      </w:r>
    </w:p>
    <w:p w14:paraId="4B6F5000">
      <w:pPr>
        <w:numPr>
          <w:ilvl w:val="0"/>
          <w:numId w:val="7"/>
        </w:numPr>
        <w:ind w:firstLine="640"/>
      </w:pPr>
      <w:r>
        <w:rPr>
          <w:rFonts w:hint="eastAsia"/>
          <w:lang w:eastAsia="zh-CN"/>
        </w:rPr>
        <w:t>峨眉山市集中式饮用水水源地</w:t>
      </w:r>
      <w:r>
        <w:rPr>
          <w:rFonts w:hint="eastAsia"/>
        </w:rPr>
        <w:t>保护区</w:t>
      </w:r>
      <w:r>
        <w:rPr>
          <w:rFonts w:hint="eastAsia"/>
          <w:lang w:val="en-US" w:eastAsia="zh-CN"/>
        </w:rPr>
        <w:t>划分技术报告、</w:t>
      </w:r>
      <w:r>
        <w:rPr>
          <w:rFonts w:hint="eastAsia"/>
        </w:rPr>
        <w:t>批复等其他资料。</w:t>
      </w:r>
    </w:p>
    <w:p w14:paraId="6DB337FF">
      <w:pPr>
        <w:pStyle w:val="3"/>
        <w:numPr>
          <w:ilvl w:val="1"/>
          <w:numId w:val="2"/>
        </w:numPr>
      </w:pPr>
      <w:bookmarkStart w:id="6" w:name="_Toc14391"/>
      <w:r>
        <w:rPr>
          <w:rFonts w:hint="eastAsia"/>
        </w:rPr>
        <w:t>适用范围</w:t>
      </w:r>
      <w:bookmarkEnd w:id="6"/>
    </w:p>
    <w:p w14:paraId="7202CE47">
      <w:pPr>
        <w:ind w:firstLine="640"/>
        <w:rPr>
          <w:rFonts w:hint="eastAsia"/>
        </w:rPr>
      </w:pPr>
      <w:r>
        <w:rPr>
          <w:rFonts w:hint="eastAsia"/>
          <w:lang w:val="en-US" w:eastAsia="zh-CN"/>
        </w:rPr>
        <w:t>本预案共涉及10个水源地，各水源地</w:t>
      </w:r>
      <w:r>
        <w:rPr>
          <w:rFonts w:hint="eastAsia"/>
        </w:rPr>
        <w:t>具体</w:t>
      </w:r>
      <w:r>
        <w:rPr>
          <w:rFonts w:hint="eastAsia"/>
          <w:lang w:val="en-US" w:eastAsia="zh-CN"/>
        </w:rPr>
        <w:t>情况</w:t>
      </w:r>
      <w:r>
        <w:rPr>
          <w:rFonts w:hint="eastAsia"/>
        </w:rPr>
        <w:t>如下：</w:t>
      </w:r>
    </w:p>
    <w:p w14:paraId="20C4F539">
      <w:pPr>
        <w:numPr>
          <w:ilvl w:val="0"/>
          <w:numId w:val="8"/>
        </w:numPr>
        <w:ind w:firstLine="640"/>
        <w:rPr>
          <w:rFonts w:hint="eastAsia"/>
          <w:color w:val="auto"/>
          <w:lang w:eastAsia="zh-CN"/>
        </w:rPr>
      </w:pPr>
      <w:r>
        <w:rPr>
          <w:rFonts w:hint="eastAsia"/>
          <w:color w:val="auto"/>
          <w:lang w:eastAsia="zh-CN"/>
        </w:rPr>
        <w:t>夹江县、峨眉山市青衣江群星村水源地位于</w:t>
      </w:r>
      <w:r>
        <w:rPr>
          <w:rFonts w:hint="eastAsia"/>
          <w:color w:val="auto"/>
          <w:lang w:val="en-US" w:eastAsia="zh-CN"/>
        </w:rPr>
        <w:t>乐山市</w:t>
      </w:r>
      <w:r>
        <w:rPr>
          <w:rFonts w:hint="eastAsia"/>
          <w:color w:val="auto"/>
          <w:lang w:eastAsia="zh-CN"/>
        </w:rPr>
        <w:t>夹江县迎江乡（以下简称“群星水源地”），水源地编码为FE2020511126103S0001，属于青衣江水系，为河流型水源地，取水口地理坐标为东经：103°29′19″、北纬：29°48′41″；</w:t>
      </w:r>
    </w:p>
    <w:p w14:paraId="49C93D77">
      <w:pPr>
        <w:numPr>
          <w:ilvl w:val="0"/>
          <w:numId w:val="8"/>
        </w:numPr>
        <w:ind w:firstLine="640"/>
        <w:rPr>
          <w:rFonts w:hint="eastAsia"/>
          <w:color w:val="auto"/>
          <w:lang w:eastAsia="zh-CN"/>
        </w:rPr>
      </w:pPr>
      <w:r>
        <w:rPr>
          <w:rFonts w:hint="eastAsia"/>
          <w:color w:val="auto"/>
          <w:lang w:eastAsia="zh-CN"/>
        </w:rPr>
        <w:t>虎溪河</w:t>
      </w:r>
      <w:r>
        <w:rPr>
          <w:rFonts w:hint="eastAsia"/>
          <w:color w:val="auto"/>
          <w:lang w:val="en-US" w:eastAsia="zh-CN"/>
        </w:rPr>
        <w:t>水源地位于峨眉山虎溪河高洞口</w:t>
      </w:r>
      <w:r>
        <w:rPr>
          <w:rFonts w:hint="eastAsia"/>
          <w:color w:val="auto"/>
          <w:lang w:eastAsia="zh-CN"/>
        </w:rPr>
        <w:t>（</w:t>
      </w:r>
      <w:r>
        <w:rPr>
          <w:rFonts w:hint="eastAsia"/>
          <w:color w:val="auto"/>
          <w:lang w:val="en-US" w:eastAsia="zh-CN"/>
        </w:rPr>
        <w:t>以下简称“</w:t>
      </w:r>
      <w:r>
        <w:rPr>
          <w:rFonts w:hint="eastAsia"/>
          <w:color w:val="auto"/>
          <w:lang w:eastAsia="zh-CN"/>
        </w:rPr>
        <w:t>虎溪河</w:t>
      </w:r>
      <w:r>
        <w:rPr>
          <w:rFonts w:hint="eastAsia"/>
          <w:color w:val="auto"/>
          <w:lang w:val="en-US" w:eastAsia="zh-CN"/>
        </w:rPr>
        <w:t>水源地”</w:t>
      </w:r>
      <w:r>
        <w:rPr>
          <w:rFonts w:hint="eastAsia"/>
          <w:color w:val="auto"/>
          <w:lang w:eastAsia="zh-CN"/>
        </w:rPr>
        <w:t>）</w:t>
      </w:r>
      <w:r>
        <w:rPr>
          <w:rFonts w:hint="eastAsia"/>
          <w:color w:val="auto"/>
          <w:lang w:val="en-US" w:eastAsia="zh-CN"/>
        </w:rPr>
        <w:t>，水源地编码为FE2000511181107S0003，属于虎溪河水系，为河流型水源地，取水口地理坐标为东经：103°25′36″、北纬：29°33′51″</w:t>
      </w:r>
      <w:r>
        <w:rPr>
          <w:rFonts w:hint="eastAsia"/>
          <w:color w:val="auto"/>
          <w:lang w:eastAsia="zh-CN"/>
        </w:rPr>
        <w:t>；</w:t>
      </w:r>
    </w:p>
    <w:p w14:paraId="2582A206">
      <w:pPr>
        <w:numPr>
          <w:ilvl w:val="0"/>
          <w:numId w:val="8"/>
        </w:numPr>
        <w:ind w:firstLine="640"/>
        <w:rPr>
          <w:rFonts w:hint="eastAsia"/>
          <w:color w:val="auto"/>
          <w:lang w:eastAsia="zh-CN"/>
        </w:rPr>
      </w:pPr>
      <w:r>
        <w:rPr>
          <w:rFonts w:hint="eastAsia"/>
          <w:color w:val="auto"/>
          <w:lang w:eastAsia="zh-CN"/>
        </w:rPr>
        <w:t>观音岩</w:t>
      </w:r>
      <w:r>
        <w:rPr>
          <w:rFonts w:hint="eastAsia"/>
          <w:color w:val="auto"/>
          <w:lang w:val="en-US" w:eastAsia="zh-CN"/>
        </w:rPr>
        <w:t>水源地位于</w:t>
      </w:r>
      <w:r>
        <w:rPr>
          <w:rFonts w:hint="eastAsia"/>
        </w:rPr>
        <w:t>峨眉山市观音岩水库</w:t>
      </w:r>
      <w:r>
        <w:rPr>
          <w:rFonts w:hint="eastAsia"/>
          <w:color w:val="auto"/>
          <w:lang w:eastAsia="zh-CN"/>
        </w:rPr>
        <w:t>（</w:t>
      </w:r>
      <w:r>
        <w:rPr>
          <w:rFonts w:hint="eastAsia"/>
          <w:color w:val="auto"/>
          <w:lang w:val="en-US" w:eastAsia="zh-CN"/>
        </w:rPr>
        <w:t>以下简称“</w:t>
      </w:r>
      <w:r>
        <w:rPr>
          <w:rFonts w:hint="eastAsia"/>
          <w:color w:val="auto"/>
          <w:lang w:eastAsia="zh-CN"/>
        </w:rPr>
        <w:t>观音岩</w:t>
      </w:r>
      <w:r>
        <w:rPr>
          <w:rFonts w:hint="eastAsia"/>
          <w:color w:val="auto"/>
          <w:lang w:val="en-US" w:eastAsia="zh-CN"/>
        </w:rPr>
        <w:t>水源地”</w:t>
      </w:r>
      <w:r>
        <w:rPr>
          <w:rFonts w:hint="eastAsia"/>
          <w:color w:val="auto"/>
          <w:lang w:eastAsia="zh-CN"/>
        </w:rPr>
        <w:t>）</w:t>
      </w:r>
      <w:r>
        <w:rPr>
          <w:rFonts w:hint="eastAsia"/>
          <w:lang w:eastAsia="zh-CN"/>
        </w:rPr>
        <w:t>，</w:t>
      </w:r>
      <w:r>
        <w:rPr>
          <w:rFonts w:hint="eastAsia"/>
        </w:rPr>
        <w:t>水源地编码为FE0000511181100R0002，属于粗石河水系，为水库型水源地，取水口地理坐标为东经：103°27'3.64″、北纬：29°37'30.47″</w:t>
      </w:r>
      <w:r>
        <w:rPr>
          <w:rFonts w:hint="eastAsia"/>
          <w:color w:val="auto"/>
          <w:lang w:eastAsia="zh-CN"/>
        </w:rPr>
        <w:t>；</w:t>
      </w:r>
    </w:p>
    <w:p w14:paraId="7FCA8A52">
      <w:pPr>
        <w:numPr>
          <w:ilvl w:val="0"/>
          <w:numId w:val="8"/>
        </w:numPr>
        <w:ind w:firstLine="640"/>
        <w:rPr>
          <w:rFonts w:hint="eastAsia"/>
          <w:color w:val="auto"/>
          <w:lang w:eastAsia="zh-CN"/>
        </w:rPr>
      </w:pPr>
      <w:r>
        <w:rPr>
          <w:rFonts w:hint="eastAsia"/>
          <w:color w:val="auto"/>
          <w:lang w:eastAsia="zh-CN"/>
        </w:rPr>
        <w:t>白果村</w:t>
      </w:r>
      <w:r>
        <w:rPr>
          <w:rFonts w:hint="eastAsia"/>
          <w:color w:val="auto"/>
          <w:lang w:val="en-US" w:eastAsia="zh-CN"/>
        </w:rPr>
        <w:t>8组水源地位于龙池镇白果村8组</w:t>
      </w:r>
      <w:r>
        <w:rPr>
          <w:rFonts w:hint="eastAsia"/>
          <w:color w:val="auto"/>
          <w:lang w:eastAsia="zh-CN"/>
        </w:rPr>
        <w:t>（</w:t>
      </w:r>
      <w:r>
        <w:rPr>
          <w:rFonts w:hint="eastAsia"/>
          <w:color w:val="auto"/>
          <w:lang w:val="en-US" w:eastAsia="zh-CN"/>
        </w:rPr>
        <w:t>以下简称“</w:t>
      </w:r>
      <w:r>
        <w:rPr>
          <w:rFonts w:hint="eastAsia"/>
          <w:color w:val="auto"/>
          <w:lang w:eastAsia="zh-CN"/>
        </w:rPr>
        <w:t>白果村</w:t>
      </w:r>
      <w:r>
        <w:rPr>
          <w:rFonts w:hint="eastAsia"/>
          <w:color w:val="auto"/>
          <w:lang w:val="en-US" w:eastAsia="zh-CN"/>
        </w:rPr>
        <w:t>8组水源地”</w:t>
      </w:r>
      <w:r>
        <w:rPr>
          <w:rFonts w:hint="eastAsia"/>
          <w:color w:val="auto"/>
          <w:lang w:eastAsia="zh-CN"/>
        </w:rPr>
        <w:t>）</w:t>
      </w:r>
      <w:r>
        <w:rPr>
          <w:rFonts w:hint="eastAsia"/>
          <w:color w:val="auto"/>
          <w:lang w:val="en-US" w:eastAsia="zh-CN"/>
        </w:rPr>
        <w:t>，水源地编码为FE0000511181104S0002，属于白果河水系，为河流型水源地，取水口地理坐标为东经：103°20′20.76″、北纬：29°27′16.04″</w:t>
      </w:r>
      <w:r>
        <w:rPr>
          <w:rFonts w:hint="eastAsia"/>
          <w:color w:val="auto"/>
          <w:lang w:eastAsia="zh-CN"/>
        </w:rPr>
        <w:t>；</w:t>
      </w:r>
    </w:p>
    <w:p w14:paraId="39632D50">
      <w:pPr>
        <w:numPr>
          <w:ilvl w:val="0"/>
          <w:numId w:val="8"/>
        </w:numPr>
        <w:ind w:firstLine="640"/>
        <w:rPr>
          <w:rFonts w:hint="eastAsia"/>
          <w:color w:val="auto"/>
          <w:lang w:eastAsia="zh-CN"/>
        </w:rPr>
      </w:pPr>
      <w:r>
        <w:rPr>
          <w:rFonts w:hint="eastAsia"/>
          <w:color w:val="auto"/>
          <w:lang w:eastAsia="zh-CN"/>
        </w:rPr>
        <w:t>龙池村4组</w:t>
      </w:r>
      <w:r>
        <w:rPr>
          <w:rFonts w:hint="eastAsia"/>
          <w:color w:val="auto"/>
          <w:lang w:val="en-US" w:eastAsia="zh-CN"/>
        </w:rPr>
        <w:t>水源地位于龙池镇龙池村4组</w:t>
      </w:r>
      <w:r>
        <w:rPr>
          <w:rFonts w:hint="eastAsia"/>
          <w:color w:val="auto"/>
          <w:lang w:eastAsia="zh-CN"/>
        </w:rPr>
        <w:t>（</w:t>
      </w:r>
      <w:r>
        <w:rPr>
          <w:rFonts w:hint="eastAsia"/>
          <w:color w:val="auto"/>
          <w:lang w:val="en-US" w:eastAsia="zh-CN"/>
        </w:rPr>
        <w:t>以下简称“</w:t>
      </w:r>
      <w:r>
        <w:rPr>
          <w:rFonts w:hint="eastAsia"/>
          <w:color w:val="auto"/>
          <w:lang w:eastAsia="zh-CN"/>
        </w:rPr>
        <w:t>龙池村4组</w:t>
      </w:r>
      <w:r>
        <w:rPr>
          <w:rFonts w:hint="eastAsia"/>
          <w:color w:val="auto"/>
          <w:lang w:val="en-US" w:eastAsia="zh-CN"/>
        </w:rPr>
        <w:t>水源地”</w:t>
      </w:r>
      <w:r>
        <w:rPr>
          <w:rFonts w:hint="eastAsia"/>
          <w:color w:val="auto"/>
          <w:lang w:eastAsia="zh-CN"/>
        </w:rPr>
        <w:t>）</w:t>
      </w:r>
      <w:r>
        <w:rPr>
          <w:rFonts w:hint="eastAsia"/>
          <w:color w:val="auto"/>
          <w:lang w:val="en-US" w:eastAsia="zh-CN"/>
        </w:rPr>
        <w:t>，水源地编码为FC4902511181104G0001，属于茅杆河水系，为地下水型水源地，取水口地理坐标为东经：103°18′46.04″、北纬：29°24′36.04″</w:t>
      </w:r>
      <w:r>
        <w:rPr>
          <w:rFonts w:hint="eastAsia"/>
          <w:color w:val="auto"/>
          <w:lang w:eastAsia="zh-CN"/>
        </w:rPr>
        <w:t>；</w:t>
      </w:r>
    </w:p>
    <w:p w14:paraId="20E642E2">
      <w:pPr>
        <w:numPr>
          <w:ilvl w:val="0"/>
          <w:numId w:val="8"/>
        </w:numPr>
        <w:ind w:firstLine="640"/>
        <w:rPr>
          <w:rFonts w:hint="eastAsia"/>
          <w:color w:val="auto"/>
          <w:lang w:eastAsia="zh-CN"/>
        </w:rPr>
      </w:pPr>
      <w:r>
        <w:rPr>
          <w:rFonts w:hint="eastAsia"/>
          <w:color w:val="auto"/>
          <w:lang w:eastAsia="zh-CN"/>
        </w:rPr>
        <w:t>中坪村7组</w:t>
      </w:r>
      <w:r>
        <w:rPr>
          <w:rFonts w:hint="eastAsia"/>
          <w:color w:val="auto"/>
          <w:lang w:val="en-US" w:eastAsia="zh-CN"/>
        </w:rPr>
        <w:t>水源地位于大为镇中坪村7组</w:t>
      </w:r>
      <w:r>
        <w:rPr>
          <w:rFonts w:hint="eastAsia"/>
          <w:color w:val="auto"/>
          <w:lang w:eastAsia="zh-CN"/>
        </w:rPr>
        <w:t>（</w:t>
      </w:r>
      <w:r>
        <w:rPr>
          <w:rFonts w:hint="eastAsia"/>
          <w:color w:val="auto"/>
          <w:lang w:val="en-US" w:eastAsia="zh-CN"/>
        </w:rPr>
        <w:t>以下简称“</w:t>
      </w:r>
      <w:r>
        <w:rPr>
          <w:rFonts w:hint="eastAsia"/>
          <w:color w:val="auto"/>
          <w:lang w:eastAsia="zh-CN"/>
        </w:rPr>
        <w:t>中坪村7组</w:t>
      </w:r>
      <w:r>
        <w:rPr>
          <w:rFonts w:hint="eastAsia"/>
          <w:color w:val="auto"/>
          <w:lang w:val="en-US" w:eastAsia="zh-CN"/>
        </w:rPr>
        <w:t>水源地”</w:t>
      </w:r>
      <w:r>
        <w:rPr>
          <w:rFonts w:hint="eastAsia"/>
          <w:color w:val="auto"/>
          <w:lang w:eastAsia="zh-CN"/>
        </w:rPr>
        <w:t>）</w:t>
      </w:r>
      <w:r>
        <w:rPr>
          <w:rFonts w:hint="eastAsia"/>
          <w:color w:val="auto"/>
          <w:lang w:val="en-US" w:eastAsia="zh-CN"/>
        </w:rPr>
        <w:t>，水源地编码为FE0000511181110G0001，属于后溪河水系，为地下水型水源地，取水口地理坐标为东经：103°15′21.8"、北纬：29°22′31.5"</w:t>
      </w:r>
      <w:r>
        <w:rPr>
          <w:rFonts w:hint="eastAsia"/>
          <w:color w:val="auto"/>
          <w:lang w:eastAsia="zh-CN"/>
        </w:rPr>
        <w:t>；</w:t>
      </w:r>
    </w:p>
    <w:p w14:paraId="7465927F">
      <w:pPr>
        <w:numPr>
          <w:ilvl w:val="0"/>
          <w:numId w:val="8"/>
        </w:numPr>
        <w:ind w:firstLine="640"/>
        <w:rPr>
          <w:rFonts w:hint="eastAsia"/>
          <w:color w:val="auto"/>
          <w:lang w:eastAsia="zh-CN"/>
        </w:rPr>
      </w:pPr>
      <w:r>
        <w:rPr>
          <w:rFonts w:hint="eastAsia"/>
          <w:color w:val="auto"/>
          <w:lang w:eastAsia="zh-CN"/>
        </w:rPr>
        <w:t>黄湾乡</w:t>
      </w:r>
      <w:r>
        <w:rPr>
          <w:rFonts w:hint="eastAsia"/>
          <w:color w:val="auto"/>
          <w:lang w:val="en-US" w:eastAsia="zh-CN"/>
        </w:rPr>
        <w:t>水源地位于黄湾乡</w:t>
      </w:r>
      <w:r>
        <w:rPr>
          <w:rFonts w:hint="eastAsia"/>
          <w:color w:val="auto"/>
          <w:lang w:eastAsia="zh-CN"/>
        </w:rPr>
        <w:t>（</w:t>
      </w:r>
      <w:r>
        <w:rPr>
          <w:rFonts w:hint="eastAsia"/>
          <w:color w:val="auto"/>
          <w:lang w:val="en-US" w:eastAsia="zh-CN"/>
        </w:rPr>
        <w:t>以下简称“</w:t>
      </w:r>
      <w:r>
        <w:rPr>
          <w:rFonts w:hint="eastAsia"/>
          <w:color w:val="auto"/>
          <w:lang w:eastAsia="zh-CN"/>
        </w:rPr>
        <w:t>黄湾乡</w:t>
      </w:r>
      <w:r>
        <w:rPr>
          <w:rFonts w:hint="eastAsia"/>
          <w:color w:val="auto"/>
          <w:lang w:val="en-US" w:eastAsia="zh-CN"/>
        </w:rPr>
        <w:t>水源地”</w:t>
      </w:r>
      <w:r>
        <w:rPr>
          <w:rFonts w:hint="eastAsia"/>
          <w:color w:val="auto"/>
          <w:lang w:eastAsia="zh-CN"/>
        </w:rPr>
        <w:t>）</w:t>
      </w:r>
      <w:r>
        <w:rPr>
          <w:rFonts w:hint="eastAsia"/>
          <w:color w:val="auto"/>
          <w:lang w:val="en-US" w:eastAsia="zh-CN"/>
        </w:rPr>
        <w:t>，水源地编码为FE0000511181205S0001，属于峨眉河水系，为河流型水源地，取水口地理坐标为东经：103°25′32.35″、北纬：29°34′59.43″。</w:t>
      </w:r>
    </w:p>
    <w:p w14:paraId="7776B724">
      <w:pPr>
        <w:numPr>
          <w:ilvl w:val="0"/>
          <w:numId w:val="8"/>
        </w:numPr>
        <w:ind w:firstLine="640"/>
        <w:rPr>
          <w:rFonts w:hint="eastAsia"/>
          <w:color w:val="FF0000"/>
          <w:u w:val="single"/>
          <w:lang w:eastAsia="zh-CN"/>
        </w:rPr>
      </w:pPr>
      <w:r>
        <w:rPr>
          <w:rFonts w:hint="eastAsia"/>
          <w:color w:val="FF0000"/>
          <w:u w:val="single"/>
          <w:lang w:eastAsia="zh-CN"/>
        </w:rPr>
        <w:t>龙门乡王山村饮用水水源地（</w:t>
      </w:r>
      <w:r>
        <w:rPr>
          <w:rFonts w:hint="eastAsia"/>
          <w:color w:val="FF0000"/>
          <w:u w:val="single"/>
          <w:lang w:val="en-US" w:eastAsia="zh-CN"/>
        </w:rPr>
        <w:t>以下简称“</w:t>
      </w:r>
      <w:r>
        <w:rPr>
          <w:rFonts w:hint="eastAsia"/>
          <w:color w:val="FF0000"/>
          <w:u w:val="single"/>
          <w:lang w:eastAsia="zh-CN"/>
        </w:rPr>
        <w:t>王山村</w:t>
      </w:r>
      <w:r>
        <w:rPr>
          <w:rFonts w:hint="eastAsia"/>
          <w:color w:val="FF0000"/>
          <w:u w:val="single"/>
          <w:lang w:val="en-US" w:eastAsia="zh-CN"/>
        </w:rPr>
        <w:t>水源地”</w:t>
      </w:r>
      <w:r>
        <w:rPr>
          <w:rFonts w:hint="eastAsia"/>
          <w:color w:val="FF0000"/>
          <w:u w:val="single"/>
          <w:lang w:eastAsia="zh-CN"/>
        </w:rPr>
        <w:t>），</w:t>
      </w:r>
      <w:r>
        <w:rPr>
          <w:rFonts w:hint="eastAsia"/>
          <w:color w:val="FF0000"/>
          <w:u w:val="single"/>
          <w:lang w:val="en-US" w:eastAsia="zh-CN"/>
        </w:rPr>
        <w:t>为</w:t>
      </w:r>
      <w:r>
        <w:rPr>
          <w:rFonts w:hint="eastAsia"/>
          <w:color w:val="FF0000"/>
          <w:u w:val="single"/>
          <w:lang w:eastAsia="zh-CN"/>
        </w:rPr>
        <w:t>河流型</w:t>
      </w:r>
      <w:r>
        <w:rPr>
          <w:rFonts w:hint="eastAsia"/>
          <w:color w:val="FF0000"/>
          <w:u w:val="single"/>
          <w:lang w:val="en-US" w:eastAsia="zh-CN"/>
        </w:rPr>
        <w:t>水源地，取水口地理坐标为东经：103°21′59″、北纬：29°21′38″</w:t>
      </w:r>
      <w:r>
        <w:rPr>
          <w:rFonts w:hint="eastAsia"/>
          <w:color w:val="FF0000"/>
          <w:u w:val="single"/>
          <w:lang w:eastAsia="zh-CN"/>
        </w:rPr>
        <w:t>。</w:t>
      </w:r>
    </w:p>
    <w:p w14:paraId="3108BFCC">
      <w:pPr>
        <w:numPr>
          <w:ilvl w:val="0"/>
          <w:numId w:val="8"/>
        </w:numPr>
        <w:ind w:firstLine="640"/>
        <w:rPr>
          <w:rFonts w:hint="eastAsia"/>
          <w:color w:val="FF0000"/>
          <w:u w:val="single"/>
          <w:lang w:eastAsia="zh-CN"/>
        </w:rPr>
      </w:pPr>
      <w:r>
        <w:rPr>
          <w:rFonts w:hint="eastAsia"/>
          <w:color w:val="FF0000"/>
          <w:u w:val="single"/>
          <w:lang w:eastAsia="zh-CN"/>
        </w:rPr>
        <w:t>龙池镇杨村铺饮用水水源地（</w:t>
      </w:r>
      <w:r>
        <w:rPr>
          <w:rFonts w:hint="eastAsia"/>
          <w:color w:val="FF0000"/>
          <w:u w:val="single"/>
          <w:lang w:val="en-US" w:eastAsia="zh-CN"/>
        </w:rPr>
        <w:t>以下简称“</w:t>
      </w:r>
      <w:r>
        <w:rPr>
          <w:rFonts w:hint="eastAsia"/>
          <w:color w:val="FF0000"/>
          <w:u w:val="single"/>
          <w:lang w:eastAsia="zh-CN"/>
        </w:rPr>
        <w:t>杨村铺</w:t>
      </w:r>
      <w:r>
        <w:rPr>
          <w:rFonts w:hint="eastAsia"/>
          <w:color w:val="FF0000"/>
          <w:u w:val="single"/>
          <w:lang w:val="en-US" w:eastAsia="zh-CN"/>
        </w:rPr>
        <w:t>水源地”</w:t>
      </w:r>
      <w:r>
        <w:rPr>
          <w:rFonts w:hint="eastAsia"/>
          <w:color w:val="FF0000"/>
          <w:u w:val="single"/>
          <w:lang w:eastAsia="zh-CN"/>
        </w:rPr>
        <w:t>），</w:t>
      </w:r>
      <w:r>
        <w:rPr>
          <w:rFonts w:hint="eastAsia"/>
          <w:color w:val="FF0000"/>
          <w:u w:val="single"/>
          <w:lang w:val="en-US" w:eastAsia="zh-CN"/>
        </w:rPr>
        <w:t>为</w:t>
      </w:r>
      <w:r>
        <w:rPr>
          <w:rFonts w:hint="eastAsia"/>
          <w:color w:val="FF0000"/>
          <w:u w:val="single"/>
          <w:lang w:eastAsia="zh-CN"/>
        </w:rPr>
        <w:t>河流型</w:t>
      </w:r>
      <w:r>
        <w:rPr>
          <w:rFonts w:hint="eastAsia"/>
          <w:color w:val="FF0000"/>
          <w:u w:val="single"/>
          <w:lang w:val="en-US" w:eastAsia="zh-CN"/>
        </w:rPr>
        <w:t>水源地，取水口地理坐标为东经：103°21′58″、北纬：29°26′24″</w:t>
      </w:r>
      <w:r>
        <w:rPr>
          <w:rFonts w:hint="eastAsia"/>
          <w:color w:val="FF0000"/>
          <w:u w:val="single"/>
          <w:lang w:eastAsia="zh-CN"/>
        </w:rPr>
        <w:t>。</w:t>
      </w:r>
    </w:p>
    <w:p w14:paraId="539246F7">
      <w:pPr>
        <w:numPr>
          <w:ilvl w:val="0"/>
          <w:numId w:val="8"/>
        </w:numPr>
        <w:ind w:firstLine="640"/>
        <w:rPr>
          <w:rFonts w:hint="eastAsia"/>
          <w:color w:val="FF0000"/>
          <w:u w:val="single"/>
          <w:lang w:eastAsia="zh-CN"/>
        </w:rPr>
      </w:pPr>
      <w:r>
        <w:rPr>
          <w:rFonts w:hint="eastAsia"/>
          <w:color w:val="FF0000"/>
          <w:u w:val="single"/>
          <w:lang w:eastAsia="zh-CN"/>
        </w:rPr>
        <w:t>九里镇新沟村饮用水水源地（</w:t>
      </w:r>
      <w:r>
        <w:rPr>
          <w:rFonts w:hint="eastAsia"/>
          <w:color w:val="FF0000"/>
          <w:u w:val="single"/>
          <w:lang w:val="en-US" w:eastAsia="zh-CN"/>
        </w:rPr>
        <w:t>以下简称“</w:t>
      </w:r>
      <w:r>
        <w:rPr>
          <w:rFonts w:hint="eastAsia"/>
          <w:color w:val="FF0000"/>
          <w:u w:val="single"/>
          <w:lang w:eastAsia="zh-CN"/>
        </w:rPr>
        <w:t>新沟村</w:t>
      </w:r>
      <w:r>
        <w:rPr>
          <w:rFonts w:hint="eastAsia"/>
          <w:color w:val="FF0000"/>
          <w:u w:val="single"/>
          <w:lang w:val="en-US" w:eastAsia="zh-CN"/>
        </w:rPr>
        <w:t>水源地”</w:t>
      </w:r>
      <w:r>
        <w:rPr>
          <w:rFonts w:hint="eastAsia"/>
          <w:color w:val="FF0000"/>
          <w:u w:val="single"/>
          <w:lang w:eastAsia="zh-CN"/>
        </w:rPr>
        <w:t>），</w:t>
      </w:r>
      <w:r>
        <w:rPr>
          <w:rFonts w:hint="eastAsia"/>
          <w:color w:val="FF0000"/>
          <w:u w:val="single"/>
          <w:lang w:val="en-US" w:eastAsia="zh-CN"/>
        </w:rPr>
        <w:t>为</w:t>
      </w:r>
      <w:r>
        <w:rPr>
          <w:rFonts w:hint="eastAsia"/>
          <w:color w:val="FF0000"/>
          <w:u w:val="single"/>
          <w:lang w:eastAsia="zh-CN"/>
        </w:rPr>
        <w:t>河流型</w:t>
      </w:r>
      <w:r>
        <w:rPr>
          <w:rFonts w:hint="eastAsia"/>
          <w:color w:val="FF0000"/>
          <w:u w:val="single"/>
          <w:lang w:val="en-US" w:eastAsia="zh-CN"/>
        </w:rPr>
        <w:t>水源地，取水口地理坐标为东经：103°30′11″、北纬：29°27′49″</w:t>
      </w:r>
      <w:r>
        <w:rPr>
          <w:rFonts w:hint="eastAsia"/>
          <w:color w:val="FF0000"/>
          <w:u w:val="single"/>
          <w:lang w:eastAsia="zh-CN"/>
        </w:rPr>
        <w:t>。</w:t>
      </w:r>
    </w:p>
    <w:p w14:paraId="3A8FC793">
      <w:pPr>
        <w:ind w:firstLine="640"/>
        <w:rPr>
          <w:rFonts w:hint="eastAsia"/>
          <w:color w:val="FF0000"/>
          <w:lang w:val="en-US" w:eastAsia="zh-CN"/>
        </w:rPr>
      </w:pPr>
      <w:r>
        <w:rPr>
          <w:rFonts w:hint="eastAsia"/>
          <w:color w:val="FF0000"/>
          <w:u w:val="single"/>
          <w:lang w:val="en-US" w:eastAsia="zh-CN"/>
        </w:rPr>
        <w:t>因群星水源地已纳入夹江县饮用水源保护应急范围且已编制《夹江县饮用水水源突发环境事件应急预案》，当该水源地发生突发环境事件时，峨眉山市应积极配合做好各类应急处置工作，包括启用备用水源地、开展自来水厂、管网末梢等应急监测工作，故未将其纳入本次应急范围</w:t>
      </w:r>
      <w:r>
        <w:rPr>
          <w:rFonts w:hint="eastAsia"/>
          <w:color w:val="FF0000"/>
          <w:lang w:val="en-US" w:eastAsia="zh-CN"/>
        </w:rPr>
        <w:t>。</w:t>
      </w:r>
    </w:p>
    <w:p w14:paraId="3272C29F">
      <w:pPr>
        <w:ind w:firstLine="640"/>
        <w:rPr>
          <w:rFonts w:hint="eastAsia"/>
          <w:lang w:val="en-US" w:eastAsia="zh-CN"/>
        </w:rPr>
      </w:pPr>
      <w:r>
        <w:rPr>
          <w:rFonts w:hint="eastAsia"/>
          <w:lang w:eastAsia="zh-CN"/>
        </w:rPr>
        <w:t>峨眉山市集中式饮用水水源地</w:t>
      </w:r>
      <w:r>
        <w:rPr>
          <w:rFonts w:hint="eastAsia"/>
          <w:lang w:val="en-US" w:eastAsia="zh-CN"/>
        </w:rPr>
        <w:t>取水口分为三种：</w:t>
      </w:r>
    </w:p>
    <w:p w14:paraId="4B80CD18">
      <w:pPr>
        <w:ind w:firstLine="640"/>
        <w:rPr>
          <w:rFonts w:hint="default"/>
          <w:color w:val="FF0000"/>
          <w:u w:val="single"/>
          <w:lang w:val="en-US" w:eastAsia="zh-CN"/>
        </w:rPr>
      </w:pPr>
      <w:r>
        <w:rPr>
          <w:rFonts w:hint="eastAsia"/>
          <w:lang w:val="en-US" w:eastAsia="zh-CN"/>
        </w:rPr>
        <w:t>河流型取水口：包括</w:t>
      </w:r>
      <w:r>
        <w:rPr>
          <w:rFonts w:hint="eastAsia"/>
          <w:color w:val="auto"/>
          <w:lang w:eastAsia="zh-CN"/>
        </w:rPr>
        <w:t>虎溪河</w:t>
      </w:r>
      <w:r>
        <w:rPr>
          <w:rFonts w:hint="eastAsia"/>
          <w:color w:val="auto"/>
          <w:lang w:val="en-US" w:eastAsia="zh-CN"/>
        </w:rPr>
        <w:t>水源地、</w:t>
      </w:r>
      <w:r>
        <w:rPr>
          <w:rFonts w:hint="eastAsia"/>
          <w:color w:val="auto"/>
          <w:lang w:eastAsia="zh-CN"/>
        </w:rPr>
        <w:t>白果村</w:t>
      </w:r>
      <w:r>
        <w:rPr>
          <w:rFonts w:hint="eastAsia"/>
          <w:color w:val="auto"/>
          <w:lang w:val="en-US" w:eastAsia="zh-CN"/>
        </w:rPr>
        <w:t>8组水源地、</w:t>
      </w:r>
      <w:r>
        <w:rPr>
          <w:rFonts w:hint="eastAsia"/>
          <w:color w:val="auto"/>
          <w:lang w:eastAsia="zh-CN"/>
        </w:rPr>
        <w:t>黄湾乡</w:t>
      </w:r>
      <w:r>
        <w:rPr>
          <w:rFonts w:hint="eastAsia"/>
          <w:color w:val="auto"/>
          <w:lang w:val="en-US" w:eastAsia="zh-CN"/>
        </w:rPr>
        <w:t>水源地、</w:t>
      </w:r>
      <w:r>
        <w:rPr>
          <w:rFonts w:hint="eastAsia"/>
          <w:color w:val="FF0000"/>
          <w:u w:val="single"/>
          <w:lang w:val="en-US" w:eastAsia="zh-CN"/>
        </w:rPr>
        <w:t>王山村水源地、杨村铺水源地和新沟村水源地；</w:t>
      </w:r>
    </w:p>
    <w:p w14:paraId="0839DB92">
      <w:pPr>
        <w:ind w:firstLine="640"/>
        <w:rPr>
          <w:rFonts w:hint="default"/>
          <w:lang w:val="en-US" w:eastAsia="zh-CN"/>
        </w:rPr>
      </w:pPr>
      <w:r>
        <w:rPr>
          <w:rFonts w:hint="eastAsia"/>
          <w:lang w:val="en-US" w:eastAsia="zh-CN"/>
        </w:rPr>
        <w:t>湖库型取水口：</w:t>
      </w:r>
      <w:r>
        <w:rPr>
          <w:rFonts w:hint="eastAsia"/>
          <w:color w:val="auto"/>
          <w:lang w:eastAsia="zh-CN"/>
        </w:rPr>
        <w:t>观音岩</w:t>
      </w:r>
      <w:r>
        <w:rPr>
          <w:rFonts w:hint="eastAsia"/>
          <w:color w:val="auto"/>
          <w:lang w:val="en-US" w:eastAsia="zh-CN"/>
        </w:rPr>
        <w:t>水源地，取水口位于观音岩水库；</w:t>
      </w:r>
    </w:p>
    <w:p w14:paraId="22BC6B90">
      <w:pPr>
        <w:ind w:firstLine="640"/>
        <w:rPr>
          <w:rFonts w:hint="default"/>
          <w:lang w:val="en-US" w:eastAsia="zh-CN"/>
        </w:rPr>
      </w:pPr>
      <w:r>
        <w:rPr>
          <w:rFonts w:hint="eastAsia"/>
          <w:lang w:val="en-US" w:eastAsia="zh-CN"/>
        </w:rPr>
        <w:t>地下水取水口：包括</w:t>
      </w:r>
      <w:r>
        <w:rPr>
          <w:rFonts w:hint="eastAsia"/>
          <w:color w:val="auto"/>
          <w:lang w:eastAsia="zh-CN"/>
        </w:rPr>
        <w:t>龙池村4组</w:t>
      </w:r>
      <w:r>
        <w:rPr>
          <w:rFonts w:hint="eastAsia"/>
          <w:color w:val="auto"/>
          <w:lang w:val="en-US" w:eastAsia="zh-CN"/>
        </w:rPr>
        <w:t>水源地和中坪村7组水源地。</w:t>
      </w:r>
    </w:p>
    <w:p w14:paraId="22133103">
      <w:pPr>
        <w:ind w:firstLine="640"/>
        <w:rPr>
          <w:rFonts w:hint="eastAsia"/>
        </w:rPr>
      </w:pPr>
      <w:r>
        <w:rPr>
          <w:rFonts w:hint="eastAsia"/>
        </w:rPr>
        <w:t>根据《集中式地表水饮用水水源地突发环境事件应急预案编制指南（试行）》，</w:t>
      </w:r>
      <w:r>
        <w:rPr>
          <w:rFonts w:hint="eastAsia"/>
          <w:lang w:val="en-US" w:eastAsia="zh-CN"/>
        </w:rPr>
        <w:t>地表水</w:t>
      </w:r>
      <w:r>
        <w:rPr>
          <w:rFonts w:hint="eastAsia"/>
        </w:rPr>
        <w:t>水源地</w:t>
      </w:r>
      <w:r>
        <w:rPr>
          <w:rFonts w:hint="eastAsia"/>
          <w:lang w:eastAsia="zh-CN"/>
        </w:rPr>
        <w:t>（</w:t>
      </w:r>
      <w:r>
        <w:rPr>
          <w:rFonts w:hint="eastAsia"/>
          <w:lang w:val="en-US" w:eastAsia="zh-CN"/>
        </w:rPr>
        <w:t>河流、湖库</w:t>
      </w:r>
      <w:r>
        <w:rPr>
          <w:rFonts w:hint="eastAsia"/>
          <w:lang w:eastAsia="zh-CN"/>
        </w:rPr>
        <w:t>）</w:t>
      </w:r>
      <w:r>
        <w:rPr>
          <w:rFonts w:hint="eastAsia"/>
        </w:rPr>
        <w:t>应急预案适用的地域范围，包括水源保护区、水源保护区边界向上游连接水体及周边汇水区域上溯24小时流程范围内的水域和分水岭内的陆域，最大不超过汇水区域的范围</w:t>
      </w:r>
      <w:r>
        <w:rPr>
          <w:rFonts w:hint="eastAsia"/>
          <w:lang w:eastAsia="zh-CN"/>
        </w:rPr>
        <w:t>；</w:t>
      </w:r>
      <w:r>
        <w:rPr>
          <w:rFonts w:hint="eastAsia"/>
          <w:lang w:val="en-US" w:eastAsia="zh-CN"/>
        </w:rPr>
        <w:t>参照该指南，地下水水源地应急预案适用的地域范围以该水源地保护区范围为准</w:t>
      </w:r>
      <w:r>
        <w:rPr>
          <w:rFonts w:hint="eastAsia"/>
        </w:rPr>
        <w:t>。</w:t>
      </w:r>
    </w:p>
    <w:p w14:paraId="06DEA9AA">
      <w:pPr>
        <w:ind w:firstLine="640"/>
        <w:rPr>
          <w:rFonts w:hint="eastAsia"/>
          <w:color w:val="FF0000"/>
          <w:u w:val="single"/>
          <w:lang w:val="en-US" w:eastAsia="zh-CN"/>
        </w:rPr>
      </w:pPr>
      <w:r>
        <w:rPr>
          <w:rFonts w:hint="eastAsia"/>
          <w:color w:val="FF0000"/>
          <w:u w:val="single"/>
          <w:lang w:val="en-US" w:eastAsia="zh-CN"/>
        </w:rPr>
        <w:t>本预案各水源地适用范围如下：</w:t>
      </w:r>
    </w:p>
    <w:p w14:paraId="358634CA">
      <w:pPr>
        <w:ind w:firstLine="640"/>
        <w:rPr>
          <w:rFonts w:hint="eastAsia"/>
          <w:color w:val="FF0000"/>
          <w:u w:val="single"/>
          <w:lang w:val="en-US" w:eastAsia="zh-CN"/>
        </w:rPr>
      </w:pPr>
      <w:r>
        <w:rPr>
          <w:rFonts w:hint="eastAsia"/>
          <w:color w:val="FF0000"/>
          <w:u w:val="single"/>
          <w:lang w:val="en-US" w:eastAsia="zh-CN"/>
        </w:rPr>
        <w:t>1、虎溪河水源地：为河流型水源地，调查范围该水源地保护区以及其边界向上游整个汇水区域，包括所有连接水体，面积为4.37平方公里；</w:t>
      </w:r>
    </w:p>
    <w:p w14:paraId="381FAADB">
      <w:pPr>
        <w:ind w:firstLine="640"/>
        <w:rPr>
          <w:rFonts w:hint="eastAsia"/>
          <w:color w:val="FF0000"/>
          <w:u w:val="single"/>
          <w:lang w:val="en-US" w:eastAsia="zh-CN"/>
        </w:rPr>
      </w:pPr>
      <w:r>
        <w:rPr>
          <w:rFonts w:hint="eastAsia"/>
          <w:color w:val="FF0000"/>
          <w:u w:val="single"/>
          <w:lang w:val="en-US" w:eastAsia="zh-CN"/>
        </w:rPr>
        <w:t>2、观音岩水源地：为水库型水源地，调查范围该水源地保护区以及其边界向上游整个汇水区域，包括所有连接水体，面积为19.31平方公里；</w:t>
      </w:r>
    </w:p>
    <w:p w14:paraId="0185DD3A">
      <w:pPr>
        <w:ind w:firstLine="640"/>
        <w:rPr>
          <w:rFonts w:hint="eastAsia"/>
          <w:color w:val="FF0000"/>
          <w:u w:val="single"/>
          <w:lang w:val="en-US" w:eastAsia="zh-CN"/>
        </w:rPr>
      </w:pPr>
      <w:r>
        <w:rPr>
          <w:rFonts w:hint="eastAsia"/>
          <w:color w:val="FF0000"/>
          <w:u w:val="single"/>
          <w:lang w:val="en-US" w:eastAsia="zh-CN"/>
        </w:rPr>
        <w:t>3、白果村8组水源地：为河流型水源地，调查范围该水源地保护区以及其边界向上游整个汇水区域，包括所有连接水体，面积为10.15平方公里；</w:t>
      </w:r>
    </w:p>
    <w:p w14:paraId="2FE3E8A1">
      <w:pPr>
        <w:ind w:firstLine="640"/>
        <w:rPr>
          <w:rFonts w:hint="eastAsia"/>
          <w:color w:val="FF0000"/>
          <w:u w:val="single"/>
          <w:lang w:val="en-US" w:eastAsia="zh-CN"/>
        </w:rPr>
      </w:pPr>
      <w:r>
        <w:rPr>
          <w:rFonts w:hint="eastAsia"/>
          <w:color w:val="FF0000"/>
          <w:u w:val="single"/>
          <w:lang w:val="en-US" w:eastAsia="zh-CN"/>
        </w:rPr>
        <w:t>4、龙池村4组水源地：为地下水型水源地，调查范围该地下水源地保护区范围0.31平方公里（该水源地为地下水型，以该水源地保护区范围作为调查范围）；</w:t>
      </w:r>
    </w:p>
    <w:p w14:paraId="2B694F45">
      <w:pPr>
        <w:ind w:firstLine="640"/>
        <w:rPr>
          <w:rFonts w:hint="eastAsia"/>
          <w:color w:val="FF0000"/>
          <w:u w:val="single"/>
          <w:lang w:val="en-US" w:eastAsia="zh-CN"/>
        </w:rPr>
      </w:pPr>
      <w:r>
        <w:rPr>
          <w:rFonts w:hint="eastAsia"/>
          <w:color w:val="FF0000"/>
          <w:u w:val="single"/>
          <w:lang w:val="en-US" w:eastAsia="zh-CN"/>
        </w:rPr>
        <w:t>5、中坪村7组水源地：为地下水型水源地，调查范围该地下水源地保护区范围0.13平方公里（该水源地为地下水型，以该水源地保护区范围作为调查范围）；</w:t>
      </w:r>
    </w:p>
    <w:p w14:paraId="3286C6A9">
      <w:pPr>
        <w:ind w:firstLine="640"/>
        <w:rPr>
          <w:rFonts w:hint="eastAsia"/>
          <w:color w:val="FF0000"/>
          <w:u w:val="single"/>
          <w:lang w:val="en-US" w:eastAsia="zh-CN"/>
        </w:rPr>
      </w:pPr>
      <w:r>
        <w:rPr>
          <w:rFonts w:hint="eastAsia"/>
          <w:color w:val="FF0000"/>
          <w:u w:val="single"/>
          <w:lang w:val="en-US" w:eastAsia="zh-CN"/>
        </w:rPr>
        <w:t>6、黄湾乡水源地：为河流型水源地，调查范围该水源地保护区以及其边界向上游整个汇水区域，包括所有连接水体，面积为86.58平方公里。</w:t>
      </w:r>
    </w:p>
    <w:p w14:paraId="7A6A0764">
      <w:pPr>
        <w:ind w:firstLine="640"/>
        <w:rPr>
          <w:rFonts w:hint="eastAsia"/>
          <w:color w:val="FF0000"/>
          <w:u w:val="single"/>
          <w:lang w:val="en-US" w:eastAsia="zh-CN"/>
        </w:rPr>
      </w:pPr>
      <w:r>
        <w:rPr>
          <w:rFonts w:hint="eastAsia"/>
          <w:color w:val="FF0000"/>
          <w:u w:val="single"/>
          <w:lang w:val="en-US" w:eastAsia="zh-CN"/>
        </w:rPr>
        <w:t>7、王山村水源地：为河流型水源地，调查范围该水源地保护区以及其边界向上游整个汇水区域，包括所有连接水体，面积为1.17平方公里。</w:t>
      </w:r>
    </w:p>
    <w:p w14:paraId="464EA6FD">
      <w:pPr>
        <w:ind w:firstLine="640"/>
        <w:rPr>
          <w:rFonts w:hint="eastAsia"/>
          <w:color w:val="FF0000"/>
          <w:u w:val="single"/>
          <w:lang w:val="en-US" w:eastAsia="zh-CN"/>
        </w:rPr>
      </w:pPr>
      <w:r>
        <w:rPr>
          <w:rFonts w:hint="eastAsia"/>
          <w:color w:val="FF0000"/>
          <w:u w:val="single"/>
          <w:lang w:val="en-US" w:eastAsia="zh-CN"/>
        </w:rPr>
        <w:t>8、杨村铺水源地：为河流型水源地，调查范围该水源地保护区以及其边界向上游整个汇水区域，包括所有连接水体，面积为1.35平方公里。</w:t>
      </w:r>
    </w:p>
    <w:p w14:paraId="38402F13">
      <w:pPr>
        <w:ind w:firstLine="640"/>
        <w:rPr>
          <w:rFonts w:hint="eastAsia"/>
          <w:color w:val="FF0000"/>
          <w:u w:val="single"/>
          <w:lang w:val="en-US" w:eastAsia="zh-CN"/>
        </w:rPr>
      </w:pPr>
      <w:r>
        <w:rPr>
          <w:rFonts w:hint="eastAsia"/>
          <w:color w:val="FF0000"/>
          <w:u w:val="single"/>
          <w:lang w:val="en-US" w:eastAsia="zh-CN"/>
        </w:rPr>
        <w:t>9、新沟村水源地：为河流型水源地，调查范围该水源地保护区以及其边界向上游整个汇水区域，包括所有连接水体，面积为4.11平方公里。</w:t>
      </w:r>
    </w:p>
    <w:p w14:paraId="4BA8F923">
      <w:pPr>
        <w:pStyle w:val="3"/>
        <w:numPr>
          <w:ilvl w:val="1"/>
          <w:numId w:val="2"/>
        </w:numPr>
      </w:pPr>
      <w:bookmarkStart w:id="7" w:name="_Toc3217"/>
      <w:r>
        <w:rPr>
          <w:rFonts w:hint="eastAsia"/>
        </w:rPr>
        <w:t>预案衔接</w:t>
      </w:r>
      <w:bookmarkEnd w:id="7"/>
    </w:p>
    <w:p w14:paraId="1640423C">
      <w:pPr>
        <w:ind w:firstLine="640"/>
      </w:pPr>
      <w:r>
        <w:rPr>
          <w:rFonts w:hint="eastAsia"/>
        </w:rPr>
        <w:t>本预案为《</w:t>
      </w:r>
      <w:r>
        <w:rPr>
          <w:rFonts w:hint="eastAsia"/>
          <w:lang w:eastAsia="zh-CN"/>
        </w:rPr>
        <w:t>峨眉山市集中式饮用水水源地</w:t>
      </w:r>
      <w:r>
        <w:rPr>
          <w:rFonts w:hint="eastAsia"/>
        </w:rPr>
        <w:t>突发环境事件应急预案》，与《四川省突发生态环境事件应急预案》、《乐山市突发事件总体应急预案》、《乐山市突发生态环境事件应急预案》《峨眉山市突发事件总体应急预案》等预案相衔接。</w:t>
      </w:r>
    </w:p>
    <w:p w14:paraId="1D324708">
      <w:pPr>
        <w:pStyle w:val="3"/>
        <w:numPr>
          <w:ilvl w:val="1"/>
          <w:numId w:val="2"/>
        </w:numPr>
      </w:pPr>
      <w:bookmarkStart w:id="8" w:name="_Toc32020"/>
      <w:r>
        <w:rPr>
          <w:rFonts w:hint="eastAsia"/>
        </w:rPr>
        <w:t>工作原则</w:t>
      </w:r>
      <w:bookmarkEnd w:id="8"/>
    </w:p>
    <w:p w14:paraId="504714AA">
      <w:pPr>
        <w:ind w:firstLine="640"/>
      </w:pPr>
      <w:r>
        <w:rPr>
          <w:rFonts w:hint="eastAsia"/>
        </w:rPr>
        <w:t>坚持以人为本、积极预防的原则。市政府及有关部门应积极采取措施预防突发环境事件，做好饮用水水源地突发环境事件应急的各项工作。</w:t>
      </w:r>
    </w:p>
    <w:p w14:paraId="5022945F">
      <w:pPr>
        <w:ind w:firstLine="640"/>
      </w:pPr>
      <w:r>
        <w:rPr>
          <w:rFonts w:hint="eastAsia"/>
        </w:rPr>
        <w:t>坚持政府领导、部门联动、企业主体、专家支持、社会救援的原则。市政府加强对饮用水水源地突发环境事件应急处置工作的领导，协调部门或相关</w:t>
      </w:r>
      <w:r>
        <w:rPr>
          <w:rFonts w:hint="eastAsia"/>
          <w:lang w:val="en-US" w:eastAsia="zh-CN"/>
        </w:rPr>
        <w:t>乡镇</w:t>
      </w:r>
      <w:r>
        <w:rPr>
          <w:rFonts w:hint="eastAsia"/>
        </w:rPr>
        <w:t>进行联动，强化企业主体责任，加大专家支持和社会救援力度。</w:t>
      </w:r>
    </w:p>
    <w:p w14:paraId="7EF863C9">
      <w:pPr>
        <w:ind w:firstLine="640"/>
      </w:pPr>
      <w:r>
        <w:rPr>
          <w:rFonts w:hint="eastAsia"/>
        </w:rPr>
        <w:t>坚持属地为主、分级负责、分类管理的原则。各镇街及有关部门按照职责分工，密切合作，有序处置各类突发环境事件。</w:t>
      </w:r>
    </w:p>
    <w:p w14:paraId="4D302DC6">
      <w:pPr>
        <w:ind w:firstLine="640"/>
      </w:pPr>
      <w:r>
        <w:rPr>
          <w:rFonts w:hint="eastAsia"/>
        </w:rPr>
        <w:t>坚持快速反应、科学处置、资源共享、保障有力的原则。市政府及相关部门根据职能职责，整合资源，做到快速响应，科学处置。</w:t>
      </w:r>
    </w:p>
    <w:p w14:paraId="67A6DDA9">
      <w:pPr>
        <w:pStyle w:val="42"/>
        <w:ind w:left="640" w:firstLine="480"/>
        <w:sectPr>
          <w:headerReference r:id="rId13" w:type="default"/>
          <w:footerReference r:id="rId14" w:type="default"/>
          <w:pgSz w:w="11906" w:h="16838"/>
          <w:pgMar w:top="1440" w:right="1797" w:bottom="1440" w:left="1797" w:header="851" w:footer="992" w:gutter="0"/>
          <w:pgBorders>
            <w:top w:val="none" w:sz="0" w:space="0"/>
            <w:left w:val="none" w:sz="0" w:space="0"/>
            <w:bottom w:val="none" w:sz="0" w:space="0"/>
            <w:right w:val="none" w:sz="0" w:space="0"/>
          </w:pgBorders>
          <w:pgNumType w:start="1"/>
          <w:cols w:space="720" w:num="1"/>
          <w:docGrid w:linePitch="312" w:charSpace="0"/>
        </w:sectPr>
      </w:pPr>
    </w:p>
    <w:p w14:paraId="37C602BC">
      <w:pPr>
        <w:pStyle w:val="2"/>
        <w:numPr>
          <w:ilvl w:val="0"/>
          <w:numId w:val="2"/>
        </w:numPr>
      </w:pPr>
      <w:bookmarkStart w:id="9" w:name="_Toc16268"/>
      <w:r>
        <w:rPr>
          <w:rFonts w:hint="eastAsia"/>
        </w:rPr>
        <w:t>应急组织指挥体系</w:t>
      </w:r>
      <w:bookmarkEnd w:id="9"/>
    </w:p>
    <w:p w14:paraId="7C92BF12">
      <w:pPr>
        <w:pStyle w:val="3"/>
        <w:numPr>
          <w:ilvl w:val="1"/>
          <w:numId w:val="2"/>
        </w:numPr>
      </w:pPr>
      <w:bookmarkStart w:id="10" w:name="_Toc26127"/>
      <w:r>
        <w:rPr>
          <w:rFonts w:hint="eastAsia"/>
        </w:rPr>
        <w:t>应急组织指挥机构</w:t>
      </w:r>
      <w:bookmarkEnd w:id="10"/>
    </w:p>
    <w:p w14:paraId="4B5068F3">
      <w:pPr>
        <w:pStyle w:val="4"/>
        <w:numPr>
          <w:ilvl w:val="2"/>
          <w:numId w:val="2"/>
        </w:numPr>
      </w:pPr>
      <w:bookmarkStart w:id="11" w:name="_Toc27382"/>
      <w:r>
        <w:rPr>
          <w:rFonts w:hint="eastAsia"/>
        </w:rPr>
        <w:t>机构组成</w:t>
      </w:r>
      <w:bookmarkEnd w:id="11"/>
    </w:p>
    <w:p w14:paraId="15CFA562">
      <w:pPr>
        <w:ind w:firstLine="640"/>
      </w:pPr>
      <w:r>
        <w:rPr>
          <w:rFonts w:hint="eastAsia"/>
        </w:rPr>
        <w:t>在峨眉山市人民政府的领导下，成立</w:t>
      </w:r>
      <w:r>
        <w:rPr>
          <w:rFonts w:hint="eastAsia"/>
          <w:lang w:eastAsia="zh-CN"/>
        </w:rPr>
        <w:t>峨眉山市集中式饮用水水源地</w:t>
      </w:r>
      <w:r>
        <w:rPr>
          <w:rFonts w:hint="eastAsia"/>
        </w:rPr>
        <w:t>突发环境事件应急指挥部（以下简称“应急指挥部”），作为本项目突发环境事件应急组织指挥机构。</w:t>
      </w:r>
    </w:p>
    <w:p w14:paraId="7D6A33F1">
      <w:pPr>
        <w:ind w:firstLine="640"/>
      </w:pPr>
      <w:r>
        <w:rPr>
          <w:rFonts w:hint="eastAsia"/>
        </w:rPr>
        <w:t>应急组织指挥机构，实行指挥长负责制，指挥长由市政府分管生态环境工作的领导担任，副指挥长由市政府办、生态环境局和市水务局主要负责人担任。应急指挥部下设办公室在生态环境局，办公室主任由生态环境局主要负责人担任。</w:t>
      </w:r>
    </w:p>
    <w:p w14:paraId="022B2244">
      <w:pPr>
        <w:ind w:firstLine="640"/>
      </w:pPr>
      <w:r>
        <w:rPr>
          <w:rFonts w:hint="eastAsia"/>
        </w:rPr>
        <w:t>应急指挥部成员单位包括但不限于以下单位：市委宣传部、市政府应急办</w:t>
      </w:r>
      <w:r>
        <w:rPr>
          <w:rFonts w:hint="eastAsia"/>
          <w:lang w:eastAsia="zh-CN"/>
        </w:rPr>
        <w:t>、市</w:t>
      </w:r>
      <w:r>
        <w:rPr>
          <w:rFonts w:hint="eastAsia"/>
        </w:rPr>
        <w:t>生态环境局、市水务局、市发改局、市经信局、市教育局、市公安局、市监察局、市民政局、市人力资源社会保障局、市国土资源局、市财政局、市住建局、市交通运输局、市农业局、市商务局、市卫计局、市旅游局、市市场监管局、市文广新局、市安监局、市气象局、市人武部、驻峨部队、电信峨眉山分公司、乐电峨眉山分公司、市自来水公司和</w:t>
      </w:r>
      <w:r>
        <w:rPr>
          <w:rFonts w:hint="eastAsia"/>
          <w:lang w:val="en-US" w:eastAsia="zh-CN"/>
        </w:rPr>
        <w:t>各乡镇</w:t>
      </w:r>
      <w:r>
        <w:rPr>
          <w:rFonts w:hint="eastAsia"/>
        </w:rPr>
        <w:t>人民政府组成。</w:t>
      </w:r>
    </w:p>
    <w:p w14:paraId="3BFF9C4F">
      <w:pPr>
        <w:ind w:firstLine="640"/>
      </w:pPr>
      <w:r>
        <w:rPr>
          <w:rFonts w:hint="eastAsia"/>
        </w:rPr>
        <w:t>应急指挥部下设指挥部办公室和现场应急工作组。</w:t>
      </w:r>
    </w:p>
    <w:p w14:paraId="36147D6C">
      <w:pPr>
        <w:pStyle w:val="4"/>
        <w:numPr>
          <w:ilvl w:val="2"/>
          <w:numId w:val="2"/>
        </w:numPr>
      </w:pPr>
      <w:bookmarkStart w:id="12" w:name="_Toc27745"/>
      <w:r>
        <w:rPr>
          <w:rFonts w:hint="eastAsia"/>
        </w:rPr>
        <w:t>应急组织指挥机构职责</w:t>
      </w:r>
      <w:bookmarkEnd w:id="12"/>
    </w:p>
    <w:p w14:paraId="51853684">
      <w:pPr>
        <w:pStyle w:val="5"/>
        <w:numPr>
          <w:ilvl w:val="3"/>
          <w:numId w:val="2"/>
        </w:numPr>
      </w:pPr>
      <w:r>
        <w:rPr>
          <w:rFonts w:hint="eastAsia"/>
        </w:rPr>
        <w:t>总指挥职责</w:t>
      </w:r>
    </w:p>
    <w:p w14:paraId="766FEE7B">
      <w:pPr>
        <w:ind w:firstLine="640"/>
      </w:pPr>
      <w:r>
        <w:rPr>
          <w:rFonts w:hint="eastAsia"/>
        </w:rPr>
        <w:t>应急组织指挥机构总指挥由市政府分管生态环境工作的领导担任。</w:t>
      </w:r>
    </w:p>
    <w:p w14:paraId="7668C6E9">
      <w:pPr>
        <w:ind w:firstLine="640"/>
      </w:pPr>
      <w:r>
        <w:rPr>
          <w:rFonts w:hint="eastAsia"/>
        </w:rPr>
        <w:t>①宣布成立现场指挥部；</w:t>
      </w:r>
    </w:p>
    <w:p w14:paraId="2A59C2ED">
      <w:pPr>
        <w:ind w:firstLine="640"/>
      </w:pPr>
      <w:r>
        <w:rPr>
          <w:rFonts w:hint="eastAsia"/>
        </w:rPr>
        <w:t>②发生水源地突发环境事件时，亲自（或委托副总指挥）赶赴现场进行指挥，组织开展现场应急处置；</w:t>
      </w:r>
    </w:p>
    <w:p w14:paraId="6FC37C3D">
      <w:pPr>
        <w:ind w:firstLine="640"/>
      </w:pPr>
      <w:r>
        <w:rPr>
          <w:rFonts w:hint="eastAsia"/>
        </w:rPr>
        <w:t>③贯彻执行峨眉山市或上级人民政府及有关部门的应急指令；</w:t>
      </w:r>
    </w:p>
    <w:p w14:paraId="1E5E6724">
      <w:pPr>
        <w:ind w:firstLine="640"/>
      </w:pPr>
      <w:r>
        <w:rPr>
          <w:rFonts w:hint="eastAsia"/>
        </w:rPr>
        <w:t>④研判突发环境事件发展态势，组织制定并批准现场处置方案；</w:t>
      </w:r>
    </w:p>
    <w:p w14:paraId="098BF23A">
      <w:pPr>
        <w:ind w:firstLine="640"/>
      </w:pPr>
      <w:r>
        <w:rPr>
          <w:rFonts w:hint="eastAsia"/>
        </w:rPr>
        <w:t>⑤按照预警、应急启动或终止条件，决定预案的启动或终止；</w:t>
      </w:r>
    </w:p>
    <w:p w14:paraId="629C5BA0">
      <w:pPr>
        <w:ind w:firstLine="640"/>
      </w:pPr>
      <w:r>
        <w:rPr>
          <w:rFonts w:hint="eastAsia"/>
        </w:rPr>
        <w:t>⑥组织开展损害评估等后期工作。</w:t>
      </w:r>
    </w:p>
    <w:p w14:paraId="4595B0B8">
      <w:pPr>
        <w:pStyle w:val="5"/>
        <w:numPr>
          <w:ilvl w:val="3"/>
          <w:numId w:val="2"/>
        </w:numPr>
      </w:pPr>
      <w:r>
        <w:rPr>
          <w:rFonts w:hint="eastAsia"/>
        </w:rPr>
        <w:t>副总指挥职责</w:t>
      </w:r>
    </w:p>
    <w:p w14:paraId="62FC3C37">
      <w:pPr>
        <w:ind w:firstLine="640"/>
      </w:pPr>
      <w:r>
        <w:rPr>
          <w:rFonts w:hint="eastAsia"/>
        </w:rPr>
        <w:t>应急组织指挥机构副总指挥由市政府办、生态环境局和市水务局主要负责人担任。</w:t>
      </w:r>
    </w:p>
    <w:p w14:paraId="26EE87B5">
      <w:pPr>
        <w:ind w:firstLine="640"/>
      </w:pPr>
      <w:r>
        <w:rPr>
          <w:rFonts w:hint="eastAsia"/>
        </w:rPr>
        <w:t>①协助总指挥组织开展现场应急处置；</w:t>
      </w:r>
    </w:p>
    <w:p w14:paraId="3139CE1B">
      <w:pPr>
        <w:ind w:firstLine="640"/>
      </w:pPr>
      <w:r>
        <w:rPr>
          <w:rFonts w:hint="eastAsia"/>
        </w:rPr>
        <w:t>②根据分工或总指挥安排，负责现场的具体指挥协调；</w:t>
      </w:r>
    </w:p>
    <w:p w14:paraId="2F54972A">
      <w:pPr>
        <w:ind w:firstLine="640"/>
      </w:pPr>
      <w:r>
        <w:rPr>
          <w:rFonts w:hint="eastAsia"/>
        </w:rPr>
        <w:t>③负责提出有关应急处置建议；</w:t>
      </w:r>
    </w:p>
    <w:p w14:paraId="15755131">
      <w:pPr>
        <w:ind w:firstLine="640"/>
      </w:pPr>
      <w:r>
        <w:rPr>
          <w:rFonts w:hint="eastAsia"/>
        </w:rPr>
        <w:t>④负责向场外人员通报有关应急信息；</w:t>
      </w:r>
    </w:p>
    <w:p w14:paraId="04B491AA">
      <w:pPr>
        <w:ind w:firstLine="640"/>
      </w:pPr>
      <w:r>
        <w:rPr>
          <w:rFonts w:hint="eastAsia"/>
        </w:rPr>
        <w:t>⑤负责协调现场与场外应急处置工作；</w:t>
      </w:r>
    </w:p>
    <w:p w14:paraId="4543D1AE">
      <w:pPr>
        <w:ind w:firstLine="640"/>
      </w:pPr>
      <w:r>
        <w:rPr>
          <w:rFonts w:hint="eastAsia"/>
        </w:rPr>
        <w:t>⑥停止取水后，负责协调保障居民用水；</w:t>
      </w:r>
    </w:p>
    <w:p w14:paraId="08A521DD">
      <w:pPr>
        <w:ind w:firstLine="640"/>
      </w:pPr>
      <w:r>
        <w:rPr>
          <w:rFonts w:hint="eastAsia"/>
        </w:rPr>
        <w:t>⑦处置现场出现的紧急情况。</w:t>
      </w:r>
    </w:p>
    <w:p w14:paraId="338D655E">
      <w:pPr>
        <w:pStyle w:val="5"/>
        <w:numPr>
          <w:ilvl w:val="3"/>
          <w:numId w:val="2"/>
        </w:numPr>
      </w:pPr>
      <w:r>
        <w:rPr>
          <w:rFonts w:hint="eastAsia"/>
        </w:rPr>
        <w:t>指挥部办公室职责</w:t>
      </w:r>
    </w:p>
    <w:p w14:paraId="2CB3DDDB">
      <w:pPr>
        <w:ind w:firstLine="640"/>
      </w:pPr>
      <w:r>
        <w:rPr>
          <w:rFonts w:hint="eastAsia"/>
        </w:rPr>
        <w:t>应急指挥部办公室设立在生态环境局，办公室主任由生态环境局主要负责人担任，办公室职责如下：</w:t>
      </w:r>
    </w:p>
    <w:p w14:paraId="2D6C2B18">
      <w:pPr>
        <w:ind w:firstLine="640"/>
      </w:pPr>
      <w:r>
        <w:rPr>
          <w:rFonts w:hint="eastAsia"/>
        </w:rPr>
        <w:t>①贯彻执行应急指挥部的指令和要求；</w:t>
      </w:r>
    </w:p>
    <w:p w14:paraId="1C6B15F0">
      <w:pPr>
        <w:ind w:firstLine="640"/>
      </w:pPr>
      <w:r>
        <w:rPr>
          <w:rFonts w:hint="eastAsia"/>
        </w:rPr>
        <w:t>②负责信息汇总上报，并与有关的外部应急部门、组织和机构进行联络；</w:t>
      </w:r>
    </w:p>
    <w:p w14:paraId="3921F235">
      <w:pPr>
        <w:ind w:firstLine="640"/>
      </w:pPr>
      <w:r>
        <w:rPr>
          <w:rFonts w:hint="eastAsia"/>
        </w:rPr>
        <w:t>③负责调动应急人员、调配应急资源和联络外部应急组织或机构，组织和协调有关部门参与现场应急处置；</w:t>
      </w:r>
    </w:p>
    <w:p w14:paraId="134271BB">
      <w:pPr>
        <w:ind w:firstLine="640"/>
      </w:pPr>
      <w:r>
        <w:rPr>
          <w:rFonts w:hint="eastAsia"/>
        </w:rPr>
        <w:t>④向市政府及成员单位报告、通报事故应急处置情况，完成市应急指挥部交办的其他任务。</w:t>
      </w:r>
    </w:p>
    <w:p w14:paraId="2BBFB3B8">
      <w:pPr>
        <w:pStyle w:val="5"/>
        <w:numPr>
          <w:ilvl w:val="3"/>
          <w:numId w:val="2"/>
        </w:numPr>
      </w:pPr>
      <w:r>
        <w:rPr>
          <w:rFonts w:hint="eastAsia"/>
        </w:rPr>
        <w:t>应急指挥部成员职责</w:t>
      </w:r>
    </w:p>
    <w:p w14:paraId="3F9D4806">
      <w:pPr>
        <w:ind w:firstLine="640"/>
      </w:pPr>
      <w:r>
        <w:rPr>
          <w:rFonts w:hint="eastAsia"/>
        </w:rPr>
        <w:t>应急指挥部成员单位包括但不限于以下单位：市委宣传部、市政府应急办</w:t>
      </w:r>
      <w:r>
        <w:rPr>
          <w:rFonts w:hint="eastAsia"/>
          <w:lang w:eastAsia="zh-CN"/>
        </w:rPr>
        <w:t>、市</w:t>
      </w:r>
      <w:r>
        <w:rPr>
          <w:rFonts w:hint="eastAsia"/>
        </w:rPr>
        <w:t>生态环境局、市水务局、市发改局、市经信局、市教育局、市公安局、市监察局、市民政局、市人力资源社会保障局、市国土资源局、市财政局、市住建局、市交通运输局、市农业局、市商务局、市卫计局、市旅游局、市市场监管局、市文广新局、市安监局、市气象局、市人武部、驻峨部队、电信峨眉山分公司、乐电峨眉山分公司、市自来水公司和</w:t>
      </w:r>
      <w:r>
        <w:rPr>
          <w:rFonts w:hint="eastAsia"/>
          <w:lang w:val="en-US" w:eastAsia="zh-CN"/>
        </w:rPr>
        <w:t>各乡镇</w:t>
      </w:r>
      <w:r>
        <w:rPr>
          <w:rFonts w:hint="eastAsia"/>
        </w:rPr>
        <w:t>人民政府组成。</w:t>
      </w:r>
    </w:p>
    <w:p w14:paraId="08B0CCCB">
      <w:pPr>
        <w:ind w:firstLine="640"/>
      </w:pPr>
      <w:r>
        <w:rPr>
          <w:rFonts w:hint="eastAsia"/>
        </w:rPr>
        <w:t>市委宣传部：突发饮用水水源污染事件发生后，负责配合涉事乡镇或部门开展舆论引导工作，指导、协调新闻单位的工作。</w:t>
      </w:r>
    </w:p>
    <w:p w14:paraId="3A05FFC6">
      <w:pPr>
        <w:ind w:firstLine="640"/>
      </w:pPr>
      <w:r>
        <w:rPr>
          <w:rFonts w:hint="eastAsia"/>
        </w:rPr>
        <w:t>市政府应急办：负责较大以上饮用水水源污染事件信息上报及突发饮用水水源污染事件应急处置协调工作。</w:t>
      </w:r>
    </w:p>
    <w:p w14:paraId="656B9FA6">
      <w:pPr>
        <w:ind w:firstLine="640"/>
      </w:pPr>
      <w:r>
        <w:rPr>
          <w:rFonts w:hint="eastAsia"/>
        </w:rPr>
        <w:t>生态环境局：建立健全快速反应、协调保障应急机制；参与突发饮用水水源污染事件应急处置的组织、指挥、协调和调查等工作；提供应急处置现场污染物分析监测；负责水质监测和水质变化情况的综合分析，做好水质变化的预测、预警和预报工作。</w:t>
      </w:r>
    </w:p>
    <w:p w14:paraId="46EE60A8">
      <w:pPr>
        <w:ind w:firstLine="640"/>
      </w:pPr>
      <w:r>
        <w:rPr>
          <w:rFonts w:hint="eastAsia"/>
        </w:rPr>
        <w:t>市水务局：配合</w:t>
      </w:r>
      <w:r>
        <w:rPr>
          <w:rFonts w:hint="eastAsia"/>
          <w:lang w:eastAsia="zh-CN"/>
        </w:rPr>
        <w:t>制定</w:t>
      </w:r>
      <w:r>
        <w:rPr>
          <w:rFonts w:hint="eastAsia"/>
        </w:rPr>
        <w:t>突发饮用水水源污染事件应急预案，参与突发饮用水水源污染事件应急处置工作；根据应急处置需要负责调度相应水资源。负责组织开展突发饮用水水源污染事件中的水文监测；提供流域水文资料，发布水情通报，做好水量预测预报工作。负责协调乡镇突发饮用水水源污染事件引发的供水水源安全和应急处置工作。</w:t>
      </w:r>
    </w:p>
    <w:p w14:paraId="017561A7">
      <w:pPr>
        <w:ind w:firstLine="640"/>
      </w:pPr>
      <w:r>
        <w:rPr>
          <w:rFonts w:hint="eastAsia"/>
        </w:rPr>
        <w:t>市发改局：负责突发饮用水水源污染事件应急预防与处置体系建设项目的立项与管理，负责涉及突发饮用水水源污染事件应急基础设施建设项目的审批，参与突发饮用水水源污染事件处置后的恢复重建工作。</w:t>
      </w:r>
    </w:p>
    <w:p w14:paraId="74EDFB80">
      <w:pPr>
        <w:ind w:firstLine="640"/>
      </w:pPr>
      <w:r>
        <w:rPr>
          <w:rFonts w:hint="eastAsia"/>
        </w:rPr>
        <w:t>市经信局：根据应急处置需要及事故性质，负责协调煤炭、成品油、天然气、电力、医药、医疗器械等救援物资、设备的紧急调用；参与突发饮用水水源污染事件的调查和处置后的恢复工作。</w:t>
      </w:r>
    </w:p>
    <w:p w14:paraId="66497D52">
      <w:pPr>
        <w:ind w:firstLine="640"/>
      </w:pPr>
      <w:r>
        <w:rPr>
          <w:rFonts w:hint="eastAsia"/>
        </w:rPr>
        <w:t>市教育局：参与协调学校突发饮用水水源污染事件的应急处置工作；负责学生及教职员工突发饮用水水源污染事件应急知识的教育和培训。</w:t>
      </w:r>
    </w:p>
    <w:p w14:paraId="62C9A4B3">
      <w:pPr>
        <w:ind w:firstLine="640"/>
      </w:pPr>
      <w:r>
        <w:rPr>
          <w:rFonts w:hint="eastAsia"/>
        </w:rPr>
        <w:t>市公安局：负责事故现场的局部洗消工作，提供临时应急用水，阻止易燃、易爆、有毒有害物质泄漏范围的扩大；协助现场应急人员做好自身防护工作。负责组织、协调道路交通安全事件引发的突发饮用水水源污染事件的现场应急处置工作；对事件应急处置中的重要目标、危险区域实施治安警戒或交通道路管制以及人员疏散；对触犯刑法的责任单位和责任人依法立案侦查。</w:t>
      </w:r>
    </w:p>
    <w:p w14:paraId="0E2CB930">
      <w:pPr>
        <w:ind w:firstLine="640"/>
      </w:pPr>
      <w:r>
        <w:rPr>
          <w:rFonts w:hint="eastAsia"/>
        </w:rPr>
        <w:t>市监察局：负责对国家行政机关及其工作人员和国家行政机关任命的其他人员在突发饮用水水源污染事件应急处置工作中履行职责的情况实施监察，对事件调查处理工作进行监督，依法对在突发饮用水水源污染事件中的违纪违规行为进行调查处理。</w:t>
      </w:r>
    </w:p>
    <w:p w14:paraId="06BAD67C">
      <w:pPr>
        <w:ind w:firstLine="640"/>
      </w:pPr>
      <w:r>
        <w:rPr>
          <w:rFonts w:hint="eastAsia"/>
        </w:rPr>
        <w:t>市民政局：负责储备、管理和调配救济物资，负责突发饮用水水源污染事件受灾群众的紧急转移、安置工作，负责对特困群众进行生活、医疗救助，组织、协调有关部门和社会团体开展社会捐助工作，接受、分配国内外企业、个人以及外国政府、境外组织捐助的资金和物资，做好款物管理和发放工作。协调做好伤亡人员的处理和其他善后工作。</w:t>
      </w:r>
    </w:p>
    <w:p w14:paraId="2BD87332">
      <w:pPr>
        <w:ind w:firstLine="640"/>
      </w:pPr>
      <w:r>
        <w:rPr>
          <w:rFonts w:hint="eastAsia"/>
        </w:rPr>
        <w:t>市人力资源社会保障局：负责组织指导突发饮用水水源污染事件造成的社会保险相关问题处置工作。</w:t>
      </w:r>
    </w:p>
    <w:p w14:paraId="48E7F3FF">
      <w:pPr>
        <w:ind w:firstLine="640"/>
      </w:pPr>
      <w:r>
        <w:rPr>
          <w:rFonts w:hint="eastAsia"/>
        </w:rPr>
        <w:t>市国土资源局：参与因地质灾害、违法开采矿产资源等引发的突发饮用水水源污染事件进行调查和应急处置工作。</w:t>
      </w:r>
    </w:p>
    <w:p w14:paraId="63579897">
      <w:pPr>
        <w:ind w:firstLine="640"/>
      </w:pPr>
      <w:r>
        <w:rPr>
          <w:rFonts w:hint="eastAsia"/>
        </w:rPr>
        <w:t>市财政局：负责安排突发饮用水水源污染事件应急救援体系建设及运行经费。</w:t>
      </w:r>
    </w:p>
    <w:p w14:paraId="36CE48D8">
      <w:pPr>
        <w:ind w:firstLine="640"/>
      </w:pPr>
      <w:r>
        <w:rPr>
          <w:rFonts w:hint="eastAsia"/>
        </w:rPr>
        <w:t>市住建局：负责因建设施工引发的突发饮用水水源污染事件的处置工作。</w:t>
      </w:r>
    </w:p>
    <w:p w14:paraId="150884FE">
      <w:pPr>
        <w:ind w:firstLine="640"/>
      </w:pPr>
      <w:r>
        <w:rPr>
          <w:rFonts w:hint="eastAsia"/>
        </w:rPr>
        <w:t>市交通运输局：负责组织协调船舶突发饮用水水源污染事件的应急处置工作。参与交通事件引发的突发饮用水水源污染事件应急救援的组织协调和调查处置工作。</w:t>
      </w:r>
    </w:p>
    <w:p w14:paraId="5C98344C">
      <w:pPr>
        <w:ind w:firstLine="640"/>
      </w:pPr>
      <w:r>
        <w:rPr>
          <w:rFonts w:hint="eastAsia"/>
        </w:rPr>
        <w:t>市农业局：负责农药、化肥等引发突发饮用水水源污染事件的应急处置；负责对农作物、水产品等受污染情况进行调查鉴定并协调处理；负责事件中对影响和可能受影响的农作物进行预防、抢救、转移及善后处置工作。负责突发饮用水水源污染事件引发畜禽养殖业、渔业污染的应急处理；对事件中影响和可能受影响的家畜进行预防、抢救、转移及善后处置等工作。</w:t>
      </w:r>
    </w:p>
    <w:p w14:paraId="19DC5BF2">
      <w:pPr>
        <w:ind w:firstLine="640"/>
      </w:pPr>
      <w:r>
        <w:rPr>
          <w:rFonts w:hint="eastAsia"/>
        </w:rPr>
        <w:t>市商务局：在应急供水状态下，负责组织储存、调运桶（瓶）装饮用水。负责应急处置的油料及其他物资储备保障。</w:t>
      </w:r>
    </w:p>
    <w:p w14:paraId="0618B857">
      <w:pPr>
        <w:ind w:firstLine="640"/>
      </w:pPr>
      <w:r>
        <w:rPr>
          <w:rFonts w:hint="eastAsia"/>
        </w:rPr>
        <w:t>市卫计局：负责事件中受伤、中毒人员医疗救治，组织协调卫生防疫工作，根据应急需要对污染物毒性进行分析，提出控制污染对策建议；为事发地医疗机构提供技术支持。</w:t>
      </w:r>
    </w:p>
    <w:p w14:paraId="55C554B1">
      <w:pPr>
        <w:ind w:firstLine="640"/>
      </w:pPr>
      <w:r>
        <w:rPr>
          <w:rFonts w:hint="eastAsia"/>
        </w:rPr>
        <w:t>市旅游局：参与旅游团队突发饮用水水源污染事件的应急处置工作。</w:t>
      </w:r>
    </w:p>
    <w:p w14:paraId="68F88773">
      <w:pPr>
        <w:ind w:firstLine="640"/>
      </w:pPr>
      <w:r>
        <w:rPr>
          <w:rFonts w:hint="eastAsia"/>
        </w:rPr>
        <w:t>市市场监管局：参与维护突发饮用水水源污染事件应急期间市场秩序。</w:t>
      </w:r>
    </w:p>
    <w:p w14:paraId="72EF0807">
      <w:pPr>
        <w:ind w:firstLine="640"/>
      </w:pPr>
      <w:r>
        <w:rPr>
          <w:rFonts w:hint="eastAsia"/>
        </w:rPr>
        <w:t>市文广新局：加强广播、电视及报纸、期刊等出版物管理，做好突发饮用水水源污染事件新闻报道和舆论引导工作。</w:t>
      </w:r>
    </w:p>
    <w:p w14:paraId="0117696A">
      <w:pPr>
        <w:ind w:firstLine="640"/>
      </w:pPr>
      <w:r>
        <w:rPr>
          <w:rFonts w:hint="eastAsia"/>
        </w:rPr>
        <w:t>市安监局：负责判断由生产安全事故引发的饮用水水源污染类型和性质，参与负责危险化学品重大安全事件引发的饮用水水源污染事件应急处置工作。</w:t>
      </w:r>
    </w:p>
    <w:p w14:paraId="1FC93169">
      <w:pPr>
        <w:ind w:firstLine="640"/>
      </w:pPr>
      <w:r>
        <w:rPr>
          <w:rFonts w:hint="eastAsia"/>
        </w:rPr>
        <w:t>市气象局：提供突发饮用水水源污染事件应急所需气象数据。</w:t>
      </w:r>
    </w:p>
    <w:p w14:paraId="5D10B427">
      <w:pPr>
        <w:ind w:firstLine="640"/>
      </w:pPr>
      <w:r>
        <w:rPr>
          <w:rFonts w:hint="eastAsia"/>
        </w:rPr>
        <w:t>市人武部、驻峨部队：根据突发饮用水水源污染事件应急处置工作的需要和《军队参加抢险救灾条例》的规定，协调组织驻峨部队、武警部队参与突发饮用水水源污染事件的应急处置工作。</w:t>
      </w:r>
    </w:p>
    <w:p w14:paraId="4F5EAD4C">
      <w:pPr>
        <w:ind w:firstLine="640"/>
      </w:pPr>
      <w:r>
        <w:rPr>
          <w:rFonts w:hint="eastAsia"/>
        </w:rPr>
        <w:t>电信峨眉山分公司：负责突发饮用水水源污染事件应急通信保障工作。</w:t>
      </w:r>
    </w:p>
    <w:p w14:paraId="6D965B98">
      <w:pPr>
        <w:ind w:firstLine="640"/>
      </w:pPr>
      <w:r>
        <w:rPr>
          <w:rFonts w:hint="eastAsia"/>
        </w:rPr>
        <w:t>乐电峨眉山分公司：负责电力设施抢险救援和电力供应，保障电力安全。</w:t>
      </w:r>
    </w:p>
    <w:p w14:paraId="7A79E4D3">
      <w:pPr>
        <w:ind w:firstLine="640"/>
      </w:pPr>
      <w:r>
        <w:rPr>
          <w:rFonts w:hint="eastAsia"/>
        </w:rPr>
        <w:t>市自来水公司：负责突发饮用水水源污染事件引发的供水水源安全和应急处置工作。</w:t>
      </w:r>
    </w:p>
    <w:p w14:paraId="256A3222">
      <w:pPr>
        <w:ind w:firstLine="640"/>
      </w:pPr>
      <w:r>
        <w:rPr>
          <w:rFonts w:hint="eastAsia"/>
          <w:lang w:val="en-US" w:eastAsia="zh-CN"/>
        </w:rPr>
        <w:t>各乡镇</w:t>
      </w:r>
      <w:r>
        <w:rPr>
          <w:rFonts w:hint="eastAsia"/>
        </w:rPr>
        <w:t>人民政府：按照属地管理原则，妥善应对处置本辖区突发饮用水水源污染事件。</w:t>
      </w:r>
    </w:p>
    <w:p w14:paraId="2B352A95">
      <w:pPr>
        <w:ind w:firstLine="640"/>
      </w:pPr>
      <w:r>
        <w:rPr>
          <w:rFonts w:hint="eastAsia"/>
        </w:rPr>
        <w:t>本预案未规定职责的其他市级有关部门和单位须服从应急指挥部的协调指挥，根据应急处置工作需要，开展相应工作。</w:t>
      </w:r>
    </w:p>
    <w:p w14:paraId="7E95327A">
      <w:pPr>
        <w:pStyle w:val="3"/>
        <w:numPr>
          <w:ilvl w:val="1"/>
          <w:numId w:val="2"/>
        </w:numPr>
      </w:pPr>
      <w:bookmarkStart w:id="13" w:name="_Toc2924"/>
      <w:r>
        <w:rPr>
          <w:rFonts w:hint="eastAsia"/>
        </w:rPr>
        <w:t>现场应急指挥部</w:t>
      </w:r>
      <w:bookmarkEnd w:id="13"/>
    </w:p>
    <w:p w14:paraId="0528EF56">
      <w:pPr>
        <w:ind w:firstLine="640"/>
      </w:pPr>
      <w:r>
        <w:rPr>
          <w:rFonts w:hint="eastAsia"/>
        </w:rPr>
        <w:t>应急指挥部应组建现场临时应急指挥部，在上级预案启动前，负责组织、协调和指挥现场处置工作。参与现场处置的有关单位和人员要服从现场临时指挥部的统一指挥。应急终止后，现场临时指挥机构撤销。</w:t>
      </w:r>
    </w:p>
    <w:p w14:paraId="2E8C9DEB">
      <w:pPr>
        <w:ind w:firstLine="640"/>
      </w:pPr>
      <w:r>
        <w:rPr>
          <w:rFonts w:hint="eastAsia"/>
        </w:rPr>
        <w:t>主要职责：负责现场应急救援指挥工作，现场指挥部组织相关部门及人员，充分听取专家意见，制定现场处置方案，视事件情况和应对工作需要协调各级、各专业应急力量参与应急处置，及时控制污染事态，最大限度降低污染损害，及时向</w:t>
      </w:r>
      <w:r>
        <w:rPr>
          <w:rFonts w:hint="eastAsia"/>
          <w:lang w:eastAsia="zh-CN"/>
        </w:rPr>
        <w:t>峨眉山市集中式饮用水水源地</w:t>
      </w:r>
      <w:r>
        <w:rPr>
          <w:rFonts w:hint="eastAsia"/>
        </w:rPr>
        <w:t>突发环境事件应急指挥部报告事件进展情况。</w:t>
      </w:r>
    </w:p>
    <w:p w14:paraId="25B1208D">
      <w:pPr>
        <w:ind w:firstLine="640"/>
      </w:pPr>
    </w:p>
    <w:p w14:paraId="58FF3145">
      <w:pPr>
        <w:pStyle w:val="3"/>
        <w:numPr>
          <w:ilvl w:val="1"/>
          <w:numId w:val="2"/>
        </w:numPr>
      </w:pPr>
      <w:bookmarkStart w:id="14" w:name="_Toc2389"/>
      <w:r>
        <w:rPr>
          <w:rFonts w:hint="eastAsia"/>
        </w:rPr>
        <w:t>现场应急工作组</w:t>
      </w:r>
      <w:bookmarkEnd w:id="14"/>
    </w:p>
    <w:p w14:paraId="052CE454">
      <w:pPr>
        <w:ind w:firstLine="640"/>
      </w:pPr>
      <w:r>
        <w:rPr>
          <w:rFonts w:hint="eastAsia"/>
        </w:rPr>
        <w:t>应急指挥部下设六个工作组，包括应急处置组、应急监测组、应急供水保障组、应急物资保障组、应急专家组和综合组等，各工作组组成及职责分工如下：</w:t>
      </w:r>
    </w:p>
    <w:p w14:paraId="69461BDF">
      <w:pPr>
        <w:pStyle w:val="4"/>
        <w:numPr>
          <w:ilvl w:val="2"/>
          <w:numId w:val="2"/>
        </w:numPr>
      </w:pPr>
      <w:bookmarkStart w:id="15" w:name="_Toc28587"/>
      <w:r>
        <w:rPr>
          <w:rFonts w:hint="eastAsia"/>
        </w:rPr>
        <w:t>应急处置组</w:t>
      </w:r>
      <w:bookmarkEnd w:id="15"/>
    </w:p>
    <w:p w14:paraId="11FE75BE">
      <w:pPr>
        <w:ind w:firstLine="640"/>
      </w:pPr>
      <w:r>
        <w:rPr>
          <w:rFonts w:hint="eastAsia"/>
        </w:rPr>
        <w:t>由生态环境局牵头，成员单位由市政府应急办、市水务局、市经信局、市公安局、市国土资源局、市财政局、市住建局、市交通运输局、市农业局、市商务局、市卫计局、市旅游局、市市场监管局、市安监局、市气象局、市人武部、驻峨部队、电信峨眉山分公司、乐电峨眉山分公司、市自来水公司和</w:t>
      </w:r>
      <w:r>
        <w:rPr>
          <w:rFonts w:hint="eastAsia"/>
          <w:lang w:val="en-US" w:eastAsia="zh-CN"/>
        </w:rPr>
        <w:t>各乡镇</w:t>
      </w:r>
      <w:r>
        <w:rPr>
          <w:rFonts w:hint="eastAsia"/>
        </w:rPr>
        <w:t>人民政府组成。</w:t>
      </w:r>
    </w:p>
    <w:p w14:paraId="20FDC140">
      <w:pPr>
        <w:ind w:firstLine="640"/>
      </w:pPr>
      <w:r>
        <w:rPr>
          <w:rFonts w:hint="eastAsia"/>
        </w:rPr>
        <w:t>职责：收集汇总相关数据，组织进行技术研判，开展事态分析，组织制定应急处置方案；迅速组织切断污染源，分析污染途径，明确防止污染物扩散的程序；组织采取围堵和削减等有效措施，开展污染物收集、转运和异地处置等工作，消除或减轻已经造成的污染；明确不同情况下的现场处置人员须采取的个人防护措施；组织建立现场警戒区和交通管制区域，确定重点防护区域，确定受威胁人员疏散的方式和途径，疏散转移受威胁人员至安全紧急避险场所；协调公安、消防等有关力量参与应急处置。</w:t>
      </w:r>
    </w:p>
    <w:p w14:paraId="3E2EE4E0">
      <w:pPr>
        <w:pStyle w:val="4"/>
        <w:numPr>
          <w:ilvl w:val="2"/>
          <w:numId w:val="2"/>
        </w:numPr>
      </w:pPr>
      <w:bookmarkStart w:id="16" w:name="_Toc2279"/>
      <w:r>
        <w:rPr>
          <w:rFonts w:hint="eastAsia"/>
        </w:rPr>
        <w:t>应急监测组</w:t>
      </w:r>
      <w:bookmarkEnd w:id="16"/>
    </w:p>
    <w:p w14:paraId="148946B3">
      <w:pPr>
        <w:ind w:firstLine="640"/>
      </w:pPr>
      <w:r>
        <w:rPr>
          <w:rFonts w:hint="eastAsia"/>
        </w:rPr>
        <w:t>由生态环境局牵头，成员单位由市卫计局、市住建局、市城管局、市气象局、市水务局、市自来水公司等单位组成。</w:t>
      </w:r>
    </w:p>
    <w:p w14:paraId="24B8C5FD">
      <w:pPr>
        <w:ind w:firstLine="640"/>
      </w:pPr>
      <w:r>
        <w:rPr>
          <w:rFonts w:hint="eastAsia"/>
        </w:rPr>
        <w:t>职责：根据饮用水源突发环境事件的污染物种类、性质以及当地气象、自然、社会环境状况等，明确相应的应急监测方案及监测方法；确定污染物扩散范围，明确监测的布点和频次，做好大气、水体、土壤等应急监测，为饮用水源突发环境事件应急决策提供依据；负责在污染带上游、下游分别设置断面进行应急监测；负责应急期间的水源地、供水单位和管网末梢水的水质监测。</w:t>
      </w:r>
    </w:p>
    <w:p w14:paraId="3241AEEF">
      <w:pPr>
        <w:pStyle w:val="4"/>
        <w:numPr>
          <w:ilvl w:val="2"/>
          <w:numId w:val="2"/>
        </w:numPr>
      </w:pPr>
      <w:bookmarkStart w:id="17" w:name="_Toc21286"/>
      <w:r>
        <w:rPr>
          <w:rFonts w:hint="eastAsia"/>
        </w:rPr>
        <w:t>应急供水保障组</w:t>
      </w:r>
      <w:bookmarkEnd w:id="17"/>
    </w:p>
    <w:p w14:paraId="3BBA0E55">
      <w:pPr>
        <w:ind w:firstLine="640"/>
      </w:pPr>
      <w:r>
        <w:rPr>
          <w:rFonts w:hint="eastAsia"/>
        </w:rPr>
        <w:t>由市卫生健康委牵头，生态环境局、住建局、应急管理局、公安局、农业农村局、财政局等单位构成。</w:t>
      </w:r>
    </w:p>
    <w:p w14:paraId="04D53810">
      <w:pPr>
        <w:ind w:firstLine="640"/>
      </w:pPr>
      <w:r>
        <w:rPr>
          <w:rFonts w:hint="eastAsia"/>
        </w:rPr>
        <w:t>职责：负责制定应急供水保障方案；负责指导供水单位启动深度处理设施或备用水源以及应急供水车等措施，保障居民用水。</w:t>
      </w:r>
    </w:p>
    <w:p w14:paraId="7336912F">
      <w:pPr>
        <w:pStyle w:val="4"/>
        <w:numPr>
          <w:ilvl w:val="2"/>
          <w:numId w:val="2"/>
        </w:numPr>
      </w:pPr>
      <w:bookmarkStart w:id="18" w:name="_Toc639"/>
      <w:r>
        <w:rPr>
          <w:rFonts w:hint="eastAsia"/>
        </w:rPr>
        <w:t>应急物资保障组</w:t>
      </w:r>
      <w:bookmarkEnd w:id="18"/>
    </w:p>
    <w:p w14:paraId="5815B5E7">
      <w:pPr>
        <w:ind w:firstLine="640"/>
      </w:pPr>
      <w:r>
        <w:rPr>
          <w:rFonts w:hint="eastAsia"/>
        </w:rPr>
        <w:t>由生态环境局牵头，市政府应急办</w:t>
      </w:r>
      <w:r>
        <w:rPr>
          <w:rFonts w:hint="eastAsia"/>
          <w:lang w:eastAsia="zh-CN"/>
        </w:rPr>
        <w:t>、市</w:t>
      </w:r>
      <w:r>
        <w:rPr>
          <w:rFonts w:hint="eastAsia"/>
        </w:rPr>
        <w:t>生态环境局、市水务局、市经信局、市公安局、市民政局、市人力资源社会保障局、市财政局、市住建局、市交通运输局、市农业局、市商务局、市卫计局、市旅游局、市市场监管局、市文广新局、市安监局、市气象局、市人武部、驻峨部队、乐电峨眉山分公司、市自来水公司和</w:t>
      </w:r>
      <w:r>
        <w:rPr>
          <w:rFonts w:hint="eastAsia"/>
          <w:lang w:val="en-US" w:eastAsia="zh-CN"/>
        </w:rPr>
        <w:t>各乡镇</w:t>
      </w:r>
      <w:r>
        <w:rPr>
          <w:rFonts w:hint="eastAsia"/>
        </w:rPr>
        <w:t>人民政府组成。</w:t>
      </w:r>
    </w:p>
    <w:p w14:paraId="1BAADAE5">
      <w:pPr>
        <w:ind w:firstLine="640"/>
      </w:pPr>
      <w:r>
        <w:rPr>
          <w:rFonts w:hint="eastAsia"/>
        </w:rPr>
        <w:t>职责：负责制定应急物资保障方案；负责事故现场及周边地区的道路警戒、控制和保护，维护现场秩序，保障社会秩序稳定；负责调配应急物资、协调运输车辆；负责协调补偿征用物资、应急救援和污染物处置等费用。</w:t>
      </w:r>
    </w:p>
    <w:p w14:paraId="71DD5CBB">
      <w:pPr>
        <w:pStyle w:val="4"/>
        <w:numPr>
          <w:ilvl w:val="2"/>
          <w:numId w:val="2"/>
        </w:numPr>
      </w:pPr>
      <w:bookmarkStart w:id="19" w:name="_Toc6753"/>
      <w:r>
        <w:rPr>
          <w:rFonts w:hint="eastAsia"/>
        </w:rPr>
        <w:t>应急专家组</w:t>
      </w:r>
      <w:bookmarkEnd w:id="19"/>
    </w:p>
    <w:p w14:paraId="4B98A89C">
      <w:pPr>
        <w:ind w:firstLine="640"/>
      </w:pPr>
      <w:r>
        <w:rPr>
          <w:rFonts w:hint="eastAsia"/>
        </w:rPr>
        <w:t>为参谋机构，</w:t>
      </w:r>
      <w:r>
        <w:rPr>
          <w:rFonts w:hint="eastAsia"/>
          <w:lang w:val="en-US" w:eastAsia="zh-CN"/>
        </w:rPr>
        <w:t>由峨眉山市生态环境局、水务局、应急管理局等</w:t>
      </w:r>
      <w:r>
        <w:rPr>
          <w:rFonts w:hint="eastAsia"/>
        </w:rPr>
        <w:t>专家组成。</w:t>
      </w:r>
    </w:p>
    <w:p w14:paraId="20D3628E">
      <w:pPr>
        <w:ind w:firstLine="640"/>
      </w:pPr>
      <w:r>
        <w:rPr>
          <w:rFonts w:hint="eastAsia"/>
        </w:rPr>
        <w:t>职责：为现场应急处置提供技术支持。</w:t>
      </w:r>
    </w:p>
    <w:p w14:paraId="6F6326A4">
      <w:pPr>
        <w:pStyle w:val="4"/>
        <w:numPr>
          <w:ilvl w:val="2"/>
          <w:numId w:val="2"/>
        </w:numPr>
      </w:pPr>
      <w:bookmarkStart w:id="20" w:name="_Toc12388"/>
      <w:r>
        <w:rPr>
          <w:rFonts w:hint="eastAsia"/>
        </w:rPr>
        <w:t>应急综合组</w:t>
      </w:r>
      <w:bookmarkEnd w:id="20"/>
    </w:p>
    <w:p w14:paraId="56C1A1C0">
      <w:pPr>
        <w:ind w:firstLine="640"/>
      </w:pPr>
      <w:r>
        <w:rPr>
          <w:rFonts w:hint="eastAsia"/>
        </w:rPr>
        <w:t>为综合协调机构，由生态环境局牵头，</w:t>
      </w:r>
      <w:r>
        <w:rPr>
          <w:spacing w:val="1"/>
        </w:rPr>
        <w:t>市委宣传部</w:t>
      </w:r>
      <w:r>
        <w:rPr>
          <w:rFonts w:hint="eastAsia"/>
          <w:spacing w:val="1"/>
        </w:rPr>
        <w:t>、</w:t>
      </w:r>
      <w:r>
        <w:rPr>
          <w:rFonts w:hint="eastAsia"/>
        </w:rPr>
        <w:t>市政府应急办、市水务局、</w:t>
      </w:r>
      <w:r>
        <w:rPr>
          <w:spacing w:val="-10"/>
        </w:rPr>
        <w:t>市公安局、市监察局、</w:t>
      </w:r>
      <w:r>
        <w:rPr>
          <w:rFonts w:hint="eastAsia"/>
        </w:rPr>
        <w:t>市文广新局、市自来水公司和</w:t>
      </w:r>
      <w:r>
        <w:rPr>
          <w:rFonts w:hint="eastAsia"/>
          <w:lang w:val="en-US" w:eastAsia="zh-CN"/>
        </w:rPr>
        <w:t>各乡镇</w:t>
      </w:r>
      <w:r>
        <w:rPr>
          <w:rFonts w:hint="eastAsia"/>
        </w:rPr>
        <w:t>人民政府等部门组成。</w:t>
      </w:r>
    </w:p>
    <w:p w14:paraId="47C239DD">
      <w:pPr>
        <w:ind w:firstLine="640"/>
        <w:rPr>
          <w:rFonts w:eastAsia="楷体"/>
          <w:b/>
          <w:bCs/>
        </w:rPr>
      </w:pPr>
      <w:r>
        <w:rPr>
          <w:rFonts w:hint="eastAsia"/>
        </w:rPr>
        <w:t>职责：指导突发环境事件的新闻发布，全面向受灾群众宣传相关知识；负责事发地周边安全警戒，疏散突发环境事件发生区域的人员；实施交通管制和交通疏导，保障救援道路畅通；保护现场，维护现场秩序；查处违法犯罪活动；加强对重要生活必需品等商品的市场监管和调控，严厉打击借机传播谣言制造社会恐慌、哄抢物资等违法犯罪行为；</w:t>
      </w:r>
      <w:r>
        <w:rPr>
          <w:rFonts w:eastAsia="方正仿宋简体"/>
        </w:rPr>
        <w:t>负责突发环境事件应急处置后的生态恢复工作，对有关责任人员和单位依法追究责任</w:t>
      </w:r>
      <w:r>
        <w:rPr>
          <w:rFonts w:hint="eastAsia"/>
        </w:rPr>
        <w:t>。</w:t>
      </w:r>
    </w:p>
    <w:p w14:paraId="7BF6E658">
      <w:pPr>
        <w:ind w:firstLine="640"/>
      </w:pPr>
    </w:p>
    <w:p w14:paraId="7BE3BF35">
      <w:pPr>
        <w:ind w:firstLine="640"/>
        <w:sectPr>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p>
    <w:p w14:paraId="1CA5A581">
      <w:pPr>
        <w:pStyle w:val="2"/>
        <w:numPr>
          <w:ilvl w:val="0"/>
          <w:numId w:val="2"/>
        </w:numPr>
      </w:pPr>
      <w:bookmarkStart w:id="21" w:name="_Toc10003"/>
      <w:r>
        <w:rPr>
          <w:rFonts w:hint="eastAsia"/>
        </w:rPr>
        <w:t>应急响应</w:t>
      </w:r>
      <w:bookmarkEnd w:id="21"/>
    </w:p>
    <w:p w14:paraId="577F729B">
      <w:pPr>
        <w:ind w:firstLine="640"/>
      </w:pPr>
      <w:r>
        <w:rPr>
          <w:rFonts w:hint="eastAsia"/>
        </w:rPr>
        <w:t>包括信息收集和研判、预警、信息报告与通报、事态研判、应急监测、污染源排查与处置、应急处置、物资调集及应急设施启用、舆情监测与信息发布、响应终止等工作内容。</w:t>
      </w:r>
    </w:p>
    <w:p w14:paraId="48FDD6B2">
      <w:pPr>
        <w:ind w:firstLine="640"/>
      </w:pPr>
      <w:r>
        <w:rPr>
          <w:rFonts w:hint="eastAsia"/>
        </w:rPr>
        <w:t>主要应急响应流程图见下图。</w:t>
      </w:r>
    </w:p>
    <w:p w14:paraId="65ABB713">
      <w:pPr>
        <w:spacing w:line="240" w:lineRule="auto"/>
        <w:ind w:firstLine="0" w:firstLineChars="0"/>
        <w:jc w:val="center"/>
      </w:pPr>
      <w:r>
        <w:rPr>
          <w:rFonts w:ascii="方正仿宋_GBK"/>
        </w:rPr>
        <w:drawing>
          <wp:inline distT="0" distB="0" distL="114300" distR="114300">
            <wp:extent cx="5074285" cy="6424295"/>
            <wp:effectExtent l="0" t="0" r="635" b="6985"/>
            <wp:docPr id="71" name="图片 1" descr="2056308951649661742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descr="2056308951649661742601.png"/>
                    <pic:cNvPicPr>
                      <a:picLocks noChangeAspect="1"/>
                    </pic:cNvPicPr>
                  </pic:nvPicPr>
                  <pic:blipFill>
                    <a:blip r:embed="rId21"/>
                    <a:stretch>
                      <a:fillRect/>
                    </a:stretch>
                  </pic:blipFill>
                  <pic:spPr>
                    <a:xfrm>
                      <a:off x="0" y="0"/>
                      <a:ext cx="5074285" cy="6424295"/>
                    </a:xfrm>
                    <a:prstGeom prst="rect">
                      <a:avLst/>
                    </a:prstGeom>
                    <a:noFill/>
                    <a:ln>
                      <a:noFill/>
                    </a:ln>
                  </pic:spPr>
                </pic:pic>
              </a:graphicData>
            </a:graphic>
          </wp:inline>
        </w:drawing>
      </w:r>
    </w:p>
    <w:p w14:paraId="3235BD2A">
      <w:pPr>
        <w:ind w:firstLine="0" w:firstLineChars="0"/>
        <w:jc w:val="center"/>
        <w:rPr>
          <w:rFonts w:ascii="黑体" w:hAnsi="黑体" w:eastAsia="黑体" w:cs="黑体"/>
          <w:sz w:val="28"/>
          <w:szCs w:val="28"/>
        </w:rPr>
      </w:pPr>
      <w:r>
        <w:rPr>
          <w:rFonts w:hint="eastAsia" w:ascii="黑体" w:hAnsi="黑体" w:eastAsia="黑体" w:cs="黑体"/>
          <w:sz w:val="28"/>
          <w:szCs w:val="28"/>
        </w:rPr>
        <w:t>图1    应急响应流程图</w:t>
      </w:r>
    </w:p>
    <w:p w14:paraId="18FBDFE4">
      <w:pPr>
        <w:pStyle w:val="3"/>
        <w:numPr>
          <w:ilvl w:val="1"/>
          <w:numId w:val="2"/>
        </w:numPr>
      </w:pPr>
      <w:bookmarkStart w:id="22" w:name="_Toc25556"/>
      <w:r>
        <w:rPr>
          <w:rFonts w:hint="eastAsia"/>
        </w:rPr>
        <w:t>信息收集和研判</w:t>
      </w:r>
      <w:bookmarkEnd w:id="22"/>
    </w:p>
    <w:p w14:paraId="44422918">
      <w:pPr>
        <w:pStyle w:val="4"/>
        <w:numPr>
          <w:ilvl w:val="2"/>
          <w:numId w:val="2"/>
        </w:numPr>
      </w:pPr>
      <w:bookmarkStart w:id="23" w:name="_Toc10838"/>
      <w:r>
        <w:rPr>
          <w:rFonts w:hint="eastAsia"/>
        </w:rPr>
        <w:t>信息收集</w:t>
      </w:r>
      <w:bookmarkEnd w:id="23"/>
    </w:p>
    <w:p w14:paraId="05A1BC60">
      <w:pPr>
        <w:ind w:firstLine="640"/>
        <w:rPr>
          <w:rFonts w:hint="default"/>
          <w:lang w:val="en-US" w:eastAsia="zh-CN"/>
        </w:rPr>
      </w:pPr>
      <w:r>
        <w:rPr>
          <w:rFonts w:hint="eastAsia"/>
          <w:lang w:val="en-US" w:eastAsia="zh-CN"/>
        </w:rPr>
        <w:t>1、河流型和湖库型水源地</w:t>
      </w:r>
    </w:p>
    <w:p w14:paraId="6C60BBF4">
      <w:pPr>
        <w:ind w:firstLine="640"/>
        <w:rPr>
          <w:rFonts w:hint="eastAsia"/>
          <w:lang w:val="en-US" w:eastAsia="zh-CN"/>
        </w:rPr>
      </w:pPr>
      <w:r>
        <w:rPr>
          <w:rFonts w:hint="eastAsia"/>
          <w:lang w:val="en-US" w:eastAsia="zh-CN"/>
        </w:rPr>
        <w:t>河流型包括虎溪河水源地、白果村8组水源地、黄湾乡水源地、</w:t>
      </w:r>
      <w:r>
        <w:rPr>
          <w:rFonts w:hint="eastAsia"/>
          <w:color w:val="FF0000"/>
          <w:u w:val="single"/>
          <w:lang w:val="en-US" w:eastAsia="zh-CN"/>
        </w:rPr>
        <w:t>王山村水源地、杨村铺水源地和新沟村水源地</w:t>
      </w:r>
      <w:r>
        <w:rPr>
          <w:rFonts w:hint="eastAsia"/>
          <w:lang w:val="en-US" w:eastAsia="zh-CN"/>
        </w:rPr>
        <w:t>，湖库型水源地为观音岩水源地，突发环境事件信息来源包括以下途径：</w:t>
      </w:r>
    </w:p>
    <w:p w14:paraId="055E00B0">
      <w:pPr>
        <w:ind w:firstLine="640"/>
        <w:rPr>
          <w:rFonts w:hint="default"/>
          <w:lang w:val="en-US" w:eastAsia="zh-CN"/>
        </w:rPr>
      </w:pPr>
      <w:r>
        <w:rPr>
          <w:rFonts w:hint="default"/>
          <w:lang w:val="en-US" w:eastAsia="zh-CN"/>
        </w:rPr>
        <w:t>（1）集中式饮用水水源地所属行政区域乡镇级人民政府、</w:t>
      </w:r>
      <w:r>
        <w:rPr>
          <w:rFonts w:hint="eastAsia"/>
          <w:lang w:val="en-US" w:eastAsia="zh-CN"/>
        </w:rPr>
        <w:t>生态环境</w:t>
      </w:r>
      <w:r>
        <w:rPr>
          <w:rFonts w:hint="default"/>
          <w:lang w:val="en-US" w:eastAsia="zh-CN"/>
        </w:rPr>
        <w:t>、水务等部门，可通过流域、水源地或供水单位开展的水质监督性监测（常规断面）、在线监测（常规和预警监控断面）等日常监管渠道获取水质异常信息，也可以通过水文气象、地质灾害、污染源排放等信息开展水质监测预警，获取水质异常信息。</w:t>
      </w:r>
    </w:p>
    <w:p w14:paraId="4778CDDE">
      <w:pPr>
        <w:ind w:firstLine="640"/>
        <w:rPr>
          <w:rFonts w:hint="default"/>
          <w:lang w:val="en-US" w:eastAsia="zh-CN"/>
        </w:rPr>
      </w:pPr>
      <w:r>
        <w:rPr>
          <w:rFonts w:hint="default"/>
          <w:lang w:val="en-US" w:eastAsia="zh-CN"/>
        </w:rPr>
        <w:t>（2）</w:t>
      </w:r>
      <w:r>
        <w:rPr>
          <w:rFonts w:hint="eastAsia"/>
          <w:lang w:val="en-US" w:eastAsia="zh-CN"/>
        </w:rPr>
        <w:t>生态环境部门</w:t>
      </w:r>
      <w:r>
        <w:rPr>
          <w:rFonts w:hint="default"/>
          <w:lang w:val="en-US" w:eastAsia="zh-CN"/>
        </w:rPr>
        <w:t>可通过乡镇集中式饮用水水源地上游及周边主要风险源监控获取异常排放信息，也可通过0833-12369热线、网络等途径获取突发环境事件信息；公安交通部门可通过交通事故报警获取流动源事故信息；水务、农业农村等部门可通过对水库藻密度变化情况的监测，获取水华事件信息。</w:t>
      </w:r>
    </w:p>
    <w:p w14:paraId="06F70214">
      <w:pPr>
        <w:ind w:firstLine="640"/>
        <w:rPr>
          <w:rFonts w:hint="default"/>
          <w:lang w:val="en-US" w:eastAsia="zh-CN"/>
        </w:rPr>
      </w:pPr>
      <w:r>
        <w:rPr>
          <w:rFonts w:hint="default"/>
          <w:lang w:val="en-US" w:eastAsia="zh-CN"/>
        </w:rPr>
        <w:t>（3）通过本级人民政府不同部门之间、上下游相邻行政区域政府之间建立的信息收集与共享渠道，获取突发环境事件信息。</w:t>
      </w:r>
    </w:p>
    <w:p w14:paraId="29886515">
      <w:pPr>
        <w:ind w:firstLine="640"/>
        <w:rPr>
          <w:rFonts w:hint="default"/>
          <w:lang w:val="en-US" w:eastAsia="zh-CN"/>
        </w:rPr>
      </w:pPr>
      <w:r>
        <w:rPr>
          <w:rFonts w:hint="eastAsia"/>
          <w:lang w:val="en-US" w:eastAsia="zh-CN"/>
        </w:rPr>
        <w:t>2、地下水型水源地</w:t>
      </w:r>
    </w:p>
    <w:p w14:paraId="4A8E8226">
      <w:pPr>
        <w:ind w:firstLine="640"/>
        <w:rPr>
          <w:rFonts w:hint="default"/>
          <w:lang w:val="en-US" w:eastAsia="zh-CN"/>
        </w:rPr>
      </w:pPr>
      <w:r>
        <w:rPr>
          <w:rFonts w:hint="eastAsia"/>
          <w:lang w:val="en-US" w:eastAsia="zh-CN"/>
        </w:rPr>
        <w:t>包括龙池村4组水源地和中坪村7组水源地，因地下水污染不易被察觉，故地下水型水源地突发环境事件信息来源除以上途径外，应重视以下途径：</w:t>
      </w:r>
    </w:p>
    <w:p w14:paraId="76733E54">
      <w:pPr>
        <w:ind w:firstLine="640"/>
        <w:rPr>
          <w:rFonts w:hint="eastAsia"/>
          <w:lang w:eastAsia="zh-CN"/>
        </w:rPr>
      </w:pPr>
      <w:r>
        <w:rPr>
          <w:rFonts w:hint="eastAsia"/>
          <w:lang w:eastAsia="zh-CN"/>
        </w:rPr>
        <w:t>各用水户在取水时从温度、透明度、颜色和味道等方面判断地下水质是否出现污染，水质达标的地下水应为无色、透明、无气味、无味道等。</w:t>
      </w:r>
    </w:p>
    <w:p w14:paraId="7CD1A61B">
      <w:pPr>
        <w:pStyle w:val="4"/>
        <w:numPr>
          <w:ilvl w:val="2"/>
          <w:numId w:val="2"/>
        </w:numPr>
      </w:pPr>
      <w:bookmarkStart w:id="24" w:name="_Toc751"/>
      <w:r>
        <w:rPr>
          <w:rFonts w:hint="eastAsia"/>
        </w:rPr>
        <w:t>信息研判与会商</w:t>
      </w:r>
      <w:bookmarkEnd w:id="24"/>
    </w:p>
    <w:p w14:paraId="1E1A705F">
      <w:pPr>
        <w:ind w:firstLine="640"/>
      </w:pPr>
      <w:r>
        <w:rPr>
          <w:rFonts w:hint="eastAsia"/>
        </w:rPr>
        <w:t>通过日常监管渠道首次发现水质异常或群众举报、责任单位报告等获取突发事件信息的应急指挥办公室，应第一时间开展以下工作：</w:t>
      </w:r>
    </w:p>
    <w:p w14:paraId="7EF85652">
      <w:pPr>
        <w:ind w:firstLine="640"/>
      </w:pPr>
      <w:r>
        <w:rPr>
          <w:rFonts w:hint="eastAsia"/>
        </w:rPr>
        <w:t>（1）核实信息的真实性。</w:t>
      </w:r>
    </w:p>
    <w:p w14:paraId="50A864D2">
      <w:pPr>
        <w:ind w:firstLine="640"/>
      </w:pPr>
      <w:r>
        <w:rPr>
          <w:rFonts w:hint="eastAsia"/>
        </w:rPr>
        <w:t>（2）进一步收集信息，必要时通报有关部门共同开展信息收集工作。</w:t>
      </w:r>
    </w:p>
    <w:p w14:paraId="208955DF">
      <w:pPr>
        <w:ind w:firstLine="640"/>
        <w:rPr>
          <w:rFonts w:hint="eastAsia"/>
          <w:lang w:eastAsia="zh-CN"/>
        </w:rPr>
      </w:pPr>
      <w:r>
        <w:rPr>
          <w:rFonts w:hint="eastAsia"/>
        </w:rPr>
        <w:t>（3）信息核实汇总后，立即组织研判，若判断可能对</w:t>
      </w:r>
      <w:r>
        <w:rPr>
          <w:rFonts w:hint="eastAsia"/>
          <w:lang w:eastAsia="zh-CN"/>
        </w:rPr>
        <w:t>峨眉山市集中式饮用水水源地</w:t>
      </w:r>
      <w:r>
        <w:rPr>
          <w:rFonts w:hint="eastAsia"/>
        </w:rPr>
        <w:t>水质造成影响，立即向市政府汇报，建议发布预警，同时向市生态环境局报告。若已对饮用水源地水质造成影响的，建议立即启动</w:t>
      </w:r>
      <w:r>
        <w:rPr>
          <w:rFonts w:hint="eastAsia"/>
          <w:lang w:eastAsia="zh-CN"/>
        </w:rPr>
        <w:t>峨眉山市集中式饮用水水源地</w:t>
      </w:r>
      <w:r>
        <w:rPr>
          <w:rFonts w:hint="eastAsia"/>
        </w:rPr>
        <w:t>突发环境事件应急预案</w:t>
      </w:r>
      <w:r>
        <w:rPr>
          <w:rFonts w:hint="eastAsia"/>
          <w:lang w:eastAsia="zh-CN"/>
        </w:rPr>
        <w:t>。</w:t>
      </w:r>
    </w:p>
    <w:p w14:paraId="634118BA">
      <w:pPr>
        <w:ind w:firstLine="640"/>
      </w:pPr>
      <w:r>
        <w:rPr>
          <w:rFonts w:hint="eastAsia"/>
          <w:lang w:val="en-US" w:eastAsia="zh-CN"/>
        </w:rPr>
        <w:t>峨</w:t>
      </w:r>
      <w:r>
        <w:rPr>
          <w:rFonts w:hint="eastAsia"/>
          <w:highlight w:val="none"/>
          <w:lang w:val="en-US" w:eastAsia="zh-CN"/>
        </w:rPr>
        <w:t>眉山市</w:t>
      </w:r>
      <w:r>
        <w:rPr>
          <w:rFonts w:hint="eastAsia"/>
          <w:highlight w:val="none"/>
        </w:rPr>
        <w:t>集中式饮用水水源地突发环境事件应急专家名单见</w:t>
      </w:r>
      <w:r>
        <w:rPr>
          <w:rFonts w:hint="eastAsia"/>
          <w:highlight w:val="none"/>
          <w:lang w:val="en-US" w:eastAsia="zh-CN"/>
        </w:rPr>
        <w:t>附件4</w:t>
      </w:r>
      <w:r>
        <w:rPr>
          <w:rFonts w:hint="eastAsia"/>
          <w:highlight w:val="none"/>
        </w:rPr>
        <w:t>。</w:t>
      </w:r>
    </w:p>
    <w:p w14:paraId="3F0018BC">
      <w:pPr>
        <w:pStyle w:val="4"/>
        <w:numPr>
          <w:ilvl w:val="2"/>
          <w:numId w:val="2"/>
        </w:numPr>
      </w:pPr>
      <w:bookmarkStart w:id="25" w:name="_Toc19832"/>
      <w:r>
        <w:rPr>
          <w:rFonts w:hint="eastAsia"/>
        </w:rPr>
        <w:t>预防工作</w:t>
      </w:r>
      <w:bookmarkEnd w:id="25"/>
    </w:p>
    <w:p w14:paraId="64C029E3">
      <w:pPr>
        <w:ind w:firstLine="640"/>
      </w:pPr>
      <w:r>
        <w:rPr>
          <w:rFonts w:hint="eastAsia"/>
        </w:rPr>
        <w:t>为有效预防</w:t>
      </w:r>
      <w:r>
        <w:rPr>
          <w:rFonts w:hint="eastAsia"/>
          <w:lang w:eastAsia="zh-CN"/>
        </w:rPr>
        <w:t>峨眉山市集中式饮用水水源地</w:t>
      </w:r>
      <w:r>
        <w:rPr>
          <w:rFonts w:hint="eastAsia"/>
        </w:rPr>
        <w:t>突发环境污染事故的发生，应急工作组应具备相应的</w:t>
      </w:r>
      <w:r>
        <w:rPr>
          <w:rFonts w:hint="eastAsia"/>
          <w:lang w:eastAsia="zh-CN"/>
        </w:rPr>
        <w:t>专业</w:t>
      </w:r>
      <w:r>
        <w:rPr>
          <w:rFonts w:hint="eastAsia"/>
        </w:rPr>
        <w:t>技能和水平，积极参加学习、教育和演练，主动接受应急知识培训，不断提高应对处置突发事件的能力，加强应急救援装备和物资的储备、维护、保养。</w:t>
      </w:r>
    </w:p>
    <w:p w14:paraId="7A7FBDCB">
      <w:pPr>
        <w:pStyle w:val="3"/>
        <w:numPr>
          <w:ilvl w:val="1"/>
          <w:numId w:val="2"/>
        </w:numPr>
      </w:pPr>
      <w:bookmarkStart w:id="26" w:name="_Toc9935"/>
      <w:r>
        <w:rPr>
          <w:rFonts w:hint="eastAsia"/>
        </w:rPr>
        <w:t>预警</w:t>
      </w:r>
      <w:bookmarkEnd w:id="26"/>
    </w:p>
    <w:p w14:paraId="5F50C09A">
      <w:pPr>
        <w:pStyle w:val="4"/>
        <w:numPr>
          <w:ilvl w:val="2"/>
          <w:numId w:val="2"/>
        </w:numPr>
      </w:pPr>
      <w:bookmarkStart w:id="27" w:name="_Toc3622"/>
      <w:r>
        <w:rPr>
          <w:rFonts w:hint="eastAsia"/>
        </w:rPr>
        <w:t>突发环境事件分级</w:t>
      </w:r>
      <w:bookmarkEnd w:id="27"/>
    </w:p>
    <w:p w14:paraId="49E52136">
      <w:pPr>
        <w:ind w:firstLine="640"/>
      </w:pPr>
      <w:r>
        <w:rPr>
          <w:rFonts w:hint="eastAsia"/>
        </w:rPr>
        <w:t>参照《国家突发环境事件应急预案》，按照突发事件严重性和紧急程度，突发环境事件可分为特别重大环境事件（Ⅰ级）、重大环境事件（Ⅱ级）、较大环境事件（Ⅲ级）、一般环境事件（Ⅳ级）四级。</w:t>
      </w:r>
    </w:p>
    <w:p w14:paraId="139160BD">
      <w:pPr>
        <w:pStyle w:val="5"/>
        <w:numPr>
          <w:ilvl w:val="3"/>
          <w:numId w:val="2"/>
        </w:numPr>
      </w:pPr>
      <w:r>
        <w:rPr>
          <w:rFonts w:hint="eastAsia"/>
        </w:rPr>
        <w:t>特别重大突发饮用水源环境事件（Ⅰ级）</w:t>
      </w:r>
    </w:p>
    <w:p w14:paraId="0333E8DC">
      <w:pPr>
        <w:ind w:firstLine="640"/>
      </w:pPr>
      <w:r>
        <w:rPr>
          <w:rFonts w:hint="eastAsia"/>
        </w:rPr>
        <w:t>凡符合下列情形之一的，为特别重大突发饮用水源环境事件：</w:t>
      </w:r>
    </w:p>
    <w:p w14:paraId="551FEB23">
      <w:pPr>
        <w:ind w:firstLine="640"/>
      </w:pPr>
      <w:r>
        <w:rPr>
          <w:rFonts w:hint="eastAsia"/>
        </w:rPr>
        <w:t>（1）因饮用水源污染直接导致30人以上死亡或100人以上中毒或重伤的；</w:t>
      </w:r>
    </w:p>
    <w:p w14:paraId="45A79A18">
      <w:pPr>
        <w:ind w:firstLine="640"/>
      </w:pPr>
      <w:r>
        <w:rPr>
          <w:rFonts w:hint="eastAsia"/>
        </w:rPr>
        <w:t>（2）因饮用水源污染造成直接经济损失1亿元以上的；</w:t>
      </w:r>
    </w:p>
    <w:p w14:paraId="46890089">
      <w:pPr>
        <w:ind w:firstLine="640"/>
      </w:pPr>
      <w:r>
        <w:rPr>
          <w:rFonts w:hint="eastAsia"/>
        </w:rPr>
        <w:t>（3）因环境污染造成设区的市级以上城市集中式饮用水水源地取水中断的。</w:t>
      </w:r>
    </w:p>
    <w:p w14:paraId="735E9D4E">
      <w:pPr>
        <w:pStyle w:val="5"/>
        <w:numPr>
          <w:ilvl w:val="3"/>
          <w:numId w:val="2"/>
        </w:numPr>
      </w:pPr>
      <w:r>
        <w:rPr>
          <w:rFonts w:hint="eastAsia"/>
        </w:rPr>
        <w:t>重大突发饮用水源环境事件（Ⅱ级）</w:t>
      </w:r>
    </w:p>
    <w:p w14:paraId="2FF18989">
      <w:pPr>
        <w:ind w:firstLine="640"/>
      </w:pPr>
      <w:r>
        <w:rPr>
          <w:rFonts w:hint="eastAsia"/>
        </w:rPr>
        <w:t>凡符合下列情况之一的，为重大突发饮用水源环境事件：</w:t>
      </w:r>
    </w:p>
    <w:p w14:paraId="2CAE768F">
      <w:pPr>
        <w:ind w:firstLine="640"/>
      </w:pPr>
      <w:r>
        <w:rPr>
          <w:rFonts w:hint="eastAsia"/>
        </w:rPr>
        <w:t>（1）因饮用水源污染直接导致10人以上30人以下死亡或50人以上100人以下中毒或重伤的；</w:t>
      </w:r>
    </w:p>
    <w:p w14:paraId="6C69CC7B">
      <w:pPr>
        <w:ind w:firstLine="640"/>
      </w:pPr>
      <w:r>
        <w:rPr>
          <w:rFonts w:hint="eastAsia"/>
        </w:rPr>
        <w:t>（2）因饮用水源污染造成直接经济损失2000万元以上1亿元以下的；</w:t>
      </w:r>
    </w:p>
    <w:p w14:paraId="43E1AAB9">
      <w:pPr>
        <w:ind w:firstLine="640"/>
      </w:pPr>
      <w:r>
        <w:rPr>
          <w:rFonts w:hint="eastAsia"/>
        </w:rPr>
        <w:t>（3）因饮用水源污染造成县级城市集中式饮用水水源地取水中断的。</w:t>
      </w:r>
    </w:p>
    <w:p w14:paraId="124456D6">
      <w:pPr>
        <w:pStyle w:val="5"/>
        <w:numPr>
          <w:ilvl w:val="3"/>
          <w:numId w:val="2"/>
        </w:numPr>
      </w:pPr>
      <w:r>
        <w:rPr>
          <w:rFonts w:hint="eastAsia"/>
        </w:rPr>
        <w:t>较大突发饮用水源环境事件（Ⅲ级）</w:t>
      </w:r>
    </w:p>
    <w:p w14:paraId="4A373045">
      <w:pPr>
        <w:ind w:firstLine="640"/>
      </w:pPr>
      <w:r>
        <w:rPr>
          <w:rFonts w:hint="eastAsia"/>
        </w:rPr>
        <w:t>凡符合下列情形之一的，为较大突发饮用水源环境事件：</w:t>
      </w:r>
    </w:p>
    <w:p w14:paraId="397655F0">
      <w:pPr>
        <w:ind w:firstLine="640"/>
      </w:pPr>
      <w:r>
        <w:rPr>
          <w:rFonts w:hint="eastAsia"/>
        </w:rPr>
        <w:t>（1）因饮用水源污染直接导致3人以上10人以下死亡或10人以上50人以下中毒或重伤的；</w:t>
      </w:r>
    </w:p>
    <w:p w14:paraId="2710620A">
      <w:pPr>
        <w:ind w:firstLine="640"/>
      </w:pPr>
      <w:r>
        <w:rPr>
          <w:rFonts w:hint="eastAsia"/>
        </w:rPr>
        <w:t>（2）因饮用水源污染造成直接经济损失500万元以上2000万元以下的；</w:t>
      </w:r>
    </w:p>
    <w:p w14:paraId="7F91B1F8">
      <w:pPr>
        <w:ind w:firstLine="640"/>
      </w:pPr>
      <w:r>
        <w:rPr>
          <w:rFonts w:hint="eastAsia"/>
        </w:rPr>
        <w:t>（3）因环境污染造成乡镇集中式饮用水水源地取水中断的。</w:t>
      </w:r>
    </w:p>
    <w:p w14:paraId="2FEE4103">
      <w:pPr>
        <w:pStyle w:val="5"/>
        <w:numPr>
          <w:ilvl w:val="3"/>
          <w:numId w:val="2"/>
        </w:numPr>
      </w:pPr>
      <w:r>
        <w:rPr>
          <w:rFonts w:hint="eastAsia"/>
        </w:rPr>
        <w:t>一般突发饮用水源环境事件（Ⅳ级）</w:t>
      </w:r>
    </w:p>
    <w:p w14:paraId="3B162A28">
      <w:pPr>
        <w:ind w:firstLine="640"/>
      </w:pPr>
      <w:r>
        <w:rPr>
          <w:rFonts w:hint="eastAsia"/>
        </w:rPr>
        <w:t>凡符合下列情形之一的，为一般突发饮用水源污染事件：</w:t>
      </w:r>
    </w:p>
    <w:p w14:paraId="258F1F88">
      <w:pPr>
        <w:ind w:firstLine="640"/>
      </w:pPr>
      <w:r>
        <w:rPr>
          <w:rFonts w:hint="eastAsia"/>
        </w:rPr>
        <w:t>（1）因饮用水源污染直接导致3人以下死亡或10人以下中毒或重伤的；</w:t>
      </w:r>
    </w:p>
    <w:p w14:paraId="33013BE0">
      <w:pPr>
        <w:ind w:firstLine="640"/>
      </w:pPr>
      <w:r>
        <w:rPr>
          <w:rFonts w:hint="eastAsia"/>
        </w:rPr>
        <w:t>（2）因饮用水源污染造成直接经济损失500万元以下的；</w:t>
      </w:r>
    </w:p>
    <w:p w14:paraId="173586A7">
      <w:pPr>
        <w:ind w:firstLine="640"/>
      </w:pPr>
      <w:r>
        <w:rPr>
          <w:rFonts w:hint="eastAsia"/>
        </w:rPr>
        <w:t>（3）对饮用水源水质造成一定影响，尚未达到较大突发饮用水源污染事件级别的；</w:t>
      </w:r>
    </w:p>
    <w:p w14:paraId="4173F489">
      <w:pPr>
        <w:ind w:firstLine="640"/>
      </w:pPr>
      <w:r>
        <w:rPr>
          <w:rFonts w:hint="eastAsia"/>
        </w:rPr>
        <w:t>上述分级标准有关数量的表述中，“以上”含本数，“以下”不含本数。</w:t>
      </w:r>
    </w:p>
    <w:p w14:paraId="6DAEF284">
      <w:pPr>
        <w:pStyle w:val="4"/>
        <w:numPr>
          <w:ilvl w:val="2"/>
          <w:numId w:val="2"/>
        </w:numPr>
      </w:pPr>
      <w:bookmarkStart w:id="28" w:name="_Toc25473"/>
      <w:r>
        <w:rPr>
          <w:rFonts w:hint="eastAsia"/>
        </w:rPr>
        <w:t>预警分级</w:t>
      </w:r>
      <w:bookmarkEnd w:id="28"/>
    </w:p>
    <w:p w14:paraId="69A50708">
      <w:pPr>
        <w:ind w:firstLine="640"/>
        <w:rPr>
          <w:rFonts w:hint="eastAsia"/>
          <w:lang w:eastAsia="zh-CN"/>
        </w:rPr>
      </w:pPr>
      <w:r>
        <w:rPr>
          <w:rFonts w:hint="eastAsia"/>
          <w:lang w:val="en-US" w:eastAsia="zh-CN"/>
        </w:rPr>
        <w:t>峨眉山市</w:t>
      </w:r>
      <w:r>
        <w:rPr>
          <w:rFonts w:hint="eastAsia"/>
          <w:lang w:eastAsia="zh-CN"/>
        </w:rPr>
        <w:t>集中式饮用水水源地突发环境事件预警分级与政</w:t>
      </w:r>
      <w:r>
        <w:rPr>
          <w:rFonts w:hint="eastAsia"/>
          <w:highlight w:val="none"/>
          <w:lang w:eastAsia="zh-CN"/>
        </w:rPr>
        <w:t>府有关突发（水）环境事件应急预案的预警分级相互衔接。突发饮用水水源污染事件分级标准见附件1。</w:t>
      </w:r>
    </w:p>
    <w:p w14:paraId="20A85C5E">
      <w:pPr>
        <w:ind w:firstLine="640"/>
        <w:rPr>
          <w:rFonts w:hint="eastAsia"/>
          <w:lang w:eastAsia="zh-CN"/>
        </w:rPr>
      </w:pPr>
      <w:r>
        <w:rPr>
          <w:rFonts w:hint="eastAsia"/>
          <w:lang w:eastAsia="zh-CN"/>
        </w:rPr>
        <w:t>针对可以预警的集中式饮用水水源地突发环境事件，按照事件发生的可能性大小、紧急程度、可能造成的危害程度和可能波及的范围，将集中式饮用水水源地突发环境事件预警级别分为一级、二级、三级、四级，依次用红色、橙色、黄色、蓝色表示，一级为最高级。一级、二级预警由</w:t>
      </w:r>
      <w:r>
        <w:rPr>
          <w:rFonts w:hint="eastAsia"/>
          <w:lang w:val="en-US" w:eastAsia="zh-CN"/>
        </w:rPr>
        <w:t>市</w:t>
      </w:r>
      <w:r>
        <w:rPr>
          <w:rFonts w:hint="eastAsia"/>
          <w:lang w:eastAsia="zh-CN"/>
        </w:rPr>
        <w:t>人民政府报请省人民政府发布、调整和解除，三级由</w:t>
      </w:r>
      <w:r>
        <w:rPr>
          <w:rFonts w:hint="eastAsia"/>
          <w:lang w:val="en-US" w:eastAsia="zh-CN"/>
        </w:rPr>
        <w:t>峨眉山市</w:t>
      </w:r>
      <w:r>
        <w:rPr>
          <w:rFonts w:hint="eastAsia"/>
          <w:lang w:eastAsia="zh-CN"/>
        </w:rPr>
        <w:t>人民政府报请</w:t>
      </w:r>
      <w:r>
        <w:rPr>
          <w:rFonts w:hint="eastAsia"/>
          <w:lang w:val="en-US" w:eastAsia="zh-CN"/>
        </w:rPr>
        <w:t>乐山市</w:t>
      </w:r>
      <w:r>
        <w:rPr>
          <w:rFonts w:hint="eastAsia"/>
          <w:lang w:eastAsia="zh-CN"/>
        </w:rPr>
        <w:t>人民政府发布、调整、解除，四级由</w:t>
      </w:r>
      <w:r>
        <w:rPr>
          <w:rFonts w:hint="eastAsia"/>
          <w:lang w:val="en-US" w:eastAsia="zh-CN"/>
        </w:rPr>
        <w:t>峨眉山市</w:t>
      </w:r>
      <w:r>
        <w:rPr>
          <w:rFonts w:hint="eastAsia"/>
          <w:lang w:eastAsia="zh-CN"/>
        </w:rPr>
        <w:t>人民政府发布、调整、解除。预警级别标准生态环境部和省生态环境厅另有规定的，从其规定。</w:t>
      </w:r>
    </w:p>
    <w:p w14:paraId="68E2AB31">
      <w:pPr>
        <w:ind w:firstLine="640"/>
        <w:rPr>
          <w:highlight w:val="yellow"/>
        </w:rPr>
      </w:pPr>
      <w:r>
        <w:rPr>
          <w:rFonts w:hint="eastAsia"/>
          <w:lang w:val="en-US" w:eastAsia="zh-CN"/>
        </w:rPr>
        <w:t>市</w:t>
      </w:r>
      <w:r>
        <w:rPr>
          <w:rFonts w:hint="eastAsia"/>
          <w:lang w:eastAsia="zh-CN"/>
        </w:rPr>
        <w:t>生态环境局研判可能发生集中式饮用水水源地突发环境事件时，应当及时向</w:t>
      </w:r>
      <w:r>
        <w:rPr>
          <w:rFonts w:hint="eastAsia"/>
          <w:lang w:val="en-US" w:eastAsia="zh-CN"/>
        </w:rPr>
        <w:t>市</w:t>
      </w:r>
      <w:r>
        <w:rPr>
          <w:rFonts w:hint="eastAsia"/>
          <w:lang w:eastAsia="zh-CN"/>
        </w:rPr>
        <w:t>人民政府提出预警信息发布建议，同时通报同级相关部门和单位。</w:t>
      </w:r>
      <w:r>
        <w:rPr>
          <w:rFonts w:hint="eastAsia"/>
          <w:lang w:val="en-US" w:eastAsia="zh-CN"/>
        </w:rPr>
        <w:t>市</w:t>
      </w:r>
      <w:r>
        <w:rPr>
          <w:rFonts w:hint="eastAsia"/>
          <w:lang w:eastAsia="zh-CN"/>
        </w:rPr>
        <w:t>人民政府或其授权的相关部门，及时通过电视、广播、报纸、互联网、手机短信、当面告知等渠道或方式向本行政区域公众发布、调整和解除预警信息，并通报可能影响到的相关乡镇。预警信息包括可能发生的突发环境事件类别、预警级别、起始时间、可能影响范围、警示事项、应采取的措施和发布机关等。</w:t>
      </w:r>
    </w:p>
    <w:p w14:paraId="60F1D955">
      <w:pPr>
        <w:pStyle w:val="4"/>
        <w:numPr>
          <w:ilvl w:val="2"/>
          <w:numId w:val="2"/>
        </w:numPr>
      </w:pPr>
      <w:bookmarkStart w:id="29" w:name="_Toc20736"/>
      <w:r>
        <w:rPr>
          <w:rFonts w:hint="eastAsia"/>
        </w:rPr>
        <w:t>预警启动条件</w:t>
      </w:r>
      <w:bookmarkEnd w:id="29"/>
    </w:p>
    <w:p w14:paraId="4274DB19">
      <w:pPr>
        <w:ind w:firstLine="640"/>
        <w:rPr>
          <w:rFonts w:hint="eastAsia"/>
        </w:rPr>
      </w:pPr>
      <w:r>
        <w:rPr>
          <w:rFonts w:hint="eastAsia"/>
        </w:rPr>
        <w:t>根据信息获取方式，综合考虑集中式饮用水水源地突发环境事件类型、发生地点、污染物质种类和数量等情况制定预警的启动条件。</w:t>
      </w:r>
    </w:p>
    <w:p w14:paraId="4B1A35F8">
      <w:pPr>
        <w:pStyle w:val="5"/>
        <w:numPr>
          <w:ilvl w:val="3"/>
          <w:numId w:val="2"/>
        </w:numPr>
      </w:pPr>
      <w:r>
        <w:rPr>
          <w:rFonts w:hint="eastAsia"/>
        </w:rPr>
        <w:t>河流型、水库型集中式饮用水水源地</w:t>
      </w:r>
    </w:p>
    <w:p w14:paraId="2F9B1801">
      <w:pPr>
        <w:ind w:firstLine="640"/>
        <w:rPr>
          <w:rFonts w:hint="eastAsia"/>
        </w:rPr>
      </w:pPr>
      <w:r>
        <w:rPr>
          <w:rFonts w:hint="eastAsia"/>
        </w:rPr>
        <w:t>（1）通过信息报告发现，在一级、二级保护区内发生突发环境事件。</w:t>
      </w:r>
    </w:p>
    <w:p w14:paraId="01462987">
      <w:pPr>
        <w:ind w:firstLine="640"/>
        <w:rPr>
          <w:rFonts w:hint="eastAsia"/>
        </w:rPr>
      </w:pPr>
      <w:r>
        <w:rPr>
          <w:rFonts w:hint="eastAsia"/>
        </w:rPr>
        <w:t>（2）通过信息报告发现，在二级保护区上游汇水区域4小时流程范围内发生固定源或流动源突发环境事件，或污染物已扩散至距水源保护区上游连接水体的直线距离不足100米的陆域或水域。</w:t>
      </w:r>
    </w:p>
    <w:p w14:paraId="33609D0E">
      <w:pPr>
        <w:ind w:firstLine="640"/>
        <w:rPr>
          <w:rFonts w:hint="eastAsia"/>
        </w:rPr>
      </w:pPr>
      <w:r>
        <w:rPr>
          <w:rFonts w:hint="eastAsia"/>
        </w:rPr>
        <w:t>（3）通过信息报告发现，在二级保护区上游汇水区域8小时流程范围内发生固定源或流动源突发环境事件，或污染物已扩散至距水源保护区上游连接水体的直线距离不足200米的陆域或水域，经水质监测和信息研判，判断污染物迁移至取水口位置时，</w:t>
      </w:r>
      <w:r>
        <w:rPr>
          <w:rFonts w:hint="eastAsia"/>
          <w:lang w:eastAsia="zh-CN"/>
        </w:rPr>
        <w:t>相应</w:t>
      </w:r>
      <w:r>
        <w:rPr>
          <w:rFonts w:hint="eastAsia"/>
        </w:rPr>
        <w:t>指标浓度仍会超标的。</w:t>
      </w:r>
    </w:p>
    <w:p w14:paraId="34C73F44">
      <w:pPr>
        <w:ind w:firstLine="640"/>
        <w:rPr>
          <w:rFonts w:hint="eastAsia"/>
        </w:rPr>
      </w:pPr>
      <w:r>
        <w:rPr>
          <w:rFonts w:hint="eastAsia"/>
        </w:rPr>
        <w:t>（4）通过监测发现，水源保护区或其上游连接水体理化指标异常。</w:t>
      </w:r>
    </w:p>
    <w:p w14:paraId="109A559B">
      <w:pPr>
        <w:ind w:firstLine="640"/>
        <w:rPr>
          <w:rFonts w:hint="eastAsia"/>
        </w:rPr>
      </w:pPr>
      <w:r>
        <w:rPr>
          <w:rFonts w:hint="eastAsia"/>
        </w:rPr>
        <w:t>①在二级保护区内，出现自动站水质监测指标超标或生物综合毒性异常，经实验室监（复）测确认的。</w:t>
      </w:r>
    </w:p>
    <w:p w14:paraId="667DCDBD">
      <w:pPr>
        <w:ind w:firstLine="640"/>
        <w:rPr>
          <w:rFonts w:hint="eastAsia"/>
        </w:rPr>
      </w:pPr>
      <w:r>
        <w:rPr>
          <w:rFonts w:hint="eastAsia"/>
        </w:rPr>
        <w:t>②在二级保护区上游8小时流程范围内，出现水质监测指标、有毒有害物质或生物综合毒性异常，且污染物浓度持续升高的。</w:t>
      </w:r>
    </w:p>
    <w:p w14:paraId="024CB664">
      <w:pPr>
        <w:ind w:firstLine="640"/>
        <w:rPr>
          <w:rFonts w:hint="eastAsia"/>
        </w:rPr>
      </w:pPr>
      <w:r>
        <w:rPr>
          <w:rFonts w:hint="eastAsia"/>
        </w:rPr>
        <w:t>③在二级保护区上游4小时流程范围内，出现水质监测指标、有毒有害物质或生物综合毒性异常的。</w:t>
      </w:r>
    </w:p>
    <w:p w14:paraId="7BB799E9">
      <w:pPr>
        <w:ind w:firstLine="640"/>
        <w:rPr>
          <w:rFonts w:hint="eastAsia"/>
        </w:rPr>
      </w:pPr>
      <w:r>
        <w:rPr>
          <w:rFonts w:hint="eastAsia"/>
        </w:rPr>
        <w:t>（5）通过监测发现，水源保护区或其上游连接水体感官性状异常，即水体出现异常颜色或气味的。</w:t>
      </w:r>
    </w:p>
    <w:p w14:paraId="28159AA9">
      <w:pPr>
        <w:ind w:firstLine="640"/>
      </w:pPr>
      <w:r>
        <w:rPr>
          <w:rFonts w:hint="eastAsia"/>
        </w:rPr>
        <w:t>（6）通过监测发现，水源保护区或其上游连接水体生态指标异常，即水面出现大面积死鱼或生物综合毒性异常并经实验室监测后确认的。</w:t>
      </w:r>
    </w:p>
    <w:p w14:paraId="79BDCD83">
      <w:pPr>
        <w:pStyle w:val="5"/>
        <w:numPr>
          <w:ilvl w:val="3"/>
          <w:numId w:val="2"/>
        </w:numPr>
      </w:pPr>
      <w:r>
        <w:rPr>
          <w:rFonts w:hint="eastAsia"/>
        </w:rPr>
        <w:t>地下水型集中式饮用水水源地</w:t>
      </w:r>
    </w:p>
    <w:p w14:paraId="39D881AD">
      <w:pPr>
        <w:ind w:firstLine="640"/>
        <w:rPr>
          <w:rFonts w:hint="eastAsia"/>
        </w:rPr>
      </w:pPr>
      <w:r>
        <w:rPr>
          <w:rFonts w:hint="eastAsia"/>
        </w:rPr>
        <w:t>（1）通过信息报告发现，在一级、二级保护区内发生突发环境事件。</w:t>
      </w:r>
    </w:p>
    <w:p w14:paraId="6EA4BF97">
      <w:pPr>
        <w:ind w:firstLine="640"/>
        <w:rPr>
          <w:rFonts w:hint="eastAsia"/>
        </w:rPr>
      </w:pPr>
      <w:r>
        <w:rPr>
          <w:rFonts w:hint="eastAsia"/>
        </w:rPr>
        <w:t>（2）</w:t>
      </w:r>
      <w:r>
        <w:rPr>
          <w:rFonts w:hint="eastAsia"/>
          <w:lang w:val="en-US" w:eastAsia="zh-CN"/>
        </w:rPr>
        <w:t>市</w:t>
      </w:r>
      <w:r>
        <w:rPr>
          <w:rFonts w:hint="eastAsia"/>
        </w:rPr>
        <w:t>卫生健康局常规监测发现出厂水水质异常情况。</w:t>
      </w:r>
    </w:p>
    <w:p w14:paraId="08BB8127">
      <w:pPr>
        <w:ind w:firstLine="640"/>
        <w:rPr>
          <w:rFonts w:hint="eastAsia"/>
          <w:lang w:eastAsia="zh-CN"/>
        </w:rPr>
      </w:pPr>
      <w:r>
        <w:rPr>
          <w:rFonts w:hint="eastAsia"/>
        </w:rPr>
        <w:t>（3）用水户发现管网末梢水温度、透明度、颜色和味道等感官性状异常</w:t>
      </w:r>
      <w:r>
        <w:rPr>
          <w:rFonts w:hint="eastAsia"/>
          <w:lang w:eastAsia="zh-CN"/>
        </w:rPr>
        <w:t>。</w:t>
      </w:r>
    </w:p>
    <w:p w14:paraId="7EEDE118">
      <w:pPr>
        <w:ind w:firstLine="640"/>
      </w:pPr>
      <w:r>
        <w:rPr>
          <w:rFonts w:hint="eastAsia"/>
          <w:color w:val="FF0000"/>
          <w:u w:val="single"/>
          <w:lang w:val="en-US" w:eastAsia="zh-CN"/>
        </w:rPr>
        <w:t>根据上述情况，参照峨眉山市</w:t>
      </w:r>
      <w:r>
        <w:rPr>
          <w:rFonts w:hint="eastAsia"/>
          <w:color w:val="FF0000"/>
          <w:u w:val="single"/>
          <w:lang w:eastAsia="zh-CN"/>
        </w:rPr>
        <w:t>集中式饮用水水源地突发环境事件预警分级与政</w:t>
      </w:r>
      <w:r>
        <w:rPr>
          <w:rFonts w:hint="eastAsia"/>
          <w:color w:val="FF0000"/>
          <w:highlight w:val="none"/>
          <w:u w:val="single"/>
          <w:lang w:eastAsia="zh-CN"/>
        </w:rPr>
        <w:t>府有关突发（水）环境事件应急预案的预警分级</w:t>
      </w:r>
      <w:r>
        <w:rPr>
          <w:rFonts w:hint="eastAsia"/>
          <w:color w:val="FF0000"/>
          <w:highlight w:val="none"/>
          <w:u w:val="single"/>
          <w:lang w:val="en-US" w:eastAsia="zh-CN"/>
        </w:rPr>
        <w:t>标准</w:t>
      </w:r>
      <w:r>
        <w:rPr>
          <w:rFonts w:hint="eastAsia"/>
          <w:color w:val="FF0000"/>
          <w:u w:val="single"/>
          <w:lang w:val="en-US" w:eastAsia="zh-CN"/>
        </w:rPr>
        <w:t>，结合</w:t>
      </w:r>
      <w:r>
        <w:rPr>
          <w:rFonts w:hint="eastAsia"/>
          <w:color w:val="FF0000"/>
          <w:highlight w:val="none"/>
          <w:u w:val="single"/>
          <w:lang w:eastAsia="zh-CN"/>
        </w:rPr>
        <w:t>突发饮用水水源污染事件分级标准（见附件1），</w:t>
      </w:r>
      <w:r>
        <w:rPr>
          <w:rFonts w:hint="eastAsia"/>
          <w:color w:val="FF0000"/>
          <w:highlight w:val="none"/>
          <w:u w:val="single"/>
          <w:lang w:val="en-US" w:eastAsia="zh-CN"/>
        </w:rPr>
        <w:t>适时启动预警</w:t>
      </w:r>
      <w:r>
        <w:rPr>
          <w:rFonts w:hint="eastAsia"/>
          <w:color w:val="FF0000"/>
          <w:u w:val="single"/>
        </w:rPr>
        <w:t>。</w:t>
      </w:r>
    </w:p>
    <w:p w14:paraId="6AD0BF63">
      <w:pPr>
        <w:pStyle w:val="4"/>
        <w:numPr>
          <w:ilvl w:val="2"/>
          <w:numId w:val="2"/>
        </w:numPr>
      </w:pPr>
      <w:bookmarkStart w:id="30" w:name="_Toc20676"/>
      <w:r>
        <w:rPr>
          <w:rFonts w:hint="eastAsia"/>
        </w:rPr>
        <w:t>发布预警和预警级别调整</w:t>
      </w:r>
      <w:bookmarkEnd w:id="30"/>
    </w:p>
    <w:p w14:paraId="1D08803E">
      <w:pPr>
        <w:pStyle w:val="5"/>
        <w:numPr>
          <w:ilvl w:val="3"/>
          <w:numId w:val="2"/>
        </w:numPr>
      </w:pPr>
      <w:r>
        <w:rPr>
          <w:rFonts w:hint="eastAsia"/>
        </w:rPr>
        <w:t>预警发布</w:t>
      </w:r>
    </w:p>
    <w:p w14:paraId="6F4463E9">
      <w:pPr>
        <w:ind w:firstLine="640"/>
      </w:pPr>
      <w:r>
        <w:rPr>
          <w:rFonts w:hint="eastAsia"/>
        </w:rPr>
        <w:t>橙色预警和红色预警由市政府及其指定部门发布或上级人民政府及其指定部门发布。</w:t>
      </w:r>
    </w:p>
    <w:p w14:paraId="03FAE2B6">
      <w:pPr>
        <w:ind w:firstLine="640"/>
      </w:pPr>
      <w:r>
        <w:rPr>
          <w:rFonts w:hint="eastAsia"/>
        </w:rPr>
        <w:t>预警发布内容应包括，但不限于以下内容：</w:t>
      </w:r>
    </w:p>
    <w:p w14:paraId="7B97F0D7">
      <w:pPr>
        <w:ind w:firstLine="640"/>
      </w:pPr>
      <w:r>
        <w:rPr>
          <w:rFonts w:hint="eastAsia"/>
        </w:rPr>
        <w:t>（1）类别、预警级别。</w:t>
      </w:r>
    </w:p>
    <w:p w14:paraId="045A1189">
      <w:pPr>
        <w:ind w:firstLine="640"/>
      </w:pPr>
      <w:r>
        <w:rPr>
          <w:rFonts w:hint="eastAsia"/>
        </w:rPr>
        <w:t>（2）事件起止时间、可能影响的范围。</w:t>
      </w:r>
    </w:p>
    <w:p w14:paraId="7974F13B">
      <w:pPr>
        <w:ind w:firstLine="640"/>
      </w:pPr>
      <w:r>
        <w:rPr>
          <w:rFonts w:hint="eastAsia"/>
        </w:rPr>
        <w:t>（3）应采取的措施和发布机关。</w:t>
      </w:r>
    </w:p>
    <w:p w14:paraId="7DC9F197">
      <w:pPr>
        <w:ind w:firstLine="640"/>
      </w:pPr>
      <w:r>
        <w:rPr>
          <w:rFonts w:hint="eastAsia"/>
        </w:rPr>
        <w:t>（4）警示事项。</w:t>
      </w:r>
    </w:p>
    <w:p w14:paraId="214597CD">
      <w:pPr>
        <w:ind w:firstLine="640"/>
      </w:pPr>
      <w:r>
        <w:rPr>
          <w:rFonts w:hint="eastAsia"/>
        </w:rPr>
        <w:t>根据不同的突发水环境事件类型，应急指挥部办公室对现场指挥部的成员单位，发布预警信息。</w:t>
      </w:r>
    </w:p>
    <w:p w14:paraId="6B422E21">
      <w:pPr>
        <w:pStyle w:val="5"/>
        <w:numPr>
          <w:ilvl w:val="3"/>
          <w:numId w:val="2"/>
        </w:numPr>
      </w:pPr>
      <w:r>
        <w:rPr>
          <w:rFonts w:hint="eastAsia"/>
        </w:rPr>
        <w:t>预警级别调整</w:t>
      </w:r>
    </w:p>
    <w:p w14:paraId="5E61B5EE">
      <w:pPr>
        <w:ind w:firstLine="640"/>
      </w:pPr>
      <w:r>
        <w:rPr>
          <w:rFonts w:hint="eastAsia"/>
        </w:rPr>
        <w:t>应急指挥部办公室根据事态的发展和采取措施的效果，进一步研判，如需调整级别，应按照有关规定，上报市政府，由市政府调整预警级别并再次发布预警信息。同时向上级人民政府或指定部门报告，必要时可越级上报。</w:t>
      </w:r>
    </w:p>
    <w:p w14:paraId="0401E68E">
      <w:pPr>
        <w:pStyle w:val="4"/>
        <w:numPr>
          <w:ilvl w:val="2"/>
          <w:numId w:val="2"/>
        </w:numPr>
      </w:pPr>
      <w:bookmarkStart w:id="31" w:name="_Toc1507"/>
      <w:r>
        <w:rPr>
          <w:rFonts w:hint="eastAsia"/>
        </w:rPr>
        <w:t>预警行动</w:t>
      </w:r>
      <w:bookmarkEnd w:id="31"/>
    </w:p>
    <w:p w14:paraId="180AA26D">
      <w:pPr>
        <w:ind w:firstLine="640"/>
        <w:rPr>
          <w:rFonts w:hint="eastAsia"/>
        </w:rPr>
      </w:pPr>
      <w:r>
        <w:rPr>
          <w:rFonts w:hint="eastAsia"/>
        </w:rPr>
        <w:t>预警行动包括预警信息发布后，实施预警行动的组织部门和责任人、实施程序、时限要求和主要工作内容等。发布预警时，现场应急指挥部的总指挥应当到达现场，组织开展应急响应工作。</w:t>
      </w:r>
    </w:p>
    <w:p w14:paraId="77A5AFA7">
      <w:pPr>
        <w:ind w:firstLine="640"/>
        <w:rPr>
          <w:rFonts w:hint="eastAsia"/>
        </w:rPr>
      </w:pPr>
      <w:r>
        <w:rPr>
          <w:rFonts w:hint="eastAsia"/>
        </w:rPr>
        <w:t>预警行动包含以下内容。</w:t>
      </w:r>
    </w:p>
    <w:p w14:paraId="0AB197C6">
      <w:pPr>
        <w:ind w:firstLine="640"/>
        <w:rPr>
          <w:rFonts w:hint="eastAsia"/>
        </w:rPr>
      </w:pPr>
      <w:r>
        <w:rPr>
          <w:rFonts w:hint="eastAsia"/>
        </w:rPr>
        <w:t>（1）下达启动水源地应急预案的命令。</w:t>
      </w:r>
    </w:p>
    <w:p w14:paraId="6F09F2A1">
      <w:pPr>
        <w:ind w:firstLine="640"/>
        <w:rPr>
          <w:rFonts w:hint="eastAsia"/>
        </w:rPr>
      </w:pPr>
      <w:r>
        <w:rPr>
          <w:rFonts w:hint="eastAsia"/>
        </w:rPr>
        <w:t>（2）通知现场应急指挥部中的有关单位和人员做好应急准备，进入待命状态，必要时</w:t>
      </w:r>
      <w:r>
        <w:rPr>
          <w:rFonts w:hint="eastAsia"/>
          <w:lang w:eastAsia="zh-CN"/>
        </w:rPr>
        <w:t>到</w:t>
      </w:r>
      <w:r>
        <w:rPr>
          <w:rFonts w:hint="eastAsia"/>
        </w:rPr>
        <w:t>现场开展相关工作。</w:t>
      </w:r>
    </w:p>
    <w:p w14:paraId="31C2ED61">
      <w:pPr>
        <w:ind w:firstLine="640"/>
        <w:rPr>
          <w:rFonts w:hint="eastAsia"/>
        </w:rPr>
      </w:pPr>
      <w:r>
        <w:rPr>
          <w:rFonts w:hint="eastAsia"/>
        </w:rPr>
        <w:t>（3）通知水源地对应的供水单位进入待命状态，做好停止取水、深度处理、低压供水或启动备用水源等准备。</w:t>
      </w:r>
    </w:p>
    <w:p w14:paraId="39F406FA">
      <w:pPr>
        <w:ind w:firstLine="640"/>
        <w:rPr>
          <w:rFonts w:hint="eastAsia"/>
        </w:rPr>
      </w:pPr>
      <w:r>
        <w:rPr>
          <w:rFonts w:hint="eastAsia"/>
        </w:rPr>
        <w:t>（4）加强信息监控，核实突发环境事件污染来源、进入水体的污染物种类和总量、污染扩散范围等信息。</w:t>
      </w:r>
    </w:p>
    <w:p w14:paraId="09375F5A">
      <w:pPr>
        <w:ind w:firstLine="640"/>
        <w:rPr>
          <w:rFonts w:hint="eastAsia"/>
        </w:rPr>
      </w:pPr>
      <w:r>
        <w:rPr>
          <w:rFonts w:hint="eastAsia"/>
        </w:rPr>
        <w:t>（5）开展应急监测或做好应急监测准备。</w:t>
      </w:r>
    </w:p>
    <w:p w14:paraId="51C06030">
      <w:pPr>
        <w:ind w:firstLine="640"/>
        <w:rPr>
          <w:rFonts w:hint="eastAsia"/>
        </w:rPr>
      </w:pPr>
      <w:r>
        <w:rPr>
          <w:rFonts w:hint="eastAsia"/>
        </w:rPr>
        <w:t>（6）做好事件信息上报或通报。</w:t>
      </w:r>
    </w:p>
    <w:p w14:paraId="08C58D90">
      <w:pPr>
        <w:ind w:firstLine="640"/>
        <w:rPr>
          <w:rFonts w:hint="eastAsia"/>
        </w:rPr>
      </w:pPr>
      <w:r>
        <w:rPr>
          <w:rFonts w:hint="eastAsia"/>
        </w:rPr>
        <w:t>（7）调集所需应急物资和设备，做好应急保障。</w:t>
      </w:r>
    </w:p>
    <w:p w14:paraId="052908AB">
      <w:pPr>
        <w:ind w:firstLine="640"/>
        <w:rPr>
          <w:rFonts w:hint="eastAsia"/>
        </w:rPr>
      </w:pPr>
      <w:r>
        <w:rPr>
          <w:rFonts w:hint="eastAsia"/>
        </w:rPr>
        <w:t>（8）在危险区域设置提示或警告标志。</w:t>
      </w:r>
    </w:p>
    <w:p w14:paraId="548CB08D">
      <w:pPr>
        <w:ind w:firstLine="640"/>
        <w:rPr>
          <w:rFonts w:hint="eastAsia"/>
        </w:rPr>
      </w:pPr>
      <w:r>
        <w:rPr>
          <w:rFonts w:hint="eastAsia"/>
        </w:rPr>
        <w:t>（9）必要时，及时通过媒体向公众发布信息。</w:t>
      </w:r>
    </w:p>
    <w:p w14:paraId="6AD66646">
      <w:pPr>
        <w:ind w:firstLine="640"/>
      </w:pPr>
      <w:r>
        <w:rPr>
          <w:rFonts w:hint="eastAsia"/>
        </w:rPr>
        <w:t>（10）加强舆情监测、引导和应对工作。</w:t>
      </w:r>
    </w:p>
    <w:p w14:paraId="6EFF90E0">
      <w:pPr>
        <w:pStyle w:val="4"/>
        <w:numPr>
          <w:ilvl w:val="2"/>
          <w:numId w:val="2"/>
        </w:numPr>
      </w:pPr>
      <w:bookmarkStart w:id="32" w:name="_Toc25011"/>
      <w:r>
        <w:rPr>
          <w:rFonts w:hint="eastAsia"/>
        </w:rPr>
        <w:t>预警解除</w:t>
      </w:r>
      <w:bookmarkEnd w:id="32"/>
    </w:p>
    <w:p w14:paraId="3128D3BF">
      <w:pPr>
        <w:ind w:firstLine="640"/>
        <w:rPr>
          <w:rFonts w:hint="eastAsia"/>
        </w:rPr>
      </w:pPr>
      <w:r>
        <w:rPr>
          <w:rFonts w:hint="eastAsia"/>
        </w:rPr>
        <w:t>当判断危险已经解除时，由发布预警的责任单位宣布解除预警，终止已经采取的有关行动和措施。</w:t>
      </w:r>
    </w:p>
    <w:p w14:paraId="133C6780">
      <w:pPr>
        <w:ind w:firstLine="640"/>
        <w:rPr>
          <w:rFonts w:hint="eastAsia"/>
        </w:rPr>
      </w:pPr>
      <w:r>
        <w:rPr>
          <w:rFonts w:hint="eastAsia"/>
        </w:rPr>
        <w:t>符合下列条件之一的，即满足应急终止条件：</w:t>
      </w:r>
    </w:p>
    <w:p w14:paraId="46DD7E81">
      <w:pPr>
        <w:ind w:firstLine="640"/>
        <w:rPr>
          <w:rFonts w:hint="eastAsia"/>
        </w:rPr>
      </w:pPr>
      <w:r>
        <w:rPr>
          <w:rFonts w:hint="eastAsia"/>
        </w:rPr>
        <w:t>（1）涉及各集中式饮用水水源地突发环境事件现场得到控制，事件影响条件已经消除，特征污染物监测持续稳定达标；</w:t>
      </w:r>
    </w:p>
    <w:p w14:paraId="7E8717A7">
      <w:pPr>
        <w:ind w:firstLine="640"/>
        <w:rPr>
          <w:rFonts w:hint="eastAsia"/>
        </w:rPr>
      </w:pPr>
      <w:r>
        <w:rPr>
          <w:rFonts w:hint="eastAsia"/>
        </w:rPr>
        <w:t>（2）污染源的泄漏或释放已降至规定限值以内；</w:t>
      </w:r>
    </w:p>
    <w:p w14:paraId="762EF04F">
      <w:pPr>
        <w:ind w:firstLine="640"/>
        <w:rPr>
          <w:rFonts w:hint="eastAsia"/>
        </w:rPr>
      </w:pPr>
      <w:r>
        <w:rPr>
          <w:rFonts w:hint="eastAsia"/>
        </w:rPr>
        <w:t>（3）事件所造成的危害已经被彻底消除，无继发可能；</w:t>
      </w:r>
    </w:p>
    <w:p w14:paraId="5B1A36A7">
      <w:pPr>
        <w:ind w:firstLine="640"/>
        <w:rPr>
          <w:rFonts w:hint="eastAsia"/>
        </w:rPr>
      </w:pPr>
      <w:r>
        <w:rPr>
          <w:rFonts w:hint="eastAsia"/>
        </w:rPr>
        <w:t>（4）事件现场的各种专业应急处置行动已无继续的必要；</w:t>
      </w:r>
    </w:p>
    <w:p w14:paraId="34F6BA60">
      <w:pPr>
        <w:ind w:firstLine="640"/>
        <w:rPr>
          <w:rFonts w:hint="eastAsia"/>
        </w:rPr>
      </w:pPr>
      <w:r>
        <w:rPr>
          <w:rFonts w:hint="eastAsia"/>
        </w:rPr>
        <w:t>（5）已采取一切必要的防护措施以保护公众免受再次危害，并使事件可能引起的中长期影响趋于合理且尽量低的水平。</w:t>
      </w:r>
    </w:p>
    <w:p w14:paraId="45134AE7">
      <w:pPr>
        <w:ind w:firstLine="640"/>
      </w:pPr>
      <w:r>
        <w:rPr>
          <w:rFonts w:hint="eastAsia"/>
        </w:rPr>
        <w:t>其中应将“集中式饮用水水源地威胁已解除，特征污染物监测持续稳定达标”作为应急响应终止的必要条件。</w:t>
      </w:r>
    </w:p>
    <w:p w14:paraId="6C22DAFD">
      <w:pPr>
        <w:pStyle w:val="3"/>
        <w:numPr>
          <w:ilvl w:val="1"/>
          <w:numId w:val="2"/>
        </w:numPr>
      </w:pPr>
      <w:bookmarkStart w:id="33" w:name="_Toc21353"/>
      <w:r>
        <w:rPr>
          <w:rFonts w:hint="eastAsia"/>
        </w:rPr>
        <w:t>信息报告与通报</w:t>
      </w:r>
      <w:bookmarkEnd w:id="33"/>
    </w:p>
    <w:p w14:paraId="3C03B7E0">
      <w:pPr>
        <w:pStyle w:val="4"/>
        <w:numPr>
          <w:ilvl w:val="2"/>
          <w:numId w:val="2"/>
        </w:numPr>
      </w:pPr>
      <w:bookmarkStart w:id="34" w:name="_Toc19141"/>
      <w:r>
        <w:rPr>
          <w:rFonts w:hint="eastAsia"/>
        </w:rPr>
        <w:t>信息报告与通报原则及对象</w:t>
      </w:r>
      <w:bookmarkEnd w:id="34"/>
    </w:p>
    <w:p w14:paraId="1ED85E3A">
      <w:pPr>
        <w:ind w:firstLine="640"/>
      </w:pPr>
      <w:r>
        <w:rPr>
          <w:rFonts w:hint="eastAsia"/>
        </w:rPr>
        <w:t>（1）信息报告与通报程序原则。</w:t>
      </w:r>
    </w:p>
    <w:p w14:paraId="4E456E68">
      <w:pPr>
        <w:ind w:firstLine="640"/>
      </w:pPr>
      <w:r>
        <w:rPr>
          <w:rFonts w:hint="eastAsia"/>
        </w:rPr>
        <w:t>信息报告原则应逐级上报。特殊情况下，若遇到敏感事件或发生在重点地区、特殊时期，或可能演化为重大、特别重大突发环境事件的信息，现场指挥部应立即向上级人民政府应急组织指挥机构报告。</w:t>
      </w:r>
    </w:p>
    <w:p w14:paraId="4EAE325C">
      <w:pPr>
        <w:ind w:firstLine="640"/>
      </w:pPr>
      <w:r>
        <w:rPr>
          <w:rFonts w:hint="eastAsia"/>
        </w:rPr>
        <w:t>（2）信息报告与通报对象。</w:t>
      </w:r>
    </w:p>
    <w:p w14:paraId="67743B2E">
      <w:pPr>
        <w:ind w:firstLine="640"/>
      </w:pPr>
      <w:r>
        <w:rPr>
          <w:rFonts w:hint="eastAsia"/>
        </w:rPr>
        <w:t>经核实的水源地突发环境事件，综合组应向有未进入现场应急指挥部的有关部门通报。</w:t>
      </w:r>
    </w:p>
    <w:p w14:paraId="7DF3BCB0">
      <w:pPr>
        <w:pStyle w:val="4"/>
        <w:numPr>
          <w:ilvl w:val="2"/>
          <w:numId w:val="2"/>
        </w:numPr>
      </w:pPr>
      <w:bookmarkStart w:id="35" w:name="_Toc11111"/>
      <w:r>
        <w:rPr>
          <w:rFonts w:hint="eastAsia"/>
        </w:rPr>
        <w:t>信息报告与通报内容程序及内容</w:t>
      </w:r>
      <w:bookmarkEnd w:id="35"/>
    </w:p>
    <w:p w14:paraId="0AC0AE9D">
      <w:pPr>
        <w:ind w:firstLine="640"/>
      </w:pPr>
      <w:r>
        <w:rPr>
          <w:rFonts w:hint="eastAsia"/>
        </w:rPr>
        <w:t>（1）初报。</w:t>
      </w:r>
    </w:p>
    <w:p w14:paraId="21F627EE">
      <w:pPr>
        <w:ind w:firstLine="640"/>
      </w:pPr>
      <w:r>
        <w:rPr>
          <w:rFonts w:hint="eastAsia"/>
        </w:rPr>
        <w:t>①初报程序。</w:t>
      </w:r>
    </w:p>
    <w:p w14:paraId="2649BCEB">
      <w:pPr>
        <w:ind w:firstLine="640"/>
      </w:pPr>
      <w:r>
        <w:rPr>
          <w:rFonts w:hint="eastAsia"/>
        </w:rPr>
        <w:t>对水源地保护区造成或者可能造成影响的按照重大（Ⅱ级）或者特别重大（I级）突发环境事件的报告程序进行上报，现场应急指挥部应在到达现场后1小时内向市生态环境局和市政府报告，并按市生态环境局要求报市政府，特殊情况可以越级上报。</w:t>
      </w:r>
    </w:p>
    <w:p w14:paraId="5E1D2CD4">
      <w:pPr>
        <w:ind w:firstLine="640"/>
      </w:pPr>
      <w:r>
        <w:rPr>
          <w:rFonts w:hint="eastAsia"/>
        </w:rPr>
        <w:t>②初报内容。</w:t>
      </w:r>
    </w:p>
    <w:p w14:paraId="73C8BE79">
      <w:pPr>
        <w:ind w:firstLine="640"/>
      </w:pPr>
      <w:r>
        <w:rPr>
          <w:rFonts w:hint="eastAsia"/>
        </w:rPr>
        <w:t>初报应报告水源地突发环境事件的发生时间、地点、信息来源、事件起因和性质、基本过程、主要污染物和数量、监测结果、人员伤亡情况、水源地受影响情况、事件发展趋势、处置情况、拟采取的措施以及下一步工作建议等初步情况。</w:t>
      </w:r>
    </w:p>
    <w:p w14:paraId="39E0F3AC">
      <w:pPr>
        <w:ind w:firstLine="640"/>
      </w:pPr>
      <w:r>
        <w:rPr>
          <w:rFonts w:hint="eastAsia"/>
        </w:rPr>
        <w:t>（2）续报程序与内容。</w:t>
      </w:r>
    </w:p>
    <w:p w14:paraId="0453B655">
      <w:pPr>
        <w:ind w:firstLine="640"/>
      </w:pPr>
      <w:r>
        <w:rPr>
          <w:rFonts w:hint="eastAsia"/>
        </w:rPr>
        <w:t>①续报程序。</w:t>
      </w:r>
    </w:p>
    <w:p w14:paraId="3DC7F483">
      <w:pPr>
        <w:ind w:firstLine="640"/>
      </w:pPr>
      <w:r>
        <w:rPr>
          <w:rFonts w:hint="eastAsia"/>
        </w:rPr>
        <w:t>现场应急指挥部对初报时要素不齐全或事件衍生出新情况，处置工作有新进展的，要及时续报，根据情况每天不少于1次向市生态环境局、市政府书面报告。</w:t>
      </w:r>
    </w:p>
    <w:p w14:paraId="176CC04A">
      <w:pPr>
        <w:ind w:firstLine="640"/>
      </w:pPr>
      <w:r>
        <w:rPr>
          <w:rFonts w:hint="eastAsia"/>
        </w:rPr>
        <w:t>②续报内容。</w:t>
      </w:r>
    </w:p>
    <w:p w14:paraId="5B3F46F4">
      <w:pPr>
        <w:ind w:firstLine="640"/>
      </w:pPr>
      <w:r>
        <w:rPr>
          <w:rFonts w:hint="eastAsia"/>
        </w:rPr>
        <w:t>续报应当在初报的基础上报告突发环境事件有关的监测数据、发生原因、过程、进展情况、趋势分析、危害程度以及采取的措施、效果等情况，附应急监测快报和监测点位分布图等。</w:t>
      </w:r>
    </w:p>
    <w:p w14:paraId="73B81A41">
      <w:pPr>
        <w:ind w:firstLine="640"/>
      </w:pPr>
      <w:r>
        <w:rPr>
          <w:rFonts w:hint="eastAsia"/>
        </w:rPr>
        <w:t>（3）处理结果报告程序与内容。</w:t>
      </w:r>
    </w:p>
    <w:p w14:paraId="31C5CF16">
      <w:pPr>
        <w:ind w:firstLine="640"/>
      </w:pPr>
      <w:r>
        <w:rPr>
          <w:rFonts w:hint="eastAsia"/>
        </w:rPr>
        <w:t>①处理结果报告程序：突发环境事件处理完毕后1个月内，应急指挥部办公室应进行突发水环境事件处理结果报告。</w:t>
      </w:r>
    </w:p>
    <w:p w14:paraId="136EF770">
      <w:pPr>
        <w:ind w:firstLine="640"/>
      </w:pPr>
      <w:r>
        <w:rPr>
          <w:rFonts w:hint="eastAsia"/>
        </w:rPr>
        <w:t>②处理结果报告内容：处理结果报告应在初报、续报的基础上，报告突发环境事件的处置措施、过程和结果等详细情况。</w:t>
      </w:r>
    </w:p>
    <w:p w14:paraId="61B91A04">
      <w:pPr>
        <w:pStyle w:val="3"/>
        <w:numPr>
          <w:ilvl w:val="1"/>
          <w:numId w:val="2"/>
        </w:numPr>
      </w:pPr>
      <w:bookmarkStart w:id="36" w:name="_Toc28873"/>
      <w:r>
        <w:rPr>
          <w:rFonts w:hint="eastAsia"/>
        </w:rPr>
        <w:t>事态研判</w:t>
      </w:r>
      <w:bookmarkEnd w:id="36"/>
    </w:p>
    <w:p w14:paraId="62DA52B8">
      <w:pPr>
        <w:ind w:firstLine="640"/>
      </w:pPr>
      <w:r>
        <w:rPr>
          <w:rFonts w:hint="eastAsia"/>
        </w:rPr>
        <w:t>由现场应急指挥部组织开展事态跟踪研判。</w:t>
      </w:r>
    </w:p>
    <w:p w14:paraId="0D50A415">
      <w:pPr>
        <w:ind w:firstLine="640"/>
      </w:pPr>
      <w:r>
        <w:rPr>
          <w:rFonts w:hint="eastAsia"/>
        </w:rPr>
        <w:t>事态跟踪研判包括但不限于以下内容：事故点下游沿河水利设施工程情况、判断污染物进入河流的数量及种类性质、事故点下游水系分布（包括清洁水情况）、距离水源地取水口的距离和可能对水源地造成的危害，以及备用水源地情况。</w:t>
      </w:r>
    </w:p>
    <w:p w14:paraId="5EFC75E1">
      <w:pPr>
        <w:ind w:firstLine="640"/>
      </w:pPr>
      <w:r>
        <w:rPr>
          <w:rFonts w:hint="eastAsia"/>
        </w:rPr>
        <w:t>根据事态跟踪研判的结果，制定和动态调整应急响应有关方案、实施应急监测、污染源排查与处置和应急处置方法。</w:t>
      </w:r>
    </w:p>
    <w:p w14:paraId="0C526BB2">
      <w:pPr>
        <w:pStyle w:val="3"/>
        <w:numPr>
          <w:ilvl w:val="1"/>
          <w:numId w:val="2"/>
        </w:numPr>
      </w:pPr>
      <w:bookmarkStart w:id="37" w:name="_Toc30845"/>
      <w:r>
        <w:rPr>
          <w:rFonts w:hint="eastAsia"/>
        </w:rPr>
        <w:t>应急监测</w:t>
      </w:r>
      <w:bookmarkEnd w:id="37"/>
    </w:p>
    <w:p w14:paraId="7D63C0E3">
      <w:pPr>
        <w:pStyle w:val="4"/>
        <w:numPr>
          <w:ilvl w:val="2"/>
          <w:numId w:val="2"/>
        </w:numPr>
      </w:pPr>
      <w:bookmarkStart w:id="38" w:name="_Toc28871"/>
      <w:r>
        <w:rPr>
          <w:rFonts w:hint="eastAsia"/>
        </w:rPr>
        <w:t>开展应急监测程序</w:t>
      </w:r>
      <w:bookmarkEnd w:id="38"/>
    </w:p>
    <w:p w14:paraId="00B9082A">
      <w:pPr>
        <w:ind w:firstLine="640"/>
      </w:pPr>
      <w:r>
        <w:rPr>
          <w:rFonts w:hint="eastAsia"/>
        </w:rPr>
        <w:t>由市生态环境局和市卫计局牵头，开展应急监测。</w:t>
      </w:r>
    </w:p>
    <w:p w14:paraId="4952A86F">
      <w:pPr>
        <w:ind w:firstLine="640"/>
      </w:pPr>
      <w:r>
        <w:rPr>
          <w:rFonts w:hint="eastAsia"/>
        </w:rPr>
        <w:t>事件处置初期，市生态环境局和市卫计局应按照现场应急指挥部办公室命令，按照各自职责，根据现场实际情况制定监测方案、设置监测点位（断面）、确定监测频次、组织开展监测、形成监测报告，第一时间向现场应急指挥部报告监测结果和污染浓度变化态势图，并安排人员对突发环境事件监测情况进行全过程记录。</w:t>
      </w:r>
    </w:p>
    <w:p w14:paraId="28129737">
      <w:pPr>
        <w:ind w:firstLine="640"/>
      </w:pPr>
      <w:r>
        <w:rPr>
          <w:rFonts w:hint="eastAsia"/>
        </w:rPr>
        <w:t>事件处置中期，应根据事态发展，如上游来水量、应急处置措施效果等情况，适时调整监测点位（断面）和监测频次。</w:t>
      </w:r>
    </w:p>
    <w:p w14:paraId="5E6616A7">
      <w:pPr>
        <w:ind w:firstLine="640"/>
      </w:pPr>
      <w:r>
        <w:rPr>
          <w:rFonts w:hint="eastAsia"/>
        </w:rPr>
        <w:t>事件处置末期，应按照现场应急指挥部命令，开展跟踪监测，并向现场应急指挥部提交应急监测总结报告。</w:t>
      </w:r>
    </w:p>
    <w:p w14:paraId="65F6D9CD">
      <w:pPr>
        <w:pStyle w:val="4"/>
        <w:numPr>
          <w:ilvl w:val="2"/>
          <w:numId w:val="2"/>
        </w:numPr>
      </w:pPr>
      <w:bookmarkStart w:id="39" w:name="_Toc21737"/>
      <w:r>
        <w:rPr>
          <w:rFonts w:hint="eastAsia"/>
        </w:rPr>
        <w:t>制定应急监测方案</w:t>
      </w:r>
      <w:bookmarkEnd w:id="39"/>
    </w:p>
    <w:p w14:paraId="6726BD31">
      <w:pPr>
        <w:ind w:firstLine="640"/>
      </w:pPr>
      <w:r>
        <w:rPr>
          <w:rFonts w:hint="eastAsia"/>
        </w:rPr>
        <w:t>制定合理的监测方案是保障应急监测有序开展的重要保障。突发饮用水水源污染事件应急监测应注意以下几个环节：</w:t>
      </w:r>
    </w:p>
    <w:p w14:paraId="3AC03411">
      <w:pPr>
        <w:ind w:firstLine="640"/>
      </w:pPr>
      <w:r>
        <w:rPr>
          <w:rFonts w:hint="eastAsia"/>
        </w:rPr>
        <w:t>（1）监测范围。确定的原则应尽量涵盖突发饮用水水源污染事件的污染范围，在尚未受到污染的区域布设控制点位。</w:t>
      </w:r>
    </w:p>
    <w:p w14:paraId="18090C65">
      <w:pPr>
        <w:ind w:firstLine="640"/>
      </w:pPr>
      <w:r>
        <w:rPr>
          <w:rFonts w:hint="eastAsia"/>
        </w:rPr>
        <w:t>（2）监测布点。以突发饮用水水源污染事件发生地点为中心或源头，结合气象和水文条件，在其扩散方向及可能受到影响的水源地合理布点，对污染带移动过程形成动态监测。</w:t>
      </w:r>
    </w:p>
    <w:p w14:paraId="127805C7">
      <w:pPr>
        <w:ind w:firstLine="640"/>
      </w:pPr>
      <w:r>
        <w:rPr>
          <w:rFonts w:hint="eastAsia"/>
        </w:rPr>
        <w:t>（3）现场采样。应制定采样计划和准备采样器材。采样量应同时满足快速监测、实验室监测和留样需要。采样频次主要根据污染状况确定。</w:t>
      </w:r>
    </w:p>
    <w:p w14:paraId="62AA80E2">
      <w:pPr>
        <w:ind w:firstLine="640"/>
      </w:pPr>
      <w:r>
        <w:rPr>
          <w:rFonts w:hint="eastAsia"/>
        </w:rPr>
        <w:t>（4）分析方法。凡具备现场测定条件的监测项目，应尽量进行现场监测。必要时，备份样品送实验室分析测定，以确认现场的定性或定量分析结果。</w:t>
      </w:r>
    </w:p>
    <w:p w14:paraId="39B6DEB0">
      <w:pPr>
        <w:ind w:firstLine="640"/>
      </w:pPr>
      <w:r>
        <w:rPr>
          <w:rFonts w:hint="eastAsia"/>
        </w:rPr>
        <w:t>（5）监测结果与数据报告。数据处理应参照相应的监测技术规范进行。监测结果可用定性、半定量或定量方式报出。监测结果要及时向指挥部报告，可采用电话、传真、快报、简报、监测报告等形式。</w:t>
      </w:r>
    </w:p>
    <w:p w14:paraId="02158B3D">
      <w:pPr>
        <w:ind w:firstLine="640"/>
      </w:pPr>
      <w:r>
        <w:rPr>
          <w:rFonts w:hint="eastAsia"/>
        </w:rPr>
        <w:t>（6）监测过程质量保障。应急监测过程应实施质量控制，原始样品采集、现场分析监测、实验室分析、数据统计等过程都应有相应的质量保证。</w:t>
      </w:r>
    </w:p>
    <w:p w14:paraId="1121296C">
      <w:pPr>
        <w:pStyle w:val="4"/>
        <w:numPr>
          <w:ilvl w:val="2"/>
          <w:numId w:val="2"/>
        </w:numPr>
      </w:pPr>
      <w:bookmarkStart w:id="40" w:name="_Toc4080"/>
      <w:r>
        <w:rPr>
          <w:rFonts w:hint="eastAsia"/>
        </w:rPr>
        <w:t>跨界应急监测</w:t>
      </w:r>
      <w:bookmarkEnd w:id="40"/>
    </w:p>
    <w:p w14:paraId="68D9FB54">
      <w:pPr>
        <w:ind w:firstLine="640"/>
      </w:pPr>
      <w:r>
        <w:rPr>
          <w:rFonts w:hint="eastAsia"/>
        </w:rPr>
        <w:t>当发生跨界饮用水水源污染突发事件时，在上级生态环境部门的协调下制定监测方案，按照监测方案开展监测工作，监测结果经现场技术负责人确认后，及时报送现场应急指挥部、跨界区域</w:t>
      </w:r>
      <w:r>
        <w:rPr>
          <w:rFonts w:hint="eastAsia"/>
          <w:lang w:val="en-US" w:eastAsia="zh-CN"/>
        </w:rPr>
        <w:t>生态环境</w:t>
      </w:r>
      <w:r>
        <w:rPr>
          <w:rFonts w:hint="eastAsia"/>
        </w:rPr>
        <w:t>部门。</w:t>
      </w:r>
    </w:p>
    <w:p w14:paraId="010408C3">
      <w:pPr>
        <w:pStyle w:val="3"/>
        <w:numPr>
          <w:ilvl w:val="1"/>
          <w:numId w:val="2"/>
        </w:numPr>
      </w:pPr>
      <w:bookmarkStart w:id="41" w:name="_Toc32068"/>
      <w:r>
        <w:rPr>
          <w:rFonts w:hint="eastAsia"/>
        </w:rPr>
        <w:t>污染源排查与处置</w:t>
      </w:r>
      <w:bookmarkEnd w:id="41"/>
    </w:p>
    <w:p w14:paraId="7505D3AC">
      <w:pPr>
        <w:pStyle w:val="4"/>
        <w:numPr>
          <w:ilvl w:val="2"/>
          <w:numId w:val="2"/>
        </w:numPr>
      </w:pPr>
      <w:bookmarkStart w:id="42" w:name="_Toc7169"/>
      <w:r>
        <w:rPr>
          <w:rFonts w:hint="eastAsia"/>
        </w:rPr>
        <w:t>明确排查对象</w:t>
      </w:r>
      <w:bookmarkEnd w:id="42"/>
    </w:p>
    <w:p w14:paraId="56498E5C">
      <w:pPr>
        <w:ind w:firstLine="640"/>
      </w:pPr>
      <w:r>
        <w:rPr>
          <w:rFonts w:hint="eastAsia"/>
        </w:rPr>
        <w:t>当水质监测发现异常、污染物来源不确定时，应明确负责开展溯源分析的部门、责任人及工作程序。根据特征污染物种类、浓度变化、释放总量、释放路径、释放时间，以及当时的水文和气象条件，迅速组织开展污染源排查。</w:t>
      </w:r>
    </w:p>
    <w:p w14:paraId="4791A997">
      <w:pPr>
        <w:ind w:firstLine="640"/>
      </w:pPr>
      <w:r>
        <w:rPr>
          <w:rFonts w:hint="eastAsia"/>
        </w:rPr>
        <w:t>针对不同类型污染物的排查重点和对象如下。</w:t>
      </w:r>
    </w:p>
    <w:p w14:paraId="65D9C9DC">
      <w:pPr>
        <w:ind w:firstLine="640"/>
      </w:pPr>
      <w:r>
        <w:rPr>
          <w:rFonts w:hint="eastAsia"/>
        </w:rPr>
        <w:t>（1）有机类污染：重点排查乡镇生活污水处理厂、工业企业，调查污水处理设施运行、尾水排放的异常情况。</w:t>
      </w:r>
    </w:p>
    <w:p w14:paraId="08037157">
      <w:pPr>
        <w:ind w:firstLine="640"/>
      </w:pPr>
      <w:r>
        <w:rPr>
          <w:rFonts w:hint="eastAsia"/>
        </w:rPr>
        <w:t>（2）营养盐类污染：重点排查乡镇生活污水处理厂、工业企业、畜禽养殖场（户）、农田种植户、农村居民点、医疗场所等，调查污水处理设施运行、养殖废物处理处置、农药化肥施用、农村生活污染、医疗废水处理及消毒设施的异常情况。</w:t>
      </w:r>
    </w:p>
    <w:p w14:paraId="31497802">
      <w:pPr>
        <w:ind w:firstLine="640"/>
      </w:pPr>
      <w:r>
        <w:rPr>
          <w:rFonts w:hint="eastAsia"/>
        </w:rPr>
        <w:t>（3）细菌类污染：重点排查乡镇生活污水处理厂、畜禽养殖场（户）、农村居民点，调查污水处理设施运行、养殖废物处理处置、医疗场所、农村生活污染的异常情况。</w:t>
      </w:r>
    </w:p>
    <w:p w14:paraId="3FF96F5E">
      <w:pPr>
        <w:ind w:firstLine="640"/>
      </w:pPr>
      <w:r>
        <w:rPr>
          <w:rFonts w:hint="eastAsia"/>
        </w:rPr>
        <w:t>（4）农药类污染：重点排查农药制造有关的工业企业、果园种植园（户）、农田种植户、农灌退水排放口，调查农药施用和流失的异常情况。</w:t>
      </w:r>
    </w:p>
    <w:p w14:paraId="2DB2BF23">
      <w:pPr>
        <w:ind w:firstLine="640"/>
      </w:pPr>
      <w:r>
        <w:rPr>
          <w:rFonts w:hint="eastAsia"/>
        </w:rPr>
        <w:t>（5）石油类污染：重点排查加油站、运输车辆、油气管线和存贮的工业企业，调查上述企业和单位的异常情况。</w:t>
      </w:r>
    </w:p>
    <w:p w14:paraId="6A14BD58">
      <w:pPr>
        <w:ind w:firstLine="640"/>
      </w:pPr>
      <w:r>
        <w:rPr>
          <w:rFonts w:hint="eastAsia"/>
        </w:rPr>
        <w:t>（6）重金属及其他有毒有害物质污染：重点排查采矿及选矿的工业企业（含化工园区）、尾矿库、危险废物储存单位、危险品仓库和装卸码头、危化品运输船舶、危化品运输车辆等，调查上述企业和单位的异常情况。</w:t>
      </w:r>
    </w:p>
    <w:p w14:paraId="49810FCB">
      <w:pPr>
        <w:pStyle w:val="4"/>
        <w:numPr>
          <w:ilvl w:val="2"/>
          <w:numId w:val="2"/>
        </w:numPr>
      </w:pPr>
      <w:bookmarkStart w:id="43" w:name="_Toc1487"/>
      <w:r>
        <w:rPr>
          <w:rFonts w:hint="eastAsia"/>
        </w:rPr>
        <w:t>切断污染源</w:t>
      </w:r>
      <w:bookmarkEnd w:id="43"/>
    </w:p>
    <w:p w14:paraId="44A7BAA5">
      <w:pPr>
        <w:ind w:firstLine="640"/>
      </w:pPr>
      <w:r>
        <w:rPr>
          <w:rFonts w:hint="eastAsia"/>
        </w:rPr>
        <w:t>涉事企业事业单位或其他生产经营者应第一时间启动相关应急预案，切断固定的、流动的或非点源的污染源或泄漏源，若涉事企业事业单位或其他生产经营者无法有效控制污染源，应将污染源信息上报应急处置组，由应急处置组组织实施事故源切断或控制。</w:t>
      </w:r>
    </w:p>
    <w:p w14:paraId="358ADD07">
      <w:pPr>
        <w:ind w:firstLine="640"/>
      </w:pPr>
      <w:r>
        <w:rPr>
          <w:rFonts w:hint="eastAsia"/>
        </w:rPr>
        <w:t>处置措施主要采取切断污染源、收集和围堵污染物等，包括以下内容：</w:t>
      </w:r>
    </w:p>
    <w:p w14:paraId="01B78C37">
      <w:pPr>
        <w:ind w:firstLine="640"/>
      </w:pPr>
      <w:r>
        <w:rPr>
          <w:rFonts w:hint="eastAsia"/>
        </w:rPr>
        <w:t>（1）对发生非正常排放或有毒有害物质泄漏的固定源突发环境事件，应尽快采取关闭、封堵、收集、转移等措施，切断污染源或泄漏源。</w:t>
      </w:r>
    </w:p>
    <w:p w14:paraId="778013AE">
      <w:pPr>
        <w:ind w:firstLine="640"/>
      </w:pPr>
      <w:r>
        <w:rPr>
          <w:rFonts w:hint="eastAsia"/>
        </w:rPr>
        <w:t>（2）对道路交通运输过程中发生的流动源突发事件，可启动路面系统的导流槽、应急池或紧急设置围堰、闸坝等，对污染源进行围堵并收集污染物。</w:t>
      </w:r>
    </w:p>
    <w:p w14:paraId="7B0246A2">
      <w:pPr>
        <w:ind w:firstLine="640"/>
      </w:pPr>
      <w:r>
        <w:rPr>
          <w:rFonts w:hint="eastAsia"/>
        </w:rPr>
        <w:t>（3）对地表水水上运输过程中发生的流动源突发事件，主要采取救援打捞、油毡吸附、围油栏、闸坝拦截等方式，对污染源进行围堵并收集污染物。</w:t>
      </w:r>
    </w:p>
    <w:p w14:paraId="43B3AA46">
      <w:pPr>
        <w:ind w:firstLine="640"/>
      </w:pPr>
      <w:r>
        <w:rPr>
          <w:rFonts w:hint="eastAsia"/>
        </w:rPr>
        <w:t>（4）启动应急收集系统集中收集陆域污染物，设立拦截设施，防止污染物在陆域漫延，组织有关部门对污染物进行回收处置。</w:t>
      </w:r>
    </w:p>
    <w:p w14:paraId="7F0CD0BD">
      <w:pPr>
        <w:ind w:firstLine="640"/>
      </w:pPr>
      <w:r>
        <w:rPr>
          <w:rFonts w:hint="eastAsia"/>
        </w:rPr>
        <w:t>（5）根据现场事态发展对扩散至水体的污染物进行处置。</w:t>
      </w:r>
    </w:p>
    <w:p w14:paraId="4A603211">
      <w:pPr>
        <w:pStyle w:val="3"/>
        <w:numPr>
          <w:ilvl w:val="1"/>
          <w:numId w:val="2"/>
        </w:numPr>
        <w:rPr>
          <w:color w:val="FF0000"/>
          <w:u w:val="single"/>
        </w:rPr>
      </w:pPr>
      <w:bookmarkStart w:id="44" w:name="_Toc18372"/>
      <w:r>
        <w:rPr>
          <w:rFonts w:hint="eastAsia"/>
          <w:color w:val="FF0000"/>
          <w:u w:val="single"/>
        </w:rPr>
        <w:t>应急处置</w:t>
      </w:r>
      <w:bookmarkEnd w:id="44"/>
    </w:p>
    <w:p w14:paraId="5DBEF6B8">
      <w:pPr>
        <w:pStyle w:val="4"/>
        <w:numPr>
          <w:ilvl w:val="2"/>
          <w:numId w:val="2"/>
        </w:numPr>
        <w:rPr>
          <w:color w:val="FF0000"/>
          <w:u w:val="single"/>
        </w:rPr>
      </w:pPr>
      <w:bookmarkStart w:id="45" w:name="_Toc20344"/>
      <w:r>
        <w:rPr>
          <w:rFonts w:hint="eastAsia"/>
          <w:color w:val="FF0000"/>
          <w:u w:val="single"/>
        </w:rPr>
        <w:t>制定现场处置方案</w:t>
      </w:r>
      <w:bookmarkEnd w:id="45"/>
    </w:p>
    <w:p w14:paraId="63812D16">
      <w:pPr>
        <w:ind w:firstLine="640"/>
        <w:rPr>
          <w:color w:val="FF0000"/>
          <w:u w:val="single"/>
        </w:rPr>
      </w:pPr>
      <w:r>
        <w:rPr>
          <w:rFonts w:hint="eastAsia"/>
          <w:color w:val="FF0000"/>
          <w:u w:val="single"/>
        </w:rPr>
        <w:t>现场处置方案包括但不限于以下内容：</w:t>
      </w:r>
      <w:r>
        <w:rPr>
          <w:rFonts w:hint="eastAsia"/>
          <w:color w:val="FF0000"/>
          <w:u w:val="single"/>
          <w:lang w:val="en-US" w:eastAsia="zh-CN"/>
        </w:rPr>
        <w:t>启动应急供水措施、</w:t>
      </w:r>
      <w:r>
        <w:rPr>
          <w:rFonts w:hint="eastAsia"/>
          <w:color w:val="FF0000"/>
          <w:u w:val="single"/>
        </w:rPr>
        <w:t>应急监测、污染处置措施、物资调集、应急队伍和人员安排、供水单位应对等。</w:t>
      </w:r>
    </w:p>
    <w:p w14:paraId="77DAE179">
      <w:pPr>
        <w:ind w:firstLine="640"/>
        <w:rPr>
          <w:color w:val="FF0000"/>
          <w:u w:val="single"/>
        </w:rPr>
      </w:pPr>
      <w:r>
        <w:rPr>
          <w:rFonts w:hint="eastAsia"/>
          <w:color w:val="FF0000"/>
          <w:u w:val="single"/>
        </w:rPr>
        <w:t>根据污染特征，水源地突发环境事件的污染处置措施如下。</w:t>
      </w:r>
    </w:p>
    <w:p w14:paraId="2F465DE9">
      <w:pPr>
        <w:ind w:firstLine="640"/>
        <w:rPr>
          <w:color w:val="FF0000"/>
          <w:u w:val="single"/>
        </w:rPr>
      </w:pPr>
      <w:r>
        <w:rPr>
          <w:rFonts w:hint="eastAsia"/>
          <w:color w:val="FF0000"/>
          <w:u w:val="single"/>
        </w:rPr>
        <w:t>（1）水华灾害突发事件。</w:t>
      </w:r>
      <w:r>
        <w:rPr>
          <w:rFonts w:hint="eastAsia"/>
          <w:color w:val="FF0000"/>
          <w:u w:val="single"/>
          <w:lang w:val="en-US" w:eastAsia="zh-CN"/>
        </w:rPr>
        <w:t>针对观音岩水源地</w:t>
      </w:r>
      <w:r>
        <w:rPr>
          <w:rFonts w:hint="eastAsia"/>
          <w:color w:val="FF0000"/>
          <w:u w:val="single"/>
        </w:rPr>
        <w:t>一级、二级水源保护区的水华发生区域，采取增氧机、藻类打捞等方式减少和控制藻类生长和扩散。</w:t>
      </w:r>
    </w:p>
    <w:p w14:paraId="42592F1A">
      <w:pPr>
        <w:ind w:firstLine="640"/>
        <w:rPr>
          <w:color w:val="FF0000"/>
          <w:u w:val="single"/>
        </w:rPr>
      </w:pPr>
      <w:r>
        <w:rPr>
          <w:rFonts w:hint="eastAsia"/>
          <w:color w:val="FF0000"/>
          <w:u w:val="single"/>
        </w:rPr>
        <w:t>（2）水体内污染物治理、总量或浓度削减。根据专家技术组等意见，制定综合处置方案，经现场指挥部确认后实施。采取隔离、吸附、打捞、扰动等物理方法，氧化、沉淀等化学方法，利用湿地生物群消解等生物方法和上游调水等稀释方法，可以采取一种或多种方式，力争短时间内削减污染物浓度。</w:t>
      </w:r>
    </w:p>
    <w:p w14:paraId="3E09BFA4">
      <w:pPr>
        <w:ind w:firstLine="640"/>
        <w:rPr>
          <w:color w:val="FF0000"/>
          <w:u w:val="single"/>
        </w:rPr>
      </w:pPr>
      <w:r>
        <w:rPr>
          <w:rFonts w:hint="eastAsia"/>
          <w:color w:val="FF0000"/>
          <w:u w:val="single"/>
        </w:rPr>
        <w:t>（3）应急工程设施拦截污染水体。在河道内启用或修建拦截坝、节制闸等工程设施拦截污染水体；通过导流渠将未受污染水体导流至污染水体下游，通过分流沟将污染水体分流至水源保护区外进行收集处置；利用前置库、缓冲池等工程设施，降低污染水体的污染物浓度，为应急处置争取时间。不能建设永久应急工程的，应事先论证确定可建设应急工程的地址，并在预案中明确。</w:t>
      </w:r>
    </w:p>
    <w:p w14:paraId="0C308160">
      <w:pPr>
        <w:ind w:firstLine="640"/>
        <w:rPr>
          <w:color w:val="FF0000"/>
          <w:u w:val="single"/>
        </w:rPr>
      </w:pPr>
      <w:r>
        <w:rPr>
          <w:rFonts w:hint="eastAsia"/>
          <w:color w:val="FF0000"/>
          <w:u w:val="single"/>
        </w:rPr>
        <w:t>（4）取水口及水厂应急防控。一级保护区设置有视频监控系统，取水口装载自动监测装置对水质进行监控，发现水质超标后可停止取水。</w:t>
      </w:r>
    </w:p>
    <w:p w14:paraId="26A6A696">
      <w:pPr>
        <w:ind w:firstLine="640"/>
        <w:rPr>
          <w:color w:val="FF0000"/>
          <w:u w:val="single"/>
        </w:rPr>
      </w:pPr>
      <w:r>
        <w:rPr>
          <w:rFonts w:hint="eastAsia"/>
          <w:color w:val="FF0000"/>
          <w:u w:val="single"/>
        </w:rPr>
        <w:t>（5）饮用水源深度处置。在水质受污染程度不严重的情况，采用深度处理工艺（如臭氧－活性炭技术、生物活性炭技术、膜分离技术等）对来水进行处理，确保水厂出水水质达标。</w:t>
      </w:r>
    </w:p>
    <w:p w14:paraId="5F07055D">
      <w:pPr>
        <w:ind w:firstLine="640"/>
        <w:rPr>
          <w:color w:val="FF0000"/>
          <w:u w:val="single"/>
        </w:rPr>
      </w:pPr>
      <w:r>
        <w:rPr>
          <w:rFonts w:hint="eastAsia"/>
          <w:color w:val="FF0000"/>
          <w:u w:val="single"/>
        </w:rPr>
        <w:t>针对污染物可采取的物理、化学、生物处理技术如下表所示。</w:t>
      </w:r>
    </w:p>
    <w:p w14:paraId="5C07A29C">
      <w:pPr>
        <w:ind w:firstLine="0" w:firstLineChars="0"/>
        <w:jc w:val="center"/>
        <w:rPr>
          <w:rFonts w:ascii="黑体" w:hAnsi="黑体" w:eastAsia="黑体" w:cs="黑体"/>
          <w:color w:val="FF0000"/>
          <w:sz w:val="24"/>
          <w:szCs w:val="24"/>
          <w:u w:val="single"/>
        </w:rPr>
      </w:pPr>
      <w:r>
        <w:rPr>
          <w:rFonts w:hint="default" w:ascii="Times New Roman" w:hAnsi="Times New Roman" w:eastAsia="黑体" w:cs="Times New Roman"/>
          <w:b w:val="0"/>
          <w:bCs/>
          <w:color w:val="FF0000"/>
          <w:sz w:val="28"/>
          <w:szCs w:val="28"/>
          <w:u w:val="single"/>
        </w:rPr>
        <w:t xml:space="preserve">表 </w:t>
      </w:r>
      <w:r>
        <w:rPr>
          <w:rFonts w:hint="default" w:ascii="Times New Roman" w:hAnsi="Times New Roman" w:eastAsia="黑体" w:cs="Times New Roman"/>
          <w:b w:val="0"/>
          <w:bCs/>
          <w:color w:val="FF0000"/>
          <w:sz w:val="28"/>
          <w:szCs w:val="28"/>
          <w:u w:val="single"/>
        </w:rPr>
        <w:fldChar w:fldCharType="begin"/>
      </w:r>
      <w:r>
        <w:rPr>
          <w:rFonts w:hint="default" w:ascii="Times New Roman" w:hAnsi="Times New Roman" w:eastAsia="黑体" w:cs="Times New Roman"/>
          <w:b w:val="0"/>
          <w:bCs/>
          <w:color w:val="FF0000"/>
          <w:sz w:val="28"/>
          <w:szCs w:val="28"/>
          <w:u w:val="single"/>
        </w:rPr>
        <w:instrText xml:space="preserve"> SEQ 表 \* ARABIC </w:instrText>
      </w:r>
      <w:r>
        <w:rPr>
          <w:rFonts w:hint="default" w:ascii="Times New Roman" w:hAnsi="Times New Roman" w:eastAsia="黑体" w:cs="Times New Roman"/>
          <w:b w:val="0"/>
          <w:bCs/>
          <w:color w:val="FF0000"/>
          <w:sz w:val="28"/>
          <w:szCs w:val="28"/>
          <w:u w:val="single"/>
        </w:rPr>
        <w:fldChar w:fldCharType="separate"/>
      </w:r>
      <w:r>
        <w:rPr>
          <w:rFonts w:hint="default" w:ascii="Times New Roman" w:hAnsi="Times New Roman" w:eastAsia="黑体" w:cs="Times New Roman"/>
          <w:b w:val="0"/>
          <w:bCs/>
          <w:color w:val="FF0000"/>
          <w:sz w:val="28"/>
          <w:szCs w:val="28"/>
          <w:u w:val="single"/>
        </w:rPr>
        <w:t>1</w:t>
      </w:r>
      <w:r>
        <w:rPr>
          <w:rFonts w:hint="default" w:ascii="Times New Roman" w:hAnsi="Times New Roman" w:eastAsia="黑体" w:cs="Times New Roman"/>
          <w:b w:val="0"/>
          <w:bCs/>
          <w:color w:val="FF0000"/>
          <w:sz w:val="28"/>
          <w:szCs w:val="28"/>
          <w:u w:val="single"/>
        </w:rPr>
        <w:fldChar w:fldCharType="end"/>
      </w:r>
      <w:r>
        <w:rPr>
          <w:rFonts w:hint="eastAsia" w:ascii="Times New Roman" w:hAnsi="Times New Roman" w:eastAsia="黑体" w:cs="Times New Roman"/>
          <w:b w:val="0"/>
          <w:bCs/>
          <w:color w:val="FF0000"/>
          <w:sz w:val="28"/>
          <w:szCs w:val="28"/>
          <w:u w:val="single"/>
          <w:lang w:val="en-US" w:eastAsia="zh-CN"/>
        </w:rPr>
        <w:t xml:space="preserve">    </w:t>
      </w:r>
      <w:r>
        <w:rPr>
          <w:rFonts w:hint="eastAsia" w:ascii="黑体" w:hAnsi="黑体" w:eastAsia="黑体" w:cs="黑体"/>
          <w:color w:val="FF0000"/>
          <w:sz w:val="24"/>
          <w:szCs w:val="24"/>
          <w:u w:val="single"/>
        </w:rPr>
        <w:t>适用于处理不同超标项目的推荐技术</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6708"/>
      </w:tblGrid>
      <w:tr w14:paraId="28F4F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093" w:type="dxa"/>
            <w:vAlign w:val="center"/>
          </w:tcPr>
          <w:p w14:paraId="75CC85AA">
            <w:pPr>
              <w:pStyle w:val="81"/>
              <w:spacing w:line="240" w:lineRule="auto"/>
              <w:ind w:firstLine="0" w:firstLineChars="0"/>
              <w:rPr>
                <w:rFonts w:ascii="黑体" w:hAnsi="黑体" w:eastAsia="黑体" w:cs="黑体"/>
                <w:bCs/>
                <w:color w:val="FF0000"/>
                <w:sz w:val="24"/>
                <w:u w:val="single"/>
              </w:rPr>
            </w:pPr>
            <w:r>
              <w:rPr>
                <w:rFonts w:hint="eastAsia" w:ascii="黑体" w:hAnsi="黑体" w:eastAsia="黑体" w:cs="黑体"/>
                <w:bCs/>
                <w:color w:val="FF0000"/>
                <w:sz w:val="24"/>
                <w:u w:val="single"/>
              </w:rPr>
              <w:t>超标项目</w:t>
            </w:r>
          </w:p>
        </w:tc>
        <w:tc>
          <w:tcPr>
            <w:tcW w:w="6708" w:type="dxa"/>
            <w:vAlign w:val="center"/>
          </w:tcPr>
          <w:p w14:paraId="3E45BD12">
            <w:pPr>
              <w:pStyle w:val="81"/>
              <w:spacing w:line="240" w:lineRule="auto"/>
              <w:ind w:firstLine="0" w:firstLineChars="0"/>
              <w:rPr>
                <w:rFonts w:ascii="黑体" w:hAnsi="黑体" w:eastAsia="黑体" w:cs="黑体"/>
                <w:bCs/>
                <w:color w:val="FF0000"/>
                <w:sz w:val="24"/>
                <w:u w:val="single"/>
              </w:rPr>
            </w:pPr>
            <w:r>
              <w:rPr>
                <w:rFonts w:hint="eastAsia" w:ascii="黑体" w:hAnsi="黑体" w:eastAsia="黑体" w:cs="黑体"/>
                <w:bCs/>
                <w:color w:val="FF0000"/>
                <w:sz w:val="24"/>
                <w:u w:val="single"/>
              </w:rPr>
              <w:t>推荐技术</w:t>
            </w:r>
          </w:p>
        </w:tc>
      </w:tr>
      <w:tr w14:paraId="7E79B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Align w:val="center"/>
          </w:tcPr>
          <w:p w14:paraId="6CB1E528">
            <w:pPr>
              <w:pStyle w:val="81"/>
              <w:spacing w:line="240" w:lineRule="auto"/>
              <w:ind w:firstLine="0" w:firstLineChars="0"/>
              <w:rPr>
                <w:rFonts w:ascii="方正仿宋_GBK" w:cs="方正仿宋_GBK"/>
                <w:bCs/>
                <w:color w:val="FF0000"/>
                <w:sz w:val="24"/>
                <w:u w:val="single"/>
                <w:shd w:val="clear" w:color="auto" w:fill="FFFFFF"/>
              </w:rPr>
            </w:pPr>
            <w:r>
              <w:rPr>
                <w:rFonts w:hint="eastAsia" w:ascii="方正仿宋_GBK" w:cs="方正仿宋_GBK"/>
                <w:bCs/>
                <w:color w:val="FF0000"/>
                <w:sz w:val="24"/>
                <w:u w:val="single"/>
                <w:shd w:val="clear" w:color="auto" w:fill="FFFFFF"/>
              </w:rPr>
              <w:t>浊度</w:t>
            </w:r>
          </w:p>
        </w:tc>
        <w:tc>
          <w:tcPr>
            <w:tcW w:w="6708" w:type="dxa"/>
            <w:vAlign w:val="center"/>
          </w:tcPr>
          <w:p w14:paraId="16F6A4F3">
            <w:pPr>
              <w:pStyle w:val="81"/>
              <w:spacing w:line="240" w:lineRule="auto"/>
              <w:ind w:firstLine="0" w:firstLineChars="0"/>
              <w:jc w:val="left"/>
              <w:rPr>
                <w:rFonts w:ascii="方正仿宋_GBK" w:cs="方正仿宋_GBK"/>
                <w:bCs/>
                <w:color w:val="FF0000"/>
                <w:sz w:val="24"/>
                <w:u w:val="single"/>
                <w:shd w:val="clear" w:color="auto" w:fill="FFFFFF"/>
              </w:rPr>
            </w:pPr>
            <w:r>
              <w:rPr>
                <w:rFonts w:hint="eastAsia" w:ascii="方正仿宋_GBK" w:cs="方正仿宋_GBK"/>
                <w:bCs/>
                <w:color w:val="FF0000"/>
                <w:sz w:val="24"/>
                <w:u w:val="single"/>
                <w:shd w:val="clear" w:color="auto" w:fill="FFFFFF"/>
              </w:rPr>
              <w:t>快速砂滤池、絮凝、沉淀、过滤</w:t>
            </w:r>
          </w:p>
        </w:tc>
      </w:tr>
      <w:tr w14:paraId="27DB6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Align w:val="center"/>
          </w:tcPr>
          <w:p w14:paraId="14E24803">
            <w:pPr>
              <w:pStyle w:val="81"/>
              <w:spacing w:line="240" w:lineRule="auto"/>
              <w:ind w:firstLine="0" w:firstLineChars="0"/>
              <w:rPr>
                <w:rFonts w:ascii="方正仿宋_GBK" w:cs="方正仿宋_GBK"/>
                <w:bCs/>
                <w:color w:val="FF0000"/>
                <w:sz w:val="24"/>
                <w:u w:val="single"/>
                <w:shd w:val="clear" w:color="auto" w:fill="FFFFFF"/>
              </w:rPr>
            </w:pPr>
            <w:r>
              <w:rPr>
                <w:rFonts w:hint="eastAsia" w:ascii="方正仿宋_GBK" w:cs="方正仿宋_GBK"/>
                <w:bCs/>
                <w:color w:val="FF0000"/>
                <w:sz w:val="24"/>
                <w:u w:val="single"/>
                <w:shd w:val="clear" w:color="auto" w:fill="FFFFFF"/>
              </w:rPr>
              <w:t>色度</w:t>
            </w:r>
          </w:p>
        </w:tc>
        <w:tc>
          <w:tcPr>
            <w:tcW w:w="6708" w:type="dxa"/>
            <w:vAlign w:val="center"/>
          </w:tcPr>
          <w:p w14:paraId="4CDEEF6D">
            <w:pPr>
              <w:pStyle w:val="81"/>
              <w:spacing w:line="240" w:lineRule="auto"/>
              <w:ind w:firstLine="0" w:firstLineChars="0"/>
              <w:jc w:val="left"/>
              <w:rPr>
                <w:rFonts w:ascii="方正仿宋_GBK" w:cs="方正仿宋_GBK"/>
                <w:bCs/>
                <w:color w:val="FF0000"/>
                <w:sz w:val="24"/>
                <w:u w:val="single"/>
                <w:shd w:val="clear" w:color="auto" w:fill="FFFFFF"/>
              </w:rPr>
            </w:pPr>
            <w:r>
              <w:rPr>
                <w:rFonts w:hint="eastAsia" w:ascii="方正仿宋_GBK" w:cs="方正仿宋_GBK"/>
                <w:bCs/>
                <w:color w:val="FF0000"/>
                <w:sz w:val="24"/>
                <w:u w:val="single"/>
                <w:shd w:val="clear" w:color="auto" w:fill="FFFFFF"/>
              </w:rPr>
              <w:t>快速砂滤池、絮凝；活性炭吸附；化学氧化预处理：臭氧、氯、高锰酸钾、二氧化氯</w:t>
            </w:r>
          </w:p>
        </w:tc>
      </w:tr>
      <w:tr w14:paraId="28E7A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Align w:val="center"/>
          </w:tcPr>
          <w:p w14:paraId="531238A3">
            <w:pPr>
              <w:pStyle w:val="81"/>
              <w:spacing w:line="240" w:lineRule="auto"/>
              <w:ind w:firstLine="0" w:firstLineChars="0"/>
              <w:rPr>
                <w:rFonts w:ascii="方正仿宋_GBK" w:cs="方正仿宋_GBK"/>
                <w:bCs/>
                <w:color w:val="FF0000"/>
                <w:sz w:val="24"/>
                <w:u w:val="single"/>
                <w:shd w:val="clear" w:color="auto" w:fill="FFFFFF"/>
              </w:rPr>
            </w:pPr>
            <w:r>
              <w:rPr>
                <w:rFonts w:hint="eastAsia" w:ascii="方正仿宋_GBK" w:cs="方正仿宋_GBK"/>
                <w:bCs/>
                <w:color w:val="FF0000"/>
                <w:sz w:val="24"/>
                <w:u w:val="single"/>
                <w:shd w:val="clear" w:color="auto" w:fill="FFFFFF"/>
              </w:rPr>
              <w:t>嗅味</w:t>
            </w:r>
          </w:p>
        </w:tc>
        <w:tc>
          <w:tcPr>
            <w:tcW w:w="6708" w:type="dxa"/>
            <w:vAlign w:val="center"/>
          </w:tcPr>
          <w:p w14:paraId="75CFD916">
            <w:pPr>
              <w:pStyle w:val="81"/>
              <w:spacing w:line="240" w:lineRule="auto"/>
              <w:ind w:firstLine="0" w:firstLineChars="0"/>
              <w:jc w:val="left"/>
              <w:rPr>
                <w:rFonts w:ascii="方正仿宋_GBK" w:cs="方正仿宋_GBK"/>
                <w:bCs/>
                <w:color w:val="FF0000"/>
                <w:sz w:val="24"/>
                <w:u w:val="single"/>
                <w:shd w:val="clear" w:color="auto" w:fill="FFFFFF"/>
              </w:rPr>
            </w:pPr>
            <w:r>
              <w:rPr>
                <w:rFonts w:hint="eastAsia" w:ascii="方正仿宋_GBK" w:cs="方正仿宋_GBK"/>
                <w:bCs/>
                <w:color w:val="FF0000"/>
                <w:sz w:val="24"/>
                <w:u w:val="single"/>
                <w:shd w:val="clear" w:color="auto" w:fill="FFFFFF"/>
              </w:rPr>
              <w:t>化学氧化预处理：臭氧、氯、高锰酸钾、二氧化氯、活性炭</w:t>
            </w:r>
          </w:p>
        </w:tc>
      </w:tr>
      <w:tr w14:paraId="36828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Align w:val="center"/>
          </w:tcPr>
          <w:p w14:paraId="15F8CB3C">
            <w:pPr>
              <w:pStyle w:val="81"/>
              <w:spacing w:line="240" w:lineRule="auto"/>
              <w:ind w:firstLine="0" w:firstLineChars="0"/>
              <w:rPr>
                <w:rFonts w:ascii="方正仿宋_GBK" w:cs="方正仿宋_GBK"/>
                <w:bCs/>
                <w:color w:val="FF0000"/>
                <w:sz w:val="24"/>
                <w:u w:val="single"/>
                <w:shd w:val="clear" w:color="auto" w:fill="FFFFFF"/>
              </w:rPr>
            </w:pPr>
            <w:r>
              <w:rPr>
                <w:rFonts w:hint="eastAsia" w:ascii="方正仿宋_GBK" w:cs="方正仿宋_GBK"/>
                <w:bCs/>
                <w:color w:val="FF0000"/>
                <w:sz w:val="24"/>
                <w:u w:val="single"/>
                <w:shd w:val="clear" w:color="auto" w:fill="FFFFFF"/>
              </w:rPr>
              <w:t>氟化物</w:t>
            </w:r>
          </w:p>
        </w:tc>
        <w:tc>
          <w:tcPr>
            <w:tcW w:w="6708" w:type="dxa"/>
            <w:vAlign w:val="center"/>
          </w:tcPr>
          <w:p w14:paraId="140AFC77">
            <w:pPr>
              <w:pStyle w:val="81"/>
              <w:spacing w:line="240" w:lineRule="auto"/>
              <w:ind w:firstLine="0" w:firstLineChars="0"/>
              <w:jc w:val="left"/>
              <w:rPr>
                <w:rFonts w:ascii="方正仿宋_GBK" w:cs="方正仿宋_GBK"/>
                <w:bCs/>
                <w:color w:val="FF0000"/>
                <w:sz w:val="24"/>
                <w:u w:val="single"/>
                <w:shd w:val="clear" w:color="auto" w:fill="FFFFFF"/>
              </w:rPr>
            </w:pPr>
            <w:r>
              <w:rPr>
                <w:rFonts w:hint="eastAsia" w:ascii="方正仿宋_GBK" w:cs="方正仿宋_GBK"/>
                <w:bCs/>
                <w:color w:val="FF0000"/>
                <w:sz w:val="24"/>
                <w:u w:val="single"/>
                <w:shd w:val="clear" w:color="auto" w:fill="FFFFFF"/>
              </w:rPr>
              <w:t>吸附法：氧化铝、磷酸二钙；混凝沉淀法：硫酸铝、聚合氯化铝；离子交换法；电渗析法</w:t>
            </w:r>
          </w:p>
        </w:tc>
      </w:tr>
      <w:tr w14:paraId="034A3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Align w:val="center"/>
          </w:tcPr>
          <w:p w14:paraId="480F9426">
            <w:pPr>
              <w:pStyle w:val="81"/>
              <w:spacing w:line="240" w:lineRule="auto"/>
              <w:ind w:firstLine="0" w:firstLineChars="0"/>
              <w:rPr>
                <w:rFonts w:ascii="方正仿宋_GBK" w:cs="方正仿宋_GBK"/>
                <w:bCs/>
                <w:color w:val="FF0000"/>
                <w:sz w:val="24"/>
                <w:u w:val="single"/>
                <w:shd w:val="clear" w:color="auto" w:fill="FFFFFF"/>
              </w:rPr>
            </w:pPr>
            <w:r>
              <w:rPr>
                <w:rFonts w:hint="eastAsia" w:ascii="方正仿宋_GBK" w:cs="方正仿宋_GBK"/>
                <w:bCs/>
                <w:color w:val="FF0000"/>
                <w:sz w:val="24"/>
                <w:u w:val="single"/>
                <w:shd w:val="clear" w:color="auto" w:fill="FFFFFF"/>
              </w:rPr>
              <w:t>氨氮</w:t>
            </w:r>
          </w:p>
        </w:tc>
        <w:tc>
          <w:tcPr>
            <w:tcW w:w="6708" w:type="dxa"/>
            <w:vAlign w:val="center"/>
          </w:tcPr>
          <w:p w14:paraId="75ED7926">
            <w:pPr>
              <w:pStyle w:val="81"/>
              <w:spacing w:line="240" w:lineRule="auto"/>
              <w:ind w:firstLine="0" w:firstLineChars="0"/>
              <w:jc w:val="left"/>
              <w:rPr>
                <w:rFonts w:ascii="方正仿宋_GBK" w:cs="方正仿宋_GBK"/>
                <w:bCs/>
                <w:color w:val="FF0000"/>
                <w:sz w:val="24"/>
                <w:u w:val="single"/>
                <w:shd w:val="clear" w:color="auto" w:fill="FFFFFF"/>
              </w:rPr>
            </w:pPr>
            <w:r>
              <w:rPr>
                <w:rFonts w:hint="eastAsia" w:ascii="方正仿宋_GBK" w:cs="方正仿宋_GBK"/>
                <w:bCs/>
                <w:color w:val="FF0000"/>
                <w:sz w:val="24"/>
                <w:u w:val="single"/>
                <w:shd w:val="clear" w:color="auto" w:fill="FFFFFF"/>
              </w:rPr>
              <w:t>化学氧化预处理：氯、高锰酸钾；深度处理：臭氧－生物活性炭</w:t>
            </w:r>
          </w:p>
        </w:tc>
      </w:tr>
      <w:tr w14:paraId="3EDEF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Align w:val="center"/>
          </w:tcPr>
          <w:p w14:paraId="3C8A6886">
            <w:pPr>
              <w:pStyle w:val="81"/>
              <w:spacing w:line="240" w:lineRule="auto"/>
              <w:ind w:firstLine="0" w:firstLineChars="0"/>
              <w:rPr>
                <w:rFonts w:ascii="方正仿宋_GBK" w:cs="方正仿宋_GBK"/>
                <w:bCs/>
                <w:color w:val="FF0000"/>
                <w:sz w:val="24"/>
                <w:u w:val="single"/>
                <w:shd w:val="clear" w:color="auto" w:fill="FFFFFF"/>
              </w:rPr>
            </w:pPr>
            <w:r>
              <w:rPr>
                <w:rFonts w:hint="eastAsia" w:ascii="方正仿宋_GBK" w:cs="方正仿宋_GBK"/>
                <w:bCs/>
                <w:color w:val="FF0000"/>
                <w:sz w:val="24"/>
                <w:u w:val="single"/>
                <w:shd w:val="clear" w:color="auto" w:fill="FFFFFF"/>
              </w:rPr>
              <w:t>铁、锰</w:t>
            </w:r>
          </w:p>
        </w:tc>
        <w:tc>
          <w:tcPr>
            <w:tcW w:w="6708" w:type="dxa"/>
            <w:vAlign w:val="center"/>
          </w:tcPr>
          <w:p w14:paraId="257B0250">
            <w:pPr>
              <w:pStyle w:val="81"/>
              <w:spacing w:line="240" w:lineRule="auto"/>
              <w:ind w:firstLine="0" w:firstLineChars="0"/>
              <w:jc w:val="left"/>
              <w:rPr>
                <w:rFonts w:ascii="方正仿宋_GBK" w:cs="方正仿宋_GBK"/>
                <w:bCs/>
                <w:color w:val="FF0000"/>
                <w:sz w:val="24"/>
                <w:u w:val="single"/>
                <w:shd w:val="clear" w:color="auto" w:fill="FFFFFF"/>
              </w:rPr>
            </w:pPr>
            <w:r>
              <w:rPr>
                <w:rFonts w:hint="eastAsia" w:ascii="方正仿宋_GBK" w:cs="方正仿宋_GBK"/>
                <w:bCs/>
                <w:color w:val="FF0000"/>
                <w:sz w:val="24"/>
                <w:u w:val="single"/>
                <w:shd w:val="clear" w:color="auto" w:fill="FFFFFF"/>
              </w:rPr>
              <w:t>锰砂；化学氧化预处理：氯、高锰酸钾；深度处理：臭氧－生物活性炭</w:t>
            </w:r>
          </w:p>
        </w:tc>
      </w:tr>
      <w:tr w14:paraId="637BA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Align w:val="center"/>
          </w:tcPr>
          <w:p w14:paraId="796FED64">
            <w:pPr>
              <w:pStyle w:val="81"/>
              <w:spacing w:line="240" w:lineRule="auto"/>
              <w:ind w:firstLine="0" w:firstLineChars="0"/>
              <w:rPr>
                <w:rFonts w:ascii="方正仿宋_GBK" w:cs="方正仿宋_GBK"/>
                <w:bCs/>
                <w:color w:val="FF0000"/>
                <w:sz w:val="24"/>
                <w:u w:val="single"/>
                <w:shd w:val="clear" w:color="auto" w:fill="FFFFFF"/>
              </w:rPr>
            </w:pPr>
            <w:r>
              <w:rPr>
                <w:rFonts w:hint="eastAsia" w:ascii="方正仿宋_GBK" w:cs="方正仿宋_GBK"/>
                <w:bCs/>
                <w:color w:val="FF0000"/>
                <w:sz w:val="24"/>
                <w:u w:val="single"/>
                <w:shd w:val="clear" w:color="auto" w:fill="FFFFFF"/>
              </w:rPr>
              <w:t>挥发性有机物</w:t>
            </w:r>
          </w:p>
        </w:tc>
        <w:tc>
          <w:tcPr>
            <w:tcW w:w="6708" w:type="dxa"/>
            <w:vAlign w:val="center"/>
          </w:tcPr>
          <w:p w14:paraId="515633FA">
            <w:pPr>
              <w:pStyle w:val="81"/>
              <w:spacing w:line="240" w:lineRule="auto"/>
              <w:ind w:firstLine="0" w:firstLineChars="0"/>
              <w:jc w:val="left"/>
              <w:rPr>
                <w:rFonts w:ascii="方正仿宋_GBK" w:cs="方正仿宋_GBK"/>
                <w:bCs/>
                <w:color w:val="FF0000"/>
                <w:sz w:val="24"/>
                <w:u w:val="single"/>
                <w:shd w:val="clear" w:color="auto" w:fill="FFFFFF"/>
              </w:rPr>
            </w:pPr>
            <w:r>
              <w:rPr>
                <w:rFonts w:hint="eastAsia" w:ascii="方正仿宋_GBK" w:cs="方正仿宋_GBK"/>
                <w:bCs/>
                <w:color w:val="FF0000"/>
                <w:sz w:val="24"/>
                <w:u w:val="single"/>
                <w:shd w:val="clear" w:color="auto" w:fill="FFFFFF"/>
              </w:rPr>
              <w:t>生物活性炭吸附</w:t>
            </w:r>
          </w:p>
        </w:tc>
      </w:tr>
      <w:tr w14:paraId="32DCA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Align w:val="center"/>
          </w:tcPr>
          <w:p w14:paraId="7152E97C">
            <w:pPr>
              <w:pStyle w:val="81"/>
              <w:spacing w:line="240" w:lineRule="auto"/>
              <w:ind w:firstLine="0" w:firstLineChars="0"/>
              <w:rPr>
                <w:rFonts w:ascii="方正仿宋_GBK" w:cs="方正仿宋_GBK"/>
                <w:bCs/>
                <w:color w:val="FF0000"/>
                <w:sz w:val="24"/>
                <w:u w:val="single"/>
                <w:shd w:val="clear" w:color="auto" w:fill="FFFFFF"/>
              </w:rPr>
            </w:pPr>
            <w:r>
              <w:rPr>
                <w:rFonts w:hint="eastAsia" w:ascii="方正仿宋_GBK" w:cs="方正仿宋_GBK"/>
                <w:bCs/>
                <w:color w:val="FF0000"/>
                <w:sz w:val="24"/>
                <w:u w:val="single"/>
                <w:shd w:val="clear" w:color="auto" w:fill="FFFFFF"/>
              </w:rPr>
              <w:t>三氯甲烷和</w:t>
            </w:r>
          </w:p>
          <w:p w14:paraId="251FEADE">
            <w:pPr>
              <w:pStyle w:val="81"/>
              <w:spacing w:line="240" w:lineRule="auto"/>
              <w:ind w:firstLine="0" w:firstLineChars="0"/>
              <w:rPr>
                <w:rFonts w:ascii="方正仿宋_GBK" w:cs="方正仿宋_GBK"/>
                <w:bCs/>
                <w:color w:val="FF0000"/>
                <w:sz w:val="24"/>
                <w:u w:val="single"/>
                <w:shd w:val="clear" w:color="auto" w:fill="FFFFFF"/>
              </w:rPr>
            </w:pPr>
            <w:r>
              <w:rPr>
                <w:rFonts w:hint="eastAsia" w:ascii="方正仿宋_GBK" w:cs="方正仿宋_GBK"/>
                <w:bCs/>
                <w:color w:val="FF0000"/>
                <w:sz w:val="24"/>
                <w:u w:val="single"/>
                <w:shd w:val="clear" w:color="auto" w:fill="FFFFFF"/>
              </w:rPr>
              <w:t>腐殖酸</w:t>
            </w:r>
          </w:p>
        </w:tc>
        <w:tc>
          <w:tcPr>
            <w:tcW w:w="6708" w:type="dxa"/>
            <w:vAlign w:val="center"/>
          </w:tcPr>
          <w:p w14:paraId="1E0B461C">
            <w:pPr>
              <w:pStyle w:val="81"/>
              <w:spacing w:line="240" w:lineRule="auto"/>
              <w:ind w:firstLine="0" w:firstLineChars="0"/>
              <w:jc w:val="left"/>
              <w:rPr>
                <w:rFonts w:ascii="方正仿宋_GBK" w:cs="方正仿宋_GBK"/>
                <w:bCs/>
                <w:color w:val="FF0000"/>
                <w:sz w:val="24"/>
                <w:u w:val="single"/>
                <w:shd w:val="clear" w:color="auto" w:fill="FFFFFF"/>
              </w:rPr>
            </w:pPr>
            <w:r>
              <w:rPr>
                <w:rFonts w:hint="eastAsia" w:ascii="方正仿宋_GBK" w:cs="方正仿宋_GBK"/>
                <w:bCs/>
                <w:color w:val="FF0000"/>
                <w:sz w:val="24"/>
                <w:u w:val="single"/>
                <w:shd w:val="clear" w:color="auto" w:fill="FFFFFF"/>
              </w:rPr>
              <w:t>前驱物的去除：强化混凝、粒状活性炭、生物活性炭；氯化副产物的去除：粒状活性炭</w:t>
            </w:r>
          </w:p>
        </w:tc>
      </w:tr>
      <w:tr w14:paraId="4F770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Align w:val="center"/>
          </w:tcPr>
          <w:p w14:paraId="50BBEB3D">
            <w:pPr>
              <w:pStyle w:val="81"/>
              <w:spacing w:line="240" w:lineRule="auto"/>
              <w:ind w:firstLine="0" w:firstLineChars="0"/>
              <w:rPr>
                <w:rFonts w:ascii="方正仿宋_GBK" w:cs="方正仿宋_GBK"/>
                <w:bCs/>
                <w:color w:val="FF0000"/>
                <w:sz w:val="24"/>
                <w:u w:val="single"/>
                <w:shd w:val="clear" w:color="auto" w:fill="FFFFFF"/>
              </w:rPr>
            </w:pPr>
            <w:r>
              <w:rPr>
                <w:rFonts w:hint="eastAsia" w:ascii="方正仿宋_GBK" w:cs="方正仿宋_GBK"/>
                <w:bCs/>
                <w:color w:val="FF0000"/>
                <w:sz w:val="24"/>
                <w:u w:val="single"/>
                <w:shd w:val="clear" w:color="auto" w:fill="FFFFFF"/>
              </w:rPr>
              <w:t>有机化合物</w:t>
            </w:r>
          </w:p>
        </w:tc>
        <w:tc>
          <w:tcPr>
            <w:tcW w:w="6708" w:type="dxa"/>
            <w:vAlign w:val="center"/>
          </w:tcPr>
          <w:p w14:paraId="6A7B804B">
            <w:pPr>
              <w:pStyle w:val="81"/>
              <w:spacing w:line="240" w:lineRule="auto"/>
              <w:ind w:firstLine="0" w:firstLineChars="0"/>
              <w:jc w:val="left"/>
              <w:rPr>
                <w:rFonts w:ascii="方正仿宋_GBK" w:cs="方正仿宋_GBK"/>
                <w:bCs/>
                <w:color w:val="FF0000"/>
                <w:sz w:val="24"/>
                <w:u w:val="single"/>
                <w:shd w:val="clear" w:color="auto" w:fill="FFFFFF"/>
              </w:rPr>
            </w:pPr>
            <w:r>
              <w:rPr>
                <w:rFonts w:hint="eastAsia" w:ascii="方正仿宋_GBK" w:cs="方正仿宋_GBK"/>
                <w:bCs/>
                <w:color w:val="FF0000"/>
                <w:sz w:val="24"/>
                <w:u w:val="single"/>
                <w:shd w:val="clear" w:color="auto" w:fill="FFFFFF"/>
              </w:rPr>
              <w:t>生物活性炭、膜处理</w:t>
            </w:r>
          </w:p>
        </w:tc>
      </w:tr>
      <w:tr w14:paraId="7196B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Align w:val="center"/>
          </w:tcPr>
          <w:p w14:paraId="3792C543">
            <w:pPr>
              <w:pStyle w:val="81"/>
              <w:spacing w:line="240" w:lineRule="auto"/>
              <w:ind w:firstLine="0" w:firstLineChars="0"/>
              <w:rPr>
                <w:rFonts w:ascii="方正仿宋_GBK" w:cs="方正仿宋_GBK"/>
                <w:bCs/>
                <w:color w:val="FF0000"/>
                <w:sz w:val="24"/>
                <w:u w:val="single"/>
                <w:shd w:val="clear" w:color="auto" w:fill="FFFFFF"/>
              </w:rPr>
            </w:pPr>
            <w:r>
              <w:rPr>
                <w:rFonts w:hint="eastAsia" w:ascii="方正仿宋_GBK" w:cs="方正仿宋_GBK"/>
                <w:bCs/>
                <w:color w:val="FF0000"/>
                <w:sz w:val="24"/>
                <w:u w:val="single"/>
                <w:shd w:val="clear" w:color="auto" w:fill="FFFFFF"/>
              </w:rPr>
              <w:t>细菌和病毒</w:t>
            </w:r>
          </w:p>
        </w:tc>
        <w:tc>
          <w:tcPr>
            <w:tcW w:w="6708" w:type="dxa"/>
            <w:vAlign w:val="center"/>
          </w:tcPr>
          <w:p w14:paraId="5834D3B1">
            <w:pPr>
              <w:pStyle w:val="81"/>
              <w:spacing w:line="240" w:lineRule="auto"/>
              <w:ind w:firstLine="0" w:firstLineChars="0"/>
              <w:jc w:val="left"/>
              <w:rPr>
                <w:rFonts w:ascii="方正仿宋_GBK" w:cs="方正仿宋_GBK"/>
                <w:bCs/>
                <w:color w:val="FF0000"/>
                <w:spacing w:val="-10"/>
                <w:sz w:val="24"/>
                <w:u w:val="single"/>
                <w:shd w:val="clear" w:color="auto" w:fill="FFFFFF"/>
              </w:rPr>
            </w:pPr>
            <w:r>
              <w:rPr>
                <w:rFonts w:hint="eastAsia" w:ascii="方正仿宋_GBK" w:cs="方正仿宋_GBK"/>
                <w:bCs/>
                <w:color w:val="FF0000"/>
                <w:spacing w:val="-10"/>
                <w:sz w:val="24"/>
                <w:u w:val="single"/>
                <w:shd w:val="clear" w:color="auto" w:fill="FFFFFF"/>
              </w:rPr>
              <w:t>过滤（部分去除）；消毒处理：氯、二氧化氯、臭氧、膜处理、紫外消毒</w:t>
            </w:r>
          </w:p>
        </w:tc>
      </w:tr>
      <w:tr w14:paraId="66604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Align w:val="center"/>
          </w:tcPr>
          <w:p w14:paraId="7370AA94">
            <w:pPr>
              <w:pStyle w:val="81"/>
              <w:spacing w:line="240" w:lineRule="auto"/>
              <w:ind w:firstLine="0" w:firstLineChars="0"/>
              <w:rPr>
                <w:rFonts w:ascii="方正仿宋_GBK" w:cs="方正仿宋_GBK"/>
                <w:bCs/>
                <w:color w:val="FF0000"/>
                <w:sz w:val="24"/>
                <w:u w:val="single"/>
                <w:shd w:val="clear" w:color="auto" w:fill="FFFFFF"/>
              </w:rPr>
            </w:pPr>
            <w:r>
              <w:rPr>
                <w:rFonts w:hint="eastAsia" w:ascii="方正仿宋_GBK" w:cs="方正仿宋_GBK"/>
                <w:bCs/>
                <w:color w:val="FF0000"/>
                <w:sz w:val="24"/>
                <w:u w:val="single"/>
                <w:shd w:val="clear" w:color="auto" w:fill="FFFFFF"/>
              </w:rPr>
              <w:t>汞、铬等部分重金属（应急状态）</w:t>
            </w:r>
          </w:p>
        </w:tc>
        <w:tc>
          <w:tcPr>
            <w:tcW w:w="6708" w:type="dxa"/>
            <w:vAlign w:val="center"/>
          </w:tcPr>
          <w:p w14:paraId="71CEDC54">
            <w:pPr>
              <w:pStyle w:val="81"/>
              <w:spacing w:line="240" w:lineRule="auto"/>
              <w:ind w:firstLine="0" w:firstLineChars="0"/>
              <w:jc w:val="left"/>
              <w:rPr>
                <w:rFonts w:ascii="方正仿宋_GBK" w:cs="方正仿宋_GBK"/>
                <w:bCs/>
                <w:color w:val="FF0000"/>
                <w:sz w:val="24"/>
                <w:u w:val="single"/>
                <w:shd w:val="clear" w:color="auto" w:fill="FFFFFF"/>
              </w:rPr>
            </w:pPr>
            <w:r>
              <w:rPr>
                <w:rFonts w:hint="eastAsia" w:ascii="方正仿宋_GBK" w:cs="方正仿宋_GBK"/>
                <w:bCs/>
                <w:color w:val="FF0000"/>
                <w:sz w:val="24"/>
                <w:u w:val="single"/>
                <w:shd w:val="clear" w:color="auto" w:fill="FFFFFF"/>
              </w:rPr>
              <w:t>氧化法：高锰酸钾；生物活性炭吸附（部分去除）</w:t>
            </w:r>
          </w:p>
        </w:tc>
      </w:tr>
      <w:tr w14:paraId="150BE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Align w:val="center"/>
          </w:tcPr>
          <w:p w14:paraId="4C1ED89E">
            <w:pPr>
              <w:pStyle w:val="81"/>
              <w:spacing w:line="240" w:lineRule="auto"/>
              <w:ind w:firstLine="0" w:firstLineChars="0"/>
              <w:rPr>
                <w:rFonts w:ascii="方正仿宋_GBK" w:cs="方正仿宋_GBK"/>
                <w:bCs/>
                <w:color w:val="FF0000"/>
                <w:sz w:val="24"/>
                <w:u w:val="single"/>
                <w:shd w:val="clear" w:color="auto" w:fill="FFFFFF"/>
              </w:rPr>
            </w:pPr>
            <w:r>
              <w:rPr>
                <w:rFonts w:hint="eastAsia" w:ascii="方正仿宋_GBK" w:cs="方正仿宋_GBK"/>
                <w:bCs/>
                <w:color w:val="FF0000"/>
                <w:sz w:val="24"/>
                <w:u w:val="single"/>
                <w:shd w:val="clear" w:color="auto" w:fill="FFFFFF"/>
              </w:rPr>
              <w:t>藻类及藻毒素</w:t>
            </w:r>
          </w:p>
        </w:tc>
        <w:tc>
          <w:tcPr>
            <w:tcW w:w="6708" w:type="dxa"/>
            <w:vAlign w:val="center"/>
          </w:tcPr>
          <w:p w14:paraId="45F467A9">
            <w:pPr>
              <w:pStyle w:val="81"/>
              <w:spacing w:line="240" w:lineRule="auto"/>
              <w:ind w:firstLine="0" w:firstLineChars="0"/>
              <w:jc w:val="left"/>
              <w:rPr>
                <w:rFonts w:ascii="方正仿宋_GBK" w:cs="方正仿宋_GBK"/>
                <w:bCs/>
                <w:color w:val="FF0000"/>
                <w:sz w:val="24"/>
                <w:u w:val="single"/>
                <w:shd w:val="clear" w:color="auto" w:fill="FFFFFF"/>
              </w:rPr>
            </w:pPr>
            <w:r>
              <w:rPr>
                <w:rFonts w:hint="eastAsia" w:ascii="方正仿宋_GBK" w:cs="方正仿宋_GBK"/>
                <w:bCs/>
                <w:color w:val="FF0000"/>
                <w:sz w:val="24"/>
                <w:u w:val="single"/>
                <w:shd w:val="clear" w:color="auto" w:fill="FFFFFF"/>
              </w:rPr>
              <w:t>化学氧化预处理：除藻剂法、高锰酸钾、氯；微滤法；气浮法；臭氧氧化法</w:t>
            </w:r>
          </w:p>
        </w:tc>
      </w:tr>
    </w:tbl>
    <w:p w14:paraId="2F05823C">
      <w:pPr>
        <w:pStyle w:val="4"/>
        <w:numPr>
          <w:ilvl w:val="2"/>
          <w:numId w:val="2"/>
        </w:numPr>
        <w:rPr>
          <w:color w:val="FF0000"/>
          <w:u w:val="single"/>
        </w:rPr>
      </w:pPr>
      <w:bookmarkStart w:id="46" w:name="_Toc11413"/>
      <w:r>
        <w:rPr>
          <w:rFonts w:hint="eastAsia"/>
          <w:color w:val="FF0000"/>
          <w:u w:val="single"/>
        </w:rPr>
        <w:t>现场处置</w:t>
      </w:r>
      <w:bookmarkEnd w:id="46"/>
    </w:p>
    <w:p w14:paraId="438712E7">
      <w:pPr>
        <w:ind w:firstLine="640"/>
        <w:rPr>
          <w:color w:val="FF0000"/>
          <w:u w:val="single"/>
        </w:rPr>
      </w:pPr>
      <w:r>
        <w:rPr>
          <w:rFonts w:hint="eastAsia"/>
          <w:color w:val="FF0000"/>
          <w:u w:val="single"/>
        </w:rPr>
        <w:t>现场应急指挥部应根据污染特征，结合专家</w:t>
      </w:r>
      <w:r>
        <w:rPr>
          <w:rFonts w:hint="eastAsia"/>
          <w:color w:val="FF0000"/>
          <w:u w:val="single"/>
          <w:lang w:val="en-US" w:eastAsia="zh-CN"/>
        </w:rPr>
        <w:t>组</w:t>
      </w:r>
      <w:r>
        <w:rPr>
          <w:rFonts w:hint="eastAsia"/>
          <w:color w:val="FF0000"/>
          <w:u w:val="single"/>
        </w:rPr>
        <w:t>意见，尽快制定现场处置方案，针对以下情景建议开展如下处置措施：</w:t>
      </w:r>
    </w:p>
    <w:p w14:paraId="1F2C493D">
      <w:pPr>
        <w:ind w:firstLine="640"/>
        <w:rPr>
          <w:color w:val="FF0000"/>
          <w:u w:val="single"/>
        </w:rPr>
      </w:pPr>
      <w:r>
        <w:rPr>
          <w:rFonts w:hint="eastAsia"/>
          <w:color w:val="FF0000"/>
          <w:u w:val="single"/>
        </w:rPr>
        <w:t>（1）现场应急指挥部组织应急专家组</w:t>
      </w:r>
      <w:r>
        <w:rPr>
          <w:rFonts w:hint="eastAsia"/>
          <w:color w:val="FF0000"/>
          <w:u w:val="single"/>
          <w:lang w:eastAsia="zh-CN"/>
        </w:rPr>
        <w:t>制定</w:t>
      </w:r>
      <w:r>
        <w:rPr>
          <w:rFonts w:hint="eastAsia"/>
          <w:color w:val="FF0000"/>
          <w:u w:val="single"/>
        </w:rPr>
        <w:t>综合治污方案，采取拦截、导流、疏浚等形式防止水体污染扩大；采取隔离、吸附、打捞、氧化还原、中和、去污洗消、临时收贮、转移异地处置、临时改造污染处置工艺或临时建设污染处置工程等方法处置污染物。必要时，要求其他排污单位停产、限产、限排，减轻环境污染负荷；</w:t>
      </w:r>
    </w:p>
    <w:p w14:paraId="747BA1B8">
      <w:pPr>
        <w:ind w:firstLine="640"/>
        <w:rPr>
          <w:color w:val="FF0000"/>
          <w:u w:val="single"/>
        </w:rPr>
      </w:pPr>
      <w:r>
        <w:rPr>
          <w:rFonts w:hint="eastAsia"/>
          <w:color w:val="FF0000"/>
          <w:u w:val="single"/>
        </w:rPr>
        <w:t>（2）采用监测和模拟等手段追踪污染物扩散途径和范围；</w:t>
      </w:r>
    </w:p>
    <w:p w14:paraId="76C1471E">
      <w:pPr>
        <w:ind w:firstLine="640"/>
        <w:rPr>
          <w:color w:val="FF0000"/>
          <w:u w:val="single"/>
        </w:rPr>
      </w:pPr>
      <w:r>
        <w:rPr>
          <w:rFonts w:hint="eastAsia"/>
          <w:color w:val="FF0000"/>
          <w:u w:val="single"/>
        </w:rPr>
        <w:t>（3）立即组织乐山市峨眉山生态环境局与相关部门开展监测、调查工作，查明涉事单位，确定污染物种类和污染范围，随时掌握并报告事态进展；</w:t>
      </w:r>
    </w:p>
    <w:p w14:paraId="7A872154">
      <w:pPr>
        <w:ind w:firstLine="640"/>
        <w:rPr>
          <w:color w:val="FF0000"/>
          <w:u w:val="single"/>
        </w:rPr>
      </w:pPr>
      <w:r>
        <w:rPr>
          <w:rFonts w:hint="eastAsia"/>
          <w:color w:val="FF0000"/>
          <w:u w:val="single"/>
        </w:rPr>
        <w:t>（4）指令应急救援队伍进入应急状态，对于陆地污染物，采用强行止漏法、疏散法和窒息吸附法控制泄漏源，控制泄漏源后可采取围堤堵截或挖掘沟槽收容泄漏物，覆盖减少泄漏物蒸发，稀释，吸附、中和、固化泄漏物，并最终进行污染物收集，防止污染蔓延扩散；</w:t>
      </w:r>
    </w:p>
    <w:p w14:paraId="4E4B0B00">
      <w:pPr>
        <w:ind w:firstLine="640"/>
        <w:rPr>
          <w:color w:val="FF0000"/>
          <w:u w:val="single"/>
        </w:rPr>
      </w:pPr>
      <w:r>
        <w:rPr>
          <w:rFonts w:hint="eastAsia"/>
          <w:color w:val="FF0000"/>
          <w:u w:val="single"/>
        </w:rPr>
        <w:t>（5）加大饮用水水源地水质监测力度；</w:t>
      </w:r>
    </w:p>
    <w:p w14:paraId="4C2325A1">
      <w:pPr>
        <w:ind w:firstLine="640"/>
        <w:rPr>
          <w:color w:val="FF0000"/>
          <w:u w:val="single"/>
        </w:rPr>
      </w:pPr>
      <w:r>
        <w:rPr>
          <w:rFonts w:hint="eastAsia"/>
          <w:color w:val="FF0000"/>
          <w:u w:val="single"/>
        </w:rPr>
        <w:t>（6）水厂立即采取停止取水、减压供水、改路供水、加大投药量深度处理，启用备用水源，并加强事故泄漏污染物监测，分级启动应急供水预案。无备用水源地区，使用应急输供水车等设施保障居民用水。</w:t>
      </w:r>
    </w:p>
    <w:p w14:paraId="0AE35D26">
      <w:pPr>
        <w:pStyle w:val="4"/>
        <w:numPr>
          <w:ilvl w:val="2"/>
          <w:numId w:val="2"/>
        </w:numPr>
        <w:rPr>
          <w:color w:val="FF0000"/>
          <w:u w:val="single"/>
        </w:rPr>
      </w:pPr>
      <w:bookmarkStart w:id="47" w:name="_Toc25027"/>
      <w:r>
        <w:rPr>
          <w:rFonts w:hint="eastAsia"/>
          <w:color w:val="FF0000"/>
          <w:u w:val="single"/>
        </w:rPr>
        <w:t>供水安全保障</w:t>
      </w:r>
      <w:bookmarkEnd w:id="47"/>
    </w:p>
    <w:p w14:paraId="517A6720">
      <w:pPr>
        <w:ind w:firstLine="640"/>
        <w:rPr>
          <w:color w:val="FF0000"/>
          <w:u w:val="single"/>
        </w:rPr>
      </w:pPr>
      <w:r>
        <w:rPr>
          <w:rFonts w:hint="eastAsia"/>
          <w:color w:val="FF0000"/>
          <w:u w:val="single"/>
        </w:rPr>
        <w:t>当出现水源地突发环境事件，应急供水保障组应根据污染物的种类、浓度、可能影响取水口的时间，及时采取深度处理、低压供水或启动备用水源等应急措施，并加强污染物监测，待水质满足取水要求时恢复取水和供水。无备用水源的，应使用应急供水车等设施保障居民用水。</w:t>
      </w:r>
    </w:p>
    <w:p w14:paraId="59CB2F14">
      <w:pPr>
        <w:pStyle w:val="3"/>
        <w:numPr>
          <w:ilvl w:val="1"/>
          <w:numId w:val="2"/>
        </w:numPr>
        <w:rPr>
          <w:color w:val="FF0000"/>
          <w:u w:val="single"/>
        </w:rPr>
      </w:pPr>
      <w:bookmarkStart w:id="48" w:name="_Toc8469"/>
      <w:r>
        <w:rPr>
          <w:rFonts w:hint="eastAsia"/>
          <w:color w:val="FF0000"/>
          <w:u w:val="single"/>
        </w:rPr>
        <w:t>物资调集及应急设施启用</w:t>
      </w:r>
      <w:bookmarkEnd w:id="48"/>
    </w:p>
    <w:p w14:paraId="506E510D">
      <w:pPr>
        <w:ind w:firstLine="640"/>
        <w:rPr>
          <w:color w:val="FF0000"/>
          <w:u w:val="single"/>
        </w:rPr>
      </w:pPr>
      <w:r>
        <w:rPr>
          <w:rFonts w:hint="eastAsia"/>
          <w:color w:val="FF0000"/>
          <w:u w:val="single"/>
        </w:rPr>
        <w:t>根据应急物资调查结果，列明应急物资、装备和设施清单，以及调集、运输和使用方式。清单应包括物资、装备和设施的种类、名称、数量、存放位置、规格、性能、用途和用法等信息，还应明确应急物资、装备、设施的定期检查和维护要求。</w:t>
      </w:r>
    </w:p>
    <w:p w14:paraId="07A105D3">
      <w:pPr>
        <w:ind w:firstLine="640"/>
        <w:rPr>
          <w:color w:val="FF0000"/>
          <w:u w:val="single"/>
        </w:rPr>
      </w:pPr>
      <w:r>
        <w:rPr>
          <w:rFonts w:hint="eastAsia"/>
          <w:color w:val="FF0000"/>
          <w:u w:val="single"/>
        </w:rPr>
        <w:t>根据现有物资储备情况，还需储备完善的应急物资、装备和设施包括以下内容：</w:t>
      </w:r>
    </w:p>
    <w:p w14:paraId="100F2DE0">
      <w:pPr>
        <w:ind w:firstLine="640"/>
        <w:rPr>
          <w:color w:val="FF0000"/>
          <w:u w:val="single"/>
        </w:rPr>
      </w:pPr>
      <w:r>
        <w:rPr>
          <w:rFonts w:hint="eastAsia"/>
          <w:color w:val="FF0000"/>
          <w:u w:val="single"/>
        </w:rPr>
        <w:t>（1）对水体内污染物进行打捞和拦截的物资、装备和设施，如救援打捞设备、油毡、围油栏、筑坝材料、溢出控制装备等。</w:t>
      </w:r>
    </w:p>
    <w:p w14:paraId="4BA6A05A">
      <w:pPr>
        <w:ind w:firstLine="640"/>
        <w:rPr>
          <w:color w:val="FF0000"/>
          <w:u w:val="single"/>
        </w:rPr>
      </w:pPr>
      <w:r>
        <w:rPr>
          <w:rFonts w:hint="eastAsia"/>
          <w:color w:val="FF0000"/>
          <w:u w:val="single"/>
        </w:rPr>
        <w:t>（2）控制和消除污染物的物资、装备和设施，如中和剂、灭火剂、解毒剂、吸收剂等。</w:t>
      </w:r>
    </w:p>
    <w:p w14:paraId="1DAD4B2E">
      <w:pPr>
        <w:ind w:firstLine="640"/>
        <w:rPr>
          <w:color w:val="FF0000"/>
          <w:u w:val="single"/>
        </w:rPr>
      </w:pPr>
      <w:r>
        <w:rPr>
          <w:rFonts w:hint="eastAsia"/>
          <w:color w:val="FF0000"/>
          <w:u w:val="single"/>
        </w:rPr>
        <w:t>（3）移除和拦截移动源的装备和设施，如临时围堰、导流槽、应急池等。</w:t>
      </w:r>
    </w:p>
    <w:p w14:paraId="47CB8ED6">
      <w:pPr>
        <w:ind w:firstLine="640"/>
        <w:rPr>
          <w:color w:val="FF0000"/>
          <w:u w:val="single"/>
        </w:rPr>
      </w:pPr>
      <w:r>
        <w:rPr>
          <w:rFonts w:hint="eastAsia"/>
          <w:color w:val="FF0000"/>
          <w:u w:val="single"/>
        </w:rPr>
        <w:t>（4）雨水口垃圾清运和拦截的装备和设施，如格栅、清运车、临时设置的导流槽等。</w:t>
      </w:r>
    </w:p>
    <w:p w14:paraId="1F4B97BF">
      <w:pPr>
        <w:ind w:firstLine="640"/>
        <w:rPr>
          <w:color w:val="FF0000"/>
          <w:u w:val="single"/>
        </w:rPr>
      </w:pPr>
      <w:r>
        <w:rPr>
          <w:rFonts w:hint="eastAsia"/>
          <w:color w:val="FF0000"/>
          <w:u w:val="single"/>
        </w:rPr>
        <w:t>（5）针对水华灾害，消除有毒有害物质产生条件、清除藻类的物资、装备和设施，如增氧机、除草船等。</w:t>
      </w:r>
    </w:p>
    <w:p w14:paraId="5F09F23D">
      <w:pPr>
        <w:ind w:firstLine="640"/>
        <w:rPr>
          <w:color w:val="FF0000"/>
          <w:u w:val="single"/>
        </w:rPr>
      </w:pPr>
      <w:r>
        <w:rPr>
          <w:rFonts w:hint="eastAsia"/>
          <w:color w:val="FF0000"/>
          <w:u w:val="single"/>
        </w:rPr>
        <w:t>（6）对污染物进行拦截、导流、分流及降解的应急工程设施，如拦截坝、节制闸、导流渠、分流沟、前置库等。</w:t>
      </w:r>
    </w:p>
    <w:p w14:paraId="0F63ECB7">
      <w:pPr>
        <w:pStyle w:val="3"/>
        <w:numPr>
          <w:ilvl w:val="1"/>
          <w:numId w:val="2"/>
        </w:numPr>
        <w:rPr>
          <w:color w:val="FF0000"/>
          <w:u w:val="single"/>
        </w:rPr>
      </w:pPr>
      <w:bookmarkStart w:id="49" w:name="_Toc14649"/>
      <w:r>
        <w:rPr>
          <w:rFonts w:hint="eastAsia"/>
          <w:color w:val="FF0000"/>
          <w:u w:val="single"/>
        </w:rPr>
        <w:t>舆情监测与信息发布</w:t>
      </w:r>
      <w:bookmarkEnd w:id="49"/>
    </w:p>
    <w:p w14:paraId="79C496D9">
      <w:pPr>
        <w:ind w:firstLine="640"/>
        <w:rPr>
          <w:color w:val="FF0000"/>
          <w:u w:val="single"/>
        </w:rPr>
      </w:pPr>
      <w:r>
        <w:rPr>
          <w:rFonts w:hint="eastAsia"/>
          <w:color w:val="FF0000"/>
          <w:u w:val="single"/>
        </w:rPr>
        <w:t>由启动响应的政府发布、发新闻稿、接受记者采访、举行新闻发布会、组织专家解读等方式，借助电视、广播、报纸、互联网等多种途径，主动、及时、准确、客观地向社会发布水源地突发环境事件和应对工作信息，回应社会关切，澄清不实信息，正确引导社会舆论。现场应急指挥部在突发环境事件发生后，应第一时间向社会发布信息，并针对舆情及时发布事件原因、影响区域、已采取的措施及成效、公众应注意的防范措施、热线电话等。</w:t>
      </w:r>
    </w:p>
    <w:p w14:paraId="3C76B606">
      <w:pPr>
        <w:pStyle w:val="3"/>
        <w:numPr>
          <w:ilvl w:val="1"/>
          <w:numId w:val="2"/>
        </w:numPr>
      </w:pPr>
      <w:bookmarkStart w:id="50" w:name="_Toc22130"/>
      <w:r>
        <w:rPr>
          <w:rFonts w:hint="eastAsia"/>
        </w:rPr>
        <w:t>响应终止</w:t>
      </w:r>
      <w:bookmarkEnd w:id="50"/>
    </w:p>
    <w:p w14:paraId="20396643">
      <w:pPr>
        <w:ind w:firstLine="640"/>
      </w:pPr>
      <w:r>
        <w:rPr>
          <w:rFonts w:hint="eastAsia"/>
        </w:rPr>
        <w:t>当事件条件已经排除、污染物质已降至规定限值以内、所造成的危害基本消除时，由启动响应的政府终止应急响应。符合下列情形之一的，可终止应急响应。</w:t>
      </w:r>
    </w:p>
    <w:p w14:paraId="71618CA6">
      <w:pPr>
        <w:ind w:firstLine="640"/>
      </w:pPr>
      <w:r>
        <w:rPr>
          <w:rFonts w:hint="eastAsia"/>
        </w:rPr>
        <w:t>（1）进入水源保护区陆域范围的污染物已成功围堵，且清运至水源保护区外，未向水域扩散时；</w:t>
      </w:r>
    </w:p>
    <w:p w14:paraId="3F60ADFD">
      <w:pPr>
        <w:ind w:firstLine="640"/>
      </w:pPr>
      <w:r>
        <w:rPr>
          <w:rFonts w:hint="eastAsia"/>
        </w:rPr>
        <w:t>（2）进入水源保护区水域范围的污染团已成功拦截或导流至水源保护区外，没有向取水口扩散的风险，且水质监测结果稳定达标；</w:t>
      </w:r>
    </w:p>
    <w:p w14:paraId="72E63067">
      <w:pPr>
        <w:ind w:firstLine="640"/>
      </w:pPr>
      <w:r>
        <w:rPr>
          <w:rFonts w:hint="eastAsia"/>
        </w:rPr>
        <w:t>（3）水质监测结果尚未稳定达标，但根据应急专家组建议可恢复正常取水时。</w:t>
      </w:r>
    </w:p>
    <w:p w14:paraId="34FD762E">
      <w:pPr>
        <w:pStyle w:val="42"/>
        <w:ind w:left="640" w:firstLine="480"/>
        <w:sectPr>
          <w:footerReference r:id="rId15"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p w14:paraId="5DC0E295">
      <w:pPr>
        <w:pStyle w:val="2"/>
        <w:numPr>
          <w:ilvl w:val="0"/>
          <w:numId w:val="2"/>
        </w:numPr>
      </w:pPr>
      <w:bookmarkStart w:id="51" w:name="_Toc22025"/>
      <w:r>
        <w:rPr>
          <w:rFonts w:hint="eastAsia"/>
        </w:rPr>
        <w:t>后期工作</w:t>
      </w:r>
      <w:bookmarkEnd w:id="51"/>
    </w:p>
    <w:p w14:paraId="60970B58">
      <w:pPr>
        <w:pStyle w:val="3"/>
        <w:numPr>
          <w:ilvl w:val="1"/>
          <w:numId w:val="2"/>
        </w:numPr>
      </w:pPr>
      <w:bookmarkStart w:id="52" w:name="_Toc30955"/>
      <w:r>
        <w:rPr>
          <w:rFonts w:hint="eastAsia"/>
        </w:rPr>
        <w:t>后期防控</w:t>
      </w:r>
      <w:bookmarkEnd w:id="52"/>
    </w:p>
    <w:p w14:paraId="3FCA7C1E">
      <w:pPr>
        <w:ind w:firstLine="640"/>
      </w:pPr>
      <w:r>
        <w:rPr>
          <w:rFonts w:hint="eastAsia"/>
        </w:rPr>
        <w:t>响应终止后，应急综合组对造成水源地突发环境事件的环境风险物质或污染物进行妥善处置，保证环境风险物质或污染物不会造成二次污染，包括对泄漏的油品、化学品等有害物质进行回收；事故场地及漫延区域的污染物清除完成后，对土壤或水生态系统进行修复；部分污染物导流到水源地下游或其他区域，对区域的污染物进行清除等。</w:t>
      </w:r>
    </w:p>
    <w:p w14:paraId="5A180CBD">
      <w:pPr>
        <w:ind w:firstLine="640"/>
      </w:pPr>
      <w:r>
        <w:rPr>
          <w:rFonts w:hint="eastAsia"/>
        </w:rPr>
        <w:t>应急监测组还应根据突发环境事件的特点和污染物的污染范围定期采取监测措施，供水单位严格监视取水口的水样指标，严格监管突发环境事件后期污染防控措施，切实落实到各责任部门、涉事企业单位及个人，如针对泄漏的油品、化学品进行回收；进行后期污染监测和治理，消除投放药剂的残留毒性和后期效应，防止次生突发环境事件。</w:t>
      </w:r>
    </w:p>
    <w:p w14:paraId="2A4E13F1">
      <w:pPr>
        <w:ind w:firstLine="640"/>
      </w:pPr>
      <w:r>
        <w:rPr>
          <w:rFonts w:hint="eastAsia"/>
          <w:lang w:val="en-US" w:eastAsia="zh-CN"/>
        </w:rPr>
        <w:t>各乡镇</w:t>
      </w:r>
      <w:r>
        <w:rPr>
          <w:rFonts w:hint="eastAsia"/>
        </w:rPr>
        <w:t>政府组织后期污染治理；应急处置组进行消除投放药剂的残留毒性和后期效应，防止次生突发环境事件。</w:t>
      </w:r>
    </w:p>
    <w:p w14:paraId="38ECFACA">
      <w:pPr>
        <w:pStyle w:val="3"/>
        <w:numPr>
          <w:ilvl w:val="1"/>
          <w:numId w:val="2"/>
        </w:numPr>
      </w:pPr>
      <w:bookmarkStart w:id="53" w:name="_Toc29954"/>
      <w:r>
        <w:rPr>
          <w:rFonts w:hint="eastAsia"/>
        </w:rPr>
        <w:t>事件调查</w:t>
      </w:r>
      <w:bookmarkEnd w:id="53"/>
    </w:p>
    <w:p w14:paraId="7E7DD4D2">
      <w:pPr>
        <w:ind w:firstLine="640"/>
      </w:pPr>
      <w:r>
        <w:rPr>
          <w:rFonts w:hint="eastAsia"/>
        </w:rPr>
        <w:t>根据事件调查的有关规定，一般或较大环境事件应由市政府指定部门牵头，有关部门配合，组织开展事件调查，查明事件原因和性质，提出整改防范措施和处理建议。相关单位或企业应积极整改，并形成整改反馈报告。</w:t>
      </w:r>
    </w:p>
    <w:p w14:paraId="23AA70E4">
      <w:pPr>
        <w:ind w:firstLine="640"/>
      </w:pPr>
      <w:r>
        <w:rPr>
          <w:rFonts w:hint="eastAsia"/>
        </w:rPr>
        <w:t>重大或特别重大事件由上级人民政府或上级有关部门组织调查，市政府有关部门配合。</w:t>
      </w:r>
    </w:p>
    <w:p w14:paraId="4CECFD3E">
      <w:pPr>
        <w:pStyle w:val="3"/>
        <w:numPr>
          <w:ilvl w:val="1"/>
          <w:numId w:val="2"/>
        </w:numPr>
      </w:pPr>
      <w:bookmarkStart w:id="54" w:name="_Toc13689"/>
      <w:r>
        <w:rPr>
          <w:rFonts w:hint="eastAsia"/>
        </w:rPr>
        <w:t>损害评估</w:t>
      </w:r>
      <w:bookmarkEnd w:id="54"/>
    </w:p>
    <w:p w14:paraId="34512BF5">
      <w:pPr>
        <w:ind w:firstLine="640"/>
      </w:pPr>
      <w:r>
        <w:rPr>
          <w:rFonts w:hint="eastAsia"/>
        </w:rPr>
        <w:t>峨眉山市人民政府应明确和公布负责损害评估的部门，或委托第三方评估机构进行事件损害评估，公布损害评估的方式和办法，确定损害范围，通过经济损失、影响人数、生态环境破坏程度、导致水源取水中断天数等定量指标来评价损害大小，形成损害评估报告，报</w:t>
      </w:r>
      <w:r>
        <w:rPr>
          <w:rFonts w:hint="eastAsia"/>
          <w:lang w:eastAsia="zh-CN"/>
        </w:rPr>
        <w:t>峨眉山市集中式饮用水水源地</w:t>
      </w:r>
      <w:r>
        <w:rPr>
          <w:rFonts w:hint="eastAsia"/>
        </w:rPr>
        <w:t>突发环境事件应急指挥部备案。</w:t>
      </w:r>
    </w:p>
    <w:p w14:paraId="2559D377">
      <w:pPr>
        <w:ind w:firstLine="640"/>
        <w:rPr>
          <w:rFonts w:eastAsia="仿宋"/>
        </w:rPr>
      </w:pPr>
      <w:r>
        <w:rPr>
          <w:rFonts w:hint="eastAsia"/>
        </w:rPr>
        <w:t>应急终止后，应急指挥部办公室组织相关部门根据事件现场各应急工作组的事件调查报告，对事件发生的起因、经过引发的结果以及应急处置工作进行全面客观的评估，并在15天内将评估报告报送市政府办公室。</w:t>
      </w:r>
    </w:p>
    <w:p w14:paraId="68CB681B">
      <w:pPr>
        <w:pStyle w:val="3"/>
        <w:numPr>
          <w:ilvl w:val="1"/>
          <w:numId w:val="2"/>
        </w:numPr>
      </w:pPr>
      <w:bookmarkStart w:id="55" w:name="_Toc27920"/>
      <w:r>
        <w:rPr>
          <w:rFonts w:hint="eastAsia"/>
        </w:rPr>
        <w:t>善后处置</w:t>
      </w:r>
      <w:bookmarkEnd w:id="55"/>
    </w:p>
    <w:p w14:paraId="7914F1C3">
      <w:pPr>
        <w:pStyle w:val="4"/>
        <w:numPr>
          <w:ilvl w:val="2"/>
          <w:numId w:val="2"/>
        </w:numPr>
        <w:rPr>
          <w:rFonts w:hint="eastAsia" w:ascii="Times New Roman" w:hAnsi="Times New Roman" w:cs="Times New Roman"/>
        </w:rPr>
      </w:pPr>
      <w:bookmarkStart w:id="56" w:name="_Toc21959"/>
      <w:r>
        <w:rPr>
          <w:rFonts w:hint="eastAsia" w:ascii="Times New Roman" w:hAnsi="Times New Roman" w:cs="Times New Roman"/>
        </w:rPr>
        <w:t>社会救助</w:t>
      </w:r>
      <w:bookmarkEnd w:id="56"/>
    </w:p>
    <w:p w14:paraId="2200C288">
      <w:pPr>
        <w:ind w:firstLine="640"/>
        <w:rPr>
          <w:rFonts w:hint="eastAsia"/>
        </w:rPr>
      </w:pPr>
      <w:r>
        <w:rPr>
          <w:rFonts w:hint="eastAsia"/>
        </w:rPr>
        <w:t>民政部门负责受灾居民生活救助，应组织力量，对灾民损失情况进行评估，逐户核实，登记造册，并组织实施救助工作，启动社会募捐机制；同时，要按照捐赠工作的制度化和经常化的要求，为灾后社会救助工作的开展提供更加充实的物资和资金保障。卫生健康部门要做好受伤人员救治工作。供水企业要迅速设立饮用水供应站，做好受灾群众日常生活用水的安置工作。</w:t>
      </w:r>
    </w:p>
    <w:p w14:paraId="2A590DCE">
      <w:pPr>
        <w:pStyle w:val="4"/>
        <w:numPr>
          <w:ilvl w:val="2"/>
          <w:numId w:val="2"/>
        </w:numPr>
        <w:rPr>
          <w:rFonts w:hint="eastAsia" w:ascii="Times New Roman" w:hAnsi="Times New Roman" w:cs="Times New Roman"/>
        </w:rPr>
      </w:pPr>
      <w:bookmarkStart w:id="57" w:name="_Toc15836"/>
      <w:r>
        <w:rPr>
          <w:rFonts w:hint="eastAsia" w:ascii="Times New Roman" w:hAnsi="Times New Roman" w:cs="Times New Roman"/>
        </w:rPr>
        <w:t>危险品处置</w:t>
      </w:r>
      <w:bookmarkEnd w:id="57"/>
    </w:p>
    <w:p w14:paraId="23933EEF">
      <w:pPr>
        <w:ind w:firstLine="640"/>
      </w:pPr>
      <w:r>
        <w:rPr>
          <w:rFonts w:hint="eastAsia"/>
          <w:lang w:val="en-US" w:eastAsia="zh-CN"/>
        </w:rPr>
        <w:t>市</w:t>
      </w:r>
      <w:r>
        <w:rPr>
          <w:rFonts w:hint="eastAsia"/>
        </w:rPr>
        <w:t>消防、公安、卫生健康、生态环境等部门和专业技术人员应按照专业技术规程，做好现场污染物的收集处理工作。有关现场清理和处理工作，应根据专家对灾害事故的性质和传播范围等进行认定，由</w:t>
      </w:r>
      <w:r>
        <w:rPr>
          <w:rFonts w:hint="eastAsia"/>
          <w:lang w:val="en-US" w:eastAsia="zh-CN"/>
        </w:rPr>
        <w:t>市</w:t>
      </w:r>
      <w:r>
        <w:rPr>
          <w:rFonts w:hint="eastAsia"/>
        </w:rPr>
        <w:t>公安、消防、卫生健康、农业农村等职能部门设立警戒哨，划定警戒范围，由专业部门和技术人员采取相应的方式及时进行处理，处理完毕后，有关专业部门应继续对现场情况进行监控，根据专家评估结论，再进行解除警戒。</w:t>
      </w:r>
    </w:p>
    <w:p w14:paraId="1EC16DC0">
      <w:pPr>
        <w:ind w:firstLine="640"/>
      </w:pPr>
    </w:p>
    <w:p w14:paraId="2B629254">
      <w:pPr>
        <w:ind w:firstLine="640"/>
      </w:pPr>
    </w:p>
    <w:p w14:paraId="79B0CF6D">
      <w:pPr>
        <w:ind w:firstLine="640"/>
        <w:sectPr>
          <w:headerReference r:id="rId16" w:type="default"/>
          <w:footerReference r:id="rId1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linePitch="312" w:charSpace="0"/>
        </w:sectPr>
      </w:pPr>
    </w:p>
    <w:p w14:paraId="04358399">
      <w:pPr>
        <w:pStyle w:val="2"/>
        <w:numPr>
          <w:ilvl w:val="0"/>
          <w:numId w:val="2"/>
        </w:numPr>
      </w:pPr>
      <w:bookmarkStart w:id="58" w:name="_Toc27871"/>
      <w:r>
        <w:rPr>
          <w:rFonts w:hint="eastAsia"/>
        </w:rPr>
        <w:t>应急保障</w:t>
      </w:r>
      <w:bookmarkEnd w:id="58"/>
    </w:p>
    <w:p w14:paraId="50E71E79">
      <w:pPr>
        <w:ind w:firstLine="640"/>
      </w:pPr>
      <w:r>
        <w:rPr>
          <w:rFonts w:hint="eastAsia"/>
        </w:rPr>
        <w:t>应急保障部分，包括通讯与信息保障、应急队伍保障、应急物资保障、应急资源保障、经费保障及其他保障等内容。</w:t>
      </w:r>
    </w:p>
    <w:p w14:paraId="61B045C4">
      <w:pPr>
        <w:pStyle w:val="3"/>
        <w:numPr>
          <w:ilvl w:val="1"/>
          <w:numId w:val="2"/>
        </w:numPr>
      </w:pPr>
      <w:bookmarkStart w:id="59" w:name="_Toc71"/>
      <w:r>
        <w:rPr>
          <w:rFonts w:hint="eastAsia"/>
        </w:rPr>
        <w:t>通讯与信息保障</w:t>
      </w:r>
      <w:bookmarkEnd w:id="59"/>
    </w:p>
    <w:p w14:paraId="2BFB7975">
      <w:pPr>
        <w:ind w:firstLine="640"/>
      </w:pPr>
      <w:r>
        <w:rPr>
          <w:rFonts w:hint="eastAsia"/>
        </w:rPr>
        <w:t>市政府及其通信主管部门要建立健全突发环境事件应急通信保障体系，确保应急期间通信联络和信息传递需要。参与应急处置指挥部的成员单位及应急处置单位，保持24小时的通讯畅通。</w:t>
      </w:r>
    </w:p>
    <w:p w14:paraId="2DC80EC4">
      <w:pPr>
        <w:ind w:firstLine="640"/>
        <w:rPr>
          <w:rFonts w:eastAsia="仿宋"/>
        </w:rPr>
      </w:pPr>
      <w:r>
        <w:rPr>
          <w:rFonts w:hint="eastAsia"/>
          <w:lang w:eastAsia="zh-CN"/>
        </w:rPr>
        <w:t>市委</w:t>
      </w:r>
      <w:r>
        <w:rPr>
          <w:rFonts w:hint="eastAsia"/>
        </w:rPr>
        <w:t>宣传部通过政府发布新闻通稿、举行新闻发布会等多种形式，对外发布事件信息及应急处置进展情况。</w:t>
      </w:r>
    </w:p>
    <w:p w14:paraId="7921908B">
      <w:pPr>
        <w:pStyle w:val="3"/>
        <w:numPr>
          <w:ilvl w:val="1"/>
          <w:numId w:val="2"/>
        </w:numPr>
      </w:pPr>
      <w:bookmarkStart w:id="60" w:name="_Toc8748"/>
      <w:r>
        <w:rPr>
          <w:rFonts w:hint="eastAsia"/>
        </w:rPr>
        <w:t>应急队伍保障</w:t>
      </w:r>
      <w:bookmarkEnd w:id="60"/>
    </w:p>
    <w:p w14:paraId="5943A0EA">
      <w:pPr>
        <w:ind w:firstLine="640"/>
      </w:pPr>
      <w:r>
        <w:rPr>
          <w:rFonts w:hint="eastAsia"/>
        </w:rPr>
        <w:t>坚持统筹规划、突出重点，整合现有资源，逐步加强和完善应急队伍建设，形成规模适度、管理规范的应急队伍体系。</w:t>
      </w:r>
    </w:p>
    <w:p w14:paraId="6E369A2A">
      <w:pPr>
        <w:ind w:firstLine="640"/>
      </w:pPr>
      <w:r>
        <w:rPr>
          <w:rFonts w:hint="eastAsia"/>
        </w:rPr>
        <w:t>实行“政府领导、总队统筹、军地联动、条块结合、分级负责”的管理体制。应急指挥部成员单位应按照本部门、本单位职责，组建或指导所管辖的企事业单位组建相应的专兼职应急队伍，定期开展相关培训；当启动应急响应时，应急队伍应在现场应急指挥部的统筹安排下，根据各自职能相互配合，开展应急行动。</w:t>
      </w:r>
    </w:p>
    <w:p w14:paraId="1DD32187">
      <w:pPr>
        <w:ind w:firstLine="640"/>
      </w:pPr>
      <w:r>
        <w:rPr>
          <w:rFonts w:hint="eastAsia"/>
        </w:rPr>
        <w:t>采用教学培训或实战演练作为应急预案培训方式，加强不同层面的预案演练培训工作，每年至少组织一次培训，培训内容可以包括信息报告、个体防护、应急资源使用、应急监测布点及监测方法、应急处置方法等培训科目。通过培训，不断提高全体人员的应急反应能力和救援能力。</w:t>
      </w:r>
    </w:p>
    <w:p w14:paraId="3A963486">
      <w:pPr>
        <w:pStyle w:val="3"/>
        <w:numPr>
          <w:ilvl w:val="1"/>
          <w:numId w:val="2"/>
        </w:numPr>
      </w:pPr>
      <w:bookmarkStart w:id="61" w:name="_Toc12241"/>
      <w:r>
        <w:rPr>
          <w:rFonts w:hint="eastAsia"/>
        </w:rPr>
        <w:t>应急资源保障</w:t>
      </w:r>
      <w:bookmarkEnd w:id="61"/>
    </w:p>
    <w:p w14:paraId="71FB5B93">
      <w:pPr>
        <w:ind w:firstLine="640"/>
      </w:pPr>
      <w:r>
        <w:rPr>
          <w:rFonts w:hint="eastAsia"/>
        </w:rPr>
        <w:t>应急物资保障组应对应急资源（包括药剂、物资、装备和设施）应每半年进行检查、维护。</w:t>
      </w:r>
    </w:p>
    <w:p w14:paraId="12856481">
      <w:pPr>
        <w:ind w:firstLine="640"/>
      </w:pPr>
      <w:r>
        <w:rPr>
          <w:rFonts w:hint="eastAsia"/>
        </w:rPr>
        <w:t>应急物资保障组应根据事件和演练经验，持续改进提高药剂、物资、装备的存放规范、应急设施的建设要求，确保事件发生时能够快速高效的使用应急资源。</w:t>
      </w:r>
    </w:p>
    <w:p w14:paraId="07961F69">
      <w:pPr>
        <w:pStyle w:val="3"/>
        <w:numPr>
          <w:ilvl w:val="1"/>
          <w:numId w:val="2"/>
        </w:numPr>
      </w:pPr>
      <w:bookmarkStart w:id="62" w:name="_Toc21970"/>
      <w:r>
        <w:rPr>
          <w:rFonts w:hint="eastAsia"/>
        </w:rPr>
        <w:t>经费保障</w:t>
      </w:r>
      <w:bookmarkEnd w:id="62"/>
    </w:p>
    <w:p w14:paraId="2E7C19D4">
      <w:pPr>
        <w:ind w:firstLine="640"/>
      </w:pPr>
      <w:r>
        <w:rPr>
          <w:rFonts w:hint="eastAsia"/>
        </w:rPr>
        <w:t>市政府保障经费，专项用于</w:t>
      </w:r>
      <w:r>
        <w:rPr>
          <w:rFonts w:hint="eastAsia"/>
          <w:lang w:eastAsia="zh-CN"/>
        </w:rPr>
        <w:t>峨眉山市集中式饮用水水源地</w:t>
      </w:r>
      <w:r>
        <w:rPr>
          <w:rFonts w:hint="eastAsia"/>
        </w:rPr>
        <w:t>突发事件的防范和应急处置。</w:t>
      </w:r>
    </w:p>
    <w:p w14:paraId="65D5BD69">
      <w:pPr>
        <w:ind w:firstLine="640"/>
      </w:pPr>
      <w:r>
        <w:rPr>
          <w:rFonts w:hint="eastAsia"/>
        </w:rPr>
        <w:t>市级有关部门、</w:t>
      </w:r>
      <w:r>
        <w:rPr>
          <w:rFonts w:hint="eastAsia"/>
          <w:lang w:val="en-US" w:eastAsia="zh-CN"/>
        </w:rPr>
        <w:t>各乡镇</w:t>
      </w:r>
      <w:r>
        <w:rPr>
          <w:rFonts w:hint="eastAsia"/>
        </w:rPr>
        <w:t>每年应安排一定的专项资金，用于本单位、本辖区水源地突发事件的防范和应急处置。市财政局将应急管理部门预算、应急物资采购费用列入年度预算予以保障；应急处置结束后，据实核销应急处置费用；加强应急工作经费的审计和监督管理，确保专款专用等。</w:t>
      </w:r>
    </w:p>
    <w:p w14:paraId="744165D7">
      <w:pPr>
        <w:ind w:firstLine="640"/>
      </w:pPr>
      <w:r>
        <w:rPr>
          <w:rFonts w:hint="eastAsia"/>
        </w:rPr>
        <w:t>具有较大风险及以上的企业应安排专项资金用于突发水环境事件的防范、应急处置及后期善后处置等。</w:t>
      </w:r>
    </w:p>
    <w:p w14:paraId="1333BE0C">
      <w:pPr>
        <w:pStyle w:val="3"/>
        <w:numPr>
          <w:ilvl w:val="1"/>
          <w:numId w:val="2"/>
        </w:numPr>
      </w:pPr>
      <w:bookmarkStart w:id="63" w:name="_Toc15409"/>
      <w:r>
        <w:rPr>
          <w:rFonts w:hint="eastAsia"/>
        </w:rPr>
        <w:t>其他保障</w:t>
      </w:r>
      <w:bookmarkEnd w:id="63"/>
    </w:p>
    <w:p w14:paraId="0F3DC8E4">
      <w:pPr>
        <w:ind w:firstLine="640"/>
      </w:pPr>
      <w:r>
        <w:rPr>
          <w:rFonts w:hint="eastAsia"/>
        </w:rPr>
        <w:t>加强应急专家信息库的建设，对突发环境事件的应急处置与救援、事后恢复与重建提供技术支撑，提高应急处置能力；设立专项资金，加强对使用现场处置先进技术、装备的研究和培训，建立科学的环境应急指挥技术平台，实现信息综合集成、分析处理、污染评估的智能化和数字化，确保决策的科学化。</w:t>
      </w:r>
    </w:p>
    <w:p w14:paraId="0A7617A5">
      <w:pPr>
        <w:ind w:firstLine="640"/>
      </w:pPr>
      <w:r>
        <w:rPr>
          <w:rFonts w:hint="eastAsia"/>
        </w:rPr>
        <w:t>交通运输部门要健全公路紧急运输保障体系，保障应急响应所需人员、物资、装备、器材等的运输。公安部门要加强应急交通管理，保障运送伤病员、应急救援人员、物资、装备、器材车辆的优先通行。</w:t>
      </w:r>
    </w:p>
    <w:p w14:paraId="01CBD8A1">
      <w:pPr>
        <w:ind w:firstLine="640"/>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linePitch="312" w:charSpace="0"/>
        </w:sectPr>
      </w:pPr>
    </w:p>
    <w:p w14:paraId="61298F07">
      <w:pPr>
        <w:pStyle w:val="2"/>
        <w:numPr>
          <w:ilvl w:val="0"/>
          <w:numId w:val="2"/>
        </w:numPr>
      </w:pPr>
      <w:bookmarkStart w:id="64" w:name="_Toc28766"/>
      <w:r>
        <w:rPr>
          <w:rFonts w:hint="eastAsia"/>
        </w:rPr>
        <w:t>附则</w:t>
      </w:r>
      <w:bookmarkEnd w:id="64"/>
    </w:p>
    <w:p w14:paraId="5A883F68">
      <w:pPr>
        <w:pStyle w:val="3"/>
        <w:numPr>
          <w:ilvl w:val="1"/>
          <w:numId w:val="2"/>
        </w:numPr>
      </w:pPr>
      <w:bookmarkStart w:id="65" w:name="_Toc3236"/>
      <w:r>
        <w:rPr>
          <w:rFonts w:hint="eastAsia"/>
        </w:rPr>
        <w:t>名词术语</w:t>
      </w:r>
      <w:bookmarkEnd w:id="65"/>
    </w:p>
    <w:p w14:paraId="47BFC4BC">
      <w:pPr>
        <w:ind w:firstLine="640"/>
      </w:pPr>
      <w:r>
        <w:rPr>
          <w:rFonts w:hint="eastAsia" w:ascii="方正楷体简体" w:hAnsi="方正楷体简体" w:eastAsia="方正楷体简体" w:cs="方正楷体简体"/>
        </w:rPr>
        <w:t>饮用水水源地：</w:t>
      </w:r>
      <w:r>
        <w:rPr>
          <w:rFonts w:hint="eastAsia"/>
        </w:rPr>
        <w:t>提供居民生活及公共服务用水的取水水域和密切相关的陆域。</w:t>
      </w:r>
    </w:p>
    <w:p w14:paraId="014EC6B7">
      <w:pPr>
        <w:ind w:firstLine="640"/>
      </w:pPr>
      <w:r>
        <w:rPr>
          <w:rFonts w:hint="eastAsia" w:ascii="方正楷体简体" w:hAnsi="方正楷体简体" w:eastAsia="方正楷体简体" w:cs="方正楷体简体"/>
        </w:rPr>
        <w:t>饮用水水源管理部门：</w:t>
      </w:r>
      <w:r>
        <w:rPr>
          <w:rFonts w:hint="eastAsia"/>
        </w:rPr>
        <w:t>指各级政府赋予的具有集中式饮用水水源管理职责的部门。各地承担该项职责的部门不同，主要有</w:t>
      </w:r>
      <w:r>
        <w:rPr>
          <w:rFonts w:hint="eastAsia"/>
          <w:lang w:eastAsia="zh-CN"/>
        </w:rPr>
        <w:t>生态环境</w:t>
      </w:r>
      <w:r>
        <w:rPr>
          <w:rFonts w:hint="eastAsia"/>
        </w:rPr>
        <w:t>、水务、住建、卫计等部门。</w:t>
      </w:r>
    </w:p>
    <w:p w14:paraId="3BA166B6">
      <w:pPr>
        <w:ind w:firstLine="640"/>
      </w:pPr>
      <w:r>
        <w:rPr>
          <w:rFonts w:hint="eastAsia" w:ascii="方正楷体简体" w:hAnsi="方正楷体简体" w:eastAsia="方正楷体简体" w:cs="方正楷体简体"/>
        </w:rPr>
        <w:t>原水水质污染：</w:t>
      </w:r>
      <w:r>
        <w:rPr>
          <w:rFonts w:hint="eastAsia"/>
        </w:rPr>
        <w:t>指原水感官性状、无机污染物、有机污染物、微生物、放射性等五大类指标异常，甚至接近或超过国家规定值；或常见原水污染指示性水质指标（如加氯量、氨氮含量、嗅、味和色度等）以及其他不可见指标异常，导致水厂制水生产过程控制和出厂水水质控制受到不同程度的影响，可能对供水水质和安全生产造成危害的原水水质状况。</w:t>
      </w:r>
    </w:p>
    <w:p w14:paraId="2D8726E7">
      <w:pPr>
        <w:ind w:firstLine="640"/>
      </w:pPr>
      <w:r>
        <w:rPr>
          <w:rFonts w:hint="eastAsia" w:ascii="方正楷体简体" w:hAnsi="方正楷体简体" w:eastAsia="方正楷体简体" w:cs="方正楷体简体"/>
        </w:rPr>
        <w:t>一般性原水水质污染：</w:t>
      </w:r>
      <w:r>
        <w:rPr>
          <w:rFonts w:hint="eastAsia"/>
        </w:rPr>
        <w:t>当出现下列任何一种情况且对制水生产和水质监控有一定影响时，判断为一般性原水水质污染：</w:t>
      </w:r>
    </w:p>
    <w:p w14:paraId="5882558B">
      <w:pPr>
        <w:ind w:firstLine="640"/>
      </w:pPr>
      <w:r>
        <w:rPr>
          <w:rFonts w:hint="eastAsia"/>
        </w:rPr>
        <w:t>（1）原水感官指标（包括色度、浑浊度、嗅和味等）异常。</w:t>
      </w:r>
    </w:p>
    <w:p w14:paraId="3A2C59CF">
      <w:pPr>
        <w:ind w:firstLine="640"/>
      </w:pPr>
      <w:r>
        <w:rPr>
          <w:rFonts w:hint="eastAsia"/>
        </w:rPr>
        <w:t>（2）单位制水加氯量达到1.8～3.0mg/L。</w:t>
      </w:r>
    </w:p>
    <w:p w14:paraId="2389498A">
      <w:pPr>
        <w:ind w:firstLine="640"/>
      </w:pPr>
      <w:r>
        <w:rPr>
          <w:rFonts w:hint="eastAsia"/>
        </w:rPr>
        <w:t>（3）滤后水氨氮达到0.3</w:t>
      </w:r>
      <w:r>
        <w:rPr>
          <w:rFonts w:hint="eastAsia" w:ascii="仿宋_GB2312"/>
        </w:rPr>
        <w:t>～</w:t>
      </w:r>
      <w:r>
        <w:rPr>
          <w:rFonts w:hint="eastAsia"/>
        </w:rPr>
        <w:t>0.6mg/L（或原水氨氮含量达到0.3～1.5mg/L）。</w:t>
      </w:r>
    </w:p>
    <w:p w14:paraId="3839C16E">
      <w:pPr>
        <w:ind w:firstLine="640"/>
        <w:rPr>
          <w:rFonts w:ascii="方正楷体简体" w:hAnsi="方正楷体简体" w:eastAsia="方正楷体简体" w:cs="方正楷体简体"/>
        </w:rPr>
      </w:pPr>
      <w:r>
        <w:rPr>
          <w:rFonts w:hint="eastAsia" w:ascii="方正楷体简体" w:hAnsi="方正楷体简体" w:eastAsia="方正楷体简体" w:cs="方正楷体简体"/>
        </w:rPr>
        <w:t>严重原水水质污染：</w:t>
      </w:r>
    </w:p>
    <w:p w14:paraId="33BF530A">
      <w:pPr>
        <w:ind w:firstLine="640"/>
      </w:pPr>
      <w:r>
        <w:rPr>
          <w:rFonts w:hint="eastAsia"/>
        </w:rPr>
        <w:t>（1）原水或出厂水生物监测池内鱼类突然大量失活并确认是由于原水污染所造成。</w:t>
      </w:r>
    </w:p>
    <w:p w14:paraId="33AE7400">
      <w:pPr>
        <w:ind w:firstLine="640"/>
      </w:pPr>
      <w:r>
        <w:rPr>
          <w:rFonts w:hint="eastAsia"/>
        </w:rPr>
        <w:t>（2）原水感官指标严重恶化，对制水生产控制、制水构筑物或出厂水水质造成较大影响。</w:t>
      </w:r>
    </w:p>
    <w:p w14:paraId="5A063879">
      <w:pPr>
        <w:ind w:firstLine="640"/>
      </w:pPr>
      <w:r>
        <w:rPr>
          <w:rFonts w:hint="eastAsia"/>
        </w:rPr>
        <w:t>（3）单位制水加氯量达到3.0mg/L以上，并且中间水或出厂水余氯低于公司规定值或出厂水总氯大于2.0mg/L。</w:t>
      </w:r>
    </w:p>
    <w:p w14:paraId="446DC05B">
      <w:pPr>
        <w:ind w:firstLine="640"/>
      </w:pPr>
      <w:r>
        <w:rPr>
          <w:rFonts w:hint="eastAsia"/>
        </w:rPr>
        <w:t>（4）滤后水氨氮含量大于0.6mg/L或原水氨氮含量大于1.5mg/L。</w:t>
      </w:r>
    </w:p>
    <w:p w14:paraId="3B19F711">
      <w:pPr>
        <w:ind w:firstLine="640"/>
      </w:pPr>
      <w:r>
        <w:rPr>
          <w:rFonts w:hint="eastAsia"/>
        </w:rPr>
        <w:t>（5）原水中任何一项毒理学或挥发酚类等污染物质含量异常，接近或超过国标规定值。</w:t>
      </w:r>
    </w:p>
    <w:p w14:paraId="023E5CCB">
      <w:pPr>
        <w:ind w:firstLine="640"/>
      </w:pPr>
      <w:r>
        <w:rPr>
          <w:rFonts w:hint="eastAsia"/>
        </w:rPr>
        <w:t>（6）由于原水水质变化导致出厂水出现异常现象（如异味、异色和肉眼可见物等）。</w:t>
      </w:r>
    </w:p>
    <w:p w14:paraId="135CF836">
      <w:pPr>
        <w:ind w:firstLine="640"/>
      </w:pPr>
      <w:r>
        <w:rPr>
          <w:rFonts w:hint="eastAsia" w:ascii="方正楷体简体" w:hAnsi="方正楷体简体" w:eastAsia="方正楷体简体" w:cs="方正楷体简体"/>
        </w:rPr>
        <w:t>加氯量：</w:t>
      </w:r>
      <w:r>
        <w:rPr>
          <w:rFonts w:hint="eastAsia"/>
        </w:rPr>
        <w:t>指单位制水量所投加的氯量。</w:t>
      </w:r>
    </w:p>
    <w:p w14:paraId="4C2BC2F5">
      <w:pPr>
        <w:ind w:firstLine="640"/>
      </w:pPr>
      <w:r>
        <w:rPr>
          <w:rFonts w:hint="eastAsia" w:ascii="方正楷体简体" w:hAnsi="方正楷体简体" w:eastAsia="方正楷体简体" w:cs="方正楷体简体"/>
        </w:rPr>
        <w:t>正常值：</w:t>
      </w:r>
      <w:r>
        <w:rPr>
          <w:rFonts w:hint="eastAsia"/>
        </w:rPr>
        <w:t>指原水水质正常时，该指标的当日平均值。</w:t>
      </w:r>
    </w:p>
    <w:p w14:paraId="54B53C3E">
      <w:pPr>
        <w:ind w:firstLine="640"/>
      </w:pPr>
      <w:r>
        <w:rPr>
          <w:rFonts w:hint="eastAsia"/>
        </w:rPr>
        <w:t>突发饮用水水源污染事件：指突然发生，造成或者可能造成饮用水水源污染从而对某一地区的经济社会稳定、政治安定构成重大威胁和损害，有重大社会影响的涉及公共安全的环境事件。</w:t>
      </w:r>
    </w:p>
    <w:p w14:paraId="3CDE4C12">
      <w:pPr>
        <w:ind w:firstLine="640"/>
      </w:pPr>
      <w:r>
        <w:rPr>
          <w:rFonts w:hint="eastAsia" w:ascii="方正楷体简体" w:hAnsi="方正楷体简体" w:eastAsia="方正楷体简体" w:cs="方正楷体简体"/>
        </w:rPr>
        <w:t>突发饮用水水源污染事件环境应急：</w:t>
      </w:r>
      <w:r>
        <w:rPr>
          <w:rFonts w:hint="eastAsia"/>
        </w:rPr>
        <w:t>针对可能或已发生的突发饮用水水源污染事件，需要立即采取某些超出正常工作程序的行动，以避免事件发生或减轻事件后果的状态，也称为紧急状态；同时也泛指立即采取超出正常工作程序的行动。</w:t>
      </w:r>
    </w:p>
    <w:p w14:paraId="3E47C5DF">
      <w:pPr>
        <w:ind w:firstLine="640"/>
      </w:pPr>
      <w:r>
        <w:rPr>
          <w:rFonts w:hint="eastAsia" w:ascii="方正楷体简体" w:hAnsi="方正楷体简体" w:eastAsia="方正楷体简体" w:cs="方正楷体简体"/>
        </w:rPr>
        <w:t>泄漏处理：</w:t>
      </w:r>
      <w:r>
        <w:rPr>
          <w:rFonts w:hint="eastAsia"/>
        </w:rPr>
        <w:t>泄漏处理是指对危险化学品、危险废物、放射性物质、有毒气体等污染源因事件发生泄漏可能对饮用水造成影响时所采取的应急处置措施。泄漏处理要及时、得当，避免重大事件的发生。泄漏处理一般分为泄漏源控制和泄漏物处置两部分。</w:t>
      </w:r>
    </w:p>
    <w:p w14:paraId="67514B83">
      <w:pPr>
        <w:ind w:firstLine="640"/>
      </w:pPr>
      <w:r>
        <w:rPr>
          <w:rFonts w:hint="eastAsia" w:ascii="方正楷体简体" w:hAnsi="方正楷体简体" w:eastAsia="方正楷体简体" w:cs="方正楷体简体"/>
        </w:rPr>
        <w:t>应急监测：</w:t>
      </w:r>
      <w:r>
        <w:rPr>
          <w:rFonts w:hint="eastAsia"/>
        </w:rPr>
        <w:t>环境应急情况下，为发现和查明环境污染情况和污染范围而进行的环境监测。包括定点监测和动态监测。</w:t>
      </w:r>
    </w:p>
    <w:p w14:paraId="5E0722EF">
      <w:pPr>
        <w:ind w:firstLine="640"/>
      </w:pPr>
      <w:r>
        <w:rPr>
          <w:rFonts w:hint="eastAsia" w:ascii="方正楷体简体" w:hAnsi="方正楷体简体" w:eastAsia="方正楷体简体" w:cs="方正楷体简体"/>
        </w:rPr>
        <w:t>应急演习：</w:t>
      </w:r>
      <w:r>
        <w:rPr>
          <w:rFonts w:hint="eastAsia"/>
        </w:rPr>
        <w:t>为检验应急计划的有效性、应急准备的完善性、应急响应能力的适应性和应急人员的协同性而进行的一种模拟应急响应的实践活动，根据所涉及的内容和范围的不同，可分为单项演习（演练）、综合演习和指挥中心、现场应急组织联合进行的联合演习。</w:t>
      </w:r>
    </w:p>
    <w:p w14:paraId="1AA5A9CD">
      <w:pPr>
        <w:pStyle w:val="3"/>
        <w:numPr>
          <w:ilvl w:val="1"/>
          <w:numId w:val="2"/>
        </w:numPr>
      </w:pPr>
      <w:bookmarkStart w:id="66" w:name="_Toc351"/>
      <w:r>
        <w:rPr>
          <w:rFonts w:hint="eastAsia"/>
        </w:rPr>
        <w:t>预案解释权属</w:t>
      </w:r>
      <w:bookmarkEnd w:id="66"/>
    </w:p>
    <w:p w14:paraId="56DFBA38">
      <w:pPr>
        <w:ind w:firstLine="640"/>
      </w:pPr>
      <w:r>
        <w:rPr>
          <w:rFonts w:hint="eastAsia"/>
        </w:rPr>
        <w:t>水源地应急预案的解释权由乐山市峨眉山生态环境局负责。</w:t>
      </w:r>
    </w:p>
    <w:p w14:paraId="09DA31A6">
      <w:pPr>
        <w:pStyle w:val="3"/>
        <w:numPr>
          <w:ilvl w:val="1"/>
          <w:numId w:val="2"/>
        </w:numPr>
      </w:pPr>
      <w:bookmarkStart w:id="67" w:name="_Toc10940"/>
      <w:r>
        <w:rPr>
          <w:rFonts w:hint="eastAsia"/>
        </w:rPr>
        <w:t>预案演练和修订</w:t>
      </w:r>
      <w:bookmarkEnd w:id="67"/>
    </w:p>
    <w:p w14:paraId="56E39DC3">
      <w:pPr>
        <w:ind w:firstLine="640"/>
      </w:pPr>
      <w:r>
        <w:rPr>
          <w:rFonts w:hint="eastAsia"/>
        </w:rPr>
        <w:t>预案实施后，市级人民政府组织预案演练，演练频次可选择每年一次，演练内容主要包括通讯系统是否正常运作、信息报送流程是否畅通、各应急工作组配合是否协调、应急人员能力是否满足需要等。演练结束后，市级人民政府应对演练情况进行总结评估，并根据演练结果及时修订完善。</w:t>
      </w:r>
    </w:p>
    <w:p w14:paraId="7280EFD8">
      <w:pPr>
        <w:ind w:firstLine="640"/>
      </w:pPr>
      <w:r>
        <w:rPr>
          <w:rFonts w:hint="eastAsia"/>
        </w:rPr>
        <w:t>在水源地建设内容、人员机构组成、政策要求等发生重大变化时，组织相关人员及时更新修订。</w:t>
      </w:r>
    </w:p>
    <w:p w14:paraId="49DA8472">
      <w:pPr>
        <w:pStyle w:val="3"/>
        <w:numPr>
          <w:ilvl w:val="1"/>
          <w:numId w:val="2"/>
        </w:numPr>
      </w:pPr>
      <w:bookmarkStart w:id="68" w:name="_Toc11114"/>
      <w:r>
        <w:rPr>
          <w:rFonts w:hint="eastAsia"/>
        </w:rPr>
        <w:t>预案实施日期</w:t>
      </w:r>
      <w:bookmarkEnd w:id="68"/>
    </w:p>
    <w:p w14:paraId="5F0EF6AF">
      <w:pPr>
        <w:ind w:firstLine="640"/>
        <w:sectPr>
          <w:footerReference r:id="rId1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rPr>
        <w:t>本预案自印发之日起实施。</w:t>
      </w:r>
    </w:p>
    <w:p w14:paraId="55EB7C37">
      <w:pPr>
        <w:pStyle w:val="2"/>
        <w:numPr>
          <w:ilvl w:val="0"/>
          <w:numId w:val="2"/>
        </w:numPr>
        <w:rPr>
          <w:highlight w:val="none"/>
        </w:rPr>
      </w:pPr>
      <w:bookmarkStart w:id="69" w:name="_Toc14527"/>
      <w:r>
        <w:rPr>
          <w:rFonts w:hint="eastAsia"/>
          <w:highlight w:val="none"/>
          <w:lang w:val="en-US" w:eastAsia="zh-CN"/>
        </w:rPr>
        <w:t>附图、</w:t>
      </w:r>
      <w:r>
        <w:rPr>
          <w:rFonts w:hint="eastAsia"/>
          <w:highlight w:val="none"/>
        </w:rPr>
        <w:t>附件</w:t>
      </w:r>
      <w:r>
        <w:rPr>
          <w:rFonts w:hint="eastAsia"/>
          <w:highlight w:val="none"/>
          <w:lang w:eastAsia="zh-CN"/>
        </w:rPr>
        <w:t>、</w:t>
      </w:r>
      <w:r>
        <w:rPr>
          <w:rFonts w:hint="eastAsia"/>
          <w:highlight w:val="none"/>
          <w:lang w:val="en-US" w:eastAsia="zh-CN"/>
        </w:rPr>
        <w:t>附表</w:t>
      </w:r>
      <w:bookmarkEnd w:id="69"/>
    </w:p>
    <w:p w14:paraId="2740E381">
      <w:pPr>
        <w:pStyle w:val="3"/>
        <w:numPr>
          <w:ilvl w:val="1"/>
          <w:numId w:val="2"/>
        </w:numPr>
        <w:rPr>
          <w:rFonts w:hint="eastAsia"/>
        </w:rPr>
      </w:pPr>
      <w:bookmarkStart w:id="70" w:name="_Toc4499"/>
      <w:r>
        <w:rPr>
          <w:rFonts w:hint="eastAsia"/>
        </w:rPr>
        <w:t>附图</w:t>
      </w:r>
      <w:bookmarkEnd w:id="70"/>
    </w:p>
    <w:p w14:paraId="419C8784">
      <w:pPr>
        <w:ind w:firstLine="640"/>
        <w:rPr>
          <w:rFonts w:hint="eastAsia"/>
          <w:highlight w:val="none"/>
        </w:rPr>
      </w:pPr>
      <w:r>
        <w:rPr>
          <w:rFonts w:hint="eastAsia"/>
          <w:highlight w:val="none"/>
        </w:rPr>
        <w:t>附图1    峨眉山市集中式饮用水水源地分布图</w:t>
      </w:r>
    </w:p>
    <w:p w14:paraId="2A5F0D91">
      <w:pPr>
        <w:ind w:firstLine="640"/>
        <w:rPr>
          <w:rFonts w:hint="eastAsia"/>
          <w:highlight w:val="none"/>
        </w:rPr>
      </w:pPr>
      <w:r>
        <w:rPr>
          <w:rFonts w:hint="eastAsia"/>
          <w:highlight w:val="none"/>
        </w:rPr>
        <w:t>附图2    峨眉山市水系图</w:t>
      </w:r>
    </w:p>
    <w:p w14:paraId="6FDFEF30">
      <w:pPr>
        <w:ind w:firstLine="640"/>
        <w:rPr>
          <w:rFonts w:hint="eastAsia"/>
          <w:highlight w:val="none"/>
        </w:rPr>
      </w:pPr>
      <w:r>
        <w:rPr>
          <w:rFonts w:hint="eastAsia"/>
          <w:highlight w:val="none"/>
        </w:rPr>
        <w:t>附图3    峨眉山集中式饮用水水源地突发环境事件处置流程图</w:t>
      </w:r>
    </w:p>
    <w:p w14:paraId="660DF5BA">
      <w:pPr>
        <w:pStyle w:val="3"/>
        <w:numPr>
          <w:ilvl w:val="1"/>
          <w:numId w:val="2"/>
        </w:numPr>
        <w:rPr>
          <w:rFonts w:hint="eastAsia"/>
        </w:rPr>
      </w:pPr>
      <w:bookmarkStart w:id="71" w:name="_Toc14287"/>
      <w:r>
        <w:rPr>
          <w:rFonts w:hint="eastAsia"/>
        </w:rPr>
        <w:t>附件</w:t>
      </w:r>
      <w:bookmarkEnd w:id="71"/>
    </w:p>
    <w:p w14:paraId="7A9E8EE6">
      <w:pPr>
        <w:ind w:firstLine="640"/>
        <w:rPr>
          <w:rFonts w:hint="eastAsia"/>
          <w:highlight w:val="none"/>
        </w:rPr>
      </w:pPr>
      <w:r>
        <w:rPr>
          <w:rFonts w:hint="eastAsia"/>
          <w:highlight w:val="none"/>
        </w:rPr>
        <w:t>附件1    突发饮用水水源污染事件分级标准</w:t>
      </w:r>
    </w:p>
    <w:p w14:paraId="607F9C37">
      <w:pPr>
        <w:ind w:firstLine="640"/>
        <w:rPr>
          <w:rFonts w:hint="eastAsia"/>
          <w:highlight w:val="none"/>
        </w:rPr>
      </w:pPr>
      <w:r>
        <w:rPr>
          <w:rFonts w:hint="eastAsia"/>
          <w:highlight w:val="none"/>
        </w:rPr>
        <w:t>附件2    应急组织机构名单及工作职责</w:t>
      </w:r>
    </w:p>
    <w:p w14:paraId="4FF80F01">
      <w:pPr>
        <w:ind w:firstLine="640"/>
        <w:rPr>
          <w:rFonts w:hint="eastAsia"/>
          <w:highlight w:val="none"/>
        </w:rPr>
      </w:pPr>
      <w:r>
        <w:rPr>
          <w:rFonts w:hint="eastAsia"/>
          <w:highlight w:val="none"/>
        </w:rPr>
        <w:t>附件3    应急响应机构及联络表</w:t>
      </w:r>
    </w:p>
    <w:p w14:paraId="52506141">
      <w:pPr>
        <w:ind w:firstLine="640"/>
        <w:rPr>
          <w:rFonts w:hint="eastAsia"/>
          <w:highlight w:val="none"/>
        </w:rPr>
      </w:pPr>
      <w:r>
        <w:rPr>
          <w:rFonts w:hint="eastAsia"/>
          <w:highlight w:val="none"/>
        </w:rPr>
        <w:t>附件4    突发环境事件应急专家名单</w:t>
      </w:r>
    </w:p>
    <w:p w14:paraId="41829D2B">
      <w:pPr>
        <w:ind w:firstLine="640"/>
        <w:rPr>
          <w:rFonts w:hint="eastAsia"/>
          <w:highlight w:val="none"/>
        </w:rPr>
      </w:pPr>
      <w:r>
        <w:rPr>
          <w:rFonts w:hint="eastAsia"/>
          <w:highlight w:val="none"/>
        </w:rPr>
        <w:t>附件5    地突发环境事件情景构建及应急处置案例</w:t>
      </w:r>
    </w:p>
    <w:p w14:paraId="032C9636">
      <w:pPr>
        <w:pStyle w:val="3"/>
        <w:numPr>
          <w:ilvl w:val="1"/>
          <w:numId w:val="2"/>
        </w:numPr>
        <w:rPr>
          <w:rFonts w:hint="eastAsia"/>
        </w:rPr>
      </w:pPr>
      <w:bookmarkStart w:id="72" w:name="_Toc22886"/>
      <w:r>
        <w:rPr>
          <w:rFonts w:hint="eastAsia"/>
        </w:rPr>
        <w:t>附表</w:t>
      </w:r>
      <w:bookmarkEnd w:id="72"/>
    </w:p>
    <w:p w14:paraId="067D3AF0">
      <w:pPr>
        <w:spacing w:line="360" w:lineRule="auto"/>
        <w:ind w:firstLine="562"/>
        <w:jc w:val="left"/>
        <w:rPr>
          <w:rFonts w:hint="default" w:ascii="Times New Roman" w:hAnsi="Times New Roman" w:eastAsia="仿宋_GB2312" w:cs="Times New Roman"/>
          <w:b w:val="0"/>
          <w:bCs/>
          <w:i w:val="0"/>
          <w:iCs w:val="0"/>
          <w:sz w:val="32"/>
          <w:szCs w:val="32"/>
        </w:rPr>
      </w:pPr>
      <w:r>
        <w:rPr>
          <w:rFonts w:hint="default" w:ascii="Times New Roman" w:hAnsi="Times New Roman" w:eastAsia="仿宋_GB2312" w:cs="Times New Roman"/>
          <w:b w:val="0"/>
          <w:bCs/>
          <w:i w:val="0"/>
          <w:iCs w:val="0"/>
          <w:sz w:val="32"/>
          <w:szCs w:val="32"/>
        </w:rPr>
        <w:t>附表1    突发环境事件信息接收表</w:t>
      </w:r>
    </w:p>
    <w:p w14:paraId="3202DA0C">
      <w:pPr>
        <w:spacing w:line="360" w:lineRule="auto"/>
        <w:ind w:firstLine="562"/>
        <w:jc w:val="left"/>
        <w:rPr>
          <w:rFonts w:hint="default" w:ascii="Times New Roman" w:hAnsi="Times New Roman" w:eastAsia="仿宋_GB2312" w:cs="Times New Roman"/>
          <w:b w:val="0"/>
          <w:bCs/>
          <w:i w:val="0"/>
          <w:iCs w:val="0"/>
          <w:sz w:val="32"/>
          <w:szCs w:val="32"/>
        </w:rPr>
      </w:pPr>
      <w:r>
        <w:rPr>
          <w:rFonts w:hint="default" w:ascii="Times New Roman" w:hAnsi="Times New Roman" w:eastAsia="仿宋_GB2312" w:cs="Times New Roman"/>
          <w:b w:val="0"/>
          <w:bCs/>
          <w:i w:val="0"/>
          <w:iCs w:val="0"/>
          <w:sz w:val="32"/>
          <w:szCs w:val="32"/>
        </w:rPr>
        <w:t>附表2    突发环境事件报告表</w:t>
      </w:r>
    </w:p>
    <w:p w14:paraId="0E94E31E">
      <w:pPr>
        <w:spacing w:line="360" w:lineRule="auto"/>
        <w:ind w:firstLine="562"/>
        <w:jc w:val="left"/>
        <w:rPr>
          <w:rFonts w:hint="default" w:ascii="Times New Roman" w:hAnsi="Times New Roman" w:eastAsia="仿宋_GB2312" w:cs="Times New Roman"/>
          <w:b w:val="0"/>
          <w:bCs/>
          <w:i w:val="0"/>
          <w:iCs w:val="0"/>
          <w:sz w:val="32"/>
          <w:szCs w:val="32"/>
        </w:rPr>
      </w:pPr>
      <w:r>
        <w:rPr>
          <w:rFonts w:hint="default" w:ascii="Times New Roman" w:hAnsi="Times New Roman" w:eastAsia="仿宋_GB2312" w:cs="Times New Roman"/>
          <w:b w:val="0"/>
          <w:bCs/>
          <w:i w:val="0"/>
          <w:iCs w:val="0"/>
          <w:sz w:val="32"/>
          <w:szCs w:val="32"/>
        </w:rPr>
        <w:t>附表3    突发环境事件处理信息表</w:t>
      </w:r>
    </w:p>
    <w:p w14:paraId="474FAC6E">
      <w:pPr>
        <w:spacing w:line="360" w:lineRule="auto"/>
        <w:ind w:firstLine="562"/>
        <w:jc w:val="left"/>
        <w:rPr>
          <w:rFonts w:hint="default" w:ascii="Times New Roman" w:hAnsi="Times New Roman" w:eastAsia="仿宋_GB2312" w:cs="Times New Roman"/>
          <w:b w:val="0"/>
          <w:bCs/>
          <w:i w:val="0"/>
          <w:iCs w:val="0"/>
          <w:sz w:val="32"/>
          <w:szCs w:val="32"/>
        </w:rPr>
      </w:pPr>
      <w:r>
        <w:rPr>
          <w:rFonts w:hint="default" w:ascii="Times New Roman" w:hAnsi="Times New Roman" w:eastAsia="仿宋_GB2312" w:cs="Times New Roman"/>
          <w:b w:val="0"/>
          <w:bCs/>
          <w:i w:val="0"/>
          <w:iCs w:val="0"/>
          <w:sz w:val="32"/>
          <w:szCs w:val="32"/>
        </w:rPr>
        <w:t>附表4    突发环境事件应急预案启动令</w:t>
      </w:r>
    </w:p>
    <w:p w14:paraId="0DAAC247">
      <w:pPr>
        <w:spacing w:line="360" w:lineRule="auto"/>
        <w:ind w:firstLine="562"/>
        <w:jc w:val="left"/>
        <w:rPr>
          <w:rFonts w:hint="default" w:ascii="Times New Roman" w:hAnsi="Times New Roman" w:eastAsia="仿宋_GB2312" w:cs="Times New Roman"/>
          <w:b w:val="0"/>
          <w:bCs/>
          <w:i w:val="0"/>
          <w:iCs w:val="0"/>
          <w:sz w:val="32"/>
          <w:szCs w:val="32"/>
        </w:rPr>
      </w:pPr>
      <w:r>
        <w:rPr>
          <w:rFonts w:hint="default" w:ascii="Times New Roman" w:hAnsi="Times New Roman" w:eastAsia="仿宋_GB2312" w:cs="Times New Roman"/>
          <w:b w:val="0"/>
          <w:bCs/>
          <w:i w:val="0"/>
          <w:iCs w:val="0"/>
          <w:sz w:val="32"/>
          <w:szCs w:val="32"/>
        </w:rPr>
        <w:t>附表5    突发环境事件应急预案终止令</w:t>
      </w:r>
    </w:p>
    <w:p w14:paraId="70859603">
      <w:pPr>
        <w:spacing w:line="360" w:lineRule="auto"/>
        <w:ind w:firstLine="562"/>
        <w:jc w:val="left"/>
        <w:rPr>
          <w:rFonts w:hint="default" w:ascii="Times New Roman" w:hAnsi="Times New Roman" w:eastAsia="仿宋_GB2312" w:cs="Times New Roman"/>
          <w:b w:val="0"/>
          <w:bCs/>
          <w:i w:val="0"/>
          <w:iCs w:val="0"/>
          <w:sz w:val="32"/>
          <w:szCs w:val="32"/>
        </w:rPr>
      </w:pPr>
      <w:r>
        <w:rPr>
          <w:rFonts w:hint="default" w:ascii="Times New Roman" w:hAnsi="Times New Roman" w:eastAsia="仿宋_GB2312" w:cs="Times New Roman"/>
          <w:b w:val="0"/>
          <w:bCs/>
          <w:i w:val="0"/>
          <w:iCs w:val="0"/>
          <w:sz w:val="32"/>
          <w:szCs w:val="32"/>
        </w:rPr>
        <w:t xml:space="preserve">附表6   </w:t>
      </w:r>
      <w:r>
        <w:rPr>
          <w:rFonts w:hint="eastAsia" w:cs="Times New Roman"/>
          <w:b w:val="0"/>
          <w:bCs/>
          <w:i w:val="0"/>
          <w:iCs w:val="0"/>
          <w:sz w:val="32"/>
          <w:szCs w:val="32"/>
          <w:lang w:val="en-US" w:eastAsia="zh-CN"/>
        </w:rPr>
        <w:t xml:space="preserve"> </w:t>
      </w:r>
      <w:r>
        <w:rPr>
          <w:rFonts w:hint="default" w:ascii="Times New Roman" w:hAnsi="Times New Roman" w:eastAsia="仿宋_GB2312" w:cs="Times New Roman"/>
          <w:b w:val="0"/>
          <w:bCs/>
          <w:i w:val="0"/>
          <w:iCs w:val="0"/>
          <w:sz w:val="32"/>
          <w:szCs w:val="32"/>
        </w:rPr>
        <w:t>突发环境事件应急预案演练记录表</w:t>
      </w:r>
    </w:p>
    <w:p w14:paraId="4ED10357">
      <w:pPr>
        <w:spacing w:line="360" w:lineRule="auto"/>
        <w:ind w:firstLine="562"/>
        <w:jc w:val="left"/>
        <w:rPr>
          <w:rFonts w:hint="default" w:ascii="Times New Roman" w:hAnsi="Times New Roman" w:eastAsia="仿宋_GB2312" w:cs="Times New Roman"/>
          <w:b w:val="0"/>
          <w:bCs/>
          <w:i w:val="0"/>
          <w:iCs w:val="0"/>
          <w:sz w:val="32"/>
          <w:szCs w:val="32"/>
        </w:rPr>
      </w:pPr>
      <w:r>
        <w:rPr>
          <w:rFonts w:hint="default" w:ascii="Times New Roman" w:hAnsi="Times New Roman" w:eastAsia="仿宋_GB2312" w:cs="Times New Roman"/>
          <w:b w:val="0"/>
          <w:bCs/>
          <w:i w:val="0"/>
          <w:iCs w:val="0"/>
          <w:sz w:val="32"/>
          <w:szCs w:val="32"/>
        </w:rPr>
        <w:t>附表7    突发环境事件应急响应培训人员记录表</w:t>
      </w:r>
    </w:p>
    <w:p w14:paraId="460FF5A5">
      <w:pPr>
        <w:ind w:firstLine="640"/>
        <w:rPr>
          <w:rFonts w:hint="eastAsia"/>
          <w:highlight w:val="none"/>
        </w:rPr>
      </w:pPr>
    </w:p>
    <w:p w14:paraId="368BE532">
      <w:pPr>
        <w:ind w:firstLine="640"/>
        <w:rPr>
          <w:rFonts w:hint="eastAsia"/>
          <w:highlight w:val="yellow"/>
        </w:rPr>
      </w:pPr>
    </w:p>
    <w:p w14:paraId="4A000EB6">
      <w:pPr>
        <w:ind w:firstLine="640"/>
        <w:rPr>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linePitch="312" w:charSpace="0"/>
        </w:sectPr>
      </w:pPr>
    </w:p>
    <w:p w14:paraId="7E2EB98E">
      <w:pPr>
        <w:ind w:firstLine="640"/>
        <w:sectPr>
          <w:type w:val="continuous"/>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linePitch="312" w:charSpace="0"/>
        </w:sectPr>
      </w:pPr>
    </w:p>
    <w:p w14:paraId="0CE9D81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黑体" w:hAnsi="黑体" w:eastAsia="黑体" w:cs="黑体"/>
          <w:sz w:val="32"/>
          <w:szCs w:val="40"/>
          <w:lang w:val="en-US" w:eastAsia="zh-CN"/>
        </w:rPr>
      </w:pPr>
      <w:r>
        <w:rPr>
          <w:rFonts w:hint="eastAsia" w:ascii="黑体" w:hAnsi="黑体" w:eastAsia="黑体" w:cs="黑体"/>
          <w:sz w:val="32"/>
          <w:szCs w:val="40"/>
          <w:lang w:val="en-US" w:eastAsia="zh-CN"/>
        </w:rPr>
        <w:t>附图1    峨眉山市集中式饮用水水源地分布图</w:t>
      </w:r>
    </w:p>
    <w:p w14:paraId="7774E89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Theme="minorEastAsia"/>
          <w:lang w:eastAsia="zh-CN"/>
        </w:rPr>
      </w:pPr>
      <w:r>
        <w:rPr>
          <w:rFonts w:hint="eastAsia" w:eastAsiaTheme="minorEastAsia"/>
          <w:lang w:eastAsia="zh-CN"/>
        </w:rPr>
        <w:drawing>
          <wp:inline distT="0" distB="0" distL="114300" distR="114300">
            <wp:extent cx="6519545" cy="9222105"/>
            <wp:effectExtent l="0" t="0" r="3175" b="13335"/>
            <wp:docPr id="5" name="图片 5" descr="附图1地理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附图1地理位置图"/>
                    <pic:cNvPicPr>
                      <a:picLocks noChangeAspect="1"/>
                    </pic:cNvPicPr>
                  </pic:nvPicPr>
                  <pic:blipFill>
                    <a:blip r:embed="rId22"/>
                    <a:stretch>
                      <a:fillRect/>
                    </a:stretch>
                  </pic:blipFill>
                  <pic:spPr>
                    <a:xfrm>
                      <a:off x="0" y="0"/>
                      <a:ext cx="6519545" cy="9222105"/>
                    </a:xfrm>
                    <a:prstGeom prst="rect">
                      <a:avLst/>
                    </a:prstGeom>
                  </pic:spPr>
                </pic:pic>
              </a:graphicData>
            </a:graphic>
          </wp:inline>
        </w:drawing>
      </w:r>
    </w:p>
    <w:p w14:paraId="71AD24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仿宋_GB2312"/>
          <w:lang w:eastAsia="zh-CN"/>
        </w:rPr>
        <w:sectPr>
          <w:pgSz w:w="11906" w:h="16838"/>
          <w:pgMar w:top="720" w:right="720" w:bottom="720" w:left="720" w:header="283" w:footer="283"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ascii="黑体" w:hAnsi="黑体" w:eastAsia="黑体" w:cs="黑体"/>
          <w:sz w:val="32"/>
          <w:szCs w:val="40"/>
          <w:lang w:val="en-US" w:eastAsia="zh-CN"/>
        </w:rPr>
        <w:t>附图2    峨眉山市水系图</w:t>
      </w:r>
      <w:r>
        <w:rPr>
          <w:rFonts w:hint="eastAsia" w:eastAsia="仿宋_GB2312"/>
          <w:lang w:eastAsia="zh-CN"/>
        </w:rPr>
        <w:drawing>
          <wp:inline distT="0" distB="0" distL="114300" distR="114300">
            <wp:extent cx="6562090" cy="9332595"/>
            <wp:effectExtent l="0" t="0" r="6350" b="9525"/>
            <wp:docPr id="6" name="图片 6" descr="附图5    峨眉山市水系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附图5    峨眉山市水系图_00"/>
                    <pic:cNvPicPr>
                      <a:picLocks noChangeAspect="1"/>
                    </pic:cNvPicPr>
                  </pic:nvPicPr>
                  <pic:blipFill>
                    <a:blip r:embed="rId23"/>
                    <a:srcRect l="5298" t="4605" r="5365" b="5545"/>
                    <a:stretch>
                      <a:fillRect/>
                    </a:stretch>
                  </pic:blipFill>
                  <pic:spPr>
                    <a:xfrm>
                      <a:off x="0" y="0"/>
                      <a:ext cx="6562090" cy="9332595"/>
                    </a:xfrm>
                    <a:prstGeom prst="rect">
                      <a:avLst/>
                    </a:prstGeom>
                  </pic:spPr>
                </pic:pic>
              </a:graphicData>
            </a:graphic>
          </wp:inline>
        </w:drawing>
      </w:r>
    </w:p>
    <w:p w14:paraId="2445E0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eastAsia="zh-CN"/>
        </w:rPr>
      </w:pPr>
    </w:p>
    <w:p w14:paraId="449BFC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eastAsia="zh-CN"/>
        </w:rPr>
      </w:pPr>
      <w:r>
        <w:rPr>
          <w:rFonts w:hint="eastAsia" w:ascii="黑体" w:hAnsi="黑体" w:eastAsia="黑体" w:cs="黑体"/>
          <w:sz w:val="32"/>
          <w:szCs w:val="40"/>
          <w:lang w:val="en-US" w:eastAsia="zh-CN"/>
        </w:rPr>
        <w:t>附图3    峨眉山集中式饮用水水源地突发环境事件处置流程图</w:t>
      </w:r>
    </w:p>
    <w:p w14:paraId="1D1220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eastAsia="zh-CN"/>
        </w:rPr>
      </w:pPr>
    </w:p>
    <w:p w14:paraId="4DABA4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position w:val="-122"/>
        </w:rPr>
        <w:sectPr>
          <w:pgSz w:w="16838" w:h="11906" w:orient="landscape"/>
          <w:pgMar w:top="720" w:right="720" w:bottom="720" w:left="720" w:header="283" w:footer="283" w:gutter="0"/>
          <w:pgBorders>
            <w:top w:val="none" w:sz="0" w:space="0"/>
            <w:left w:val="none" w:sz="0" w:space="0"/>
            <w:bottom w:val="none" w:sz="0" w:space="0"/>
            <w:right w:val="none" w:sz="0" w:space="0"/>
          </w:pgBorders>
          <w:pgNumType w:fmt="decimal"/>
          <w:cols w:space="0" w:num="1"/>
          <w:rtlGutter w:val="0"/>
          <w:docGrid w:linePitch="312" w:charSpace="0"/>
        </w:sectPr>
      </w:pPr>
      <w:r>
        <w:rPr>
          <w:position w:val="-122"/>
        </w:rPr>
        <w:drawing>
          <wp:inline distT="0" distB="0" distL="0" distR="0">
            <wp:extent cx="9068435" cy="5674995"/>
            <wp:effectExtent l="0" t="0" r="14605" b="9525"/>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24"/>
                    <a:stretch>
                      <a:fillRect/>
                    </a:stretch>
                  </pic:blipFill>
                  <pic:spPr>
                    <a:xfrm>
                      <a:off x="0" y="0"/>
                      <a:ext cx="9068435" cy="5674995"/>
                    </a:xfrm>
                    <a:prstGeom prst="rect">
                      <a:avLst/>
                    </a:prstGeom>
                  </pic:spPr>
                </pic:pic>
              </a:graphicData>
            </a:graphic>
          </wp:inline>
        </w:drawing>
      </w:r>
    </w:p>
    <w:p w14:paraId="00854FE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附件1</w:t>
      </w:r>
    </w:p>
    <w:p w14:paraId="31990899">
      <w:pPr>
        <w:ind w:left="0" w:leftChars="0" w:firstLine="0" w:firstLineChars="0"/>
        <w:jc w:val="center"/>
        <w:rPr>
          <w:rFonts w:hint="eastAsia" w:ascii="方正小标宋简体" w:hAnsi="方正小标宋简体" w:eastAsia="方正小标宋简体" w:cs="方正小标宋简体"/>
          <w:sz w:val="40"/>
          <w:szCs w:val="40"/>
        </w:rPr>
      </w:pPr>
    </w:p>
    <w:p w14:paraId="11180377">
      <w:pPr>
        <w:ind w:left="0" w:leftChars="0" w:firstLine="0" w:firstLineChars="0"/>
        <w:jc w:val="center"/>
        <w:rPr>
          <w:rFonts w:hint="eastAsia" w:ascii="方正小标宋简体" w:hAnsi="方正小标宋简体" w:eastAsia="方正小标宋简体" w:cs="方正小标宋简体"/>
          <w:sz w:val="40"/>
          <w:szCs w:val="40"/>
        </w:rPr>
      </w:pPr>
      <w:r>
        <w:rPr>
          <w:rFonts w:hint="eastAsia" w:ascii="方正小标宋简体" w:hAnsi="方正小标宋简体" w:eastAsia="方正小标宋简体" w:cs="方正小标宋简体"/>
          <w:sz w:val="40"/>
          <w:szCs w:val="40"/>
        </w:rPr>
        <w:t>突发饮用水水源污染事件分级标准</w:t>
      </w:r>
    </w:p>
    <w:p w14:paraId="770B9CE6">
      <w:pPr>
        <w:rPr>
          <w:rFonts w:hint="eastAsia"/>
        </w:rPr>
      </w:pPr>
    </w:p>
    <w:p w14:paraId="4555DD7C">
      <w:pPr>
        <w:rPr>
          <w:rFonts w:hint="eastAsia" w:ascii="黑体" w:hAnsi="黑体" w:eastAsia="黑体" w:cs="黑体"/>
        </w:rPr>
      </w:pPr>
      <w:r>
        <w:rPr>
          <w:rFonts w:hint="eastAsia" w:ascii="黑体" w:hAnsi="黑体" w:eastAsia="黑体" w:cs="黑体"/>
        </w:rPr>
        <w:t>一、特别重大突发饮用水水源污染事件</w:t>
      </w:r>
    </w:p>
    <w:p w14:paraId="051EDB2A">
      <w:pPr>
        <w:rPr>
          <w:rFonts w:hint="eastAsia"/>
        </w:rPr>
      </w:pPr>
      <w:r>
        <w:rPr>
          <w:rFonts w:hint="eastAsia"/>
        </w:rPr>
        <w:t>凡符合下列情形之一的，为特别重大突发饮用水水源污染事件：</w:t>
      </w:r>
    </w:p>
    <w:p w14:paraId="4AD35C93">
      <w:pPr>
        <w:rPr>
          <w:rFonts w:hint="eastAsia"/>
        </w:rPr>
      </w:pPr>
      <w:r>
        <w:rPr>
          <w:rFonts w:hint="eastAsia"/>
        </w:rPr>
        <w:t>（一）因饮用水水源污染直接导致30人以上死亡或100人以上中毒或重伤的；</w:t>
      </w:r>
    </w:p>
    <w:p w14:paraId="0FB5EFC8">
      <w:pPr>
        <w:rPr>
          <w:rFonts w:hint="eastAsia"/>
        </w:rPr>
      </w:pPr>
      <w:r>
        <w:rPr>
          <w:rFonts w:hint="eastAsia"/>
        </w:rPr>
        <w:t>（二）因饮用水水源污染造成直接经济损失1亿元以上的。</w:t>
      </w:r>
    </w:p>
    <w:p w14:paraId="25AF6184">
      <w:pPr>
        <w:rPr>
          <w:rFonts w:hint="eastAsia" w:ascii="黑体" w:hAnsi="黑体" w:eastAsia="黑体" w:cs="黑体"/>
        </w:rPr>
      </w:pPr>
      <w:r>
        <w:rPr>
          <w:rFonts w:hint="eastAsia" w:ascii="黑体" w:hAnsi="黑体" w:eastAsia="黑体" w:cs="黑体"/>
        </w:rPr>
        <w:t>二、重大突发饮用水水源污染事件</w:t>
      </w:r>
    </w:p>
    <w:p w14:paraId="5367EDC3">
      <w:pPr>
        <w:rPr>
          <w:rFonts w:hint="eastAsia"/>
        </w:rPr>
      </w:pPr>
      <w:r>
        <w:rPr>
          <w:rFonts w:hint="eastAsia"/>
        </w:rPr>
        <w:t>凡符合下列情形之一的，为重大突发饮用水水源污染事件：</w:t>
      </w:r>
    </w:p>
    <w:p w14:paraId="6A880425">
      <w:pPr>
        <w:rPr>
          <w:rFonts w:hint="eastAsia"/>
        </w:rPr>
      </w:pPr>
      <w:r>
        <w:rPr>
          <w:rFonts w:hint="eastAsia"/>
        </w:rPr>
        <w:t>（一）因饮用水水源污染直接导致10人以上30人以下死亡或50人以上100人以下中毒或重伤的；</w:t>
      </w:r>
    </w:p>
    <w:p w14:paraId="58DC5603">
      <w:pPr>
        <w:rPr>
          <w:rFonts w:hint="eastAsia"/>
        </w:rPr>
      </w:pPr>
      <w:r>
        <w:rPr>
          <w:rFonts w:hint="eastAsia"/>
        </w:rPr>
        <w:t>（二）因饮用水水源污染造成直接经济损失2000万元以上1亿元以下的；</w:t>
      </w:r>
    </w:p>
    <w:p w14:paraId="2A844545">
      <w:pPr>
        <w:rPr>
          <w:rFonts w:hint="eastAsia"/>
        </w:rPr>
      </w:pPr>
      <w:r>
        <w:rPr>
          <w:rFonts w:hint="eastAsia"/>
        </w:rPr>
        <w:t>（三）因饮用水水源污染造成县级城市集中式饮用水水源地取水中断的，包含以下三种情况：</w:t>
      </w:r>
    </w:p>
    <w:p w14:paraId="4B5569AD">
      <w:pPr>
        <w:rPr>
          <w:rFonts w:hint="eastAsia"/>
        </w:rPr>
      </w:pPr>
      <w:r>
        <w:rPr>
          <w:rFonts w:hint="eastAsia"/>
        </w:rPr>
        <w:t>1.由于突发环境污染事件、突发危险化学品污染事故及特殊水文条件等人为和自然原因造成饮用水水源的水质超标，即超过《地表水环境质量标准》（GB3838-2002）中关于集中式生活饮用水地表水源地相关标准，导致县级城市供水企业无法供水。</w:t>
      </w:r>
    </w:p>
    <w:p w14:paraId="1B818443">
      <w:pPr>
        <w:rPr>
          <w:rFonts w:hint="eastAsia"/>
        </w:rPr>
      </w:pPr>
      <w:r>
        <w:rPr>
          <w:rFonts w:hint="eastAsia"/>
        </w:rPr>
        <w:t>2.饮用水水源发现水源性致病病原体，且该病原体具有低致病性，导致县级以上城市供水企业无法供水；</w:t>
      </w:r>
    </w:p>
    <w:p w14:paraId="5A0BCBC4">
      <w:pPr>
        <w:rPr>
          <w:rFonts w:hint="eastAsia"/>
        </w:rPr>
      </w:pPr>
      <w:r>
        <w:rPr>
          <w:rFonts w:hint="eastAsia"/>
        </w:rPr>
        <w:t>3.饮用水水源地藻类大规模暴发，产生毒素，且毒性较弱，导致县级以上城市供水企业无法供水。</w:t>
      </w:r>
    </w:p>
    <w:p w14:paraId="0224DC23">
      <w:pPr>
        <w:rPr>
          <w:rFonts w:hint="eastAsia"/>
        </w:rPr>
      </w:pPr>
      <w:r>
        <w:rPr>
          <w:rFonts w:hint="eastAsia"/>
        </w:rPr>
        <w:t>（四）造成跨省级行政区域饮用水水源污染的突发环境事件。</w:t>
      </w:r>
    </w:p>
    <w:p w14:paraId="5DEEF785">
      <w:pPr>
        <w:rPr>
          <w:rFonts w:hint="eastAsia" w:ascii="黑体" w:hAnsi="黑体" w:eastAsia="黑体" w:cs="黑体"/>
        </w:rPr>
      </w:pPr>
      <w:r>
        <w:rPr>
          <w:rFonts w:hint="eastAsia" w:ascii="黑体" w:hAnsi="黑体" w:eastAsia="黑体" w:cs="黑体"/>
        </w:rPr>
        <w:t>三、较大突发饮用水水源污染事件</w:t>
      </w:r>
    </w:p>
    <w:p w14:paraId="0A73B677">
      <w:pPr>
        <w:rPr>
          <w:rFonts w:hint="eastAsia"/>
        </w:rPr>
      </w:pPr>
      <w:r>
        <w:rPr>
          <w:rFonts w:hint="eastAsia"/>
        </w:rPr>
        <w:t>凡符合下列情形之一的，为较大突发饮用水水源污染事件：</w:t>
      </w:r>
    </w:p>
    <w:p w14:paraId="1E955BE0">
      <w:pPr>
        <w:rPr>
          <w:rFonts w:hint="eastAsia"/>
        </w:rPr>
      </w:pPr>
      <w:r>
        <w:rPr>
          <w:rFonts w:hint="eastAsia"/>
        </w:rPr>
        <w:t>（一）因饮用水水源污染直接导致1人以上50人以下中毒或重伤的；</w:t>
      </w:r>
    </w:p>
    <w:p w14:paraId="3154D4B5">
      <w:pPr>
        <w:rPr>
          <w:rFonts w:hint="eastAsia"/>
        </w:rPr>
      </w:pPr>
      <w:r>
        <w:rPr>
          <w:rFonts w:hint="eastAsia"/>
        </w:rPr>
        <w:t>（二）因饮用水水源污染造成直接经济损失500万元以上2000万元以下的；</w:t>
      </w:r>
    </w:p>
    <w:p w14:paraId="3284191E">
      <w:pPr>
        <w:rPr>
          <w:rFonts w:hint="eastAsia"/>
        </w:rPr>
      </w:pPr>
      <w:r>
        <w:rPr>
          <w:rFonts w:hint="eastAsia"/>
        </w:rPr>
        <w:t>（三）因环境污染造成乡镇以上集中式饮用水水源地取水中断的；</w:t>
      </w:r>
    </w:p>
    <w:p w14:paraId="237B7645">
      <w:pPr>
        <w:rPr>
          <w:rFonts w:hint="eastAsia"/>
        </w:rPr>
      </w:pPr>
      <w:r>
        <w:rPr>
          <w:rFonts w:hint="eastAsia"/>
        </w:rPr>
        <w:t>（四）造成跨设区的市级行政区域饮用水水源污染的突发环境事件。</w:t>
      </w:r>
    </w:p>
    <w:p w14:paraId="2056513E">
      <w:pPr>
        <w:rPr>
          <w:rFonts w:hint="eastAsia" w:ascii="黑体" w:hAnsi="黑体" w:eastAsia="黑体" w:cs="黑体"/>
        </w:rPr>
      </w:pPr>
      <w:r>
        <w:rPr>
          <w:rFonts w:hint="eastAsia" w:ascii="黑体" w:hAnsi="黑体" w:eastAsia="黑体" w:cs="黑体"/>
        </w:rPr>
        <w:t>四、一般突发饮用水水源污染事件</w:t>
      </w:r>
    </w:p>
    <w:p w14:paraId="50147DEB">
      <w:pPr>
        <w:rPr>
          <w:rFonts w:hint="eastAsia"/>
        </w:rPr>
      </w:pPr>
      <w:r>
        <w:rPr>
          <w:rFonts w:hint="eastAsia"/>
        </w:rPr>
        <w:t>凡符合下列情形之一的，为一般突发饮用水水源污染事件：</w:t>
      </w:r>
    </w:p>
    <w:p w14:paraId="590DC72B">
      <w:pPr>
        <w:rPr>
          <w:rFonts w:hint="eastAsia"/>
        </w:rPr>
      </w:pPr>
      <w:r>
        <w:rPr>
          <w:rFonts w:hint="eastAsia"/>
        </w:rPr>
        <w:t>（一）因饮用水水源污染直接导致3人以下死亡或10人以下中毒或重伤的；</w:t>
      </w:r>
    </w:p>
    <w:p w14:paraId="27CEFDC4">
      <w:pPr>
        <w:rPr>
          <w:rFonts w:hint="eastAsia"/>
        </w:rPr>
      </w:pPr>
      <w:r>
        <w:rPr>
          <w:rFonts w:hint="eastAsia"/>
        </w:rPr>
        <w:t>（二）因饮用水水源污染造成直接经济损失500万元以下的；</w:t>
      </w:r>
    </w:p>
    <w:p w14:paraId="525B53CF">
      <w:pPr>
        <w:rPr>
          <w:rFonts w:hint="eastAsia"/>
        </w:rPr>
      </w:pPr>
      <w:r>
        <w:rPr>
          <w:rFonts w:hint="eastAsia"/>
        </w:rPr>
        <w:t>（三）因饮用水水源污染造成跨县级行政区域纠纷，引起一般性群体影响的；</w:t>
      </w:r>
    </w:p>
    <w:p w14:paraId="69EB0157">
      <w:pPr>
        <w:rPr>
          <w:rFonts w:hint="eastAsia"/>
        </w:rPr>
      </w:pPr>
      <w:r>
        <w:rPr>
          <w:rFonts w:hint="eastAsia"/>
        </w:rPr>
        <w:t>（四）对饮用水水源水质造成一定影响，尚未达到较大突发饮用水水源污染事件级别的。</w:t>
      </w:r>
    </w:p>
    <w:p w14:paraId="3E848298">
      <w:pPr>
        <w:rPr>
          <w:rFonts w:hint="eastAsia"/>
        </w:rPr>
        <w:sectPr>
          <w:pgSz w:w="11906" w:h="16838"/>
          <w:pgMar w:top="1440" w:right="1800" w:bottom="1440" w:left="1800" w:header="850" w:footer="850"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rPr>
        <w:t>上述分级标准有关数量的表述中，“以上”含本数，“以下”不含本数。</w:t>
      </w:r>
    </w:p>
    <w:p w14:paraId="4C3CD91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附件2</w:t>
      </w:r>
    </w:p>
    <w:p w14:paraId="35B406C3">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b/>
          <w:bCs/>
          <w:sz w:val="32"/>
          <w:szCs w:val="32"/>
        </w:rPr>
      </w:pPr>
      <w:r>
        <w:rPr>
          <w:rFonts w:hint="default" w:ascii="Times New Roman" w:hAnsi="Times New Roman" w:eastAsia="仿宋" w:cs="Times New Roman"/>
          <w:b/>
          <w:bCs/>
          <w:sz w:val="32"/>
          <w:szCs w:val="32"/>
        </w:rPr>
        <w:t>应急组织机构名单及工作职责</w:t>
      </w:r>
    </w:p>
    <w:p w14:paraId="2AB30AAE">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仿宋" w:cs="Times New Roman"/>
          <w:b/>
          <w:bCs/>
          <w:sz w:val="32"/>
          <w:szCs w:val="32"/>
          <w:lang w:eastAsia="zh-CN"/>
        </w:rPr>
      </w:pP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7"/>
        <w:gridCol w:w="2691"/>
        <w:gridCol w:w="4486"/>
        <w:gridCol w:w="5711"/>
      </w:tblGrid>
      <w:tr w14:paraId="6D02E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440" w:type="dxa"/>
            <w:gridSpan w:val="2"/>
            <w:noWrap w:val="0"/>
            <w:vAlign w:val="center"/>
          </w:tcPr>
          <w:p w14:paraId="2E1CA922">
            <w:pPr>
              <w:keepNext w:val="0"/>
              <w:keepLines w:val="0"/>
              <w:pageBreakBefore w:val="0"/>
              <w:widowControl/>
              <w:tabs>
                <w:tab w:val="center" w:pos="4153"/>
                <w:tab w:val="right" w:pos="8306"/>
              </w:tabs>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仿宋" w:cs="Times New Roman"/>
                <w:color w:val="auto"/>
                <w:kern w:val="0"/>
                <w:sz w:val="24"/>
                <w:szCs w:val="24"/>
                <w:lang w:bidi="ar-SA"/>
              </w:rPr>
            </w:pPr>
            <w:r>
              <w:rPr>
                <w:rFonts w:hint="default" w:ascii="Times New Roman" w:hAnsi="Times New Roman" w:eastAsia="仿宋" w:cs="Times New Roman"/>
                <w:color w:val="auto"/>
                <w:kern w:val="0"/>
                <w:sz w:val="24"/>
                <w:szCs w:val="24"/>
                <w:lang w:bidi="ar-SA"/>
              </w:rPr>
              <w:t>应急指挥机构组成</w:t>
            </w:r>
          </w:p>
        </w:tc>
        <w:tc>
          <w:tcPr>
            <w:tcW w:w="3879" w:type="dxa"/>
            <w:noWrap w:val="0"/>
            <w:vAlign w:val="center"/>
          </w:tcPr>
          <w:p w14:paraId="7CC75529">
            <w:pPr>
              <w:keepNext w:val="0"/>
              <w:keepLines w:val="0"/>
              <w:pageBreakBefore w:val="0"/>
              <w:widowControl/>
              <w:tabs>
                <w:tab w:val="center" w:pos="4153"/>
                <w:tab w:val="right" w:pos="8306"/>
              </w:tabs>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仿宋" w:cs="Times New Roman"/>
                <w:color w:val="auto"/>
                <w:kern w:val="0"/>
                <w:sz w:val="24"/>
                <w:szCs w:val="24"/>
                <w:lang w:bidi="ar-SA"/>
              </w:rPr>
            </w:pPr>
            <w:r>
              <w:rPr>
                <w:rFonts w:hint="default" w:ascii="Times New Roman" w:hAnsi="Times New Roman" w:eastAsia="仿宋" w:cs="Times New Roman"/>
                <w:color w:val="auto"/>
                <w:kern w:val="0"/>
                <w:sz w:val="24"/>
                <w:szCs w:val="24"/>
                <w:lang w:bidi="ar-SA"/>
              </w:rPr>
              <w:t>日常职责</w:t>
            </w:r>
          </w:p>
        </w:tc>
        <w:tc>
          <w:tcPr>
            <w:tcW w:w="4939" w:type="dxa"/>
            <w:noWrap w:val="0"/>
            <w:vAlign w:val="center"/>
          </w:tcPr>
          <w:p w14:paraId="4E78F774">
            <w:pPr>
              <w:keepNext w:val="0"/>
              <w:keepLines w:val="0"/>
              <w:pageBreakBefore w:val="0"/>
              <w:widowControl/>
              <w:tabs>
                <w:tab w:val="center" w:pos="4153"/>
                <w:tab w:val="right" w:pos="8306"/>
              </w:tabs>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仿宋" w:cs="Times New Roman"/>
                <w:color w:val="auto"/>
                <w:kern w:val="0"/>
                <w:sz w:val="24"/>
                <w:szCs w:val="24"/>
                <w:lang w:bidi="ar-SA"/>
              </w:rPr>
            </w:pPr>
            <w:r>
              <w:rPr>
                <w:rFonts w:hint="default" w:ascii="Times New Roman" w:hAnsi="Times New Roman" w:eastAsia="仿宋" w:cs="Times New Roman"/>
                <w:color w:val="auto"/>
                <w:kern w:val="0"/>
                <w:sz w:val="24"/>
                <w:szCs w:val="24"/>
                <w:lang w:bidi="ar-SA"/>
              </w:rPr>
              <w:t>应急职责</w:t>
            </w:r>
          </w:p>
        </w:tc>
      </w:tr>
      <w:tr w14:paraId="69972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12" w:type="dxa"/>
            <w:noWrap w:val="0"/>
            <w:vAlign w:val="center"/>
          </w:tcPr>
          <w:p w14:paraId="058D70BB">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eastAsia="zh-CN" w:bidi="ar-SA"/>
              </w:rPr>
            </w:pPr>
            <w:r>
              <w:rPr>
                <w:rFonts w:hint="default" w:ascii="Times New Roman" w:hAnsi="Times New Roman" w:eastAsia="仿宋" w:cs="Times New Roman"/>
                <w:color w:val="auto"/>
                <w:sz w:val="24"/>
                <w:szCs w:val="24"/>
                <w:lang w:eastAsia="zh-CN" w:bidi="ar-SA"/>
              </w:rPr>
              <w:t>总指挥</w:t>
            </w:r>
          </w:p>
        </w:tc>
        <w:tc>
          <w:tcPr>
            <w:tcW w:w="2328" w:type="dxa"/>
            <w:noWrap w:val="0"/>
            <w:vAlign w:val="center"/>
          </w:tcPr>
          <w:p w14:paraId="1E9E0B09">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由分管</w:t>
            </w:r>
            <w:r>
              <w:rPr>
                <w:rFonts w:hint="eastAsia" w:ascii="Times New Roman" w:hAnsi="Times New Roman" w:eastAsia="仿宋" w:cs="Times New Roman"/>
                <w:color w:val="auto"/>
                <w:sz w:val="24"/>
                <w:szCs w:val="24"/>
                <w:lang w:val="en-US" w:eastAsia="zh-CN" w:bidi="ar-SA"/>
              </w:rPr>
              <w:t>生态环境</w:t>
            </w:r>
            <w:r>
              <w:rPr>
                <w:rFonts w:hint="default" w:ascii="Times New Roman" w:hAnsi="Times New Roman" w:eastAsia="仿宋" w:cs="Times New Roman"/>
                <w:color w:val="auto"/>
                <w:sz w:val="24"/>
                <w:szCs w:val="24"/>
                <w:lang w:bidi="ar-SA"/>
              </w:rPr>
              <w:t>工作的</w:t>
            </w:r>
            <w:r>
              <w:rPr>
                <w:rFonts w:hint="eastAsia" w:eastAsia="仿宋" w:cs="Times New Roman"/>
                <w:color w:val="auto"/>
                <w:sz w:val="24"/>
                <w:szCs w:val="24"/>
                <w:lang w:eastAsia="zh-CN" w:bidi="ar-SA"/>
              </w:rPr>
              <w:t>市人民政府</w:t>
            </w:r>
            <w:r>
              <w:rPr>
                <w:rFonts w:hint="default" w:ascii="Times New Roman" w:hAnsi="Times New Roman" w:eastAsia="仿宋" w:cs="Times New Roman"/>
                <w:color w:val="auto"/>
                <w:sz w:val="24"/>
                <w:szCs w:val="24"/>
                <w:lang w:bidi="ar-SA"/>
              </w:rPr>
              <w:t>负责人或主要负责人担任</w:t>
            </w:r>
          </w:p>
        </w:tc>
        <w:tc>
          <w:tcPr>
            <w:tcW w:w="3879" w:type="dxa"/>
            <w:noWrap w:val="0"/>
            <w:vAlign w:val="center"/>
          </w:tcPr>
          <w:p w14:paraId="6AF35607">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（1）贯彻执行国家、地方人民政府及有关部门关于水源地突发环境事件的各项要求；</w:t>
            </w:r>
          </w:p>
          <w:p w14:paraId="6118E8F4">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（2）组织编制、修订和批准水源地应急预案；</w:t>
            </w:r>
          </w:p>
          <w:p w14:paraId="725B3DA5">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eastAsia="zh-CN" w:bidi="ar-SA"/>
              </w:rPr>
            </w:pPr>
            <w:r>
              <w:rPr>
                <w:rFonts w:hint="default" w:ascii="Times New Roman" w:hAnsi="Times New Roman" w:eastAsia="仿宋" w:cs="Times New Roman"/>
                <w:color w:val="auto"/>
                <w:sz w:val="24"/>
                <w:szCs w:val="24"/>
                <w:lang w:bidi="ar-SA"/>
              </w:rPr>
              <w:t>（3）指导加强水源地突发环境事件应急管理体系建设</w:t>
            </w:r>
            <w:r>
              <w:rPr>
                <w:rFonts w:hint="default" w:ascii="Times New Roman" w:hAnsi="Times New Roman" w:eastAsia="仿宋" w:cs="Times New Roman"/>
                <w:color w:val="auto"/>
                <w:sz w:val="24"/>
                <w:szCs w:val="24"/>
                <w:lang w:eastAsia="zh-CN" w:bidi="ar-SA"/>
              </w:rPr>
              <w:t>；</w:t>
            </w:r>
          </w:p>
          <w:p w14:paraId="6BDEE135">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eastAsia="zh-CN" w:bidi="ar-SA"/>
              </w:rPr>
            </w:pPr>
            <w:r>
              <w:rPr>
                <w:rFonts w:hint="default" w:ascii="Times New Roman" w:hAnsi="Times New Roman" w:eastAsia="仿宋" w:cs="Times New Roman"/>
                <w:color w:val="auto"/>
                <w:sz w:val="24"/>
                <w:szCs w:val="24"/>
                <w:lang w:bidi="ar-SA"/>
              </w:rPr>
              <w:t>（4）协调保障水源地突发环境事件应急管理工作经费</w:t>
            </w:r>
            <w:r>
              <w:rPr>
                <w:rFonts w:hint="default" w:ascii="Times New Roman" w:hAnsi="Times New Roman" w:eastAsia="仿宋" w:cs="Times New Roman"/>
                <w:color w:val="auto"/>
                <w:sz w:val="24"/>
                <w:szCs w:val="24"/>
                <w:lang w:eastAsia="zh-CN" w:bidi="ar-SA"/>
              </w:rPr>
              <w:t>。</w:t>
            </w:r>
          </w:p>
        </w:tc>
        <w:tc>
          <w:tcPr>
            <w:tcW w:w="4939" w:type="dxa"/>
            <w:noWrap w:val="0"/>
            <w:vAlign w:val="center"/>
          </w:tcPr>
          <w:p w14:paraId="6C56F7D0">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（1）发生水源地突发环境事件时，亲自（或委托副总指挥）赶赴现场进行指挥，组织开展现场应急处置；</w:t>
            </w:r>
          </w:p>
          <w:p w14:paraId="22870230">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（2）贯彻执行当地或上级人民政府及有关部门的应急指令；</w:t>
            </w:r>
          </w:p>
          <w:p w14:paraId="295F163D">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（3）按照预警、应急启动或终止条件，决定预案的启动或终止；</w:t>
            </w:r>
          </w:p>
          <w:p w14:paraId="2482CBD8">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（4）研判突发环境事件发展态势，组织制定并批准现场处置方案；</w:t>
            </w:r>
          </w:p>
          <w:p w14:paraId="51D014CD">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（5）组织开展损害评估等后期工作。</w:t>
            </w:r>
          </w:p>
        </w:tc>
      </w:tr>
      <w:tr w14:paraId="1D111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12" w:type="dxa"/>
            <w:noWrap w:val="0"/>
            <w:vAlign w:val="center"/>
          </w:tcPr>
          <w:p w14:paraId="6362D242">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eastAsia="zh-CN" w:bidi="ar-SA"/>
              </w:rPr>
            </w:pPr>
            <w:r>
              <w:rPr>
                <w:rFonts w:hint="default" w:ascii="Times New Roman" w:hAnsi="Times New Roman" w:eastAsia="仿宋" w:cs="Times New Roman"/>
                <w:color w:val="auto"/>
                <w:sz w:val="24"/>
                <w:szCs w:val="24"/>
                <w:lang w:bidi="ar-SA"/>
              </w:rPr>
              <w:t>副</w:t>
            </w:r>
            <w:r>
              <w:rPr>
                <w:rFonts w:hint="default" w:ascii="Times New Roman" w:hAnsi="Times New Roman" w:eastAsia="仿宋" w:cs="Times New Roman"/>
                <w:color w:val="auto"/>
                <w:sz w:val="24"/>
                <w:szCs w:val="24"/>
                <w:lang w:eastAsia="zh-CN" w:bidi="ar-SA"/>
              </w:rPr>
              <w:t>总指挥</w:t>
            </w:r>
          </w:p>
        </w:tc>
        <w:tc>
          <w:tcPr>
            <w:tcW w:w="2328" w:type="dxa"/>
            <w:noWrap w:val="0"/>
            <w:vAlign w:val="center"/>
          </w:tcPr>
          <w:p w14:paraId="3FC53E13">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bidi="ar-SA"/>
              </w:rPr>
            </w:pPr>
            <w:r>
              <w:rPr>
                <w:rFonts w:hint="eastAsia" w:eastAsia="仿宋" w:cs="Times New Roman"/>
                <w:color w:val="auto"/>
                <w:sz w:val="24"/>
                <w:szCs w:val="24"/>
                <w:lang w:val="en-US" w:eastAsia="zh-CN" w:bidi="ar-SA"/>
              </w:rPr>
              <w:t>各成员单位主要负责人</w:t>
            </w:r>
          </w:p>
        </w:tc>
        <w:tc>
          <w:tcPr>
            <w:tcW w:w="3879" w:type="dxa"/>
            <w:noWrap w:val="0"/>
            <w:vAlign w:val="center"/>
          </w:tcPr>
          <w:p w14:paraId="2217099F">
            <w:pPr>
              <w:pStyle w:val="81"/>
              <w:keepNext w:val="0"/>
              <w:keepLines w:val="0"/>
              <w:pageBreakBefore w:val="0"/>
              <w:widowControl/>
              <w:numPr>
                <w:ilvl w:val="0"/>
                <w:numId w:val="9"/>
              </w:numPr>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协助</w:t>
            </w:r>
            <w:r>
              <w:rPr>
                <w:rFonts w:hint="default" w:ascii="Times New Roman" w:hAnsi="Times New Roman" w:eastAsia="仿宋" w:cs="Times New Roman"/>
                <w:color w:val="auto"/>
                <w:sz w:val="24"/>
                <w:szCs w:val="24"/>
                <w:lang w:eastAsia="zh-CN" w:bidi="ar-SA"/>
              </w:rPr>
              <w:t>总指挥</w:t>
            </w:r>
            <w:r>
              <w:rPr>
                <w:rFonts w:hint="default" w:ascii="Times New Roman" w:hAnsi="Times New Roman" w:eastAsia="仿宋" w:cs="Times New Roman"/>
                <w:color w:val="auto"/>
                <w:sz w:val="24"/>
                <w:szCs w:val="24"/>
                <w:lang w:bidi="ar-SA"/>
              </w:rPr>
              <w:t>开展有关工作；</w:t>
            </w:r>
          </w:p>
          <w:p w14:paraId="48AFDCA0">
            <w:pPr>
              <w:pStyle w:val="81"/>
              <w:keepNext w:val="0"/>
              <w:keepLines w:val="0"/>
              <w:pageBreakBefore w:val="0"/>
              <w:widowControl/>
              <w:numPr>
                <w:ilvl w:val="0"/>
                <w:numId w:val="9"/>
              </w:numPr>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组织指导预案培训和演练、应急救援队伍建设和能力评估等工作；</w:t>
            </w:r>
          </w:p>
          <w:p w14:paraId="4E47CFDC">
            <w:pPr>
              <w:pStyle w:val="81"/>
              <w:keepNext w:val="0"/>
              <w:keepLines w:val="0"/>
              <w:pageBreakBefore w:val="0"/>
              <w:widowControl/>
              <w:numPr>
                <w:ilvl w:val="0"/>
                <w:numId w:val="9"/>
              </w:numPr>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指导开展水源地突发环境事件风险防范和应急准备工作。</w:t>
            </w:r>
          </w:p>
        </w:tc>
        <w:tc>
          <w:tcPr>
            <w:tcW w:w="4939" w:type="dxa"/>
            <w:noWrap w:val="0"/>
            <w:vAlign w:val="center"/>
          </w:tcPr>
          <w:p w14:paraId="7210AA97">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（1）协助总指挥组织开展现场应急处置；</w:t>
            </w:r>
          </w:p>
          <w:p w14:paraId="71CD0286">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（2）根据分工或总指挥安排，负责现场的具体指挥协调；</w:t>
            </w:r>
          </w:p>
          <w:p w14:paraId="441D5E29">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（3）负责提出有关应急处置建议；</w:t>
            </w:r>
          </w:p>
          <w:p w14:paraId="22C33F85">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（4）负责向场外人员通报有关应急信息；</w:t>
            </w:r>
          </w:p>
          <w:p w14:paraId="375948A3">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（5）负责协调现场与场外应急处置工作；</w:t>
            </w:r>
          </w:p>
          <w:p w14:paraId="19CD86A2">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（6）停止取水后，负责协调保障居民用水；</w:t>
            </w:r>
          </w:p>
          <w:p w14:paraId="50E55C7A">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（7）处置现场出现的紧急情况。</w:t>
            </w:r>
          </w:p>
        </w:tc>
      </w:tr>
      <w:tr w14:paraId="50DBE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12" w:type="dxa"/>
            <w:noWrap w:val="0"/>
            <w:vAlign w:val="center"/>
          </w:tcPr>
          <w:p w14:paraId="5502A744">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应急指挥部办公室</w:t>
            </w:r>
          </w:p>
        </w:tc>
        <w:tc>
          <w:tcPr>
            <w:tcW w:w="2328" w:type="dxa"/>
            <w:noWrap w:val="0"/>
            <w:vAlign w:val="center"/>
          </w:tcPr>
          <w:p w14:paraId="3DCDAA69">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bidi="ar-SA"/>
              </w:rPr>
            </w:pPr>
            <w:r>
              <w:rPr>
                <w:rFonts w:hint="eastAsia" w:eastAsia="仿宋" w:cs="Times New Roman"/>
                <w:color w:val="auto"/>
                <w:sz w:val="24"/>
                <w:szCs w:val="24"/>
                <w:lang w:eastAsia="zh-CN" w:bidi="ar-SA"/>
              </w:rPr>
              <w:t>市人民政府</w:t>
            </w:r>
            <w:r>
              <w:rPr>
                <w:rFonts w:hint="default" w:ascii="Times New Roman" w:hAnsi="Times New Roman" w:eastAsia="仿宋" w:cs="Times New Roman"/>
                <w:color w:val="auto"/>
                <w:sz w:val="24"/>
                <w:szCs w:val="24"/>
                <w:lang w:bidi="ar-SA"/>
              </w:rPr>
              <w:t>应急管理部门、水源地管理或乐山市峨眉山生态环境局的工作人员组成</w:t>
            </w:r>
          </w:p>
        </w:tc>
        <w:tc>
          <w:tcPr>
            <w:tcW w:w="3879" w:type="dxa"/>
            <w:noWrap w:val="0"/>
            <w:vAlign w:val="center"/>
          </w:tcPr>
          <w:p w14:paraId="4A72D0C0">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（1）贯彻执行国家、地方人民政府及有关部门关于水源地突发环境事件的各项要求；</w:t>
            </w:r>
          </w:p>
          <w:p w14:paraId="562D9F14">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（2）组织编制、修订水源地应急预案；</w:t>
            </w:r>
          </w:p>
          <w:p w14:paraId="2DA6CBA3">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（3）组织开展水源地突发环境事件应急管理体系建设；</w:t>
            </w:r>
          </w:p>
          <w:p w14:paraId="27921CA2">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（4）协调保障水源地突发环境事件应急管理工作经费；</w:t>
            </w:r>
          </w:p>
          <w:p w14:paraId="71F3C28F">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（5）组织预案培训和演练、应急救援队伍建设和能力评估等工作；</w:t>
            </w:r>
          </w:p>
          <w:p w14:paraId="28EBD861">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（6）开展水源地突发环境事件风险防范和应急准备工作；</w:t>
            </w:r>
          </w:p>
          <w:p w14:paraId="4909DF66">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（7）协助总指挥开展有关工作。</w:t>
            </w:r>
          </w:p>
        </w:tc>
        <w:tc>
          <w:tcPr>
            <w:tcW w:w="4939" w:type="dxa"/>
            <w:noWrap w:val="0"/>
            <w:vAlign w:val="center"/>
          </w:tcPr>
          <w:p w14:paraId="647D3B4A">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（1）贯彻执行总指挥、副总指挥的指令和要求；</w:t>
            </w:r>
          </w:p>
          <w:p w14:paraId="2D0C2EA8">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pacing w:val="-4"/>
                <w:sz w:val="24"/>
                <w:szCs w:val="24"/>
                <w:lang w:bidi="ar-SA"/>
              </w:rPr>
            </w:pPr>
            <w:r>
              <w:rPr>
                <w:rFonts w:hint="default" w:ascii="Times New Roman" w:hAnsi="Times New Roman" w:eastAsia="仿宋" w:cs="Times New Roman"/>
                <w:color w:val="auto"/>
                <w:spacing w:val="-4"/>
                <w:sz w:val="24"/>
                <w:szCs w:val="24"/>
                <w:lang w:bidi="ar-SA"/>
              </w:rPr>
              <w:t>（2）负责信息汇总上报，并与有关的外部应急部门、组织和机构进行联络；</w:t>
            </w:r>
          </w:p>
          <w:p w14:paraId="3D98E45F">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（3）负责调动应急人员、调配应急资源和联络外部应急组织或机构，组织和协调有关部门参与现场应急处置。</w:t>
            </w:r>
          </w:p>
        </w:tc>
      </w:tr>
      <w:tr w14:paraId="61788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12" w:type="dxa"/>
            <w:vMerge w:val="restart"/>
            <w:noWrap w:val="0"/>
            <w:vAlign w:val="center"/>
          </w:tcPr>
          <w:p w14:paraId="186C84F6">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成员</w:t>
            </w:r>
          </w:p>
        </w:tc>
        <w:tc>
          <w:tcPr>
            <w:tcW w:w="2328" w:type="dxa"/>
            <w:noWrap w:val="0"/>
            <w:vAlign w:val="center"/>
          </w:tcPr>
          <w:p w14:paraId="0B6DB6AE">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bidi="ar-SA"/>
              </w:rPr>
            </w:pPr>
            <w:r>
              <w:rPr>
                <w:rFonts w:hint="eastAsia" w:eastAsia="仿宋" w:cs="Times New Roman"/>
                <w:color w:val="auto"/>
                <w:sz w:val="24"/>
                <w:szCs w:val="24"/>
                <w:lang w:eastAsia="zh-CN" w:bidi="ar-SA"/>
              </w:rPr>
              <w:t>市人民政府</w:t>
            </w:r>
            <w:r>
              <w:rPr>
                <w:rFonts w:hint="default" w:ascii="Times New Roman" w:hAnsi="Times New Roman" w:eastAsia="仿宋" w:cs="Times New Roman"/>
                <w:color w:val="auto"/>
                <w:sz w:val="24"/>
                <w:szCs w:val="24"/>
                <w:lang w:bidi="ar-SA"/>
              </w:rPr>
              <w:t>办公室</w:t>
            </w:r>
          </w:p>
        </w:tc>
        <w:tc>
          <w:tcPr>
            <w:tcW w:w="3879" w:type="dxa"/>
            <w:noWrap w:val="0"/>
            <w:vAlign w:val="center"/>
          </w:tcPr>
          <w:p w14:paraId="1BD02788">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w:t>
            </w:r>
          </w:p>
        </w:tc>
        <w:tc>
          <w:tcPr>
            <w:tcW w:w="4939" w:type="dxa"/>
            <w:noWrap w:val="0"/>
            <w:vAlign w:val="center"/>
          </w:tcPr>
          <w:p w14:paraId="64D4F584">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eastAsia="zh-CN" w:bidi="ar-SA"/>
              </w:rPr>
            </w:pPr>
            <w:r>
              <w:rPr>
                <w:rFonts w:hint="default" w:ascii="Times New Roman" w:hAnsi="Times New Roman" w:eastAsia="仿宋" w:cs="Times New Roman"/>
                <w:color w:val="auto"/>
                <w:sz w:val="24"/>
                <w:szCs w:val="24"/>
                <w:lang w:bidi="ar-SA"/>
              </w:rPr>
              <w:t>及时传达指挥部领导的应急处置指示，协助指挥部办公室开展相关工作</w:t>
            </w:r>
            <w:r>
              <w:rPr>
                <w:rFonts w:hint="default" w:ascii="Times New Roman" w:hAnsi="Times New Roman" w:eastAsia="仿宋" w:cs="Times New Roman"/>
                <w:color w:val="auto"/>
                <w:sz w:val="24"/>
                <w:szCs w:val="24"/>
                <w:lang w:eastAsia="zh-CN" w:bidi="ar-SA"/>
              </w:rPr>
              <w:t>。</w:t>
            </w:r>
          </w:p>
        </w:tc>
      </w:tr>
      <w:tr w14:paraId="7F7A0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12" w:type="dxa"/>
            <w:vMerge w:val="continue"/>
            <w:noWrap w:val="0"/>
            <w:vAlign w:val="center"/>
          </w:tcPr>
          <w:p w14:paraId="4F045A55">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2328" w:type="dxa"/>
            <w:noWrap w:val="0"/>
            <w:vAlign w:val="center"/>
          </w:tcPr>
          <w:p w14:paraId="1CD3DE50">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乐山市峨眉山生态环境局</w:t>
            </w:r>
          </w:p>
        </w:tc>
        <w:tc>
          <w:tcPr>
            <w:tcW w:w="3879" w:type="dxa"/>
            <w:noWrap w:val="0"/>
            <w:vAlign w:val="center"/>
          </w:tcPr>
          <w:p w14:paraId="7D9893DC">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开展水源地污染防治的日常监督和管理；对环境污染事件的预防和应急工作实施监督管理。</w:t>
            </w:r>
          </w:p>
        </w:tc>
        <w:tc>
          <w:tcPr>
            <w:tcW w:w="4939" w:type="dxa"/>
            <w:noWrap w:val="0"/>
            <w:vAlign w:val="center"/>
          </w:tcPr>
          <w:p w14:paraId="399A55F7">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eastAsia="zh-CN" w:bidi="ar-SA"/>
              </w:rPr>
            </w:pPr>
            <w:r>
              <w:rPr>
                <w:rFonts w:hint="default" w:ascii="Times New Roman" w:hAnsi="Times New Roman" w:eastAsia="仿宋" w:cs="Times New Roman"/>
                <w:color w:val="auto"/>
                <w:sz w:val="24"/>
                <w:szCs w:val="24"/>
                <w:lang w:bidi="ar-SA"/>
              </w:rPr>
              <w:t>负责牵头对企业违法排污造成的饮用水源地突发水环境污染事件进行调查处置；协助有关部门对</w:t>
            </w:r>
            <w:r>
              <w:rPr>
                <w:rFonts w:hint="eastAsia" w:eastAsia="仿宋" w:cs="Times New Roman"/>
                <w:color w:val="auto"/>
                <w:sz w:val="24"/>
                <w:szCs w:val="24"/>
                <w:lang w:val="en-US" w:eastAsia="zh-CN" w:bidi="ar-SA"/>
              </w:rPr>
              <w:t>各种事故</w:t>
            </w:r>
            <w:r>
              <w:rPr>
                <w:rFonts w:hint="default" w:ascii="Times New Roman" w:hAnsi="Times New Roman" w:eastAsia="仿宋" w:cs="Times New Roman"/>
                <w:color w:val="auto"/>
                <w:sz w:val="24"/>
                <w:szCs w:val="24"/>
                <w:lang w:bidi="ar-SA"/>
              </w:rPr>
              <w:t>引发的饮用水源地突发环境事件进行调查处理；组织开展环境应急监测，提出防止事态扩大和控制污染蔓延的建议，并对事件现场污染物的清除、安全转移以及生态破坏的恢复等工作予以指导</w:t>
            </w:r>
            <w:r>
              <w:rPr>
                <w:rFonts w:hint="default" w:ascii="Times New Roman" w:hAnsi="Times New Roman" w:eastAsia="仿宋" w:cs="Times New Roman"/>
                <w:color w:val="auto"/>
                <w:sz w:val="24"/>
                <w:szCs w:val="24"/>
                <w:lang w:eastAsia="zh-CN" w:bidi="ar-SA"/>
              </w:rPr>
              <w:t>。</w:t>
            </w:r>
          </w:p>
        </w:tc>
      </w:tr>
      <w:tr w14:paraId="3023B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12" w:type="dxa"/>
            <w:vMerge w:val="continue"/>
            <w:noWrap w:val="0"/>
            <w:vAlign w:val="center"/>
          </w:tcPr>
          <w:p w14:paraId="226B7427">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2328" w:type="dxa"/>
            <w:noWrap w:val="0"/>
            <w:vAlign w:val="center"/>
          </w:tcPr>
          <w:p w14:paraId="5AC3C5DD">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应急局</w:t>
            </w:r>
          </w:p>
        </w:tc>
        <w:tc>
          <w:tcPr>
            <w:tcW w:w="3879" w:type="dxa"/>
            <w:noWrap w:val="0"/>
            <w:vAlign w:val="center"/>
          </w:tcPr>
          <w:p w14:paraId="3C7EAC42">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防范企业生产安全事故次生水源地突发环境事件，及时上报并通报事故信息。</w:t>
            </w:r>
          </w:p>
        </w:tc>
        <w:tc>
          <w:tcPr>
            <w:tcW w:w="4939" w:type="dxa"/>
            <w:noWrap w:val="0"/>
            <w:vAlign w:val="center"/>
          </w:tcPr>
          <w:p w14:paraId="02B7B7FD">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eastAsia="zh-CN" w:bidi="ar-SA"/>
              </w:rPr>
            </w:pPr>
            <w:r>
              <w:rPr>
                <w:rFonts w:hint="default" w:ascii="Times New Roman" w:hAnsi="Times New Roman" w:eastAsia="仿宋" w:cs="Times New Roman"/>
                <w:color w:val="auto"/>
                <w:sz w:val="24"/>
                <w:szCs w:val="24"/>
                <w:lang w:bidi="ar-SA"/>
              </w:rPr>
              <w:t>协助处置因</w:t>
            </w:r>
            <w:r>
              <w:rPr>
                <w:rFonts w:hint="eastAsia" w:eastAsia="仿宋" w:cs="Times New Roman"/>
                <w:color w:val="auto"/>
                <w:sz w:val="24"/>
                <w:szCs w:val="24"/>
                <w:lang w:val="en-US" w:eastAsia="zh-CN" w:bidi="ar-SA"/>
              </w:rPr>
              <w:t>各种事故等原因</w:t>
            </w:r>
            <w:r>
              <w:rPr>
                <w:rFonts w:hint="default" w:ascii="Times New Roman" w:hAnsi="Times New Roman" w:eastAsia="仿宋" w:cs="Times New Roman"/>
                <w:color w:val="auto"/>
                <w:sz w:val="24"/>
                <w:szCs w:val="24"/>
                <w:lang w:bidi="ar-SA"/>
              </w:rPr>
              <w:t>导致的水源地突发环境事件</w:t>
            </w:r>
            <w:r>
              <w:rPr>
                <w:rFonts w:hint="default" w:ascii="Times New Roman" w:hAnsi="Times New Roman" w:eastAsia="仿宋" w:cs="Times New Roman"/>
                <w:color w:val="auto"/>
                <w:sz w:val="24"/>
                <w:szCs w:val="24"/>
                <w:lang w:eastAsia="zh-CN" w:bidi="ar-SA"/>
              </w:rPr>
              <w:t>。</w:t>
            </w:r>
          </w:p>
        </w:tc>
      </w:tr>
      <w:tr w14:paraId="60F19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12" w:type="dxa"/>
            <w:vMerge w:val="continue"/>
            <w:noWrap w:val="0"/>
            <w:vAlign w:val="center"/>
          </w:tcPr>
          <w:p w14:paraId="1EB9776D">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2328" w:type="dxa"/>
            <w:noWrap w:val="0"/>
            <w:vAlign w:val="center"/>
          </w:tcPr>
          <w:p w14:paraId="4CFEC1B0">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水利局</w:t>
            </w:r>
          </w:p>
        </w:tc>
        <w:tc>
          <w:tcPr>
            <w:tcW w:w="3879" w:type="dxa"/>
            <w:noWrap w:val="0"/>
            <w:vAlign w:val="center"/>
          </w:tcPr>
          <w:p w14:paraId="0E2DCFA1">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负责供水单位日常管理工作，对供水单位水质异常现象进行调查处理，及时上报并通报供水单位水质异常信息；负责指导水源地水利设施建设和管理。</w:t>
            </w:r>
          </w:p>
        </w:tc>
        <w:tc>
          <w:tcPr>
            <w:tcW w:w="4939" w:type="dxa"/>
            <w:noWrap w:val="0"/>
            <w:vAlign w:val="center"/>
          </w:tcPr>
          <w:p w14:paraId="5DD4B403">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按照应急指挥部要求，利用水利工程进行污染团拦截、降污或调水稀释等工作。提供事发水源地突发环境污染事件应对工作所需水文水利资料。提供应急保障供水工程技术支持，做好应急供水保障工作。配合饮用水源地突发环境事件处置工作。</w:t>
            </w:r>
          </w:p>
        </w:tc>
      </w:tr>
      <w:tr w14:paraId="7876E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12" w:type="dxa"/>
            <w:vMerge w:val="continue"/>
            <w:noWrap w:val="0"/>
            <w:vAlign w:val="center"/>
          </w:tcPr>
          <w:p w14:paraId="1EE00A44">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2328" w:type="dxa"/>
            <w:noWrap w:val="0"/>
            <w:vAlign w:val="center"/>
          </w:tcPr>
          <w:p w14:paraId="17AC53CE">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仿宋" w:cs="Times New Roman"/>
                <w:color w:val="auto"/>
                <w:sz w:val="24"/>
                <w:szCs w:val="24"/>
                <w:lang w:eastAsia="zh-CN" w:bidi="ar-SA"/>
              </w:rPr>
            </w:pPr>
            <w:r>
              <w:rPr>
                <w:rFonts w:hint="eastAsia" w:eastAsia="仿宋" w:cs="Times New Roman"/>
                <w:color w:val="auto"/>
                <w:sz w:val="24"/>
                <w:szCs w:val="24"/>
                <w:lang w:eastAsia="zh-CN" w:bidi="ar-SA"/>
              </w:rPr>
              <w:t>卫健委</w:t>
            </w:r>
          </w:p>
        </w:tc>
        <w:tc>
          <w:tcPr>
            <w:tcW w:w="3879" w:type="dxa"/>
            <w:noWrap w:val="0"/>
            <w:vAlign w:val="center"/>
          </w:tcPr>
          <w:p w14:paraId="26E71C3C">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负责自来水管网末梢水水质卫生日常管理，及时上报并通报管网末梢水水质异常信息。</w:t>
            </w:r>
          </w:p>
        </w:tc>
        <w:tc>
          <w:tcPr>
            <w:tcW w:w="4939" w:type="dxa"/>
            <w:noWrap w:val="0"/>
            <w:vAlign w:val="center"/>
          </w:tcPr>
          <w:p w14:paraId="16998022">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负责管网末梢水水质应急监测，确保应急期间居民饮水卫生安全；开展出厂水、末梢水、临时供水水质监测；禁止或限制受污染食品和饮用水流通和食用，对现场进行消毒防疫，防范因环境突发事件造成中毒事件等。</w:t>
            </w:r>
          </w:p>
        </w:tc>
      </w:tr>
      <w:tr w14:paraId="30F4F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12" w:type="dxa"/>
            <w:vMerge w:val="continue"/>
            <w:noWrap w:val="0"/>
            <w:vAlign w:val="center"/>
          </w:tcPr>
          <w:p w14:paraId="41079388">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2328" w:type="dxa"/>
            <w:noWrap w:val="0"/>
            <w:vAlign w:val="center"/>
          </w:tcPr>
          <w:p w14:paraId="60B4C45B">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eastAsia="zh-CN" w:bidi="ar-SA"/>
              </w:rPr>
            </w:pPr>
            <w:r>
              <w:rPr>
                <w:rFonts w:hint="default" w:ascii="Times New Roman" w:hAnsi="Times New Roman" w:eastAsia="仿宋" w:cs="Times New Roman"/>
                <w:color w:val="auto"/>
                <w:sz w:val="24"/>
                <w:szCs w:val="24"/>
                <w:lang w:eastAsia="zh-CN" w:bidi="ar-SA"/>
              </w:rPr>
              <w:t>气象局</w:t>
            </w:r>
          </w:p>
        </w:tc>
        <w:tc>
          <w:tcPr>
            <w:tcW w:w="3879" w:type="dxa"/>
            <w:noWrap w:val="0"/>
            <w:vAlign w:val="center"/>
          </w:tcPr>
          <w:p w14:paraId="7FD4E995">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及时上报、通报和发布暴雨、洪水等气象信息。</w:t>
            </w:r>
          </w:p>
        </w:tc>
        <w:tc>
          <w:tcPr>
            <w:tcW w:w="4939" w:type="dxa"/>
            <w:noWrap w:val="0"/>
            <w:vAlign w:val="center"/>
          </w:tcPr>
          <w:p w14:paraId="09D43EEA">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eastAsia="zh-CN" w:bidi="ar-SA"/>
              </w:rPr>
            </w:pPr>
            <w:r>
              <w:rPr>
                <w:rFonts w:hint="default" w:ascii="Times New Roman" w:hAnsi="Times New Roman" w:eastAsia="仿宋" w:cs="Times New Roman"/>
                <w:color w:val="auto"/>
                <w:sz w:val="24"/>
                <w:szCs w:val="24"/>
                <w:lang w:bidi="ar-SA"/>
              </w:rPr>
              <w:t>负责应急期间提供水源地周边气象信息，提供预警和处置建议</w:t>
            </w:r>
            <w:r>
              <w:rPr>
                <w:rFonts w:hint="default" w:ascii="Times New Roman" w:hAnsi="Times New Roman" w:eastAsia="仿宋" w:cs="Times New Roman"/>
                <w:color w:val="auto"/>
                <w:sz w:val="24"/>
                <w:szCs w:val="24"/>
                <w:lang w:eastAsia="zh-CN" w:bidi="ar-SA"/>
              </w:rPr>
              <w:t>。</w:t>
            </w:r>
          </w:p>
        </w:tc>
      </w:tr>
      <w:tr w14:paraId="40B58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12" w:type="dxa"/>
            <w:vMerge w:val="continue"/>
            <w:noWrap w:val="0"/>
            <w:vAlign w:val="center"/>
          </w:tcPr>
          <w:p w14:paraId="36F9E889">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2328" w:type="dxa"/>
            <w:noWrap w:val="0"/>
            <w:vAlign w:val="center"/>
          </w:tcPr>
          <w:p w14:paraId="27BCD039">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仿宋" w:cs="Times New Roman"/>
                <w:color w:val="auto"/>
                <w:sz w:val="24"/>
                <w:szCs w:val="24"/>
                <w:lang w:eastAsia="zh-CN" w:bidi="ar-SA"/>
              </w:rPr>
            </w:pPr>
            <w:r>
              <w:rPr>
                <w:rFonts w:hint="default" w:ascii="Times New Roman" w:hAnsi="Times New Roman" w:eastAsia="仿宋" w:cs="Times New Roman"/>
                <w:color w:val="auto"/>
                <w:sz w:val="24"/>
                <w:szCs w:val="24"/>
                <w:lang w:bidi="ar-SA"/>
              </w:rPr>
              <w:t>农业农村</w:t>
            </w:r>
            <w:r>
              <w:rPr>
                <w:rFonts w:hint="eastAsia" w:eastAsia="仿宋" w:cs="Times New Roman"/>
                <w:color w:val="auto"/>
                <w:sz w:val="24"/>
                <w:szCs w:val="24"/>
                <w:lang w:val="en-US" w:eastAsia="zh-CN" w:bidi="ar-SA"/>
              </w:rPr>
              <w:t>局</w:t>
            </w:r>
          </w:p>
        </w:tc>
        <w:tc>
          <w:tcPr>
            <w:tcW w:w="3879" w:type="dxa"/>
            <w:noWrap w:val="0"/>
            <w:vAlign w:val="center"/>
          </w:tcPr>
          <w:p w14:paraId="4B53B145">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eastAsia" w:eastAsia="仿宋" w:cs="Times New Roman"/>
                <w:color w:val="auto"/>
                <w:sz w:val="24"/>
                <w:szCs w:val="24"/>
                <w:lang w:val="en-US" w:eastAsia="zh-CN" w:bidi="ar-SA"/>
              </w:rPr>
              <w:t>引导种植、养殖行为</w:t>
            </w:r>
            <w:r>
              <w:rPr>
                <w:rFonts w:hint="default" w:ascii="Times New Roman" w:hAnsi="Times New Roman" w:eastAsia="仿宋" w:cs="Times New Roman"/>
                <w:color w:val="auto"/>
                <w:sz w:val="24"/>
                <w:szCs w:val="24"/>
                <w:lang w:bidi="ar-SA"/>
              </w:rPr>
              <w:t>，防范农业面源导致的水源地突发环境事件。</w:t>
            </w:r>
          </w:p>
        </w:tc>
        <w:tc>
          <w:tcPr>
            <w:tcW w:w="4939" w:type="dxa"/>
            <w:noWrap w:val="0"/>
            <w:vAlign w:val="center"/>
          </w:tcPr>
          <w:p w14:paraId="6FEE7857">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负责农业面源造成的水源地突发环境事件的预防和调查处理工作；对农作物生态功能受损情况及原因进行调查处理。</w:t>
            </w:r>
          </w:p>
        </w:tc>
      </w:tr>
      <w:tr w14:paraId="61C64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12" w:type="dxa"/>
            <w:vMerge w:val="continue"/>
            <w:noWrap w:val="0"/>
            <w:vAlign w:val="center"/>
          </w:tcPr>
          <w:p w14:paraId="6D9F83A2">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2328" w:type="dxa"/>
            <w:noWrap w:val="0"/>
            <w:vAlign w:val="center"/>
          </w:tcPr>
          <w:p w14:paraId="2159DC03">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bidi="ar-SA"/>
              </w:rPr>
            </w:pPr>
            <w:r>
              <w:rPr>
                <w:rFonts w:hint="eastAsia" w:eastAsia="仿宋" w:cs="Times New Roman"/>
                <w:color w:val="auto"/>
                <w:sz w:val="24"/>
                <w:szCs w:val="24"/>
                <w:lang w:eastAsia="zh-CN" w:bidi="ar-SA"/>
              </w:rPr>
              <w:t>市</w:t>
            </w:r>
            <w:r>
              <w:rPr>
                <w:rFonts w:hint="default" w:ascii="Times New Roman" w:hAnsi="Times New Roman" w:eastAsia="仿宋" w:cs="Times New Roman"/>
                <w:color w:val="auto"/>
                <w:sz w:val="24"/>
                <w:szCs w:val="24"/>
                <w:lang w:bidi="ar-SA"/>
              </w:rPr>
              <w:t>财政局</w:t>
            </w:r>
          </w:p>
        </w:tc>
        <w:tc>
          <w:tcPr>
            <w:tcW w:w="3879" w:type="dxa"/>
            <w:noWrap w:val="0"/>
            <w:vAlign w:val="center"/>
          </w:tcPr>
          <w:p w14:paraId="589970CD">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负责保障水源地突发环境事件防范和应对工作的经费。</w:t>
            </w:r>
          </w:p>
        </w:tc>
        <w:tc>
          <w:tcPr>
            <w:tcW w:w="4939" w:type="dxa"/>
            <w:noWrap w:val="0"/>
            <w:vAlign w:val="center"/>
          </w:tcPr>
          <w:p w14:paraId="4407722A">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制定经费保障的相关政策及方案；将环境污染和生态破坏事故应急基础数据系统建设、应急装备配备、应急技术研究、应急预案演练等费用纳入财政生态环境保护专项预算。</w:t>
            </w:r>
          </w:p>
        </w:tc>
      </w:tr>
      <w:tr w14:paraId="7A9A6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12" w:type="dxa"/>
            <w:vMerge w:val="continue"/>
            <w:noWrap w:val="0"/>
            <w:vAlign w:val="center"/>
          </w:tcPr>
          <w:p w14:paraId="06CC9351">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2328" w:type="dxa"/>
            <w:noWrap w:val="0"/>
            <w:vAlign w:val="center"/>
          </w:tcPr>
          <w:p w14:paraId="5DC9606E">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bidi="ar-SA"/>
              </w:rPr>
            </w:pPr>
            <w:r>
              <w:rPr>
                <w:rFonts w:hint="eastAsia" w:eastAsia="仿宋" w:cs="Times New Roman"/>
                <w:color w:val="auto"/>
                <w:sz w:val="24"/>
                <w:szCs w:val="24"/>
                <w:lang w:eastAsia="zh-CN" w:bidi="ar-SA"/>
              </w:rPr>
              <w:t>市</w:t>
            </w:r>
            <w:r>
              <w:rPr>
                <w:rFonts w:hint="default" w:ascii="Times New Roman" w:hAnsi="Times New Roman" w:eastAsia="仿宋" w:cs="Times New Roman"/>
                <w:color w:val="auto"/>
                <w:sz w:val="24"/>
                <w:szCs w:val="24"/>
                <w:lang w:bidi="ar-SA"/>
              </w:rPr>
              <w:t>城市管理局</w:t>
            </w:r>
          </w:p>
        </w:tc>
        <w:tc>
          <w:tcPr>
            <w:tcW w:w="3879" w:type="dxa"/>
            <w:noWrap w:val="0"/>
            <w:vAlign w:val="center"/>
          </w:tcPr>
          <w:p w14:paraId="71C1EF42">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负责供水单位日常管理工作，对供水单位水质异常现象进行调查处理，及时上报并通报供水单位水质异常信息。负责协调和落实应急过程</w:t>
            </w:r>
            <w:r>
              <w:rPr>
                <w:rFonts w:hint="eastAsia" w:ascii="Times New Roman" w:hAnsi="Times New Roman" w:eastAsia="仿宋" w:cs="Times New Roman"/>
                <w:color w:val="auto"/>
                <w:sz w:val="24"/>
                <w:szCs w:val="24"/>
                <w:lang w:eastAsia="zh-CN" w:bidi="ar-SA"/>
              </w:rPr>
              <w:t>涉及</w:t>
            </w:r>
            <w:r>
              <w:rPr>
                <w:rFonts w:hint="default" w:ascii="Times New Roman" w:hAnsi="Times New Roman" w:eastAsia="仿宋" w:cs="Times New Roman"/>
                <w:color w:val="auto"/>
                <w:sz w:val="24"/>
                <w:szCs w:val="24"/>
                <w:lang w:bidi="ar-SA"/>
              </w:rPr>
              <w:t>应急启用的市政道路、管网及其他市政基础设施配套措施。</w:t>
            </w:r>
          </w:p>
        </w:tc>
        <w:tc>
          <w:tcPr>
            <w:tcW w:w="4939" w:type="dxa"/>
            <w:noWrap w:val="0"/>
            <w:vAlign w:val="center"/>
          </w:tcPr>
          <w:p w14:paraId="2102FE7B">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负责市政设施引发水源地突发环境污染事件的预防、应对和调查处理；指导城</w:t>
            </w:r>
            <w:r>
              <w:rPr>
                <w:rFonts w:hint="eastAsia" w:eastAsia="仿宋" w:cs="Times New Roman"/>
                <w:color w:val="auto"/>
                <w:sz w:val="24"/>
                <w:szCs w:val="24"/>
                <w:lang w:eastAsia="zh-CN" w:bidi="ar-SA"/>
              </w:rPr>
              <w:t>市</w:t>
            </w:r>
            <w:r>
              <w:rPr>
                <w:rFonts w:hint="default" w:ascii="Times New Roman" w:hAnsi="Times New Roman" w:eastAsia="仿宋" w:cs="Times New Roman"/>
                <w:color w:val="auto"/>
                <w:sz w:val="24"/>
                <w:szCs w:val="24"/>
                <w:lang w:bidi="ar-SA"/>
              </w:rPr>
              <w:t>供水企业采取有效应对措施，保障生活饮用水供应；参与有关事件善后处理工作。</w:t>
            </w:r>
          </w:p>
        </w:tc>
      </w:tr>
      <w:tr w14:paraId="72E9D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12" w:type="dxa"/>
            <w:vMerge w:val="continue"/>
            <w:noWrap w:val="0"/>
            <w:vAlign w:val="center"/>
          </w:tcPr>
          <w:p w14:paraId="175166EF">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2328" w:type="dxa"/>
            <w:noWrap w:val="0"/>
            <w:vAlign w:val="center"/>
          </w:tcPr>
          <w:p w14:paraId="57566C8E">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bidi="ar-SA"/>
              </w:rPr>
            </w:pPr>
            <w:r>
              <w:rPr>
                <w:rFonts w:hint="eastAsia" w:eastAsia="仿宋" w:cs="Times New Roman"/>
                <w:color w:val="auto"/>
                <w:sz w:val="24"/>
                <w:szCs w:val="24"/>
                <w:lang w:eastAsia="zh-CN" w:bidi="ar-SA"/>
              </w:rPr>
              <w:t>市</w:t>
            </w:r>
            <w:r>
              <w:rPr>
                <w:rFonts w:hint="default" w:ascii="Times New Roman" w:hAnsi="Times New Roman" w:eastAsia="仿宋" w:cs="Times New Roman"/>
                <w:color w:val="auto"/>
                <w:sz w:val="24"/>
                <w:szCs w:val="24"/>
                <w:lang w:bidi="ar-SA"/>
              </w:rPr>
              <w:t>委宣传部</w:t>
            </w:r>
          </w:p>
        </w:tc>
        <w:tc>
          <w:tcPr>
            <w:tcW w:w="3879" w:type="dxa"/>
            <w:noWrap w:val="0"/>
            <w:vAlign w:val="center"/>
          </w:tcPr>
          <w:p w14:paraId="702F6DC8">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w:t>
            </w:r>
          </w:p>
        </w:tc>
        <w:tc>
          <w:tcPr>
            <w:tcW w:w="4939" w:type="dxa"/>
            <w:noWrap w:val="0"/>
            <w:vAlign w:val="center"/>
          </w:tcPr>
          <w:p w14:paraId="33DE4531">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负责新闻发布和舆论引导；会同有关部门牵头做好新闻通稿起草工作，视情向媒体发布；授权向公众发布供水信息和有关通报。</w:t>
            </w:r>
          </w:p>
        </w:tc>
      </w:tr>
      <w:tr w14:paraId="7F33D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12" w:type="dxa"/>
            <w:vMerge w:val="continue"/>
            <w:noWrap w:val="0"/>
            <w:vAlign w:val="center"/>
          </w:tcPr>
          <w:p w14:paraId="599783EB">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2328" w:type="dxa"/>
            <w:noWrap w:val="0"/>
            <w:vAlign w:val="center"/>
          </w:tcPr>
          <w:p w14:paraId="77C9DAEA">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bidi="ar-SA"/>
              </w:rPr>
            </w:pPr>
            <w:r>
              <w:rPr>
                <w:rFonts w:hint="eastAsia" w:eastAsia="仿宋" w:cs="Times New Roman"/>
                <w:color w:val="auto"/>
                <w:sz w:val="24"/>
                <w:szCs w:val="24"/>
                <w:lang w:eastAsia="zh-CN" w:bidi="ar-SA"/>
              </w:rPr>
              <w:t>市</w:t>
            </w:r>
            <w:r>
              <w:rPr>
                <w:rFonts w:hint="default" w:ascii="Times New Roman" w:hAnsi="Times New Roman" w:eastAsia="仿宋" w:cs="Times New Roman"/>
                <w:color w:val="auto"/>
                <w:sz w:val="24"/>
                <w:szCs w:val="24"/>
                <w:lang w:bidi="ar-SA"/>
              </w:rPr>
              <w:t>人武部</w:t>
            </w:r>
          </w:p>
        </w:tc>
        <w:tc>
          <w:tcPr>
            <w:tcW w:w="3879" w:type="dxa"/>
            <w:noWrap w:val="0"/>
            <w:vAlign w:val="center"/>
          </w:tcPr>
          <w:p w14:paraId="02E6C7AE">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w:t>
            </w:r>
          </w:p>
        </w:tc>
        <w:tc>
          <w:tcPr>
            <w:tcW w:w="4939" w:type="dxa"/>
            <w:noWrap w:val="0"/>
            <w:vAlign w:val="center"/>
          </w:tcPr>
          <w:p w14:paraId="0AB96342">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对水源地突发环境事件的应急响应工作进行支援、支持。</w:t>
            </w:r>
          </w:p>
        </w:tc>
      </w:tr>
      <w:tr w14:paraId="19F37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12" w:type="dxa"/>
            <w:vMerge w:val="continue"/>
            <w:noWrap w:val="0"/>
            <w:vAlign w:val="center"/>
          </w:tcPr>
          <w:p w14:paraId="5EFFCF33">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2328" w:type="dxa"/>
            <w:noWrap w:val="0"/>
            <w:vAlign w:val="center"/>
          </w:tcPr>
          <w:p w14:paraId="16B0DD26">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bidi="ar-SA"/>
              </w:rPr>
            </w:pPr>
            <w:r>
              <w:rPr>
                <w:rFonts w:hint="eastAsia" w:eastAsia="仿宋" w:cs="Times New Roman"/>
                <w:color w:val="auto"/>
                <w:sz w:val="24"/>
                <w:szCs w:val="24"/>
                <w:lang w:eastAsia="zh-CN" w:bidi="ar-SA"/>
              </w:rPr>
              <w:t>市</w:t>
            </w:r>
            <w:r>
              <w:rPr>
                <w:rFonts w:hint="default" w:ascii="Times New Roman" w:hAnsi="Times New Roman" w:eastAsia="仿宋" w:cs="Times New Roman"/>
                <w:color w:val="auto"/>
                <w:sz w:val="24"/>
                <w:szCs w:val="24"/>
                <w:lang w:bidi="ar-SA"/>
              </w:rPr>
              <w:t>公安局</w:t>
            </w:r>
          </w:p>
        </w:tc>
        <w:tc>
          <w:tcPr>
            <w:tcW w:w="3879" w:type="dxa"/>
            <w:noWrap w:val="0"/>
            <w:vAlign w:val="center"/>
          </w:tcPr>
          <w:p w14:paraId="2077C49E">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w:t>
            </w:r>
          </w:p>
        </w:tc>
        <w:tc>
          <w:tcPr>
            <w:tcW w:w="4939" w:type="dxa"/>
            <w:noWrap w:val="0"/>
            <w:vAlign w:val="center"/>
          </w:tcPr>
          <w:p w14:paraId="014DE6C2">
            <w:pPr>
              <w:pStyle w:val="81"/>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负责应急处置现场警戒、人员疏散、交通管制、社会治安秩序维护、舆情监控应对工作；会同生态环境部门开展次生的水源地突发环境污染事件调查处理工作，并对涉嫌构成环境污染犯罪的单位、个人依法进行立案查处。</w:t>
            </w:r>
          </w:p>
        </w:tc>
      </w:tr>
      <w:tr w14:paraId="03715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12" w:type="dxa"/>
            <w:vMerge w:val="continue"/>
            <w:noWrap w:val="0"/>
            <w:vAlign w:val="center"/>
          </w:tcPr>
          <w:p w14:paraId="1C99466D">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2328" w:type="dxa"/>
            <w:noWrap w:val="0"/>
            <w:vAlign w:val="center"/>
          </w:tcPr>
          <w:p w14:paraId="646CD225">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eastAsia" w:eastAsia="仿宋" w:cs="Times New Roman"/>
                <w:color w:val="auto"/>
                <w:sz w:val="24"/>
                <w:szCs w:val="24"/>
                <w:lang w:val="en-US" w:eastAsia="zh-CN" w:bidi="ar-SA"/>
              </w:rPr>
              <w:t>镇人民政府</w:t>
            </w:r>
          </w:p>
        </w:tc>
        <w:tc>
          <w:tcPr>
            <w:tcW w:w="3879" w:type="dxa"/>
            <w:noWrap w:val="0"/>
            <w:vAlign w:val="center"/>
          </w:tcPr>
          <w:p w14:paraId="7432B1A5">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负责水源地日常巡查</w:t>
            </w:r>
          </w:p>
        </w:tc>
        <w:tc>
          <w:tcPr>
            <w:tcW w:w="4939" w:type="dxa"/>
            <w:noWrap w:val="0"/>
            <w:vAlign w:val="center"/>
          </w:tcPr>
          <w:p w14:paraId="39CF8E13">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协助、配合各应急救援单位做好相关工作；负责帮助落实送水和集中接水地点，组织用水发放，维护好现场秩序；参与事故现场的救援工作，为事故救援提供人力支持，储备应急救援人力；负责先期处置，按规定迅速上报。</w:t>
            </w:r>
          </w:p>
        </w:tc>
      </w:tr>
      <w:tr w14:paraId="5E527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12" w:type="dxa"/>
            <w:vMerge w:val="continue"/>
            <w:noWrap w:val="0"/>
            <w:vAlign w:val="center"/>
          </w:tcPr>
          <w:p w14:paraId="1C951ADA">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2328" w:type="dxa"/>
            <w:noWrap w:val="0"/>
            <w:vAlign w:val="center"/>
          </w:tcPr>
          <w:p w14:paraId="613B3F89">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仿宋" w:cs="Times New Roman"/>
                <w:color w:val="auto"/>
                <w:sz w:val="24"/>
                <w:szCs w:val="24"/>
                <w:lang w:eastAsia="zh-CN" w:bidi="ar-SA"/>
              </w:rPr>
            </w:pPr>
            <w:r>
              <w:rPr>
                <w:rFonts w:hint="default" w:ascii="Times New Roman" w:hAnsi="Times New Roman" w:eastAsia="仿宋" w:cs="Times New Roman"/>
                <w:color w:val="auto"/>
                <w:sz w:val="24"/>
                <w:szCs w:val="24"/>
                <w:lang w:bidi="ar-SA"/>
              </w:rPr>
              <w:t>供水</w:t>
            </w:r>
            <w:r>
              <w:rPr>
                <w:rFonts w:hint="eastAsia" w:eastAsia="仿宋" w:cs="Times New Roman"/>
                <w:color w:val="auto"/>
                <w:sz w:val="24"/>
                <w:szCs w:val="24"/>
                <w:lang w:val="en-US" w:eastAsia="zh-CN" w:bidi="ar-SA"/>
              </w:rPr>
              <w:t>公司</w:t>
            </w:r>
          </w:p>
        </w:tc>
        <w:tc>
          <w:tcPr>
            <w:tcW w:w="3879" w:type="dxa"/>
            <w:noWrap w:val="0"/>
            <w:vAlign w:val="center"/>
          </w:tcPr>
          <w:p w14:paraId="785C7B66">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w:t>
            </w:r>
          </w:p>
        </w:tc>
        <w:tc>
          <w:tcPr>
            <w:tcW w:w="4939" w:type="dxa"/>
            <w:noWrap w:val="0"/>
            <w:vAlign w:val="center"/>
          </w:tcPr>
          <w:p w14:paraId="17AE1DF3">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bidi="ar-SA"/>
              </w:rPr>
            </w:pPr>
            <w:r>
              <w:rPr>
                <w:rFonts w:hint="default" w:ascii="Times New Roman" w:hAnsi="Times New Roman" w:eastAsia="仿宋" w:cs="Times New Roman"/>
                <w:color w:val="auto"/>
                <w:sz w:val="24"/>
                <w:szCs w:val="24"/>
                <w:lang w:bidi="ar-SA"/>
              </w:rPr>
              <w:t>协助、配合各应急救援单位做好相关工作</w:t>
            </w:r>
          </w:p>
        </w:tc>
      </w:tr>
    </w:tbl>
    <w:p w14:paraId="4EBC8C0B">
      <w:pPr>
        <w:rPr>
          <w:rFonts w:hint="eastAsia"/>
        </w:rPr>
      </w:pPr>
    </w:p>
    <w:p w14:paraId="0B340D95">
      <w:pPr>
        <w:rPr>
          <w:rFonts w:hint="eastAsia"/>
        </w:rPr>
      </w:pPr>
    </w:p>
    <w:p w14:paraId="69BDD186">
      <w:pPr>
        <w:rPr>
          <w:rFonts w:hint="eastAsia"/>
        </w:rPr>
        <w:sectPr>
          <w:pgSz w:w="16838" w:h="11906" w:orient="landscape"/>
          <w:pgMar w:top="1803" w:right="1440" w:bottom="1803" w:left="1440" w:header="850" w:footer="850" w:gutter="0"/>
          <w:pgBorders>
            <w:top w:val="none" w:sz="0" w:space="0"/>
            <w:left w:val="none" w:sz="0" w:space="0"/>
            <w:bottom w:val="none" w:sz="0" w:space="0"/>
            <w:right w:val="none" w:sz="0" w:space="0"/>
          </w:pgBorders>
          <w:pgNumType w:fmt="decimal"/>
          <w:cols w:space="0" w:num="1"/>
          <w:rtlGutter w:val="0"/>
          <w:docGrid w:linePitch="312" w:charSpace="0"/>
        </w:sectPr>
      </w:pPr>
    </w:p>
    <w:p w14:paraId="7713702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附件3</w:t>
      </w:r>
    </w:p>
    <w:p w14:paraId="07A721A7">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仿宋" w:cs="Times New Roman"/>
          <w:b/>
          <w:bCs/>
          <w:sz w:val="32"/>
          <w:szCs w:val="32"/>
          <w:lang w:val="en-US" w:eastAsia="zh-CN"/>
        </w:rPr>
      </w:pPr>
      <w:r>
        <w:rPr>
          <w:rFonts w:hint="eastAsia" w:ascii="Times New Roman" w:hAnsi="Times New Roman" w:eastAsia="仿宋" w:cs="Times New Roman"/>
          <w:b/>
          <w:bCs/>
          <w:sz w:val="32"/>
          <w:szCs w:val="32"/>
          <w:lang w:val="en-US" w:eastAsia="zh-CN"/>
        </w:rPr>
        <w:t>应急响应机构及联络表</w:t>
      </w:r>
    </w:p>
    <w:p w14:paraId="0AFD2166">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仿宋" w:cs="Times New Roman"/>
          <w:b/>
          <w:bCs/>
          <w:sz w:val="32"/>
          <w:szCs w:val="32"/>
          <w:lang w:val="en-US" w:eastAsia="zh-CN"/>
        </w:rPr>
      </w:pPr>
    </w:p>
    <w:tbl>
      <w:tblPr>
        <w:tblStyle w:val="34"/>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927"/>
        <w:gridCol w:w="4644"/>
        <w:gridCol w:w="1331"/>
        <w:gridCol w:w="1617"/>
      </w:tblGrid>
      <w:tr w14:paraId="50520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544" w:type="pct"/>
            <w:tcBorders>
              <w:tl2br w:val="nil"/>
              <w:tr2bl w:val="nil"/>
            </w:tcBorders>
            <w:shd w:val="clear" w:color="auto" w:fill="auto"/>
            <w:vAlign w:val="center"/>
          </w:tcPr>
          <w:p w14:paraId="65967B57">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地区</w:t>
            </w:r>
          </w:p>
        </w:tc>
        <w:tc>
          <w:tcPr>
            <w:tcW w:w="2725" w:type="pct"/>
            <w:tcBorders>
              <w:tl2br w:val="nil"/>
              <w:tr2bl w:val="nil"/>
            </w:tcBorders>
            <w:shd w:val="clear" w:color="auto" w:fill="auto"/>
            <w:vAlign w:val="center"/>
          </w:tcPr>
          <w:p w14:paraId="5BDD54FC">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单位</w:t>
            </w:r>
          </w:p>
        </w:tc>
        <w:tc>
          <w:tcPr>
            <w:tcW w:w="781" w:type="pct"/>
            <w:tcBorders>
              <w:tl2br w:val="nil"/>
              <w:tr2bl w:val="nil"/>
            </w:tcBorders>
            <w:shd w:val="clear" w:color="auto" w:fill="auto"/>
            <w:vAlign w:val="center"/>
          </w:tcPr>
          <w:p w14:paraId="1F60DFCD">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单位部门/人员</w:t>
            </w:r>
          </w:p>
        </w:tc>
        <w:tc>
          <w:tcPr>
            <w:tcW w:w="949" w:type="pct"/>
            <w:tcBorders>
              <w:tl2br w:val="nil"/>
              <w:tr2bl w:val="nil"/>
            </w:tcBorders>
            <w:shd w:val="clear" w:color="auto" w:fill="auto"/>
            <w:vAlign w:val="center"/>
          </w:tcPr>
          <w:p w14:paraId="36DBC672">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联系电话</w:t>
            </w:r>
          </w:p>
        </w:tc>
      </w:tr>
      <w:tr w14:paraId="31DE1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44" w:type="pct"/>
            <w:vMerge w:val="restart"/>
            <w:tcBorders>
              <w:tl2br w:val="nil"/>
              <w:tr2bl w:val="nil"/>
            </w:tcBorders>
            <w:shd w:val="clear" w:color="auto" w:fill="auto"/>
            <w:vAlign w:val="center"/>
          </w:tcPr>
          <w:p w14:paraId="711CC16E">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乐山市</w:t>
            </w:r>
          </w:p>
        </w:tc>
        <w:tc>
          <w:tcPr>
            <w:tcW w:w="2725" w:type="pct"/>
            <w:tcBorders>
              <w:tl2br w:val="nil"/>
              <w:tr2bl w:val="nil"/>
            </w:tcBorders>
            <w:shd w:val="clear" w:color="auto" w:fill="auto"/>
            <w:vAlign w:val="center"/>
          </w:tcPr>
          <w:p w14:paraId="2C7E8E73">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乐山市生态环境局</w:t>
            </w:r>
          </w:p>
        </w:tc>
        <w:tc>
          <w:tcPr>
            <w:tcW w:w="781" w:type="pct"/>
            <w:tcBorders>
              <w:tl2br w:val="nil"/>
              <w:tr2bl w:val="nil"/>
            </w:tcBorders>
            <w:shd w:val="clear" w:color="auto" w:fill="auto"/>
            <w:vAlign w:val="center"/>
          </w:tcPr>
          <w:p w14:paraId="311C769A">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赖旺坤</w:t>
            </w:r>
          </w:p>
        </w:tc>
        <w:tc>
          <w:tcPr>
            <w:tcW w:w="949" w:type="pct"/>
            <w:tcBorders>
              <w:tl2br w:val="nil"/>
              <w:tr2bl w:val="nil"/>
            </w:tcBorders>
            <w:shd w:val="clear" w:color="auto" w:fill="auto"/>
            <w:vAlign w:val="center"/>
          </w:tcPr>
          <w:p w14:paraId="52513429">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19981976759</w:t>
            </w:r>
          </w:p>
        </w:tc>
      </w:tr>
      <w:tr w14:paraId="6829C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544" w:type="pct"/>
            <w:vMerge w:val="continue"/>
            <w:tcBorders>
              <w:tl2br w:val="nil"/>
              <w:tr2bl w:val="nil"/>
            </w:tcBorders>
            <w:shd w:val="clear" w:color="auto" w:fill="auto"/>
            <w:vAlign w:val="center"/>
          </w:tcPr>
          <w:p w14:paraId="63438749">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p>
        </w:tc>
        <w:tc>
          <w:tcPr>
            <w:tcW w:w="2725" w:type="pct"/>
            <w:tcBorders>
              <w:tl2br w:val="nil"/>
              <w:tr2bl w:val="nil"/>
            </w:tcBorders>
            <w:shd w:val="clear" w:color="auto" w:fill="auto"/>
            <w:vAlign w:val="center"/>
          </w:tcPr>
          <w:p w14:paraId="4A1E903C">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乐山市监测中心站</w:t>
            </w:r>
          </w:p>
        </w:tc>
        <w:tc>
          <w:tcPr>
            <w:tcW w:w="781" w:type="pct"/>
            <w:tcBorders>
              <w:tl2br w:val="nil"/>
              <w:tr2bl w:val="nil"/>
            </w:tcBorders>
            <w:shd w:val="clear" w:color="auto" w:fill="auto"/>
            <w:vAlign w:val="center"/>
          </w:tcPr>
          <w:p w14:paraId="4F7A5B7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办公室</w:t>
            </w:r>
          </w:p>
        </w:tc>
        <w:tc>
          <w:tcPr>
            <w:tcW w:w="949" w:type="pct"/>
            <w:tcBorders>
              <w:tl2br w:val="nil"/>
              <w:tr2bl w:val="nil"/>
            </w:tcBorders>
            <w:shd w:val="clear" w:color="auto" w:fill="auto"/>
            <w:vAlign w:val="center"/>
          </w:tcPr>
          <w:p w14:paraId="327C8380">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0833-2132953</w:t>
            </w:r>
          </w:p>
        </w:tc>
      </w:tr>
      <w:tr w14:paraId="564AF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44" w:type="pct"/>
            <w:vMerge w:val="continue"/>
            <w:tcBorders>
              <w:tl2br w:val="nil"/>
              <w:tr2bl w:val="nil"/>
            </w:tcBorders>
            <w:shd w:val="clear" w:color="auto" w:fill="auto"/>
            <w:vAlign w:val="center"/>
          </w:tcPr>
          <w:p w14:paraId="26952D4A">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p>
        </w:tc>
        <w:tc>
          <w:tcPr>
            <w:tcW w:w="2725" w:type="pct"/>
            <w:tcBorders>
              <w:tl2br w:val="nil"/>
              <w:tr2bl w:val="nil"/>
            </w:tcBorders>
            <w:shd w:val="clear" w:color="auto" w:fill="auto"/>
            <w:vAlign w:val="center"/>
          </w:tcPr>
          <w:p w14:paraId="6C19D36F">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四川中和环境检测技术有限公司</w:t>
            </w:r>
          </w:p>
        </w:tc>
        <w:tc>
          <w:tcPr>
            <w:tcW w:w="781" w:type="pct"/>
            <w:tcBorders>
              <w:tl2br w:val="nil"/>
              <w:tr2bl w:val="nil"/>
            </w:tcBorders>
            <w:shd w:val="clear" w:color="auto" w:fill="auto"/>
            <w:vAlign w:val="center"/>
          </w:tcPr>
          <w:p w14:paraId="6B1EA0A5">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办公室</w:t>
            </w:r>
          </w:p>
        </w:tc>
        <w:tc>
          <w:tcPr>
            <w:tcW w:w="949" w:type="pct"/>
            <w:tcBorders>
              <w:tl2br w:val="nil"/>
              <w:tr2bl w:val="nil"/>
            </w:tcBorders>
            <w:shd w:val="clear" w:color="auto" w:fill="auto"/>
            <w:vAlign w:val="center"/>
          </w:tcPr>
          <w:p w14:paraId="7ABF00BF">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0833-2599094</w:t>
            </w:r>
          </w:p>
        </w:tc>
      </w:tr>
      <w:tr w14:paraId="2A3FA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44" w:type="pct"/>
            <w:vMerge w:val="restart"/>
            <w:tcBorders>
              <w:tl2br w:val="nil"/>
              <w:tr2bl w:val="nil"/>
            </w:tcBorders>
            <w:shd w:val="clear" w:color="auto" w:fill="auto"/>
            <w:vAlign w:val="center"/>
          </w:tcPr>
          <w:p w14:paraId="4A4B2BB7">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峨眉山市</w:t>
            </w:r>
          </w:p>
        </w:tc>
        <w:tc>
          <w:tcPr>
            <w:tcW w:w="2725" w:type="pct"/>
            <w:tcBorders>
              <w:tl2br w:val="nil"/>
              <w:tr2bl w:val="nil"/>
            </w:tcBorders>
            <w:shd w:val="clear" w:color="auto" w:fill="auto"/>
            <w:vAlign w:val="center"/>
          </w:tcPr>
          <w:p w14:paraId="31C4CA56">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峨眉山市政府</w:t>
            </w:r>
          </w:p>
        </w:tc>
        <w:tc>
          <w:tcPr>
            <w:tcW w:w="781" w:type="pct"/>
            <w:tcBorders>
              <w:tl2br w:val="nil"/>
              <w:tr2bl w:val="nil"/>
            </w:tcBorders>
            <w:shd w:val="clear" w:color="auto" w:fill="auto"/>
            <w:vAlign w:val="center"/>
          </w:tcPr>
          <w:p w14:paraId="7B15B7CB">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办公室</w:t>
            </w:r>
          </w:p>
        </w:tc>
        <w:tc>
          <w:tcPr>
            <w:tcW w:w="949" w:type="pct"/>
            <w:tcBorders>
              <w:tl2br w:val="nil"/>
              <w:tr2bl w:val="nil"/>
            </w:tcBorders>
            <w:shd w:val="clear" w:color="auto" w:fill="auto"/>
            <w:vAlign w:val="center"/>
          </w:tcPr>
          <w:p w14:paraId="2A7A5F34">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0833-5522243</w:t>
            </w:r>
          </w:p>
        </w:tc>
      </w:tr>
      <w:tr w14:paraId="6EB45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44" w:type="pct"/>
            <w:vMerge w:val="continue"/>
            <w:tcBorders>
              <w:tl2br w:val="nil"/>
              <w:tr2bl w:val="nil"/>
            </w:tcBorders>
            <w:shd w:val="clear" w:color="auto" w:fill="auto"/>
            <w:vAlign w:val="center"/>
          </w:tcPr>
          <w:p w14:paraId="7F236EB4">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p>
        </w:tc>
        <w:tc>
          <w:tcPr>
            <w:tcW w:w="2725" w:type="pct"/>
            <w:tcBorders>
              <w:tl2br w:val="nil"/>
              <w:tr2bl w:val="nil"/>
            </w:tcBorders>
            <w:shd w:val="clear" w:color="auto" w:fill="auto"/>
            <w:vAlign w:val="center"/>
          </w:tcPr>
          <w:p w14:paraId="1FFB01A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峨眉山市应急办</w:t>
            </w:r>
          </w:p>
        </w:tc>
        <w:tc>
          <w:tcPr>
            <w:tcW w:w="781" w:type="pct"/>
            <w:tcBorders>
              <w:tl2br w:val="nil"/>
              <w:tr2bl w:val="nil"/>
            </w:tcBorders>
            <w:shd w:val="clear" w:color="auto" w:fill="auto"/>
            <w:vAlign w:val="center"/>
          </w:tcPr>
          <w:p w14:paraId="5B3DFF12">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办公室</w:t>
            </w:r>
          </w:p>
        </w:tc>
        <w:tc>
          <w:tcPr>
            <w:tcW w:w="949" w:type="pct"/>
            <w:tcBorders>
              <w:tl2br w:val="nil"/>
              <w:tr2bl w:val="nil"/>
            </w:tcBorders>
            <w:shd w:val="clear" w:color="auto" w:fill="auto"/>
            <w:vAlign w:val="center"/>
          </w:tcPr>
          <w:p w14:paraId="2E817EE5">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0833-5522563</w:t>
            </w:r>
          </w:p>
        </w:tc>
      </w:tr>
      <w:tr w14:paraId="618F6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544" w:type="pct"/>
            <w:vMerge w:val="continue"/>
            <w:tcBorders>
              <w:tl2br w:val="nil"/>
              <w:tr2bl w:val="nil"/>
            </w:tcBorders>
            <w:shd w:val="clear" w:color="auto" w:fill="auto"/>
            <w:vAlign w:val="center"/>
          </w:tcPr>
          <w:p w14:paraId="2797569F">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p>
        </w:tc>
        <w:tc>
          <w:tcPr>
            <w:tcW w:w="2725" w:type="pct"/>
            <w:tcBorders>
              <w:tl2br w:val="nil"/>
              <w:tr2bl w:val="nil"/>
            </w:tcBorders>
            <w:shd w:val="clear" w:color="auto" w:fill="auto"/>
            <w:vAlign w:val="center"/>
          </w:tcPr>
          <w:p w14:paraId="59EB2474">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乐山市峨眉山生态环境局</w:t>
            </w:r>
          </w:p>
        </w:tc>
        <w:tc>
          <w:tcPr>
            <w:tcW w:w="781" w:type="pct"/>
            <w:tcBorders>
              <w:tl2br w:val="nil"/>
              <w:tr2bl w:val="nil"/>
            </w:tcBorders>
            <w:shd w:val="clear" w:color="auto" w:fill="auto"/>
            <w:vAlign w:val="center"/>
          </w:tcPr>
          <w:p w14:paraId="3A704D1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办公室</w:t>
            </w:r>
          </w:p>
        </w:tc>
        <w:tc>
          <w:tcPr>
            <w:tcW w:w="949" w:type="pct"/>
            <w:tcBorders>
              <w:tl2br w:val="nil"/>
              <w:tr2bl w:val="nil"/>
            </w:tcBorders>
            <w:shd w:val="clear" w:color="auto" w:fill="auto"/>
            <w:vAlign w:val="center"/>
          </w:tcPr>
          <w:p w14:paraId="041D5A7A">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0833-5522904</w:t>
            </w:r>
          </w:p>
        </w:tc>
      </w:tr>
      <w:tr w14:paraId="64491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44" w:type="pct"/>
            <w:vMerge w:val="continue"/>
            <w:tcBorders>
              <w:tl2br w:val="nil"/>
              <w:tr2bl w:val="nil"/>
            </w:tcBorders>
            <w:shd w:val="clear" w:color="auto" w:fill="auto"/>
            <w:vAlign w:val="center"/>
          </w:tcPr>
          <w:p w14:paraId="36BF47CC">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p>
        </w:tc>
        <w:tc>
          <w:tcPr>
            <w:tcW w:w="2725" w:type="pct"/>
            <w:tcBorders>
              <w:tl2br w:val="nil"/>
              <w:tr2bl w:val="nil"/>
            </w:tcBorders>
            <w:shd w:val="clear" w:color="auto" w:fill="auto"/>
            <w:vAlign w:val="center"/>
          </w:tcPr>
          <w:p w14:paraId="536EBD11">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峨眉山市应急管理局</w:t>
            </w:r>
          </w:p>
        </w:tc>
        <w:tc>
          <w:tcPr>
            <w:tcW w:w="781" w:type="pct"/>
            <w:tcBorders>
              <w:tl2br w:val="nil"/>
              <w:tr2bl w:val="nil"/>
            </w:tcBorders>
            <w:shd w:val="clear" w:color="auto" w:fill="auto"/>
            <w:vAlign w:val="center"/>
          </w:tcPr>
          <w:p w14:paraId="368AB767">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办公室</w:t>
            </w:r>
          </w:p>
        </w:tc>
        <w:tc>
          <w:tcPr>
            <w:tcW w:w="949" w:type="pct"/>
            <w:tcBorders>
              <w:tl2br w:val="nil"/>
              <w:tr2bl w:val="nil"/>
            </w:tcBorders>
            <w:shd w:val="clear" w:color="auto" w:fill="auto"/>
            <w:vAlign w:val="center"/>
          </w:tcPr>
          <w:p w14:paraId="43FFEDD2">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0833-5551360</w:t>
            </w:r>
          </w:p>
        </w:tc>
      </w:tr>
      <w:tr w14:paraId="21F72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44" w:type="pct"/>
            <w:vMerge w:val="continue"/>
            <w:tcBorders>
              <w:tl2br w:val="nil"/>
              <w:tr2bl w:val="nil"/>
            </w:tcBorders>
            <w:shd w:val="clear" w:color="auto" w:fill="auto"/>
            <w:vAlign w:val="center"/>
          </w:tcPr>
          <w:p w14:paraId="3A2BE703">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p>
        </w:tc>
        <w:tc>
          <w:tcPr>
            <w:tcW w:w="2725" w:type="pct"/>
            <w:tcBorders>
              <w:tl2br w:val="nil"/>
              <w:tr2bl w:val="nil"/>
            </w:tcBorders>
            <w:shd w:val="clear" w:color="auto" w:fill="auto"/>
            <w:vAlign w:val="center"/>
          </w:tcPr>
          <w:p w14:paraId="48D03A2C">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峨眉山市交通局</w:t>
            </w:r>
          </w:p>
        </w:tc>
        <w:tc>
          <w:tcPr>
            <w:tcW w:w="781" w:type="pct"/>
            <w:tcBorders>
              <w:tl2br w:val="nil"/>
              <w:tr2bl w:val="nil"/>
            </w:tcBorders>
            <w:shd w:val="clear" w:color="auto" w:fill="auto"/>
            <w:vAlign w:val="center"/>
          </w:tcPr>
          <w:p w14:paraId="65DB789F">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办公室</w:t>
            </w:r>
          </w:p>
        </w:tc>
        <w:tc>
          <w:tcPr>
            <w:tcW w:w="949" w:type="pct"/>
            <w:tcBorders>
              <w:tl2br w:val="nil"/>
              <w:tr2bl w:val="nil"/>
            </w:tcBorders>
            <w:shd w:val="clear" w:color="auto" w:fill="auto"/>
            <w:vAlign w:val="center"/>
          </w:tcPr>
          <w:p w14:paraId="4638BC37">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0833-5538926</w:t>
            </w:r>
          </w:p>
        </w:tc>
      </w:tr>
      <w:tr w14:paraId="160515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44" w:type="pct"/>
            <w:vMerge w:val="continue"/>
            <w:tcBorders>
              <w:tl2br w:val="nil"/>
              <w:tr2bl w:val="nil"/>
            </w:tcBorders>
            <w:shd w:val="clear" w:color="auto" w:fill="auto"/>
            <w:vAlign w:val="center"/>
          </w:tcPr>
          <w:p w14:paraId="221E0E6F">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p>
        </w:tc>
        <w:tc>
          <w:tcPr>
            <w:tcW w:w="2725" w:type="pct"/>
            <w:tcBorders>
              <w:tl2br w:val="nil"/>
              <w:tr2bl w:val="nil"/>
            </w:tcBorders>
            <w:shd w:val="clear" w:color="auto" w:fill="auto"/>
            <w:vAlign w:val="center"/>
          </w:tcPr>
          <w:p w14:paraId="5FB2538D">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峨眉山市消防大队</w:t>
            </w:r>
          </w:p>
        </w:tc>
        <w:tc>
          <w:tcPr>
            <w:tcW w:w="781" w:type="pct"/>
            <w:tcBorders>
              <w:tl2br w:val="nil"/>
              <w:tr2bl w:val="nil"/>
            </w:tcBorders>
            <w:shd w:val="clear" w:color="auto" w:fill="auto"/>
            <w:vAlign w:val="center"/>
          </w:tcPr>
          <w:p w14:paraId="18352C8D">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办公室</w:t>
            </w:r>
          </w:p>
        </w:tc>
        <w:tc>
          <w:tcPr>
            <w:tcW w:w="949" w:type="pct"/>
            <w:tcBorders>
              <w:tl2br w:val="nil"/>
              <w:tr2bl w:val="nil"/>
            </w:tcBorders>
            <w:shd w:val="clear" w:color="auto" w:fill="auto"/>
            <w:vAlign w:val="center"/>
          </w:tcPr>
          <w:p w14:paraId="642484BD">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0833-5553506</w:t>
            </w:r>
          </w:p>
        </w:tc>
      </w:tr>
      <w:tr w14:paraId="0B6A46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544" w:type="pct"/>
            <w:vMerge w:val="continue"/>
            <w:tcBorders>
              <w:tl2br w:val="nil"/>
              <w:tr2bl w:val="nil"/>
            </w:tcBorders>
            <w:shd w:val="clear" w:color="auto" w:fill="auto"/>
            <w:vAlign w:val="center"/>
          </w:tcPr>
          <w:p w14:paraId="16B2789E">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p>
        </w:tc>
        <w:tc>
          <w:tcPr>
            <w:tcW w:w="2725" w:type="pct"/>
            <w:tcBorders>
              <w:tl2br w:val="nil"/>
              <w:tr2bl w:val="nil"/>
            </w:tcBorders>
            <w:shd w:val="clear" w:color="auto" w:fill="auto"/>
            <w:vAlign w:val="center"/>
          </w:tcPr>
          <w:p w14:paraId="682AE417">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峨眉山市水务局</w:t>
            </w:r>
          </w:p>
        </w:tc>
        <w:tc>
          <w:tcPr>
            <w:tcW w:w="781" w:type="pct"/>
            <w:tcBorders>
              <w:tl2br w:val="nil"/>
              <w:tr2bl w:val="nil"/>
            </w:tcBorders>
            <w:shd w:val="clear" w:color="auto" w:fill="auto"/>
            <w:vAlign w:val="center"/>
          </w:tcPr>
          <w:p w14:paraId="6D8A542C">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办公室</w:t>
            </w:r>
          </w:p>
        </w:tc>
        <w:tc>
          <w:tcPr>
            <w:tcW w:w="949" w:type="pct"/>
            <w:tcBorders>
              <w:tl2br w:val="nil"/>
              <w:tr2bl w:val="nil"/>
            </w:tcBorders>
            <w:shd w:val="clear" w:color="auto" w:fill="auto"/>
            <w:vAlign w:val="center"/>
          </w:tcPr>
          <w:p w14:paraId="5D985BD6">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0833</w:t>
            </w:r>
            <w:r>
              <w:rPr>
                <w:rFonts w:hint="eastAsia" w:ascii="Times New Roman" w:hAnsi="Times New Roman" w:eastAsia="仿宋" w:cs="Times New Roman"/>
                <w:color w:val="auto"/>
                <w:sz w:val="24"/>
                <w:szCs w:val="24"/>
                <w:lang w:val="en-US" w:eastAsia="zh-CN" w:bidi="ar-SA"/>
              </w:rPr>
              <w:t>-</w:t>
            </w:r>
            <w:r>
              <w:rPr>
                <w:rFonts w:hint="default" w:ascii="Times New Roman" w:hAnsi="Times New Roman" w:eastAsia="仿宋" w:cs="Times New Roman"/>
                <w:color w:val="auto"/>
                <w:sz w:val="24"/>
                <w:szCs w:val="24"/>
                <w:lang w:val="en-US" w:eastAsia="zh-CN" w:bidi="ar-SA"/>
              </w:rPr>
              <w:t>5523932</w:t>
            </w:r>
          </w:p>
        </w:tc>
      </w:tr>
      <w:tr w14:paraId="60D9E6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44" w:type="pct"/>
            <w:vMerge w:val="continue"/>
            <w:tcBorders>
              <w:tl2br w:val="nil"/>
              <w:tr2bl w:val="nil"/>
            </w:tcBorders>
            <w:shd w:val="clear" w:color="auto" w:fill="auto"/>
            <w:vAlign w:val="center"/>
          </w:tcPr>
          <w:p w14:paraId="443C0AC2">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p>
        </w:tc>
        <w:tc>
          <w:tcPr>
            <w:tcW w:w="2725" w:type="pct"/>
            <w:tcBorders>
              <w:tl2br w:val="nil"/>
              <w:tr2bl w:val="nil"/>
            </w:tcBorders>
            <w:shd w:val="clear" w:color="auto" w:fill="auto"/>
            <w:vAlign w:val="center"/>
          </w:tcPr>
          <w:p w14:paraId="5655224C">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峨眉山海天水务有限公司</w:t>
            </w:r>
          </w:p>
        </w:tc>
        <w:tc>
          <w:tcPr>
            <w:tcW w:w="781" w:type="pct"/>
            <w:tcBorders>
              <w:tl2br w:val="nil"/>
              <w:tr2bl w:val="nil"/>
            </w:tcBorders>
            <w:shd w:val="clear" w:color="auto" w:fill="auto"/>
            <w:vAlign w:val="center"/>
          </w:tcPr>
          <w:p w14:paraId="391511C1">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马煜博</w:t>
            </w:r>
          </w:p>
        </w:tc>
        <w:tc>
          <w:tcPr>
            <w:tcW w:w="949" w:type="pct"/>
            <w:tcBorders>
              <w:tl2br w:val="nil"/>
              <w:tr2bl w:val="nil"/>
            </w:tcBorders>
            <w:shd w:val="clear" w:color="auto" w:fill="auto"/>
            <w:vAlign w:val="center"/>
          </w:tcPr>
          <w:p w14:paraId="17D4BE99">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18781375882</w:t>
            </w:r>
          </w:p>
        </w:tc>
      </w:tr>
      <w:tr w14:paraId="452CA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44" w:type="pct"/>
            <w:vMerge w:val="continue"/>
            <w:tcBorders>
              <w:tl2br w:val="nil"/>
              <w:tr2bl w:val="nil"/>
            </w:tcBorders>
            <w:shd w:val="clear" w:color="auto" w:fill="auto"/>
            <w:vAlign w:val="center"/>
          </w:tcPr>
          <w:p w14:paraId="69D3C29C">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p>
        </w:tc>
        <w:tc>
          <w:tcPr>
            <w:tcW w:w="2725" w:type="pct"/>
            <w:tcBorders>
              <w:tl2br w:val="nil"/>
              <w:tr2bl w:val="nil"/>
            </w:tcBorders>
            <w:shd w:val="clear" w:color="auto" w:fill="auto"/>
            <w:vAlign w:val="center"/>
          </w:tcPr>
          <w:p w14:paraId="4FDD68E3">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峨眉山恒利彩印包装有限公司</w:t>
            </w:r>
          </w:p>
        </w:tc>
        <w:tc>
          <w:tcPr>
            <w:tcW w:w="781" w:type="pct"/>
            <w:tcBorders>
              <w:tl2br w:val="nil"/>
              <w:tr2bl w:val="nil"/>
            </w:tcBorders>
            <w:shd w:val="clear" w:color="auto" w:fill="auto"/>
            <w:vAlign w:val="center"/>
          </w:tcPr>
          <w:p w14:paraId="3051C08D">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廖燕林</w:t>
            </w:r>
          </w:p>
        </w:tc>
        <w:tc>
          <w:tcPr>
            <w:tcW w:w="949" w:type="pct"/>
            <w:tcBorders>
              <w:tl2br w:val="nil"/>
              <w:tr2bl w:val="nil"/>
            </w:tcBorders>
            <w:shd w:val="clear" w:color="auto" w:fill="auto"/>
            <w:vAlign w:val="center"/>
          </w:tcPr>
          <w:p w14:paraId="46696B4F">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13408243836</w:t>
            </w:r>
          </w:p>
        </w:tc>
      </w:tr>
      <w:tr w14:paraId="210150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544" w:type="pct"/>
            <w:vMerge w:val="continue"/>
            <w:tcBorders>
              <w:tl2br w:val="nil"/>
              <w:tr2bl w:val="nil"/>
            </w:tcBorders>
            <w:shd w:val="clear" w:color="auto" w:fill="auto"/>
            <w:vAlign w:val="center"/>
          </w:tcPr>
          <w:p w14:paraId="09478C59">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p>
        </w:tc>
        <w:tc>
          <w:tcPr>
            <w:tcW w:w="2725" w:type="pct"/>
            <w:tcBorders>
              <w:tl2br w:val="nil"/>
              <w:tr2bl w:val="nil"/>
            </w:tcBorders>
            <w:shd w:val="clear" w:color="auto" w:fill="auto"/>
            <w:vAlign w:val="center"/>
          </w:tcPr>
          <w:p w14:paraId="2EA999EA">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峨眉山长庆新材料有限公司</w:t>
            </w:r>
          </w:p>
        </w:tc>
        <w:tc>
          <w:tcPr>
            <w:tcW w:w="781" w:type="pct"/>
            <w:tcBorders>
              <w:tl2br w:val="nil"/>
              <w:tr2bl w:val="nil"/>
            </w:tcBorders>
            <w:shd w:val="clear" w:color="auto" w:fill="auto"/>
            <w:vAlign w:val="center"/>
          </w:tcPr>
          <w:p w14:paraId="4441655F">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石利松</w:t>
            </w:r>
          </w:p>
        </w:tc>
        <w:tc>
          <w:tcPr>
            <w:tcW w:w="949" w:type="pct"/>
            <w:tcBorders>
              <w:tl2br w:val="nil"/>
              <w:tr2bl w:val="nil"/>
            </w:tcBorders>
            <w:shd w:val="clear" w:color="auto" w:fill="auto"/>
            <w:vAlign w:val="center"/>
          </w:tcPr>
          <w:p w14:paraId="4F99FC8E">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18583935957</w:t>
            </w:r>
          </w:p>
        </w:tc>
      </w:tr>
      <w:tr w14:paraId="4CF38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44" w:type="pct"/>
            <w:vMerge w:val="continue"/>
            <w:tcBorders>
              <w:tl2br w:val="nil"/>
              <w:tr2bl w:val="nil"/>
            </w:tcBorders>
            <w:shd w:val="clear" w:color="auto" w:fill="auto"/>
            <w:vAlign w:val="center"/>
          </w:tcPr>
          <w:p w14:paraId="7CFF9A9C">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p>
        </w:tc>
        <w:tc>
          <w:tcPr>
            <w:tcW w:w="2725" w:type="pct"/>
            <w:tcBorders>
              <w:tl2br w:val="nil"/>
              <w:tr2bl w:val="nil"/>
            </w:tcBorders>
            <w:shd w:val="clear" w:color="auto" w:fill="auto"/>
            <w:vAlign w:val="center"/>
          </w:tcPr>
          <w:p w14:paraId="1136EBF1">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峨眉山佳洁纸制品有限责任公司</w:t>
            </w:r>
          </w:p>
        </w:tc>
        <w:tc>
          <w:tcPr>
            <w:tcW w:w="781" w:type="pct"/>
            <w:tcBorders>
              <w:tl2br w:val="nil"/>
              <w:tr2bl w:val="nil"/>
            </w:tcBorders>
            <w:shd w:val="clear" w:color="auto" w:fill="auto"/>
            <w:vAlign w:val="center"/>
          </w:tcPr>
          <w:p w14:paraId="7536247D">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林栩鹍</w:t>
            </w:r>
          </w:p>
        </w:tc>
        <w:tc>
          <w:tcPr>
            <w:tcW w:w="949" w:type="pct"/>
            <w:tcBorders>
              <w:tl2br w:val="nil"/>
              <w:tr2bl w:val="nil"/>
            </w:tcBorders>
            <w:shd w:val="clear" w:color="auto" w:fill="auto"/>
            <w:vAlign w:val="center"/>
          </w:tcPr>
          <w:p w14:paraId="7711DEE0">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13890676884</w:t>
            </w:r>
          </w:p>
        </w:tc>
      </w:tr>
      <w:tr w14:paraId="379D90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44" w:type="pct"/>
            <w:vMerge w:val="continue"/>
            <w:tcBorders>
              <w:tl2br w:val="nil"/>
              <w:tr2bl w:val="nil"/>
            </w:tcBorders>
            <w:shd w:val="clear" w:color="auto" w:fill="auto"/>
            <w:vAlign w:val="center"/>
          </w:tcPr>
          <w:p w14:paraId="020B4C06">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p>
        </w:tc>
        <w:tc>
          <w:tcPr>
            <w:tcW w:w="2725" w:type="pct"/>
            <w:tcBorders>
              <w:tl2br w:val="nil"/>
              <w:tr2bl w:val="nil"/>
            </w:tcBorders>
            <w:shd w:val="clear" w:color="auto" w:fill="auto"/>
            <w:vAlign w:val="center"/>
          </w:tcPr>
          <w:p w14:paraId="0BE375D7">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延长壳牌（四川）石油有限公司乐山峨眉山德川加油站</w:t>
            </w:r>
          </w:p>
        </w:tc>
        <w:tc>
          <w:tcPr>
            <w:tcW w:w="781" w:type="pct"/>
            <w:tcBorders>
              <w:tl2br w:val="nil"/>
              <w:tr2bl w:val="nil"/>
            </w:tcBorders>
            <w:shd w:val="clear" w:color="auto" w:fill="auto"/>
            <w:vAlign w:val="center"/>
          </w:tcPr>
          <w:p w14:paraId="59B55061">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徐骏涛</w:t>
            </w:r>
          </w:p>
        </w:tc>
        <w:tc>
          <w:tcPr>
            <w:tcW w:w="949" w:type="pct"/>
            <w:tcBorders>
              <w:tl2br w:val="nil"/>
              <w:tr2bl w:val="nil"/>
            </w:tcBorders>
            <w:shd w:val="clear" w:color="auto" w:fill="auto"/>
            <w:vAlign w:val="center"/>
          </w:tcPr>
          <w:p w14:paraId="04E2C590">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18113956006</w:t>
            </w:r>
          </w:p>
        </w:tc>
      </w:tr>
      <w:tr w14:paraId="69188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44" w:type="pct"/>
            <w:vMerge w:val="continue"/>
            <w:tcBorders>
              <w:tl2br w:val="nil"/>
              <w:tr2bl w:val="nil"/>
            </w:tcBorders>
            <w:shd w:val="clear" w:color="auto" w:fill="auto"/>
            <w:vAlign w:val="center"/>
          </w:tcPr>
          <w:p w14:paraId="1D89A85B">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p>
        </w:tc>
        <w:tc>
          <w:tcPr>
            <w:tcW w:w="2725" w:type="pct"/>
            <w:tcBorders>
              <w:tl2br w:val="nil"/>
              <w:tr2bl w:val="nil"/>
            </w:tcBorders>
            <w:shd w:val="clear" w:color="auto" w:fill="auto"/>
            <w:vAlign w:val="center"/>
          </w:tcPr>
          <w:p w14:paraId="5CC8063A">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延长壳牌（四川）石油有限公司乐山峨眉山报国加油站</w:t>
            </w:r>
          </w:p>
        </w:tc>
        <w:tc>
          <w:tcPr>
            <w:tcW w:w="781" w:type="pct"/>
            <w:tcBorders>
              <w:tl2br w:val="nil"/>
              <w:tr2bl w:val="nil"/>
            </w:tcBorders>
            <w:shd w:val="clear" w:color="auto" w:fill="auto"/>
            <w:vAlign w:val="center"/>
          </w:tcPr>
          <w:p w14:paraId="1ACE9A2E">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郭忠林</w:t>
            </w:r>
          </w:p>
        </w:tc>
        <w:tc>
          <w:tcPr>
            <w:tcW w:w="949" w:type="pct"/>
            <w:tcBorders>
              <w:tl2br w:val="nil"/>
              <w:tr2bl w:val="nil"/>
            </w:tcBorders>
            <w:shd w:val="clear" w:color="auto" w:fill="auto"/>
            <w:vAlign w:val="center"/>
          </w:tcPr>
          <w:p w14:paraId="04D28C77">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18180839016</w:t>
            </w:r>
          </w:p>
        </w:tc>
      </w:tr>
      <w:tr w14:paraId="03D215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544" w:type="pct"/>
            <w:vMerge w:val="continue"/>
            <w:tcBorders>
              <w:tl2br w:val="nil"/>
              <w:tr2bl w:val="nil"/>
            </w:tcBorders>
            <w:shd w:val="clear" w:color="auto" w:fill="auto"/>
            <w:vAlign w:val="center"/>
          </w:tcPr>
          <w:p w14:paraId="362048BC">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p>
        </w:tc>
        <w:tc>
          <w:tcPr>
            <w:tcW w:w="2725" w:type="pct"/>
            <w:tcBorders>
              <w:tl2br w:val="nil"/>
              <w:tr2bl w:val="nil"/>
            </w:tcBorders>
            <w:shd w:val="clear" w:color="auto" w:fill="auto"/>
            <w:vAlign w:val="center"/>
          </w:tcPr>
          <w:p w14:paraId="68FE83D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华润雪花啤酒（四川）有限责任公司乐山分公司</w:t>
            </w:r>
          </w:p>
        </w:tc>
        <w:tc>
          <w:tcPr>
            <w:tcW w:w="781" w:type="pct"/>
            <w:tcBorders>
              <w:tl2br w:val="nil"/>
              <w:tr2bl w:val="nil"/>
            </w:tcBorders>
            <w:shd w:val="clear" w:color="auto" w:fill="auto"/>
            <w:vAlign w:val="center"/>
          </w:tcPr>
          <w:p w14:paraId="12F458EF">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赵兵</w:t>
            </w:r>
          </w:p>
        </w:tc>
        <w:tc>
          <w:tcPr>
            <w:tcW w:w="949" w:type="pct"/>
            <w:tcBorders>
              <w:tl2br w:val="nil"/>
              <w:tr2bl w:val="nil"/>
            </w:tcBorders>
            <w:shd w:val="clear" w:color="auto" w:fill="auto"/>
            <w:vAlign w:val="center"/>
          </w:tcPr>
          <w:p w14:paraId="03531C7A">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15328678705</w:t>
            </w:r>
          </w:p>
        </w:tc>
      </w:tr>
      <w:tr w14:paraId="2931F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44" w:type="pct"/>
            <w:vMerge w:val="continue"/>
            <w:tcBorders>
              <w:tl2br w:val="nil"/>
              <w:tr2bl w:val="nil"/>
            </w:tcBorders>
            <w:shd w:val="clear" w:color="auto" w:fill="auto"/>
            <w:vAlign w:val="center"/>
          </w:tcPr>
          <w:p w14:paraId="34FECA73">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p>
        </w:tc>
        <w:tc>
          <w:tcPr>
            <w:tcW w:w="2725" w:type="pct"/>
            <w:tcBorders>
              <w:tl2br w:val="nil"/>
              <w:tr2bl w:val="nil"/>
            </w:tcBorders>
            <w:shd w:val="clear" w:color="auto" w:fill="auto"/>
            <w:vAlign w:val="center"/>
          </w:tcPr>
          <w:p w14:paraId="7FF7396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四川胜力新材料有限公司（原峨眉胜利碳素厂）</w:t>
            </w:r>
          </w:p>
        </w:tc>
        <w:tc>
          <w:tcPr>
            <w:tcW w:w="781" w:type="pct"/>
            <w:tcBorders>
              <w:tl2br w:val="nil"/>
              <w:tr2bl w:val="nil"/>
            </w:tcBorders>
            <w:shd w:val="clear" w:color="auto" w:fill="auto"/>
            <w:vAlign w:val="center"/>
          </w:tcPr>
          <w:p w14:paraId="66464EF9">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吕仕文</w:t>
            </w:r>
          </w:p>
        </w:tc>
        <w:tc>
          <w:tcPr>
            <w:tcW w:w="949" w:type="pct"/>
            <w:tcBorders>
              <w:tl2br w:val="nil"/>
              <w:tr2bl w:val="nil"/>
            </w:tcBorders>
            <w:shd w:val="clear" w:color="auto" w:fill="auto"/>
            <w:vAlign w:val="center"/>
          </w:tcPr>
          <w:p w14:paraId="4378289A">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13398252138</w:t>
            </w:r>
          </w:p>
        </w:tc>
      </w:tr>
      <w:tr w14:paraId="72D420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44" w:type="pct"/>
            <w:vMerge w:val="continue"/>
            <w:tcBorders>
              <w:tl2br w:val="nil"/>
              <w:tr2bl w:val="nil"/>
            </w:tcBorders>
            <w:shd w:val="clear" w:color="auto" w:fill="auto"/>
            <w:vAlign w:val="center"/>
          </w:tcPr>
          <w:p w14:paraId="4FF75169">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p>
        </w:tc>
        <w:tc>
          <w:tcPr>
            <w:tcW w:w="2725" w:type="pct"/>
            <w:tcBorders>
              <w:tl2br w:val="nil"/>
              <w:tr2bl w:val="nil"/>
            </w:tcBorders>
            <w:shd w:val="clear" w:color="auto" w:fill="auto"/>
            <w:vAlign w:val="center"/>
          </w:tcPr>
          <w:p w14:paraId="09E145C6">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峨眉山通惠制药有限公司</w:t>
            </w:r>
          </w:p>
        </w:tc>
        <w:tc>
          <w:tcPr>
            <w:tcW w:w="781" w:type="pct"/>
            <w:tcBorders>
              <w:tl2br w:val="nil"/>
              <w:tr2bl w:val="nil"/>
            </w:tcBorders>
            <w:shd w:val="clear" w:color="auto" w:fill="auto"/>
            <w:vAlign w:val="center"/>
          </w:tcPr>
          <w:p w14:paraId="42E8D5E1">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李成刚</w:t>
            </w:r>
          </w:p>
        </w:tc>
        <w:tc>
          <w:tcPr>
            <w:tcW w:w="949" w:type="pct"/>
            <w:tcBorders>
              <w:tl2br w:val="nil"/>
              <w:tr2bl w:val="nil"/>
            </w:tcBorders>
            <w:shd w:val="clear" w:color="auto" w:fill="auto"/>
            <w:vAlign w:val="center"/>
          </w:tcPr>
          <w:p w14:paraId="793AB8B0">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13881375246</w:t>
            </w:r>
          </w:p>
        </w:tc>
      </w:tr>
      <w:tr w14:paraId="006B4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544" w:type="pct"/>
            <w:vMerge w:val="continue"/>
            <w:tcBorders>
              <w:tl2br w:val="nil"/>
              <w:tr2bl w:val="nil"/>
            </w:tcBorders>
            <w:shd w:val="clear" w:color="auto" w:fill="auto"/>
            <w:vAlign w:val="center"/>
          </w:tcPr>
          <w:p w14:paraId="402D60EC">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p>
        </w:tc>
        <w:tc>
          <w:tcPr>
            <w:tcW w:w="2725" w:type="pct"/>
            <w:tcBorders>
              <w:tl2br w:val="nil"/>
              <w:tr2bl w:val="nil"/>
            </w:tcBorders>
            <w:shd w:val="clear" w:color="auto" w:fill="auto"/>
            <w:vAlign w:val="center"/>
          </w:tcPr>
          <w:p w14:paraId="4A96811C">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四川峨眉山龙马木业有限公司</w:t>
            </w:r>
          </w:p>
        </w:tc>
        <w:tc>
          <w:tcPr>
            <w:tcW w:w="781" w:type="pct"/>
            <w:tcBorders>
              <w:tl2br w:val="nil"/>
              <w:tr2bl w:val="nil"/>
            </w:tcBorders>
            <w:shd w:val="clear" w:color="auto" w:fill="auto"/>
            <w:vAlign w:val="center"/>
          </w:tcPr>
          <w:p w14:paraId="5BFE0013">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张明皓</w:t>
            </w:r>
          </w:p>
        </w:tc>
        <w:tc>
          <w:tcPr>
            <w:tcW w:w="949" w:type="pct"/>
            <w:tcBorders>
              <w:tl2br w:val="nil"/>
              <w:tr2bl w:val="nil"/>
            </w:tcBorders>
            <w:shd w:val="clear" w:color="auto" w:fill="auto"/>
            <w:vAlign w:val="center"/>
          </w:tcPr>
          <w:p w14:paraId="4C14E59B">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13158830100</w:t>
            </w:r>
          </w:p>
        </w:tc>
      </w:tr>
      <w:tr w14:paraId="247FC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44" w:type="pct"/>
            <w:vMerge w:val="continue"/>
            <w:tcBorders>
              <w:tl2br w:val="nil"/>
              <w:tr2bl w:val="nil"/>
            </w:tcBorders>
            <w:shd w:val="clear" w:color="auto" w:fill="auto"/>
            <w:vAlign w:val="center"/>
          </w:tcPr>
          <w:p w14:paraId="5A83514E">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p>
        </w:tc>
        <w:tc>
          <w:tcPr>
            <w:tcW w:w="2725" w:type="pct"/>
            <w:tcBorders>
              <w:tl2br w:val="nil"/>
              <w:tr2bl w:val="nil"/>
            </w:tcBorders>
            <w:shd w:val="clear" w:color="auto" w:fill="auto"/>
            <w:vAlign w:val="center"/>
          </w:tcPr>
          <w:p w14:paraId="37A7F94F">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峨眉山嘉美高纯材料有限公司</w:t>
            </w:r>
          </w:p>
        </w:tc>
        <w:tc>
          <w:tcPr>
            <w:tcW w:w="781" w:type="pct"/>
            <w:tcBorders>
              <w:tl2br w:val="nil"/>
              <w:tr2bl w:val="nil"/>
            </w:tcBorders>
            <w:shd w:val="clear" w:color="auto" w:fill="auto"/>
            <w:vAlign w:val="center"/>
          </w:tcPr>
          <w:p w14:paraId="19CEF1E3">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伍敏</w:t>
            </w:r>
          </w:p>
        </w:tc>
        <w:tc>
          <w:tcPr>
            <w:tcW w:w="949" w:type="pct"/>
            <w:tcBorders>
              <w:tl2br w:val="nil"/>
              <w:tr2bl w:val="nil"/>
            </w:tcBorders>
            <w:shd w:val="clear" w:color="auto" w:fill="auto"/>
            <w:vAlign w:val="center"/>
          </w:tcPr>
          <w:p w14:paraId="752C10D2">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13981307784</w:t>
            </w:r>
          </w:p>
        </w:tc>
      </w:tr>
      <w:tr w14:paraId="2177C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44" w:type="pct"/>
            <w:vMerge w:val="continue"/>
            <w:tcBorders>
              <w:tl2br w:val="nil"/>
              <w:tr2bl w:val="nil"/>
            </w:tcBorders>
            <w:shd w:val="clear" w:color="auto" w:fill="auto"/>
            <w:vAlign w:val="center"/>
          </w:tcPr>
          <w:p w14:paraId="424F017A">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p>
        </w:tc>
        <w:tc>
          <w:tcPr>
            <w:tcW w:w="2725" w:type="pct"/>
            <w:tcBorders>
              <w:tl2br w:val="nil"/>
              <w:tr2bl w:val="nil"/>
            </w:tcBorders>
            <w:shd w:val="clear" w:color="auto" w:fill="auto"/>
            <w:vAlign w:val="center"/>
          </w:tcPr>
          <w:p w14:paraId="21E88820">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峨眉山宏昇药业股份有限公司</w:t>
            </w:r>
          </w:p>
        </w:tc>
        <w:tc>
          <w:tcPr>
            <w:tcW w:w="781" w:type="pct"/>
            <w:tcBorders>
              <w:tl2br w:val="nil"/>
              <w:tr2bl w:val="nil"/>
            </w:tcBorders>
            <w:shd w:val="clear" w:color="auto" w:fill="auto"/>
            <w:vAlign w:val="center"/>
          </w:tcPr>
          <w:p w14:paraId="3D143FC9">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季健</w:t>
            </w:r>
          </w:p>
        </w:tc>
        <w:tc>
          <w:tcPr>
            <w:tcW w:w="949" w:type="pct"/>
            <w:tcBorders>
              <w:tl2br w:val="nil"/>
              <w:tr2bl w:val="nil"/>
            </w:tcBorders>
            <w:shd w:val="clear" w:color="auto" w:fill="auto"/>
            <w:vAlign w:val="center"/>
          </w:tcPr>
          <w:p w14:paraId="53F8B31F">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18990613290</w:t>
            </w:r>
          </w:p>
        </w:tc>
      </w:tr>
      <w:tr w14:paraId="583D3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44" w:type="pct"/>
            <w:vMerge w:val="continue"/>
            <w:tcBorders>
              <w:tl2br w:val="nil"/>
              <w:tr2bl w:val="nil"/>
            </w:tcBorders>
            <w:shd w:val="clear" w:color="auto" w:fill="auto"/>
            <w:vAlign w:val="center"/>
          </w:tcPr>
          <w:p w14:paraId="4A1AD311">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p>
        </w:tc>
        <w:tc>
          <w:tcPr>
            <w:tcW w:w="2725" w:type="pct"/>
            <w:tcBorders>
              <w:tl2br w:val="nil"/>
              <w:tr2bl w:val="nil"/>
            </w:tcBorders>
            <w:shd w:val="clear" w:color="auto" w:fill="auto"/>
            <w:vAlign w:val="center"/>
          </w:tcPr>
          <w:p w14:paraId="7239E4D6">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延长壳牌峨九路加油站</w:t>
            </w:r>
          </w:p>
        </w:tc>
        <w:tc>
          <w:tcPr>
            <w:tcW w:w="781" w:type="pct"/>
            <w:tcBorders>
              <w:tl2br w:val="nil"/>
              <w:tr2bl w:val="nil"/>
            </w:tcBorders>
            <w:shd w:val="clear" w:color="auto" w:fill="auto"/>
            <w:vAlign w:val="center"/>
          </w:tcPr>
          <w:p w14:paraId="500E64DE">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袁梦威</w:t>
            </w:r>
          </w:p>
        </w:tc>
        <w:tc>
          <w:tcPr>
            <w:tcW w:w="949" w:type="pct"/>
            <w:tcBorders>
              <w:tl2br w:val="nil"/>
              <w:tr2bl w:val="nil"/>
            </w:tcBorders>
            <w:shd w:val="clear" w:color="auto" w:fill="auto"/>
            <w:vAlign w:val="center"/>
          </w:tcPr>
          <w:p w14:paraId="7801397C">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13981318090</w:t>
            </w:r>
          </w:p>
        </w:tc>
      </w:tr>
      <w:tr w14:paraId="36A9B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44" w:type="pct"/>
            <w:vMerge w:val="continue"/>
            <w:tcBorders>
              <w:tl2br w:val="nil"/>
              <w:tr2bl w:val="nil"/>
            </w:tcBorders>
            <w:shd w:val="clear" w:color="auto" w:fill="auto"/>
            <w:vAlign w:val="center"/>
          </w:tcPr>
          <w:p w14:paraId="13126B4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p>
        </w:tc>
        <w:tc>
          <w:tcPr>
            <w:tcW w:w="2725" w:type="pct"/>
            <w:tcBorders>
              <w:tl2br w:val="nil"/>
              <w:tr2bl w:val="nil"/>
            </w:tcBorders>
            <w:shd w:val="clear" w:color="auto" w:fill="auto"/>
            <w:vAlign w:val="center"/>
          </w:tcPr>
          <w:p w14:paraId="0A7DDB60">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延长壳牌（四川）石油有限公司乐山峨眉山名山加油站</w:t>
            </w:r>
          </w:p>
        </w:tc>
        <w:tc>
          <w:tcPr>
            <w:tcW w:w="781" w:type="pct"/>
            <w:tcBorders>
              <w:tl2br w:val="nil"/>
              <w:tr2bl w:val="nil"/>
            </w:tcBorders>
            <w:shd w:val="clear" w:color="auto" w:fill="auto"/>
            <w:vAlign w:val="center"/>
          </w:tcPr>
          <w:p w14:paraId="6B35D8E7">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吕勇</w:t>
            </w:r>
          </w:p>
        </w:tc>
        <w:tc>
          <w:tcPr>
            <w:tcW w:w="949" w:type="pct"/>
            <w:tcBorders>
              <w:tl2br w:val="nil"/>
              <w:tr2bl w:val="nil"/>
            </w:tcBorders>
            <w:shd w:val="clear" w:color="auto" w:fill="auto"/>
            <w:vAlign w:val="center"/>
          </w:tcPr>
          <w:p w14:paraId="0A1D5242">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18113421694</w:t>
            </w:r>
          </w:p>
        </w:tc>
      </w:tr>
      <w:tr w14:paraId="384E7E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44" w:type="pct"/>
            <w:vMerge w:val="continue"/>
            <w:tcBorders>
              <w:tl2br w:val="nil"/>
              <w:tr2bl w:val="nil"/>
            </w:tcBorders>
            <w:shd w:val="clear" w:color="auto" w:fill="auto"/>
            <w:vAlign w:val="center"/>
          </w:tcPr>
          <w:p w14:paraId="15AC18F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p>
        </w:tc>
        <w:tc>
          <w:tcPr>
            <w:tcW w:w="2725" w:type="pct"/>
            <w:tcBorders>
              <w:tl2br w:val="nil"/>
              <w:tr2bl w:val="nil"/>
            </w:tcBorders>
            <w:shd w:val="clear" w:color="auto" w:fill="auto"/>
            <w:vAlign w:val="center"/>
          </w:tcPr>
          <w:p w14:paraId="45937D2F">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延长壳牌（四川）石油有限公司乐山峨眉山万佛路加油站</w:t>
            </w:r>
          </w:p>
        </w:tc>
        <w:tc>
          <w:tcPr>
            <w:tcW w:w="781" w:type="pct"/>
            <w:tcBorders>
              <w:tl2br w:val="nil"/>
              <w:tr2bl w:val="nil"/>
            </w:tcBorders>
            <w:shd w:val="clear" w:color="auto" w:fill="auto"/>
            <w:vAlign w:val="center"/>
          </w:tcPr>
          <w:p w14:paraId="4C27CC0E">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吕勇</w:t>
            </w:r>
          </w:p>
        </w:tc>
        <w:tc>
          <w:tcPr>
            <w:tcW w:w="949" w:type="pct"/>
            <w:tcBorders>
              <w:tl2br w:val="nil"/>
              <w:tr2bl w:val="nil"/>
            </w:tcBorders>
            <w:shd w:val="clear" w:color="auto" w:fill="auto"/>
            <w:vAlign w:val="center"/>
          </w:tcPr>
          <w:p w14:paraId="4AD9E33F">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18113421694</w:t>
            </w:r>
          </w:p>
        </w:tc>
      </w:tr>
      <w:tr w14:paraId="1647E7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544" w:type="pct"/>
            <w:vMerge w:val="continue"/>
            <w:tcBorders>
              <w:tl2br w:val="nil"/>
              <w:tr2bl w:val="nil"/>
            </w:tcBorders>
            <w:shd w:val="clear" w:color="auto" w:fill="auto"/>
            <w:vAlign w:val="center"/>
          </w:tcPr>
          <w:p w14:paraId="61F4D09C">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p>
        </w:tc>
        <w:tc>
          <w:tcPr>
            <w:tcW w:w="2725" w:type="pct"/>
            <w:tcBorders>
              <w:tl2br w:val="nil"/>
              <w:tr2bl w:val="nil"/>
            </w:tcBorders>
            <w:shd w:val="clear" w:color="auto" w:fill="auto"/>
            <w:vAlign w:val="center"/>
          </w:tcPr>
          <w:p w14:paraId="02F6C31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峨眉山市海明食品厂</w:t>
            </w:r>
          </w:p>
        </w:tc>
        <w:tc>
          <w:tcPr>
            <w:tcW w:w="781" w:type="pct"/>
            <w:tcBorders>
              <w:tl2br w:val="nil"/>
              <w:tr2bl w:val="nil"/>
            </w:tcBorders>
            <w:shd w:val="clear" w:color="auto" w:fill="auto"/>
            <w:vAlign w:val="center"/>
          </w:tcPr>
          <w:p w14:paraId="46846160">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杨茗义</w:t>
            </w:r>
          </w:p>
        </w:tc>
        <w:tc>
          <w:tcPr>
            <w:tcW w:w="949" w:type="pct"/>
            <w:tcBorders>
              <w:tl2br w:val="nil"/>
              <w:tr2bl w:val="nil"/>
            </w:tcBorders>
            <w:shd w:val="clear" w:color="auto" w:fill="auto"/>
            <w:vAlign w:val="center"/>
          </w:tcPr>
          <w:p w14:paraId="345F29A5">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13398234872</w:t>
            </w:r>
          </w:p>
        </w:tc>
      </w:tr>
      <w:tr w14:paraId="5B3C50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44" w:type="pct"/>
            <w:vMerge w:val="continue"/>
            <w:tcBorders>
              <w:tl2br w:val="nil"/>
              <w:tr2bl w:val="nil"/>
            </w:tcBorders>
            <w:shd w:val="clear" w:color="auto" w:fill="auto"/>
            <w:vAlign w:val="center"/>
          </w:tcPr>
          <w:p w14:paraId="2CC2C9CC">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p>
        </w:tc>
        <w:tc>
          <w:tcPr>
            <w:tcW w:w="2725" w:type="pct"/>
            <w:tcBorders>
              <w:tl2br w:val="nil"/>
              <w:tr2bl w:val="nil"/>
            </w:tcBorders>
            <w:shd w:val="clear" w:color="auto" w:fill="auto"/>
            <w:vAlign w:val="center"/>
          </w:tcPr>
          <w:p w14:paraId="18D60050">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乐山熙泰石油峨眉山加油站</w:t>
            </w:r>
          </w:p>
        </w:tc>
        <w:tc>
          <w:tcPr>
            <w:tcW w:w="781" w:type="pct"/>
            <w:tcBorders>
              <w:tl2br w:val="nil"/>
              <w:tr2bl w:val="nil"/>
            </w:tcBorders>
            <w:shd w:val="clear" w:color="auto" w:fill="auto"/>
            <w:vAlign w:val="center"/>
          </w:tcPr>
          <w:p w14:paraId="015E0EC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邓健</w:t>
            </w:r>
          </w:p>
        </w:tc>
        <w:tc>
          <w:tcPr>
            <w:tcW w:w="949" w:type="pct"/>
            <w:tcBorders>
              <w:tl2br w:val="nil"/>
              <w:tr2bl w:val="nil"/>
            </w:tcBorders>
            <w:shd w:val="clear" w:color="auto" w:fill="auto"/>
            <w:vAlign w:val="center"/>
          </w:tcPr>
          <w:p w14:paraId="742D2F50">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18583345576</w:t>
            </w:r>
          </w:p>
        </w:tc>
      </w:tr>
      <w:tr w14:paraId="75B850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44" w:type="pct"/>
            <w:vMerge w:val="continue"/>
            <w:tcBorders>
              <w:tl2br w:val="nil"/>
              <w:tr2bl w:val="nil"/>
            </w:tcBorders>
            <w:shd w:val="clear" w:color="auto" w:fill="auto"/>
            <w:vAlign w:val="center"/>
          </w:tcPr>
          <w:p w14:paraId="3D7A31CD">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p>
        </w:tc>
        <w:tc>
          <w:tcPr>
            <w:tcW w:w="2725" w:type="pct"/>
            <w:tcBorders>
              <w:tl2br w:val="nil"/>
              <w:tr2bl w:val="nil"/>
            </w:tcBorders>
            <w:shd w:val="clear" w:color="auto" w:fill="auto"/>
            <w:vAlign w:val="center"/>
          </w:tcPr>
          <w:p w14:paraId="427CFAC6">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峨眉山市水厂</w:t>
            </w:r>
          </w:p>
        </w:tc>
        <w:tc>
          <w:tcPr>
            <w:tcW w:w="781" w:type="pct"/>
            <w:tcBorders>
              <w:tl2br w:val="nil"/>
              <w:tr2bl w:val="nil"/>
            </w:tcBorders>
            <w:shd w:val="clear" w:color="auto" w:fill="auto"/>
            <w:vAlign w:val="center"/>
          </w:tcPr>
          <w:p w14:paraId="5540A20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eastAsia" w:ascii="Times New Roman" w:hAnsi="Times New Roman" w:eastAsia="仿宋" w:cs="Times New Roman"/>
                <w:color w:val="auto"/>
                <w:sz w:val="24"/>
                <w:szCs w:val="24"/>
                <w:lang w:val="en-US" w:eastAsia="zh-CN" w:bidi="ar-SA"/>
              </w:rPr>
              <w:t>李浩黎</w:t>
            </w:r>
          </w:p>
        </w:tc>
        <w:tc>
          <w:tcPr>
            <w:tcW w:w="949" w:type="pct"/>
            <w:tcBorders>
              <w:tl2br w:val="nil"/>
              <w:tr2bl w:val="nil"/>
            </w:tcBorders>
            <w:shd w:val="clear" w:color="auto" w:fill="auto"/>
            <w:vAlign w:val="center"/>
          </w:tcPr>
          <w:p w14:paraId="1D5D3FAD">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4"/>
                <w:szCs w:val="24"/>
                <w:lang w:val="en-US" w:eastAsia="zh-CN" w:bidi="ar-SA"/>
              </w:rPr>
            </w:pPr>
            <w:r>
              <w:rPr>
                <w:rFonts w:hint="eastAsia" w:ascii="Times New Roman" w:hAnsi="Times New Roman" w:eastAsia="仿宋" w:cs="Times New Roman"/>
                <w:color w:val="auto"/>
                <w:sz w:val="24"/>
                <w:szCs w:val="24"/>
                <w:lang w:val="en-US" w:eastAsia="zh-CN" w:bidi="ar-SA"/>
              </w:rPr>
              <w:t>13981372208</w:t>
            </w:r>
          </w:p>
        </w:tc>
      </w:tr>
    </w:tbl>
    <w:p w14:paraId="3FC8A3E4">
      <w:pPr>
        <w:rPr>
          <w:rFonts w:hint="eastAsia"/>
          <w:lang w:val="en-US" w:eastAsia="zh-CN"/>
        </w:rPr>
      </w:pPr>
    </w:p>
    <w:p w14:paraId="4B1E4238">
      <w:pPr>
        <w:rPr>
          <w:rFonts w:hint="eastAsia"/>
          <w:lang w:val="en-US" w:eastAsia="zh-CN"/>
        </w:rPr>
      </w:pPr>
    </w:p>
    <w:p w14:paraId="4DDCC5F2">
      <w:pPr>
        <w:rPr>
          <w:rFonts w:hint="eastAsia" w:eastAsia="仿宋_GB2312"/>
          <w:lang w:val="en-US" w:eastAsia="zh-CN"/>
        </w:rPr>
      </w:pPr>
      <w:r>
        <w:rPr>
          <w:rFonts w:hint="eastAsia"/>
          <w:lang w:val="en-US" w:eastAsia="zh-CN"/>
        </w:rPr>
        <w:t xml:space="preserve"> </w:t>
      </w:r>
    </w:p>
    <w:p w14:paraId="3517648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黑体" w:hAnsi="黑体" w:eastAsia="黑体" w:cs="黑体"/>
          <w:sz w:val="32"/>
          <w:szCs w:val="40"/>
          <w:lang w:val="en-US" w:eastAsia="zh-CN"/>
        </w:rPr>
        <w:sectPr>
          <w:pgSz w:w="11906" w:h="16838"/>
          <w:pgMar w:top="1440" w:right="1800" w:bottom="1440" w:left="1800" w:header="850" w:footer="850" w:gutter="0"/>
          <w:pgBorders>
            <w:top w:val="none" w:sz="0" w:space="0"/>
            <w:left w:val="none" w:sz="0" w:space="0"/>
            <w:bottom w:val="none" w:sz="0" w:space="0"/>
            <w:right w:val="none" w:sz="0" w:space="0"/>
          </w:pgBorders>
          <w:pgNumType w:fmt="decimal"/>
          <w:cols w:space="0" w:num="1"/>
          <w:rtlGutter w:val="0"/>
          <w:docGrid w:linePitch="312" w:charSpace="0"/>
        </w:sectPr>
      </w:pPr>
    </w:p>
    <w:p w14:paraId="1CEB5FF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附件4</w:t>
      </w:r>
    </w:p>
    <w:p w14:paraId="25EDAFFC">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仿宋" w:cs="Times New Roman"/>
          <w:b/>
          <w:bCs/>
          <w:sz w:val="32"/>
          <w:szCs w:val="32"/>
          <w:lang w:val="en-US" w:eastAsia="zh-CN"/>
        </w:rPr>
      </w:pPr>
    </w:p>
    <w:p w14:paraId="5C615859">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仿宋" w:cs="Times New Roman"/>
          <w:b/>
          <w:bCs/>
          <w:sz w:val="32"/>
          <w:szCs w:val="32"/>
          <w:lang w:val="en-US" w:eastAsia="zh-CN"/>
        </w:rPr>
      </w:pPr>
      <w:r>
        <w:rPr>
          <w:rFonts w:hint="eastAsia" w:eastAsia="仿宋" w:cs="Times New Roman"/>
          <w:b/>
          <w:bCs/>
          <w:sz w:val="32"/>
          <w:szCs w:val="32"/>
          <w:lang w:val="en-US" w:eastAsia="zh-CN"/>
        </w:rPr>
        <w:t>峨眉山市水源地</w:t>
      </w:r>
      <w:r>
        <w:rPr>
          <w:rFonts w:hint="eastAsia" w:ascii="Times New Roman" w:hAnsi="Times New Roman" w:eastAsia="仿宋" w:cs="Times New Roman"/>
          <w:b/>
          <w:bCs/>
          <w:sz w:val="32"/>
          <w:szCs w:val="32"/>
          <w:lang w:val="en-US" w:eastAsia="zh-CN"/>
        </w:rPr>
        <w:t>突发环境事件应急专家名单</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743"/>
        <w:gridCol w:w="1091"/>
        <w:gridCol w:w="743"/>
        <w:gridCol w:w="2107"/>
        <w:gridCol w:w="3642"/>
      </w:tblGrid>
      <w:tr w14:paraId="75B96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446" w:type="pct"/>
            <w:tcBorders>
              <w:tl2br w:val="nil"/>
              <w:tr2bl w:val="nil"/>
            </w:tcBorders>
            <w:shd w:val="clear" w:color="auto" w:fill="auto"/>
            <w:vAlign w:val="center"/>
          </w:tcPr>
          <w:p w14:paraId="120A3F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Style w:val="88"/>
                <w:rFonts w:hint="default" w:ascii="Times New Roman" w:hAnsi="Times New Roman" w:eastAsia="仿宋" w:cs="Times New Roman"/>
                <w:i w:val="0"/>
                <w:iCs w:val="0"/>
                <w:color w:val="FF0000"/>
                <w:sz w:val="21"/>
                <w:szCs w:val="21"/>
                <w:highlight w:val="none"/>
                <w:lang w:val="en-US" w:eastAsia="zh-CN" w:bidi="ar"/>
              </w:rPr>
            </w:pPr>
            <w:r>
              <w:rPr>
                <w:rStyle w:val="88"/>
                <w:rFonts w:hint="default" w:ascii="Times New Roman" w:hAnsi="Times New Roman" w:eastAsia="仿宋" w:cs="Times New Roman"/>
                <w:i w:val="0"/>
                <w:iCs w:val="0"/>
                <w:color w:val="FF0000"/>
                <w:sz w:val="21"/>
                <w:szCs w:val="21"/>
                <w:highlight w:val="none"/>
                <w:lang w:val="en-US" w:eastAsia="zh-CN" w:bidi="ar"/>
              </w:rPr>
              <w:t>序号</w:t>
            </w:r>
          </w:p>
        </w:tc>
        <w:tc>
          <w:tcPr>
            <w:tcW w:w="655" w:type="pct"/>
            <w:tcBorders>
              <w:tl2br w:val="nil"/>
              <w:tr2bl w:val="nil"/>
            </w:tcBorders>
            <w:shd w:val="clear" w:color="auto" w:fill="auto"/>
            <w:vAlign w:val="center"/>
          </w:tcPr>
          <w:p w14:paraId="30E8FE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Style w:val="88"/>
                <w:rFonts w:hint="default" w:ascii="Times New Roman" w:hAnsi="Times New Roman" w:eastAsia="仿宋" w:cs="Times New Roman"/>
                <w:i w:val="0"/>
                <w:iCs w:val="0"/>
                <w:color w:val="FF0000"/>
                <w:sz w:val="21"/>
                <w:szCs w:val="21"/>
                <w:highlight w:val="none"/>
                <w:lang w:val="en-US" w:eastAsia="zh-CN" w:bidi="ar"/>
              </w:rPr>
            </w:pPr>
            <w:r>
              <w:rPr>
                <w:rStyle w:val="88"/>
                <w:rFonts w:hint="default" w:ascii="Times New Roman" w:hAnsi="Times New Roman" w:eastAsia="仿宋" w:cs="Times New Roman"/>
                <w:i w:val="0"/>
                <w:iCs w:val="0"/>
                <w:color w:val="FF0000"/>
                <w:sz w:val="21"/>
                <w:szCs w:val="21"/>
                <w:highlight w:val="none"/>
                <w:lang w:val="en-US" w:eastAsia="zh-CN" w:bidi="ar"/>
              </w:rPr>
              <w:t>姓名</w:t>
            </w:r>
          </w:p>
        </w:tc>
        <w:tc>
          <w:tcPr>
            <w:tcW w:w="446" w:type="pct"/>
            <w:tcBorders>
              <w:tl2br w:val="nil"/>
              <w:tr2bl w:val="nil"/>
            </w:tcBorders>
            <w:shd w:val="clear" w:color="auto" w:fill="auto"/>
            <w:vAlign w:val="center"/>
          </w:tcPr>
          <w:p w14:paraId="24A40E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Style w:val="88"/>
                <w:rFonts w:hint="default" w:ascii="Times New Roman" w:hAnsi="Times New Roman" w:eastAsia="仿宋" w:cs="Times New Roman"/>
                <w:i w:val="0"/>
                <w:iCs w:val="0"/>
                <w:color w:val="FF0000"/>
                <w:sz w:val="21"/>
                <w:szCs w:val="21"/>
                <w:highlight w:val="none"/>
                <w:lang w:val="en-US" w:eastAsia="zh-CN" w:bidi="ar"/>
              </w:rPr>
            </w:pPr>
            <w:r>
              <w:rPr>
                <w:rStyle w:val="88"/>
                <w:rFonts w:hint="default" w:ascii="Times New Roman" w:hAnsi="Times New Roman" w:eastAsia="仿宋" w:cs="Times New Roman"/>
                <w:i w:val="0"/>
                <w:iCs w:val="0"/>
                <w:color w:val="FF0000"/>
                <w:sz w:val="21"/>
                <w:szCs w:val="21"/>
                <w:highlight w:val="none"/>
                <w:lang w:val="en-US" w:eastAsia="zh-CN" w:bidi="ar"/>
              </w:rPr>
              <w:t>性别</w:t>
            </w:r>
          </w:p>
        </w:tc>
        <w:tc>
          <w:tcPr>
            <w:tcW w:w="1265" w:type="pct"/>
            <w:tcBorders>
              <w:tl2br w:val="nil"/>
              <w:tr2bl w:val="nil"/>
            </w:tcBorders>
            <w:shd w:val="clear" w:color="auto" w:fill="auto"/>
            <w:vAlign w:val="center"/>
          </w:tcPr>
          <w:p w14:paraId="5A30F8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Style w:val="88"/>
                <w:rFonts w:hint="default" w:ascii="Times New Roman" w:hAnsi="Times New Roman" w:eastAsia="仿宋" w:cs="Times New Roman"/>
                <w:i w:val="0"/>
                <w:iCs w:val="0"/>
                <w:color w:val="FF0000"/>
                <w:sz w:val="21"/>
                <w:szCs w:val="21"/>
                <w:highlight w:val="none"/>
                <w:lang w:val="en-US" w:eastAsia="zh-CN" w:bidi="ar"/>
              </w:rPr>
            </w:pPr>
            <w:r>
              <w:rPr>
                <w:rStyle w:val="88"/>
                <w:rFonts w:hint="default" w:ascii="Times New Roman" w:hAnsi="Times New Roman" w:eastAsia="仿宋" w:cs="Times New Roman"/>
                <w:i w:val="0"/>
                <w:iCs w:val="0"/>
                <w:color w:val="FF0000"/>
                <w:sz w:val="21"/>
                <w:szCs w:val="21"/>
                <w:highlight w:val="none"/>
                <w:lang w:val="en-US" w:eastAsia="zh-CN" w:bidi="ar"/>
              </w:rPr>
              <w:t>单位</w:t>
            </w:r>
          </w:p>
        </w:tc>
        <w:tc>
          <w:tcPr>
            <w:tcW w:w="2186" w:type="pct"/>
            <w:tcBorders>
              <w:tl2br w:val="nil"/>
              <w:tr2bl w:val="nil"/>
            </w:tcBorders>
            <w:shd w:val="clear" w:color="auto" w:fill="auto"/>
            <w:vAlign w:val="center"/>
          </w:tcPr>
          <w:p w14:paraId="04C847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Style w:val="88"/>
                <w:rFonts w:hint="default" w:ascii="Times New Roman" w:hAnsi="Times New Roman" w:eastAsia="仿宋" w:cs="Times New Roman"/>
                <w:i w:val="0"/>
                <w:iCs w:val="0"/>
                <w:color w:val="FF0000"/>
                <w:sz w:val="21"/>
                <w:szCs w:val="21"/>
                <w:highlight w:val="none"/>
                <w:lang w:val="en-US" w:eastAsia="zh-CN" w:bidi="ar"/>
              </w:rPr>
            </w:pPr>
            <w:r>
              <w:rPr>
                <w:rStyle w:val="88"/>
                <w:rFonts w:hint="default" w:ascii="Times New Roman" w:hAnsi="Times New Roman" w:eastAsia="仿宋" w:cs="Times New Roman"/>
                <w:i w:val="0"/>
                <w:iCs w:val="0"/>
                <w:color w:val="FF0000"/>
                <w:sz w:val="21"/>
                <w:szCs w:val="21"/>
                <w:highlight w:val="none"/>
                <w:lang w:val="en-US" w:eastAsia="zh-CN" w:bidi="ar"/>
              </w:rPr>
              <w:t>技术职称</w:t>
            </w:r>
          </w:p>
        </w:tc>
      </w:tr>
      <w:tr w14:paraId="72294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446" w:type="pct"/>
            <w:tcBorders>
              <w:tl2br w:val="nil"/>
              <w:tr2bl w:val="nil"/>
            </w:tcBorders>
            <w:shd w:val="clear" w:color="auto" w:fill="auto"/>
            <w:vAlign w:val="center"/>
          </w:tcPr>
          <w:p w14:paraId="29878B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Style w:val="88"/>
                <w:rFonts w:hint="default" w:ascii="Times New Roman" w:hAnsi="Times New Roman" w:eastAsia="仿宋" w:cs="Times New Roman"/>
                <w:i w:val="0"/>
                <w:iCs w:val="0"/>
                <w:color w:val="FF0000"/>
                <w:sz w:val="21"/>
                <w:szCs w:val="21"/>
                <w:highlight w:val="none"/>
                <w:lang w:val="en-US" w:eastAsia="zh-CN" w:bidi="ar"/>
              </w:rPr>
            </w:pPr>
            <w:r>
              <w:rPr>
                <w:rStyle w:val="88"/>
                <w:rFonts w:hint="default" w:ascii="Times New Roman" w:hAnsi="Times New Roman" w:eastAsia="仿宋" w:cs="Times New Roman"/>
                <w:i w:val="0"/>
                <w:iCs w:val="0"/>
                <w:color w:val="FF0000"/>
                <w:sz w:val="21"/>
                <w:szCs w:val="21"/>
                <w:highlight w:val="none"/>
                <w:lang w:val="en-US" w:eastAsia="zh-CN" w:bidi="ar"/>
              </w:rPr>
              <w:t>1</w:t>
            </w:r>
          </w:p>
        </w:tc>
        <w:tc>
          <w:tcPr>
            <w:tcW w:w="655" w:type="pct"/>
            <w:tcBorders>
              <w:tl2br w:val="nil"/>
              <w:tr2bl w:val="nil"/>
            </w:tcBorders>
            <w:shd w:val="clear" w:color="auto" w:fill="auto"/>
            <w:vAlign w:val="center"/>
          </w:tcPr>
          <w:p w14:paraId="3F466F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Style w:val="88"/>
                <w:rFonts w:hint="default" w:ascii="Times New Roman" w:hAnsi="Times New Roman" w:eastAsia="仿宋" w:cs="Times New Roman"/>
                <w:i w:val="0"/>
                <w:iCs w:val="0"/>
                <w:color w:val="FF0000"/>
                <w:sz w:val="21"/>
                <w:szCs w:val="21"/>
                <w:highlight w:val="none"/>
                <w:lang w:val="en-US" w:eastAsia="zh-CN" w:bidi="ar"/>
              </w:rPr>
            </w:pPr>
            <w:r>
              <w:rPr>
                <w:rStyle w:val="88"/>
                <w:rFonts w:hint="default" w:ascii="Times New Roman" w:hAnsi="Times New Roman" w:eastAsia="仿宋" w:cs="Times New Roman"/>
                <w:i w:val="0"/>
                <w:iCs w:val="0"/>
                <w:color w:val="FF0000"/>
                <w:sz w:val="21"/>
                <w:szCs w:val="21"/>
                <w:highlight w:val="none"/>
                <w:lang w:val="en-US" w:eastAsia="zh-CN" w:bidi="ar"/>
              </w:rPr>
              <w:t>陈奚鸣</w:t>
            </w:r>
          </w:p>
        </w:tc>
        <w:tc>
          <w:tcPr>
            <w:tcW w:w="446" w:type="pct"/>
            <w:tcBorders>
              <w:tl2br w:val="nil"/>
              <w:tr2bl w:val="nil"/>
            </w:tcBorders>
            <w:shd w:val="clear" w:color="auto" w:fill="auto"/>
            <w:vAlign w:val="center"/>
          </w:tcPr>
          <w:p w14:paraId="3D0271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Style w:val="88"/>
                <w:rFonts w:hint="default" w:ascii="Times New Roman" w:hAnsi="Times New Roman" w:eastAsia="仿宋" w:cs="Times New Roman"/>
                <w:i w:val="0"/>
                <w:iCs w:val="0"/>
                <w:color w:val="FF0000"/>
                <w:sz w:val="21"/>
                <w:szCs w:val="21"/>
                <w:highlight w:val="none"/>
                <w:lang w:val="en-US" w:eastAsia="zh-CN" w:bidi="ar"/>
              </w:rPr>
            </w:pPr>
            <w:r>
              <w:rPr>
                <w:rStyle w:val="88"/>
                <w:rFonts w:hint="eastAsia" w:eastAsia="仿宋" w:cs="Times New Roman"/>
                <w:i w:val="0"/>
                <w:iCs w:val="0"/>
                <w:color w:val="FF0000"/>
                <w:sz w:val="21"/>
                <w:szCs w:val="21"/>
                <w:highlight w:val="none"/>
                <w:lang w:val="en-US" w:eastAsia="zh-CN" w:bidi="ar"/>
              </w:rPr>
              <w:t>男</w:t>
            </w:r>
          </w:p>
        </w:tc>
        <w:tc>
          <w:tcPr>
            <w:tcW w:w="1265" w:type="pct"/>
            <w:tcBorders>
              <w:tl2br w:val="nil"/>
              <w:tr2bl w:val="nil"/>
            </w:tcBorders>
            <w:shd w:val="clear" w:color="auto" w:fill="auto"/>
            <w:vAlign w:val="center"/>
          </w:tcPr>
          <w:p w14:paraId="0A5E05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Style w:val="88"/>
                <w:rFonts w:hint="default" w:ascii="Times New Roman" w:hAnsi="Times New Roman" w:eastAsia="仿宋" w:cs="Times New Roman"/>
                <w:i w:val="0"/>
                <w:iCs w:val="0"/>
                <w:color w:val="FF0000"/>
                <w:sz w:val="21"/>
                <w:szCs w:val="21"/>
                <w:highlight w:val="none"/>
                <w:lang w:val="en-US" w:eastAsia="zh-CN" w:bidi="ar"/>
              </w:rPr>
            </w:pPr>
            <w:r>
              <w:rPr>
                <w:rStyle w:val="88"/>
                <w:rFonts w:hint="default" w:ascii="Times New Roman" w:hAnsi="Times New Roman" w:eastAsia="仿宋" w:cs="Times New Roman"/>
                <w:i w:val="0"/>
                <w:iCs w:val="0"/>
                <w:color w:val="FF0000"/>
                <w:sz w:val="21"/>
                <w:szCs w:val="21"/>
                <w:highlight w:val="none"/>
                <w:lang w:val="en-US" w:eastAsia="zh-CN" w:bidi="ar"/>
              </w:rPr>
              <w:t>峨眉山市应急管理局</w:t>
            </w:r>
          </w:p>
        </w:tc>
        <w:tc>
          <w:tcPr>
            <w:tcW w:w="2186" w:type="pct"/>
            <w:tcBorders>
              <w:tl2br w:val="nil"/>
              <w:tr2bl w:val="nil"/>
            </w:tcBorders>
            <w:shd w:val="clear" w:color="auto" w:fill="auto"/>
            <w:vAlign w:val="center"/>
          </w:tcPr>
          <w:p w14:paraId="05C6D7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Style w:val="88"/>
                <w:rFonts w:hint="default" w:ascii="Times New Roman" w:hAnsi="Times New Roman" w:eastAsia="仿宋" w:cs="Times New Roman"/>
                <w:i w:val="0"/>
                <w:iCs w:val="0"/>
                <w:color w:val="FF0000"/>
                <w:sz w:val="21"/>
                <w:szCs w:val="21"/>
                <w:highlight w:val="none"/>
                <w:lang w:val="en-US" w:eastAsia="zh-CN" w:bidi="ar"/>
              </w:rPr>
            </w:pPr>
            <w:r>
              <w:rPr>
                <w:rStyle w:val="88"/>
                <w:rFonts w:hint="default" w:ascii="Times New Roman" w:hAnsi="Times New Roman" w:eastAsia="仿宋" w:cs="Times New Roman"/>
                <w:i w:val="0"/>
                <w:iCs w:val="0"/>
                <w:color w:val="FF0000"/>
                <w:sz w:val="21"/>
                <w:szCs w:val="21"/>
                <w:highlight w:val="none"/>
                <w:lang w:val="en-US" w:eastAsia="zh-CN" w:bidi="ar"/>
              </w:rPr>
              <w:t>峨眉山市人民政府应急管理专家、乐山市应急管理入库专家</w:t>
            </w:r>
          </w:p>
        </w:tc>
      </w:tr>
      <w:tr w14:paraId="193C6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446" w:type="pct"/>
            <w:tcBorders>
              <w:tl2br w:val="nil"/>
              <w:tr2bl w:val="nil"/>
            </w:tcBorders>
            <w:shd w:val="clear" w:color="auto" w:fill="auto"/>
            <w:vAlign w:val="center"/>
          </w:tcPr>
          <w:p w14:paraId="15BDC8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Style w:val="88"/>
                <w:rFonts w:hint="default" w:ascii="Times New Roman" w:hAnsi="Times New Roman" w:eastAsia="仿宋" w:cs="Times New Roman"/>
                <w:i w:val="0"/>
                <w:iCs w:val="0"/>
                <w:color w:val="FF0000"/>
                <w:sz w:val="21"/>
                <w:szCs w:val="21"/>
                <w:highlight w:val="none"/>
                <w:lang w:val="en-US" w:eastAsia="zh-CN" w:bidi="ar"/>
              </w:rPr>
            </w:pPr>
            <w:r>
              <w:rPr>
                <w:rStyle w:val="88"/>
                <w:rFonts w:hint="default" w:ascii="Times New Roman" w:hAnsi="Times New Roman" w:eastAsia="仿宋" w:cs="Times New Roman"/>
                <w:i w:val="0"/>
                <w:iCs w:val="0"/>
                <w:color w:val="FF0000"/>
                <w:sz w:val="21"/>
                <w:szCs w:val="21"/>
                <w:highlight w:val="none"/>
                <w:lang w:val="en-US" w:eastAsia="zh-CN" w:bidi="ar"/>
              </w:rPr>
              <w:t>2</w:t>
            </w:r>
          </w:p>
        </w:tc>
        <w:tc>
          <w:tcPr>
            <w:tcW w:w="655" w:type="pct"/>
            <w:tcBorders>
              <w:tl2br w:val="nil"/>
              <w:tr2bl w:val="nil"/>
            </w:tcBorders>
            <w:shd w:val="clear" w:color="auto" w:fill="auto"/>
            <w:vAlign w:val="center"/>
          </w:tcPr>
          <w:p w14:paraId="6E45E8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Style w:val="88"/>
                <w:rFonts w:hint="default" w:ascii="Times New Roman" w:hAnsi="Times New Roman" w:eastAsia="仿宋" w:cs="Times New Roman"/>
                <w:i w:val="0"/>
                <w:iCs w:val="0"/>
                <w:color w:val="FF0000"/>
                <w:sz w:val="21"/>
                <w:szCs w:val="21"/>
                <w:highlight w:val="none"/>
                <w:lang w:val="en-US" w:eastAsia="zh-CN" w:bidi="ar"/>
              </w:rPr>
            </w:pPr>
            <w:r>
              <w:rPr>
                <w:rStyle w:val="88"/>
                <w:rFonts w:hint="eastAsia" w:eastAsia="仿宋" w:cs="Times New Roman"/>
                <w:i w:val="0"/>
                <w:iCs w:val="0"/>
                <w:color w:val="FF0000"/>
                <w:sz w:val="21"/>
                <w:szCs w:val="21"/>
                <w:highlight w:val="none"/>
                <w:lang w:val="en-US" w:eastAsia="zh-CN" w:bidi="ar"/>
              </w:rPr>
              <w:t>罗洪</w:t>
            </w:r>
          </w:p>
        </w:tc>
        <w:tc>
          <w:tcPr>
            <w:tcW w:w="446" w:type="pct"/>
            <w:tcBorders>
              <w:tl2br w:val="nil"/>
              <w:tr2bl w:val="nil"/>
            </w:tcBorders>
            <w:shd w:val="clear" w:color="auto" w:fill="auto"/>
            <w:vAlign w:val="center"/>
          </w:tcPr>
          <w:p w14:paraId="33B5B3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Style w:val="88"/>
                <w:rFonts w:hint="default" w:ascii="Times New Roman" w:hAnsi="Times New Roman" w:eastAsia="仿宋" w:cs="Times New Roman"/>
                <w:i w:val="0"/>
                <w:iCs w:val="0"/>
                <w:color w:val="FF0000"/>
                <w:sz w:val="21"/>
                <w:szCs w:val="21"/>
                <w:highlight w:val="none"/>
                <w:lang w:val="en-US" w:eastAsia="zh-CN" w:bidi="ar"/>
              </w:rPr>
            </w:pPr>
            <w:r>
              <w:rPr>
                <w:rStyle w:val="88"/>
                <w:rFonts w:hint="eastAsia" w:eastAsia="仿宋" w:cs="Times New Roman"/>
                <w:i w:val="0"/>
                <w:iCs w:val="0"/>
                <w:color w:val="FF0000"/>
                <w:sz w:val="21"/>
                <w:szCs w:val="21"/>
                <w:highlight w:val="none"/>
                <w:lang w:val="en-US" w:eastAsia="zh-CN" w:bidi="ar"/>
              </w:rPr>
              <w:t>男</w:t>
            </w:r>
          </w:p>
        </w:tc>
        <w:tc>
          <w:tcPr>
            <w:tcW w:w="1265" w:type="pct"/>
            <w:tcBorders>
              <w:tl2br w:val="nil"/>
              <w:tr2bl w:val="nil"/>
            </w:tcBorders>
            <w:shd w:val="clear" w:color="auto" w:fill="auto"/>
            <w:vAlign w:val="center"/>
          </w:tcPr>
          <w:p w14:paraId="024B84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Style w:val="88"/>
                <w:rFonts w:hint="default" w:ascii="Times New Roman" w:hAnsi="Times New Roman" w:eastAsia="仿宋" w:cs="Times New Roman"/>
                <w:i w:val="0"/>
                <w:iCs w:val="0"/>
                <w:color w:val="FF0000"/>
                <w:sz w:val="21"/>
                <w:szCs w:val="21"/>
                <w:highlight w:val="none"/>
                <w:lang w:val="en-US" w:eastAsia="zh-CN" w:bidi="ar"/>
              </w:rPr>
            </w:pPr>
            <w:r>
              <w:rPr>
                <w:rStyle w:val="88"/>
                <w:rFonts w:hint="default" w:ascii="Times New Roman" w:hAnsi="Times New Roman" w:eastAsia="仿宋" w:cs="Times New Roman"/>
                <w:i w:val="0"/>
                <w:iCs w:val="0"/>
                <w:color w:val="FF0000"/>
                <w:sz w:val="21"/>
                <w:szCs w:val="21"/>
                <w:highlight w:val="none"/>
                <w:lang w:val="en-US" w:eastAsia="zh-CN" w:bidi="ar"/>
              </w:rPr>
              <w:t>峨眉山市生态环境局</w:t>
            </w:r>
          </w:p>
        </w:tc>
        <w:tc>
          <w:tcPr>
            <w:tcW w:w="2186" w:type="pct"/>
            <w:tcBorders>
              <w:tl2br w:val="nil"/>
              <w:tr2bl w:val="nil"/>
            </w:tcBorders>
            <w:shd w:val="clear" w:color="auto" w:fill="auto"/>
            <w:vAlign w:val="center"/>
          </w:tcPr>
          <w:p w14:paraId="182082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Style w:val="88"/>
                <w:rFonts w:hint="default" w:ascii="Times New Roman" w:hAnsi="Times New Roman" w:eastAsia="仿宋" w:cs="Times New Roman"/>
                <w:i w:val="0"/>
                <w:iCs w:val="0"/>
                <w:color w:val="FF0000"/>
                <w:sz w:val="21"/>
                <w:szCs w:val="21"/>
                <w:highlight w:val="none"/>
                <w:lang w:val="en-US" w:eastAsia="zh-CN" w:bidi="ar"/>
              </w:rPr>
            </w:pPr>
            <w:r>
              <w:rPr>
                <w:rStyle w:val="88"/>
                <w:rFonts w:hint="default" w:ascii="Times New Roman" w:hAnsi="Times New Roman" w:eastAsia="仿宋" w:cs="Times New Roman"/>
                <w:i w:val="0"/>
                <w:iCs w:val="0"/>
                <w:color w:val="FF0000"/>
                <w:sz w:val="21"/>
                <w:szCs w:val="21"/>
                <w:highlight w:val="none"/>
                <w:lang w:val="en-US" w:eastAsia="zh-CN" w:bidi="ar"/>
              </w:rPr>
              <w:t>党组成员、监测站站长</w:t>
            </w:r>
          </w:p>
        </w:tc>
      </w:tr>
      <w:tr w14:paraId="68CBF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446" w:type="pct"/>
            <w:tcBorders>
              <w:tl2br w:val="nil"/>
              <w:tr2bl w:val="nil"/>
            </w:tcBorders>
            <w:shd w:val="clear" w:color="auto" w:fill="auto"/>
            <w:vAlign w:val="center"/>
          </w:tcPr>
          <w:p w14:paraId="141AEB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Style w:val="88"/>
                <w:rFonts w:hint="default" w:ascii="Times New Roman" w:hAnsi="Times New Roman" w:eastAsia="仿宋" w:cs="Times New Roman"/>
                <w:i w:val="0"/>
                <w:iCs w:val="0"/>
                <w:color w:val="FF0000"/>
                <w:sz w:val="21"/>
                <w:szCs w:val="21"/>
                <w:highlight w:val="none"/>
                <w:lang w:val="en-US" w:eastAsia="zh-CN" w:bidi="ar"/>
              </w:rPr>
            </w:pPr>
            <w:r>
              <w:rPr>
                <w:rStyle w:val="88"/>
                <w:rFonts w:hint="default" w:ascii="Times New Roman" w:hAnsi="Times New Roman" w:eastAsia="仿宋" w:cs="Times New Roman"/>
                <w:i w:val="0"/>
                <w:iCs w:val="0"/>
                <w:color w:val="FF0000"/>
                <w:sz w:val="21"/>
                <w:szCs w:val="21"/>
                <w:highlight w:val="none"/>
                <w:lang w:val="en-US" w:eastAsia="zh-CN" w:bidi="ar"/>
              </w:rPr>
              <w:t>3</w:t>
            </w:r>
          </w:p>
        </w:tc>
        <w:tc>
          <w:tcPr>
            <w:tcW w:w="655" w:type="pct"/>
            <w:tcBorders>
              <w:tl2br w:val="nil"/>
              <w:tr2bl w:val="nil"/>
            </w:tcBorders>
            <w:shd w:val="clear" w:color="auto" w:fill="auto"/>
            <w:vAlign w:val="center"/>
          </w:tcPr>
          <w:p w14:paraId="6F93DD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Style w:val="88"/>
                <w:rFonts w:hint="default" w:ascii="Times New Roman" w:hAnsi="Times New Roman" w:eastAsia="仿宋" w:cs="Times New Roman"/>
                <w:i w:val="0"/>
                <w:iCs w:val="0"/>
                <w:color w:val="FF0000"/>
                <w:sz w:val="21"/>
                <w:szCs w:val="21"/>
                <w:highlight w:val="none"/>
                <w:lang w:val="en-US" w:eastAsia="zh-CN" w:bidi="ar"/>
              </w:rPr>
            </w:pPr>
            <w:r>
              <w:rPr>
                <w:rStyle w:val="88"/>
                <w:rFonts w:hint="default" w:ascii="Times New Roman" w:hAnsi="Times New Roman" w:eastAsia="仿宋" w:cs="Times New Roman"/>
                <w:i w:val="0"/>
                <w:iCs w:val="0"/>
                <w:color w:val="FF0000"/>
                <w:sz w:val="21"/>
                <w:szCs w:val="21"/>
                <w:highlight w:val="none"/>
                <w:lang w:val="en-US" w:eastAsia="zh-CN" w:bidi="ar"/>
              </w:rPr>
              <w:t>樊治利</w:t>
            </w:r>
          </w:p>
        </w:tc>
        <w:tc>
          <w:tcPr>
            <w:tcW w:w="446" w:type="pct"/>
            <w:tcBorders>
              <w:tl2br w:val="nil"/>
              <w:tr2bl w:val="nil"/>
            </w:tcBorders>
            <w:shd w:val="clear" w:color="auto" w:fill="auto"/>
            <w:vAlign w:val="center"/>
          </w:tcPr>
          <w:p w14:paraId="616A52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FF0000"/>
                <w:kern w:val="2"/>
                <w:sz w:val="21"/>
                <w:szCs w:val="21"/>
                <w:highlight w:val="none"/>
                <w:u w:val="none"/>
                <w:lang w:val="en-US" w:eastAsia="zh-CN" w:bidi="ar"/>
              </w:rPr>
            </w:pPr>
            <w:r>
              <w:rPr>
                <w:rStyle w:val="88"/>
                <w:rFonts w:hint="eastAsia" w:eastAsia="仿宋" w:cs="Times New Roman"/>
                <w:i w:val="0"/>
                <w:iCs w:val="0"/>
                <w:color w:val="FF0000"/>
                <w:sz w:val="21"/>
                <w:szCs w:val="21"/>
                <w:highlight w:val="none"/>
                <w:lang w:val="en-US" w:eastAsia="zh-CN" w:bidi="ar"/>
              </w:rPr>
              <w:t>男</w:t>
            </w:r>
          </w:p>
        </w:tc>
        <w:tc>
          <w:tcPr>
            <w:tcW w:w="1265" w:type="pct"/>
            <w:tcBorders>
              <w:tl2br w:val="nil"/>
              <w:tr2bl w:val="nil"/>
            </w:tcBorders>
            <w:shd w:val="clear" w:color="auto" w:fill="auto"/>
            <w:vAlign w:val="center"/>
          </w:tcPr>
          <w:p w14:paraId="57B8FF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FF0000"/>
                <w:kern w:val="2"/>
                <w:sz w:val="21"/>
                <w:szCs w:val="21"/>
                <w:highlight w:val="none"/>
                <w:u w:val="none"/>
                <w:lang w:val="en-US" w:eastAsia="zh-CN" w:bidi="ar"/>
              </w:rPr>
            </w:pPr>
            <w:r>
              <w:rPr>
                <w:rStyle w:val="88"/>
                <w:rFonts w:hint="default" w:ascii="Times New Roman" w:hAnsi="Times New Roman" w:eastAsia="仿宋" w:cs="Times New Roman"/>
                <w:i w:val="0"/>
                <w:iCs w:val="0"/>
                <w:color w:val="FF0000"/>
                <w:sz w:val="21"/>
                <w:szCs w:val="21"/>
                <w:highlight w:val="none"/>
                <w:lang w:val="en-US" w:eastAsia="zh-CN" w:bidi="ar"/>
              </w:rPr>
              <w:t>峨眉山市生态环境局</w:t>
            </w:r>
          </w:p>
        </w:tc>
        <w:tc>
          <w:tcPr>
            <w:tcW w:w="2186" w:type="pct"/>
            <w:tcBorders>
              <w:tl2br w:val="nil"/>
              <w:tr2bl w:val="nil"/>
            </w:tcBorders>
            <w:shd w:val="clear" w:color="auto" w:fill="auto"/>
            <w:vAlign w:val="center"/>
          </w:tcPr>
          <w:p w14:paraId="653CB0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Style w:val="88"/>
                <w:rFonts w:hint="default" w:ascii="Times New Roman" w:hAnsi="Times New Roman" w:eastAsia="仿宋" w:cs="Times New Roman"/>
                <w:i w:val="0"/>
                <w:iCs w:val="0"/>
                <w:color w:val="FF0000"/>
                <w:sz w:val="21"/>
                <w:szCs w:val="21"/>
                <w:highlight w:val="none"/>
                <w:lang w:val="en-US" w:eastAsia="zh-CN" w:bidi="ar"/>
              </w:rPr>
            </w:pPr>
            <w:r>
              <w:rPr>
                <w:rStyle w:val="88"/>
                <w:rFonts w:hint="default" w:ascii="Times New Roman" w:hAnsi="Times New Roman" w:eastAsia="仿宋" w:cs="Times New Roman"/>
                <w:i w:val="0"/>
                <w:iCs w:val="0"/>
                <w:color w:val="FF0000"/>
                <w:sz w:val="21"/>
                <w:szCs w:val="21"/>
                <w:highlight w:val="none"/>
                <w:lang w:val="en-US" w:eastAsia="zh-CN" w:bidi="ar"/>
              </w:rPr>
              <w:t>监测站</w:t>
            </w:r>
            <w:r>
              <w:rPr>
                <w:rStyle w:val="88"/>
                <w:rFonts w:hint="eastAsia" w:eastAsia="仿宋" w:cs="Times New Roman"/>
                <w:i w:val="0"/>
                <w:iCs w:val="0"/>
                <w:color w:val="FF0000"/>
                <w:sz w:val="21"/>
                <w:szCs w:val="21"/>
                <w:highlight w:val="none"/>
                <w:lang w:val="en-US" w:eastAsia="zh-CN" w:bidi="ar"/>
              </w:rPr>
              <w:t>副</w:t>
            </w:r>
            <w:r>
              <w:rPr>
                <w:rStyle w:val="88"/>
                <w:rFonts w:hint="default" w:ascii="Times New Roman" w:hAnsi="Times New Roman" w:eastAsia="仿宋" w:cs="Times New Roman"/>
                <w:i w:val="0"/>
                <w:iCs w:val="0"/>
                <w:color w:val="FF0000"/>
                <w:sz w:val="21"/>
                <w:szCs w:val="21"/>
                <w:highlight w:val="none"/>
                <w:lang w:val="en-US" w:eastAsia="zh-CN" w:bidi="ar"/>
              </w:rPr>
              <w:t>站长</w:t>
            </w:r>
          </w:p>
        </w:tc>
      </w:tr>
    </w:tbl>
    <w:p w14:paraId="43673E45">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仿宋" w:cs="Times New Roman"/>
          <w:b/>
          <w:bCs/>
          <w:sz w:val="32"/>
          <w:szCs w:val="32"/>
          <w:lang w:val="en-US" w:eastAsia="zh-CN"/>
        </w:rPr>
      </w:pPr>
    </w:p>
    <w:p w14:paraId="270C0B77">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仿宋" w:cs="Times New Roman"/>
          <w:b/>
          <w:bCs/>
          <w:sz w:val="32"/>
          <w:szCs w:val="32"/>
          <w:lang w:val="en-US" w:eastAsia="zh-CN"/>
        </w:rPr>
      </w:pPr>
    </w:p>
    <w:p w14:paraId="1F1B1503">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仿宋" w:cs="Times New Roman"/>
          <w:b/>
          <w:bCs/>
          <w:sz w:val="32"/>
          <w:szCs w:val="32"/>
          <w:lang w:val="en-US" w:eastAsia="zh-CN"/>
        </w:rPr>
      </w:pPr>
      <w:r>
        <w:rPr>
          <w:rFonts w:hint="eastAsia" w:eastAsia="仿宋" w:cs="Times New Roman"/>
          <w:b/>
          <w:bCs/>
          <w:sz w:val="32"/>
          <w:szCs w:val="32"/>
          <w:lang w:val="en-US" w:eastAsia="zh-CN"/>
        </w:rPr>
        <w:t>可依托的其他</w:t>
      </w:r>
      <w:r>
        <w:rPr>
          <w:rFonts w:hint="eastAsia" w:ascii="Times New Roman" w:hAnsi="Times New Roman" w:eastAsia="仿宋" w:cs="Times New Roman"/>
          <w:b/>
          <w:bCs/>
          <w:sz w:val="32"/>
          <w:szCs w:val="32"/>
          <w:lang w:val="en-US" w:eastAsia="zh-CN"/>
        </w:rPr>
        <w:t>应急专家名单</w:t>
      </w:r>
    </w:p>
    <w:tbl>
      <w:tblPr>
        <w:tblStyle w:val="34"/>
        <w:tblW w:w="52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 w:type="dxa"/>
          <w:bottom w:w="0" w:type="dxa"/>
          <w:right w:w="10" w:type="dxa"/>
        </w:tblCellMar>
      </w:tblPr>
      <w:tblGrid>
        <w:gridCol w:w="497"/>
        <w:gridCol w:w="726"/>
        <w:gridCol w:w="495"/>
        <w:gridCol w:w="1197"/>
        <w:gridCol w:w="2610"/>
        <w:gridCol w:w="1903"/>
        <w:gridCol w:w="1314"/>
      </w:tblGrid>
      <w:tr w14:paraId="384A4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567" w:hRule="atLeast"/>
          <w:jc w:val="center"/>
        </w:trPr>
        <w:tc>
          <w:tcPr>
            <w:tcW w:w="283" w:type="pct"/>
            <w:tcBorders>
              <w:tl2br w:val="nil"/>
              <w:tr2bl w:val="nil"/>
            </w:tcBorders>
            <w:shd w:val="clear" w:color="auto" w:fill="auto"/>
            <w:vAlign w:val="center"/>
          </w:tcPr>
          <w:p w14:paraId="7930D9ED">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序号</w:t>
            </w:r>
          </w:p>
        </w:tc>
        <w:tc>
          <w:tcPr>
            <w:tcW w:w="415" w:type="pct"/>
            <w:tcBorders>
              <w:tl2br w:val="nil"/>
              <w:tr2bl w:val="nil"/>
            </w:tcBorders>
            <w:shd w:val="clear" w:color="auto" w:fill="auto"/>
            <w:vAlign w:val="center"/>
          </w:tcPr>
          <w:p w14:paraId="372A21E3">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姓名</w:t>
            </w:r>
          </w:p>
        </w:tc>
        <w:tc>
          <w:tcPr>
            <w:tcW w:w="283" w:type="pct"/>
            <w:tcBorders>
              <w:tl2br w:val="nil"/>
              <w:tr2bl w:val="nil"/>
            </w:tcBorders>
            <w:shd w:val="clear" w:color="auto" w:fill="auto"/>
            <w:vAlign w:val="center"/>
          </w:tcPr>
          <w:p w14:paraId="1B86840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性别</w:t>
            </w:r>
          </w:p>
        </w:tc>
        <w:tc>
          <w:tcPr>
            <w:tcW w:w="684" w:type="pct"/>
            <w:tcBorders>
              <w:tl2br w:val="nil"/>
              <w:tr2bl w:val="nil"/>
            </w:tcBorders>
            <w:shd w:val="clear" w:color="auto" w:fill="auto"/>
            <w:vAlign w:val="center"/>
          </w:tcPr>
          <w:p w14:paraId="505EBBFF">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技术职称</w:t>
            </w:r>
          </w:p>
        </w:tc>
        <w:tc>
          <w:tcPr>
            <w:tcW w:w="1492" w:type="pct"/>
            <w:tcBorders>
              <w:tl2br w:val="nil"/>
              <w:tr2bl w:val="nil"/>
            </w:tcBorders>
            <w:shd w:val="clear" w:color="auto" w:fill="auto"/>
            <w:vAlign w:val="center"/>
          </w:tcPr>
          <w:p w14:paraId="1435FC0E">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单位</w:t>
            </w:r>
          </w:p>
        </w:tc>
        <w:tc>
          <w:tcPr>
            <w:tcW w:w="1088" w:type="pct"/>
            <w:tcBorders>
              <w:tl2br w:val="nil"/>
              <w:tr2bl w:val="nil"/>
            </w:tcBorders>
            <w:shd w:val="clear" w:color="auto" w:fill="auto"/>
            <w:vAlign w:val="center"/>
          </w:tcPr>
          <w:p w14:paraId="19D7B67A">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从事专业</w:t>
            </w:r>
          </w:p>
        </w:tc>
        <w:tc>
          <w:tcPr>
            <w:tcW w:w="751" w:type="pct"/>
            <w:tcBorders>
              <w:tl2br w:val="nil"/>
              <w:tr2bl w:val="nil"/>
            </w:tcBorders>
            <w:shd w:val="clear" w:color="auto" w:fill="auto"/>
            <w:vAlign w:val="center"/>
          </w:tcPr>
          <w:p w14:paraId="7AA84F3B">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联系电话</w:t>
            </w:r>
          </w:p>
        </w:tc>
      </w:tr>
      <w:tr w14:paraId="0D7ED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283" w:type="pct"/>
            <w:tcBorders>
              <w:tl2br w:val="nil"/>
              <w:tr2bl w:val="nil"/>
            </w:tcBorders>
            <w:shd w:val="clear" w:color="auto" w:fill="auto"/>
            <w:vAlign w:val="center"/>
          </w:tcPr>
          <w:p w14:paraId="4590D2E6">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1</w:t>
            </w:r>
          </w:p>
        </w:tc>
        <w:tc>
          <w:tcPr>
            <w:tcW w:w="415" w:type="pct"/>
            <w:tcBorders>
              <w:tl2br w:val="nil"/>
              <w:tr2bl w:val="nil"/>
            </w:tcBorders>
            <w:shd w:val="clear" w:color="auto" w:fill="auto"/>
            <w:vAlign w:val="center"/>
          </w:tcPr>
          <w:p w14:paraId="0EB5CD43">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向清祥</w:t>
            </w:r>
          </w:p>
        </w:tc>
        <w:tc>
          <w:tcPr>
            <w:tcW w:w="283" w:type="pct"/>
            <w:tcBorders>
              <w:tl2br w:val="nil"/>
              <w:tr2bl w:val="nil"/>
            </w:tcBorders>
            <w:shd w:val="clear" w:color="auto" w:fill="auto"/>
            <w:vAlign w:val="center"/>
          </w:tcPr>
          <w:p w14:paraId="36D01F7B">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男</w:t>
            </w:r>
          </w:p>
        </w:tc>
        <w:tc>
          <w:tcPr>
            <w:tcW w:w="684" w:type="pct"/>
            <w:tcBorders>
              <w:tl2br w:val="nil"/>
              <w:tr2bl w:val="nil"/>
            </w:tcBorders>
            <w:shd w:val="clear" w:color="auto" w:fill="auto"/>
            <w:vAlign w:val="center"/>
          </w:tcPr>
          <w:p w14:paraId="739C4B0D">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教授</w:t>
            </w:r>
          </w:p>
        </w:tc>
        <w:tc>
          <w:tcPr>
            <w:tcW w:w="1492" w:type="pct"/>
            <w:tcBorders>
              <w:tl2br w:val="nil"/>
              <w:tr2bl w:val="nil"/>
            </w:tcBorders>
            <w:shd w:val="clear" w:color="auto" w:fill="auto"/>
            <w:vAlign w:val="center"/>
          </w:tcPr>
          <w:p w14:paraId="1687306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乐山师范学院</w:t>
            </w:r>
          </w:p>
        </w:tc>
        <w:tc>
          <w:tcPr>
            <w:tcW w:w="1088" w:type="pct"/>
            <w:tcBorders>
              <w:tl2br w:val="nil"/>
              <w:tr2bl w:val="nil"/>
            </w:tcBorders>
            <w:shd w:val="clear" w:color="auto" w:fill="auto"/>
            <w:vAlign w:val="center"/>
          </w:tcPr>
          <w:p w14:paraId="46FFB41A">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有机化学</w:t>
            </w:r>
          </w:p>
        </w:tc>
        <w:tc>
          <w:tcPr>
            <w:tcW w:w="751" w:type="pct"/>
            <w:tcBorders>
              <w:tl2br w:val="nil"/>
              <w:tr2bl w:val="nil"/>
            </w:tcBorders>
            <w:shd w:val="clear" w:color="auto" w:fill="auto"/>
            <w:vAlign w:val="center"/>
          </w:tcPr>
          <w:p w14:paraId="180F29A0">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18981381091</w:t>
            </w:r>
          </w:p>
        </w:tc>
      </w:tr>
      <w:tr w14:paraId="75164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283" w:type="pct"/>
            <w:tcBorders>
              <w:tl2br w:val="nil"/>
              <w:tr2bl w:val="nil"/>
            </w:tcBorders>
            <w:shd w:val="clear" w:color="auto" w:fill="auto"/>
            <w:vAlign w:val="center"/>
          </w:tcPr>
          <w:p w14:paraId="7EB2D9FF">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2</w:t>
            </w:r>
          </w:p>
        </w:tc>
        <w:tc>
          <w:tcPr>
            <w:tcW w:w="415" w:type="pct"/>
            <w:tcBorders>
              <w:tl2br w:val="nil"/>
              <w:tr2bl w:val="nil"/>
            </w:tcBorders>
            <w:shd w:val="clear" w:color="auto" w:fill="auto"/>
            <w:vAlign w:val="center"/>
          </w:tcPr>
          <w:p w14:paraId="0C59C476">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魏晓欣</w:t>
            </w:r>
          </w:p>
        </w:tc>
        <w:tc>
          <w:tcPr>
            <w:tcW w:w="283" w:type="pct"/>
            <w:tcBorders>
              <w:tl2br w:val="nil"/>
              <w:tr2bl w:val="nil"/>
            </w:tcBorders>
            <w:shd w:val="clear" w:color="auto" w:fill="auto"/>
            <w:vAlign w:val="center"/>
          </w:tcPr>
          <w:p w14:paraId="7E87ECA6">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女</w:t>
            </w:r>
          </w:p>
        </w:tc>
        <w:tc>
          <w:tcPr>
            <w:tcW w:w="684" w:type="pct"/>
            <w:tcBorders>
              <w:tl2br w:val="nil"/>
              <w:tr2bl w:val="nil"/>
            </w:tcBorders>
            <w:shd w:val="clear" w:color="auto" w:fill="auto"/>
            <w:vAlign w:val="center"/>
          </w:tcPr>
          <w:p w14:paraId="186D5EAE">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副教授</w:t>
            </w:r>
          </w:p>
        </w:tc>
        <w:tc>
          <w:tcPr>
            <w:tcW w:w="1492" w:type="pct"/>
            <w:tcBorders>
              <w:tl2br w:val="nil"/>
              <w:tr2bl w:val="nil"/>
            </w:tcBorders>
            <w:shd w:val="clear" w:color="auto" w:fill="auto"/>
            <w:vAlign w:val="center"/>
          </w:tcPr>
          <w:p w14:paraId="525CDB36">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乐山师范学院法学与公共管理学院</w:t>
            </w:r>
          </w:p>
        </w:tc>
        <w:tc>
          <w:tcPr>
            <w:tcW w:w="1088" w:type="pct"/>
            <w:tcBorders>
              <w:tl2br w:val="nil"/>
              <w:tr2bl w:val="nil"/>
            </w:tcBorders>
            <w:shd w:val="clear" w:color="auto" w:fill="auto"/>
            <w:vAlign w:val="center"/>
          </w:tcPr>
          <w:p w14:paraId="1962D676">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环境应急管理</w:t>
            </w:r>
          </w:p>
        </w:tc>
        <w:tc>
          <w:tcPr>
            <w:tcW w:w="751" w:type="pct"/>
            <w:tcBorders>
              <w:tl2br w:val="nil"/>
              <w:tr2bl w:val="nil"/>
            </w:tcBorders>
            <w:shd w:val="clear" w:color="auto" w:fill="auto"/>
            <w:vAlign w:val="center"/>
          </w:tcPr>
          <w:p w14:paraId="085BCD89">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13708137482</w:t>
            </w:r>
          </w:p>
        </w:tc>
      </w:tr>
      <w:tr w14:paraId="766F5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283" w:type="pct"/>
            <w:tcBorders>
              <w:tl2br w:val="nil"/>
              <w:tr2bl w:val="nil"/>
            </w:tcBorders>
            <w:shd w:val="clear" w:color="auto" w:fill="auto"/>
            <w:vAlign w:val="center"/>
          </w:tcPr>
          <w:p w14:paraId="4BDFA94E">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3</w:t>
            </w:r>
          </w:p>
        </w:tc>
        <w:tc>
          <w:tcPr>
            <w:tcW w:w="415" w:type="pct"/>
            <w:tcBorders>
              <w:tl2br w:val="nil"/>
              <w:tr2bl w:val="nil"/>
            </w:tcBorders>
            <w:shd w:val="clear" w:color="auto" w:fill="auto"/>
            <w:vAlign w:val="center"/>
          </w:tcPr>
          <w:p w14:paraId="051A8B63">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马旭光</w:t>
            </w:r>
          </w:p>
        </w:tc>
        <w:tc>
          <w:tcPr>
            <w:tcW w:w="283" w:type="pct"/>
            <w:tcBorders>
              <w:tl2br w:val="nil"/>
              <w:tr2bl w:val="nil"/>
            </w:tcBorders>
            <w:shd w:val="clear" w:color="auto" w:fill="auto"/>
            <w:vAlign w:val="center"/>
          </w:tcPr>
          <w:p w14:paraId="1813640D">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男</w:t>
            </w:r>
          </w:p>
        </w:tc>
        <w:tc>
          <w:tcPr>
            <w:tcW w:w="684" w:type="pct"/>
            <w:tcBorders>
              <w:tl2br w:val="nil"/>
              <w:tr2bl w:val="nil"/>
            </w:tcBorders>
            <w:shd w:val="clear" w:color="auto" w:fill="auto"/>
            <w:vAlign w:val="center"/>
          </w:tcPr>
          <w:p w14:paraId="421C196B">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教授</w:t>
            </w:r>
          </w:p>
        </w:tc>
        <w:tc>
          <w:tcPr>
            <w:tcW w:w="1492" w:type="pct"/>
            <w:tcBorders>
              <w:tl2br w:val="nil"/>
              <w:tr2bl w:val="nil"/>
            </w:tcBorders>
            <w:shd w:val="clear" w:color="auto" w:fill="auto"/>
            <w:vAlign w:val="center"/>
          </w:tcPr>
          <w:p w14:paraId="37B96A92">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乐山师范学院化学与资源环境学院</w:t>
            </w:r>
          </w:p>
        </w:tc>
        <w:tc>
          <w:tcPr>
            <w:tcW w:w="1088" w:type="pct"/>
            <w:tcBorders>
              <w:tl2br w:val="nil"/>
              <w:tr2bl w:val="nil"/>
            </w:tcBorders>
            <w:shd w:val="clear" w:color="auto" w:fill="auto"/>
            <w:vAlign w:val="center"/>
          </w:tcPr>
          <w:p w14:paraId="6910D62E">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环境工程</w:t>
            </w:r>
          </w:p>
        </w:tc>
        <w:tc>
          <w:tcPr>
            <w:tcW w:w="751" w:type="pct"/>
            <w:tcBorders>
              <w:tl2br w:val="nil"/>
              <w:tr2bl w:val="nil"/>
            </w:tcBorders>
            <w:shd w:val="clear" w:color="auto" w:fill="auto"/>
            <w:vAlign w:val="center"/>
          </w:tcPr>
          <w:p w14:paraId="63204F1B">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18781342296</w:t>
            </w:r>
          </w:p>
        </w:tc>
      </w:tr>
      <w:tr w14:paraId="0E0C5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283" w:type="pct"/>
            <w:tcBorders>
              <w:tl2br w:val="nil"/>
              <w:tr2bl w:val="nil"/>
            </w:tcBorders>
            <w:shd w:val="clear" w:color="auto" w:fill="auto"/>
            <w:vAlign w:val="center"/>
          </w:tcPr>
          <w:p w14:paraId="393E4895">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4</w:t>
            </w:r>
          </w:p>
        </w:tc>
        <w:tc>
          <w:tcPr>
            <w:tcW w:w="415" w:type="pct"/>
            <w:tcBorders>
              <w:tl2br w:val="nil"/>
              <w:tr2bl w:val="nil"/>
            </w:tcBorders>
            <w:shd w:val="clear" w:color="auto" w:fill="auto"/>
            <w:vAlign w:val="center"/>
          </w:tcPr>
          <w:p w14:paraId="681DD331">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常佳丽</w:t>
            </w:r>
          </w:p>
        </w:tc>
        <w:tc>
          <w:tcPr>
            <w:tcW w:w="283" w:type="pct"/>
            <w:tcBorders>
              <w:tl2br w:val="nil"/>
              <w:tr2bl w:val="nil"/>
            </w:tcBorders>
            <w:shd w:val="clear" w:color="auto" w:fill="auto"/>
            <w:vAlign w:val="center"/>
          </w:tcPr>
          <w:p w14:paraId="672162F3">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女</w:t>
            </w:r>
          </w:p>
        </w:tc>
        <w:tc>
          <w:tcPr>
            <w:tcW w:w="684" w:type="pct"/>
            <w:tcBorders>
              <w:tl2br w:val="nil"/>
              <w:tr2bl w:val="nil"/>
            </w:tcBorders>
            <w:shd w:val="clear" w:color="auto" w:fill="auto"/>
            <w:vAlign w:val="center"/>
          </w:tcPr>
          <w:p w14:paraId="53B5377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副教授</w:t>
            </w:r>
          </w:p>
        </w:tc>
        <w:tc>
          <w:tcPr>
            <w:tcW w:w="1492" w:type="pct"/>
            <w:tcBorders>
              <w:tl2br w:val="nil"/>
              <w:tr2bl w:val="nil"/>
            </w:tcBorders>
            <w:shd w:val="clear" w:color="auto" w:fill="auto"/>
            <w:vAlign w:val="center"/>
          </w:tcPr>
          <w:p w14:paraId="724C6B90">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乐山师范学院化学与资源环境学院</w:t>
            </w:r>
          </w:p>
        </w:tc>
        <w:tc>
          <w:tcPr>
            <w:tcW w:w="1088" w:type="pct"/>
            <w:tcBorders>
              <w:tl2br w:val="nil"/>
              <w:tr2bl w:val="nil"/>
            </w:tcBorders>
            <w:shd w:val="clear" w:color="auto" w:fill="auto"/>
            <w:vAlign w:val="center"/>
          </w:tcPr>
          <w:p w14:paraId="29F0F9CA">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环境科学</w:t>
            </w:r>
          </w:p>
        </w:tc>
        <w:tc>
          <w:tcPr>
            <w:tcW w:w="751" w:type="pct"/>
            <w:tcBorders>
              <w:tl2br w:val="nil"/>
              <w:tr2bl w:val="nil"/>
            </w:tcBorders>
            <w:shd w:val="clear" w:color="auto" w:fill="auto"/>
            <w:vAlign w:val="center"/>
          </w:tcPr>
          <w:p w14:paraId="407B1460">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17369158295</w:t>
            </w:r>
          </w:p>
        </w:tc>
      </w:tr>
      <w:tr w14:paraId="047AB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283" w:type="pct"/>
            <w:tcBorders>
              <w:tl2br w:val="nil"/>
              <w:tr2bl w:val="nil"/>
            </w:tcBorders>
            <w:shd w:val="clear" w:color="auto" w:fill="auto"/>
            <w:vAlign w:val="center"/>
          </w:tcPr>
          <w:p w14:paraId="34C85E86">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5</w:t>
            </w:r>
          </w:p>
        </w:tc>
        <w:tc>
          <w:tcPr>
            <w:tcW w:w="415" w:type="pct"/>
            <w:tcBorders>
              <w:tl2br w:val="nil"/>
              <w:tr2bl w:val="nil"/>
            </w:tcBorders>
            <w:shd w:val="clear" w:color="auto" w:fill="auto"/>
            <w:vAlign w:val="center"/>
          </w:tcPr>
          <w:p w14:paraId="7C7C9587">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黄旺银</w:t>
            </w:r>
          </w:p>
        </w:tc>
        <w:tc>
          <w:tcPr>
            <w:tcW w:w="283" w:type="pct"/>
            <w:tcBorders>
              <w:tl2br w:val="nil"/>
              <w:tr2bl w:val="nil"/>
            </w:tcBorders>
            <w:shd w:val="clear" w:color="auto" w:fill="auto"/>
            <w:vAlign w:val="center"/>
          </w:tcPr>
          <w:p w14:paraId="04EABA35">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男</w:t>
            </w:r>
          </w:p>
        </w:tc>
        <w:tc>
          <w:tcPr>
            <w:tcW w:w="684" w:type="pct"/>
            <w:tcBorders>
              <w:tl2br w:val="nil"/>
              <w:tr2bl w:val="nil"/>
            </w:tcBorders>
            <w:shd w:val="clear" w:color="auto" w:fill="auto"/>
            <w:vAlign w:val="center"/>
          </w:tcPr>
          <w:p w14:paraId="1089FC89">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高级工程师</w:t>
            </w:r>
          </w:p>
        </w:tc>
        <w:tc>
          <w:tcPr>
            <w:tcW w:w="1492" w:type="pct"/>
            <w:tcBorders>
              <w:tl2br w:val="nil"/>
              <w:tr2bl w:val="nil"/>
            </w:tcBorders>
            <w:shd w:val="clear" w:color="auto" w:fill="auto"/>
            <w:vAlign w:val="center"/>
          </w:tcPr>
          <w:p w14:paraId="43FD9379">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乐山师范学院化学与资源环境学院</w:t>
            </w:r>
          </w:p>
        </w:tc>
        <w:tc>
          <w:tcPr>
            <w:tcW w:w="1088" w:type="pct"/>
            <w:tcBorders>
              <w:tl2br w:val="nil"/>
              <w:tr2bl w:val="nil"/>
            </w:tcBorders>
            <w:shd w:val="clear" w:color="auto" w:fill="auto"/>
            <w:vAlign w:val="center"/>
          </w:tcPr>
          <w:p w14:paraId="797C1ADF">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环境监测</w:t>
            </w:r>
          </w:p>
        </w:tc>
        <w:tc>
          <w:tcPr>
            <w:tcW w:w="751" w:type="pct"/>
            <w:tcBorders>
              <w:tl2br w:val="nil"/>
              <w:tr2bl w:val="nil"/>
            </w:tcBorders>
            <w:shd w:val="clear" w:color="auto" w:fill="auto"/>
            <w:vAlign w:val="center"/>
          </w:tcPr>
          <w:p w14:paraId="683AF6C2">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18048519183</w:t>
            </w:r>
          </w:p>
        </w:tc>
      </w:tr>
      <w:tr w14:paraId="5F145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283" w:type="pct"/>
            <w:tcBorders>
              <w:tl2br w:val="nil"/>
              <w:tr2bl w:val="nil"/>
            </w:tcBorders>
            <w:shd w:val="clear" w:color="auto" w:fill="auto"/>
            <w:vAlign w:val="center"/>
          </w:tcPr>
          <w:p w14:paraId="36279834">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6</w:t>
            </w:r>
          </w:p>
        </w:tc>
        <w:tc>
          <w:tcPr>
            <w:tcW w:w="415" w:type="pct"/>
            <w:tcBorders>
              <w:tl2br w:val="nil"/>
              <w:tr2bl w:val="nil"/>
            </w:tcBorders>
            <w:shd w:val="clear" w:color="auto" w:fill="auto"/>
            <w:vAlign w:val="center"/>
          </w:tcPr>
          <w:p w14:paraId="160CE2AE">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张瑶</w:t>
            </w:r>
          </w:p>
        </w:tc>
        <w:tc>
          <w:tcPr>
            <w:tcW w:w="283" w:type="pct"/>
            <w:tcBorders>
              <w:tl2br w:val="nil"/>
              <w:tr2bl w:val="nil"/>
            </w:tcBorders>
            <w:shd w:val="clear" w:color="auto" w:fill="auto"/>
            <w:vAlign w:val="center"/>
          </w:tcPr>
          <w:p w14:paraId="5CB420BD">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女</w:t>
            </w:r>
          </w:p>
        </w:tc>
        <w:tc>
          <w:tcPr>
            <w:tcW w:w="684" w:type="pct"/>
            <w:tcBorders>
              <w:tl2br w:val="nil"/>
              <w:tr2bl w:val="nil"/>
            </w:tcBorders>
            <w:shd w:val="clear" w:color="auto" w:fill="auto"/>
            <w:vAlign w:val="center"/>
          </w:tcPr>
          <w:p w14:paraId="2BD581F4">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高级工程师</w:t>
            </w:r>
          </w:p>
        </w:tc>
        <w:tc>
          <w:tcPr>
            <w:tcW w:w="1492" w:type="pct"/>
            <w:tcBorders>
              <w:tl2br w:val="nil"/>
              <w:tr2bl w:val="nil"/>
            </w:tcBorders>
            <w:shd w:val="clear" w:color="auto" w:fill="auto"/>
            <w:vAlign w:val="center"/>
          </w:tcPr>
          <w:p w14:paraId="252550F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四川省乐山市福华通达农药科技有限公司</w:t>
            </w:r>
          </w:p>
        </w:tc>
        <w:tc>
          <w:tcPr>
            <w:tcW w:w="1088" w:type="pct"/>
            <w:tcBorders>
              <w:tl2br w:val="nil"/>
              <w:tr2bl w:val="nil"/>
            </w:tcBorders>
            <w:shd w:val="clear" w:color="auto" w:fill="auto"/>
            <w:vAlign w:val="center"/>
          </w:tcPr>
          <w:p w14:paraId="2989258E">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污水治理</w:t>
            </w:r>
          </w:p>
        </w:tc>
        <w:tc>
          <w:tcPr>
            <w:tcW w:w="751" w:type="pct"/>
            <w:tcBorders>
              <w:tl2br w:val="nil"/>
              <w:tr2bl w:val="nil"/>
            </w:tcBorders>
            <w:shd w:val="clear" w:color="auto" w:fill="auto"/>
            <w:vAlign w:val="center"/>
          </w:tcPr>
          <w:p w14:paraId="607FD03E">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13628193494</w:t>
            </w:r>
          </w:p>
        </w:tc>
      </w:tr>
      <w:tr w14:paraId="11212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283" w:type="pct"/>
            <w:tcBorders>
              <w:tl2br w:val="nil"/>
              <w:tr2bl w:val="nil"/>
            </w:tcBorders>
            <w:shd w:val="clear" w:color="auto" w:fill="auto"/>
            <w:vAlign w:val="center"/>
          </w:tcPr>
          <w:p w14:paraId="4122D6A6">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7</w:t>
            </w:r>
          </w:p>
        </w:tc>
        <w:tc>
          <w:tcPr>
            <w:tcW w:w="415" w:type="pct"/>
            <w:tcBorders>
              <w:tl2br w:val="nil"/>
              <w:tr2bl w:val="nil"/>
            </w:tcBorders>
            <w:shd w:val="clear" w:color="auto" w:fill="auto"/>
            <w:vAlign w:val="center"/>
          </w:tcPr>
          <w:p w14:paraId="03D7A9FC">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杨国华</w:t>
            </w:r>
          </w:p>
        </w:tc>
        <w:tc>
          <w:tcPr>
            <w:tcW w:w="283" w:type="pct"/>
            <w:tcBorders>
              <w:tl2br w:val="nil"/>
              <w:tr2bl w:val="nil"/>
            </w:tcBorders>
            <w:shd w:val="clear" w:color="auto" w:fill="auto"/>
            <w:vAlign w:val="center"/>
          </w:tcPr>
          <w:p w14:paraId="65E37650">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男</w:t>
            </w:r>
          </w:p>
        </w:tc>
        <w:tc>
          <w:tcPr>
            <w:tcW w:w="684" w:type="pct"/>
            <w:tcBorders>
              <w:tl2br w:val="nil"/>
              <w:tr2bl w:val="nil"/>
            </w:tcBorders>
            <w:shd w:val="clear" w:color="auto" w:fill="auto"/>
            <w:vAlign w:val="center"/>
          </w:tcPr>
          <w:p w14:paraId="47A6D20E">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高级工程师</w:t>
            </w:r>
          </w:p>
        </w:tc>
        <w:tc>
          <w:tcPr>
            <w:tcW w:w="1492" w:type="pct"/>
            <w:tcBorders>
              <w:tl2br w:val="nil"/>
              <w:tr2bl w:val="nil"/>
            </w:tcBorders>
            <w:shd w:val="clear" w:color="auto" w:fill="auto"/>
            <w:vAlign w:val="center"/>
          </w:tcPr>
          <w:p w14:paraId="0785AD14">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四川省乐山市福华通达农药科技有限公司</w:t>
            </w:r>
          </w:p>
        </w:tc>
        <w:tc>
          <w:tcPr>
            <w:tcW w:w="1088" w:type="pct"/>
            <w:tcBorders>
              <w:tl2br w:val="nil"/>
              <w:tr2bl w:val="nil"/>
            </w:tcBorders>
            <w:shd w:val="clear" w:color="auto" w:fill="auto"/>
            <w:vAlign w:val="center"/>
          </w:tcPr>
          <w:p w14:paraId="0AAF47EF">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化工类和农药制药</w:t>
            </w:r>
          </w:p>
        </w:tc>
        <w:tc>
          <w:tcPr>
            <w:tcW w:w="751" w:type="pct"/>
            <w:tcBorders>
              <w:tl2br w:val="nil"/>
              <w:tr2bl w:val="nil"/>
            </w:tcBorders>
            <w:shd w:val="clear" w:color="auto" w:fill="auto"/>
            <w:vAlign w:val="center"/>
          </w:tcPr>
          <w:p w14:paraId="11425BC0">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13518233131</w:t>
            </w:r>
          </w:p>
        </w:tc>
      </w:tr>
      <w:tr w14:paraId="78700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283" w:type="pct"/>
            <w:tcBorders>
              <w:tl2br w:val="nil"/>
              <w:tr2bl w:val="nil"/>
            </w:tcBorders>
            <w:shd w:val="clear" w:color="auto" w:fill="auto"/>
            <w:vAlign w:val="center"/>
          </w:tcPr>
          <w:p w14:paraId="1290212F">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8</w:t>
            </w:r>
          </w:p>
        </w:tc>
        <w:tc>
          <w:tcPr>
            <w:tcW w:w="415" w:type="pct"/>
            <w:tcBorders>
              <w:tl2br w:val="nil"/>
              <w:tr2bl w:val="nil"/>
            </w:tcBorders>
            <w:shd w:val="clear" w:color="auto" w:fill="auto"/>
            <w:vAlign w:val="center"/>
          </w:tcPr>
          <w:p w14:paraId="36033756">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周毅</w:t>
            </w:r>
          </w:p>
        </w:tc>
        <w:tc>
          <w:tcPr>
            <w:tcW w:w="283" w:type="pct"/>
            <w:tcBorders>
              <w:tl2br w:val="nil"/>
              <w:tr2bl w:val="nil"/>
            </w:tcBorders>
            <w:shd w:val="clear" w:color="auto" w:fill="auto"/>
            <w:vAlign w:val="center"/>
          </w:tcPr>
          <w:p w14:paraId="31BAF27F">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男</w:t>
            </w:r>
          </w:p>
        </w:tc>
        <w:tc>
          <w:tcPr>
            <w:tcW w:w="684" w:type="pct"/>
            <w:tcBorders>
              <w:tl2br w:val="nil"/>
              <w:tr2bl w:val="nil"/>
            </w:tcBorders>
            <w:shd w:val="clear" w:color="auto" w:fill="auto"/>
            <w:vAlign w:val="center"/>
          </w:tcPr>
          <w:p w14:paraId="50C156D2">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高级工程师</w:t>
            </w:r>
          </w:p>
        </w:tc>
        <w:tc>
          <w:tcPr>
            <w:tcW w:w="1492" w:type="pct"/>
            <w:tcBorders>
              <w:tl2br w:val="nil"/>
              <w:tr2bl w:val="nil"/>
            </w:tcBorders>
            <w:shd w:val="clear" w:color="auto" w:fill="auto"/>
            <w:vAlign w:val="center"/>
          </w:tcPr>
          <w:p w14:paraId="7AEB3A0E">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四川省乐山市福华通达农药科技有限公司</w:t>
            </w:r>
          </w:p>
        </w:tc>
        <w:tc>
          <w:tcPr>
            <w:tcW w:w="1088" w:type="pct"/>
            <w:tcBorders>
              <w:tl2br w:val="nil"/>
              <w:tr2bl w:val="nil"/>
            </w:tcBorders>
            <w:shd w:val="clear" w:color="auto" w:fill="auto"/>
            <w:vAlign w:val="center"/>
          </w:tcPr>
          <w:p w14:paraId="7D572372">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化工</w:t>
            </w:r>
          </w:p>
        </w:tc>
        <w:tc>
          <w:tcPr>
            <w:tcW w:w="751" w:type="pct"/>
            <w:tcBorders>
              <w:tl2br w:val="nil"/>
              <w:tr2bl w:val="nil"/>
            </w:tcBorders>
            <w:shd w:val="clear" w:color="auto" w:fill="auto"/>
            <w:vAlign w:val="center"/>
          </w:tcPr>
          <w:p w14:paraId="7F422DBA">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13309003798</w:t>
            </w:r>
          </w:p>
        </w:tc>
      </w:tr>
      <w:tr w14:paraId="064D4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283" w:type="pct"/>
            <w:tcBorders>
              <w:tl2br w:val="nil"/>
              <w:tr2bl w:val="nil"/>
            </w:tcBorders>
            <w:shd w:val="clear" w:color="auto" w:fill="auto"/>
            <w:vAlign w:val="center"/>
          </w:tcPr>
          <w:p w14:paraId="186A609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9</w:t>
            </w:r>
          </w:p>
        </w:tc>
        <w:tc>
          <w:tcPr>
            <w:tcW w:w="415" w:type="pct"/>
            <w:tcBorders>
              <w:tl2br w:val="nil"/>
              <w:tr2bl w:val="nil"/>
            </w:tcBorders>
            <w:shd w:val="clear" w:color="auto" w:fill="auto"/>
            <w:vAlign w:val="center"/>
          </w:tcPr>
          <w:p w14:paraId="0D21AD4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王辉</w:t>
            </w:r>
          </w:p>
        </w:tc>
        <w:tc>
          <w:tcPr>
            <w:tcW w:w="283" w:type="pct"/>
            <w:tcBorders>
              <w:tl2br w:val="nil"/>
              <w:tr2bl w:val="nil"/>
            </w:tcBorders>
            <w:shd w:val="clear" w:color="auto" w:fill="auto"/>
            <w:vAlign w:val="center"/>
          </w:tcPr>
          <w:p w14:paraId="00B3A5D4">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男</w:t>
            </w:r>
          </w:p>
        </w:tc>
        <w:tc>
          <w:tcPr>
            <w:tcW w:w="684" w:type="pct"/>
            <w:tcBorders>
              <w:tl2br w:val="nil"/>
              <w:tr2bl w:val="nil"/>
            </w:tcBorders>
            <w:shd w:val="clear" w:color="auto" w:fill="auto"/>
            <w:vAlign w:val="center"/>
          </w:tcPr>
          <w:p w14:paraId="72C6AB7E">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高级工程师</w:t>
            </w:r>
          </w:p>
        </w:tc>
        <w:tc>
          <w:tcPr>
            <w:tcW w:w="1492" w:type="pct"/>
            <w:tcBorders>
              <w:tl2br w:val="nil"/>
              <w:tr2bl w:val="nil"/>
            </w:tcBorders>
            <w:shd w:val="clear" w:color="auto" w:fill="auto"/>
            <w:vAlign w:val="center"/>
          </w:tcPr>
          <w:p w14:paraId="77CC3F2C">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乐山市环境科学研究所</w:t>
            </w:r>
          </w:p>
        </w:tc>
        <w:tc>
          <w:tcPr>
            <w:tcW w:w="1088" w:type="pct"/>
            <w:tcBorders>
              <w:tl2br w:val="nil"/>
              <w:tr2bl w:val="nil"/>
            </w:tcBorders>
            <w:shd w:val="clear" w:color="auto" w:fill="auto"/>
            <w:vAlign w:val="center"/>
          </w:tcPr>
          <w:p w14:paraId="0DF7C356">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环境保护</w:t>
            </w:r>
          </w:p>
        </w:tc>
        <w:tc>
          <w:tcPr>
            <w:tcW w:w="751" w:type="pct"/>
            <w:tcBorders>
              <w:tl2br w:val="nil"/>
              <w:tr2bl w:val="nil"/>
            </w:tcBorders>
            <w:shd w:val="clear" w:color="auto" w:fill="auto"/>
            <w:vAlign w:val="center"/>
          </w:tcPr>
          <w:p w14:paraId="64D6C793">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13981343166</w:t>
            </w:r>
          </w:p>
        </w:tc>
      </w:tr>
      <w:tr w14:paraId="3B22F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283" w:type="pct"/>
            <w:tcBorders>
              <w:tl2br w:val="nil"/>
              <w:tr2bl w:val="nil"/>
            </w:tcBorders>
            <w:shd w:val="clear" w:color="auto" w:fill="auto"/>
            <w:vAlign w:val="center"/>
          </w:tcPr>
          <w:p w14:paraId="29823126">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10</w:t>
            </w:r>
          </w:p>
        </w:tc>
        <w:tc>
          <w:tcPr>
            <w:tcW w:w="415" w:type="pct"/>
            <w:tcBorders>
              <w:tl2br w:val="nil"/>
              <w:tr2bl w:val="nil"/>
            </w:tcBorders>
            <w:shd w:val="clear" w:color="auto" w:fill="auto"/>
            <w:vAlign w:val="center"/>
          </w:tcPr>
          <w:p w14:paraId="2018AA17">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杨澜</w:t>
            </w:r>
          </w:p>
        </w:tc>
        <w:tc>
          <w:tcPr>
            <w:tcW w:w="283" w:type="pct"/>
            <w:tcBorders>
              <w:tl2br w:val="nil"/>
              <w:tr2bl w:val="nil"/>
            </w:tcBorders>
            <w:shd w:val="clear" w:color="auto" w:fill="auto"/>
            <w:vAlign w:val="center"/>
          </w:tcPr>
          <w:p w14:paraId="17489DB9">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男</w:t>
            </w:r>
          </w:p>
        </w:tc>
        <w:tc>
          <w:tcPr>
            <w:tcW w:w="684" w:type="pct"/>
            <w:tcBorders>
              <w:tl2br w:val="nil"/>
              <w:tr2bl w:val="nil"/>
            </w:tcBorders>
            <w:shd w:val="clear" w:color="auto" w:fill="auto"/>
            <w:vAlign w:val="center"/>
          </w:tcPr>
          <w:p w14:paraId="488FB44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高级工程师</w:t>
            </w:r>
          </w:p>
        </w:tc>
        <w:tc>
          <w:tcPr>
            <w:tcW w:w="1492" w:type="pct"/>
            <w:tcBorders>
              <w:tl2br w:val="nil"/>
              <w:tr2bl w:val="nil"/>
            </w:tcBorders>
            <w:shd w:val="clear" w:color="auto" w:fill="auto"/>
            <w:vAlign w:val="center"/>
          </w:tcPr>
          <w:p w14:paraId="0B5D43D7">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乐山市环境科学研究所</w:t>
            </w:r>
          </w:p>
        </w:tc>
        <w:tc>
          <w:tcPr>
            <w:tcW w:w="1088" w:type="pct"/>
            <w:tcBorders>
              <w:tl2br w:val="nil"/>
              <w:tr2bl w:val="nil"/>
            </w:tcBorders>
            <w:shd w:val="clear" w:color="auto" w:fill="auto"/>
            <w:vAlign w:val="center"/>
          </w:tcPr>
          <w:p w14:paraId="58C0564C">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环境科学</w:t>
            </w:r>
          </w:p>
        </w:tc>
        <w:tc>
          <w:tcPr>
            <w:tcW w:w="751" w:type="pct"/>
            <w:tcBorders>
              <w:tl2br w:val="nil"/>
              <w:tr2bl w:val="nil"/>
            </w:tcBorders>
            <w:shd w:val="clear" w:color="auto" w:fill="auto"/>
            <w:vAlign w:val="center"/>
          </w:tcPr>
          <w:p w14:paraId="0B2B2ABF">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18908319895</w:t>
            </w:r>
          </w:p>
        </w:tc>
      </w:tr>
      <w:tr w14:paraId="588CB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283" w:type="pct"/>
            <w:tcBorders>
              <w:tl2br w:val="nil"/>
              <w:tr2bl w:val="nil"/>
            </w:tcBorders>
            <w:shd w:val="clear" w:color="auto" w:fill="auto"/>
            <w:vAlign w:val="center"/>
          </w:tcPr>
          <w:p w14:paraId="1214B5C3">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11</w:t>
            </w:r>
          </w:p>
        </w:tc>
        <w:tc>
          <w:tcPr>
            <w:tcW w:w="415" w:type="pct"/>
            <w:tcBorders>
              <w:tl2br w:val="nil"/>
              <w:tr2bl w:val="nil"/>
            </w:tcBorders>
            <w:shd w:val="clear" w:color="auto" w:fill="auto"/>
            <w:vAlign w:val="center"/>
          </w:tcPr>
          <w:p w14:paraId="334022DD">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徐凡</w:t>
            </w:r>
          </w:p>
        </w:tc>
        <w:tc>
          <w:tcPr>
            <w:tcW w:w="283" w:type="pct"/>
            <w:tcBorders>
              <w:tl2br w:val="nil"/>
              <w:tr2bl w:val="nil"/>
            </w:tcBorders>
            <w:shd w:val="clear" w:color="auto" w:fill="auto"/>
            <w:vAlign w:val="center"/>
          </w:tcPr>
          <w:p w14:paraId="241B6D29">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男</w:t>
            </w:r>
          </w:p>
        </w:tc>
        <w:tc>
          <w:tcPr>
            <w:tcW w:w="684" w:type="pct"/>
            <w:tcBorders>
              <w:tl2br w:val="nil"/>
              <w:tr2bl w:val="nil"/>
            </w:tcBorders>
            <w:shd w:val="clear" w:color="auto" w:fill="auto"/>
            <w:vAlign w:val="center"/>
          </w:tcPr>
          <w:p w14:paraId="1D0F781A">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高级工程师</w:t>
            </w:r>
          </w:p>
        </w:tc>
        <w:tc>
          <w:tcPr>
            <w:tcW w:w="1492" w:type="pct"/>
            <w:tcBorders>
              <w:tl2br w:val="nil"/>
              <w:tr2bl w:val="nil"/>
            </w:tcBorders>
            <w:shd w:val="clear" w:color="auto" w:fill="auto"/>
            <w:vAlign w:val="center"/>
          </w:tcPr>
          <w:p w14:paraId="57E9B435">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四川省乐山生态环境监测中心站</w:t>
            </w:r>
          </w:p>
        </w:tc>
        <w:tc>
          <w:tcPr>
            <w:tcW w:w="1088" w:type="pct"/>
            <w:tcBorders>
              <w:tl2br w:val="nil"/>
              <w:tr2bl w:val="nil"/>
            </w:tcBorders>
            <w:shd w:val="clear" w:color="auto" w:fill="auto"/>
            <w:vAlign w:val="center"/>
          </w:tcPr>
          <w:p w14:paraId="77FBBB67">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环境监测</w:t>
            </w:r>
          </w:p>
        </w:tc>
        <w:tc>
          <w:tcPr>
            <w:tcW w:w="751" w:type="pct"/>
            <w:tcBorders>
              <w:tl2br w:val="nil"/>
              <w:tr2bl w:val="nil"/>
            </w:tcBorders>
            <w:shd w:val="clear" w:color="auto" w:fill="auto"/>
            <w:vAlign w:val="center"/>
          </w:tcPr>
          <w:p w14:paraId="66CFACDB">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13006404578</w:t>
            </w:r>
          </w:p>
        </w:tc>
      </w:tr>
      <w:tr w14:paraId="3CD5A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283" w:type="pct"/>
            <w:tcBorders>
              <w:tl2br w:val="nil"/>
              <w:tr2bl w:val="nil"/>
            </w:tcBorders>
            <w:shd w:val="clear" w:color="auto" w:fill="auto"/>
            <w:vAlign w:val="center"/>
          </w:tcPr>
          <w:p w14:paraId="4812CF2D">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12</w:t>
            </w:r>
          </w:p>
        </w:tc>
        <w:tc>
          <w:tcPr>
            <w:tcW w:w="415" w:type="pct"/>
            <w:tcBorders>
              <w:tl2br w:val="nil"/>
              <w:tr2bl w:val="nil"/>
            </w:tcBorders>
            <w:shd w:val="clear" w:color="auto" w:fill="auto"/>
            <w:vAlign w:val="center"/>
          </w:tcPr>
          <w:p w14:paraId="1D9B8B9A">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赵志坚</w:t>
            </w:r>
          </w:p>
        </w:tc>
        <w:tc>
          <w:tcPr>
            <w:tcW w:w="283" w:type="pct"/>
            <w:tcBorders>
              <w:tl2br w:val="nil"/>
              <w:tr2bl w:val="nil"/>
            </w:tcBorders>
            <w:shd w:val="clear" w:color="auto" w:fill="auto"/>
            <w:vAlign w:val="center"/>
          </w:tcPr>
          <w:p w14:paraId="69B6A187">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男</w:t>
            </w:r>
          </w:p>
        </w:tc>
        <w:tc>
          <w:tcPr>
            <w:tcW w:w="684" w:type="pct"/>
            <w:tcBorders>
              <w:tl2br w:val="nil"/>
              <w:tr2bl w:val="nil"/>
            </w:tcBorders>
            <w:shd w:val="clear" w:color="auto" w:fill="auto"/>
            <w:vAlign w:val="center"/>
          </w:tcPr>
          <w:p w14:paraId="2A2CB9EB">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高级工程师</w:t>
            </w:r>
          </w:p>
        </w:tc>
        <w:tc>
          <w:tcPr>
            <w:tcW w:w="1492" w:type="pct"/>
            <w:tcBorders>
              <w:tl2br w:val="nil"/>
              <w:tr2bl w:val="nil"/>
            </w:tcBorders>
            <w:shd w:val="clear" w:color="auto" w:fill="auto"/>
            <w:vAlign w:val="center"/>
          </w:tcPr>
          <w:p w14:paraId="1E162AE2">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四川省乐山生态环境监测中心站</w:t>
            </w:r>
          </w:p>
        </w:tc>
        <w:tc>
          <w:tcPr>
            <w:tcW w:w="1088" w:type="pct"/>
            <w:tcBorders>
              <w:tl2br w:val="nil"/>
              <w:tr2bl w:val="nil"/>
            </w:tcBorders>
            <w:shd w:val="clear" w:color="auto" w:fill="auto"/>
            <w:vAlign w:val="center"/>
          </w:tcPr>
          <w:p w14:paraId="19B25F34">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环境监测</w:t>
            </w:r>
          </w:p>
        </w:tc>
        <w:tc>
          <w:tcPr>
            <w:tcW w:w="751" w:type="pct"/>
            <w:tcBorders>
              <w:tl2br w:val="nil"/>
              <w:tr2bl w:val="nil"/>
            </w:tcBorders>
            <w:shd w:val="clear" w:color="auto" w:fill="auto"/>
            <w:vAlign w:val="center"/>
          </w:tcPr>
          <w:p w14:paraId="415F9B4B">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13006405389</w:t>
            </w:r>
          </w:p>
        </w:tc>
      </w:tr>
      <w:tr w14:paraId="4112B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283" w:type="pct"/>
            <w:tcBorders>
              <w:tl2br w:val="nil"/>
              <w:tr2bl w:val="nil"/>
            </w:tcBorders>
            <w:shd w:val="clear" w:color="auto" w:fill="auto"/>
            <w:vAlign w:val="center"/>
          </w:tcPr>
          <w:p w14:paraId="4D2F5F97">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13</w:t>
            </w:r>
          </w:p>
        </w:tc>
        <w:tc>
          <w:tcPr>
            <w:tcW w:w="415" w:type="pct"/>
            <w:tcBorders>
              <w:tl2br w:val="nil"/>
              <w:tr2bl w:val="nil"/>
            </w:tcBorders>
            <w:shd w:val="clear" w:color="auto" w:fill="auto"/>
            <w:vAlign w:val="center"/>
          </w:tcPr>
          <w:p w14:paraId="6A01F91B">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万洪云</w:t>
            </w:r>
          </w:p>
        </w:tc>
        <w:tc>
          <w:tcPr>
            <w:tcW w:w="283" w:type="pct"/>
            <w:tcBorders>
              <w:tl2br w:val="nil"/>
              <w:tr2bl w:val="nil"/>
            </w:tcBorders>
            <w:shd w:val="clear" w:color="auto" w:fill="auto"/>
            <w:vAlign w:val="center"/>
          </w:tcPr>
          <w:p w14:paraId="752797FA">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男</w:t>
            </w:r>
          </w:p>
        </w:tc>
        <w:tc>
          <w:tcPr>
            <w:tcW w:w="684" w:type="pct"/>
            <w:tcBorders>
              <w:tl2br w:val="nil"/>
              <w:tr2bl w:val="nil"/>
            </w:tcBorders>
            <w:shd w:val="clear" w:color="auto" w:fill="auto"/>
            <w:vAlign w:val="center"/>
          </w:tcPr>
          <w:p w14:paraId="2620B8B4">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高级工程师</w:t>
            </w:r>
          </w:p>
        </w:tc>
        <w:tc>
          <w:tcPr>
            <w:tcW w:w="1492" w:type="pct"/>
            <w:tcBorders>
              <w:tl2br w:val="nil"/>
              <w:tr2bl w:val="nil"/>
            </w:tcBorders>
            <w:shd w:val="clear" w:color="auto" w:fill="auto"/>
            <w:vAlign w:val="center"/>
          </w:tcPr>
          <w:p w14:paraId="750DF87F">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四川省乐山生态环境监测中心站</w:t>
            </w:r>
          </w:p>
        </w:tc>
        <w:tc>
          <w:tcPr>
            <w:tcW w:w="1088" w:type="pct"/>
            <w:tcBorders>
              <w:tl2br w:val="nil"/>
              <w:tr2bl w:val="nil"/>
            </w:tcBorders>
            <w:shd w:val="clear" w:color="auto" w:fill="auto"/>
            <w:vAlign w:val="center"/>
          </w:tcPr>
          <w:p w14:paraId="62242966">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环境保护</w:t>
            </w:r>
          </w:p>
        </w:tc>
        <w:tc>
          <w:tcPr>
            <w:tcW w:w="751" w:type="pct"/>
            <w:tcBorders>
              <w:tl2br w:val="nil"/>
              <w:tr2bl w:val="nil"/>
            </w:tcBorders>
            <w:shd w:val="clear" w:color="auto" w:fill="auto"/>
            <w:vAlign w:val="center"/>
          </w:tcPr>
          <w:p w14:paraId="6E561B44">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13908130208</w:t>
            </w:r>
          </w:p>
        </w:tc>
      </w:tr>
      <w:tr w14:paraId="3CACF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283" w:type="pct"/>
            <w:tcBorders>
              <w:tl2br w:val="nil"/>
              <w:tr2bl w:val="nil"/>
            </w:tcBorders>
            <w:shd w:val="clear" w:color="auto" w:fill="auto"/>
            <w:vAlign w:val="center"/>
          </w:tcPr>
          <w:p w14:paraId="09B8AEE9">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14</w:t>
            </w:r>
          </w:p>
        </w:tc>
        <w:tc>
          <w:tcPr>
            <w:tcW w:w="415" w:type="pct"/>
            <w:tcBorders>
              <w:tl2br w:val="nil"/>
              <w:tr2bl w:val="nil"/>
            </w:tcBorders>
            <w:shd w:val="clear" w:color="auto" w:fill="auto"/>
            <w:vAlign w:val="center"/>
          </w:tcPr>
          <w:p w14:paraId="4F958401">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杨俊</w:t>
            </w:r>
          </w:p>
        </w:tc>
        <w:tc>
          <w:tcPr>
            <w:tcW w:w="283" w:type="pct"/>
            <w:tcBorders>
              <w:tl2br w:val="nil"/>
              <w:tr2bl w:val="nil"/>
            </w:tcBorders>
            <w:shd w:val="clear" w:color="auto" w:fill="auto"/>
            <w:vAlign w:val="center"/>
          </w:tcPr>
          <w:p w14:paraId="1A7BEB33">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男</w:t>
            </w:r>
          </w:p>
        </w:tc>
        <w:tc>
          <w:tcPr>
            <w:tcW w:w="684" w:type="pct"/>
            <w:tcBorders>
              <w:tl2br w:val="nil"/>
              <w:tr2bl w:val="nil"/>
            </w:tcBorders>
            <w:shd w:val="clear" w:color="auto" w:fill="auto"/>
            <w:vAlign w:val="center"/>
          </w:tcPr>
          <w:p w14:paraId="1692DB5A">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高级工程师</w:t>
            </w:r>
          </w:p>
        </w:tc>
        <w:tc>
          <w:tcPr>
            <w:tcW w:w="1492" w:type="pct"/>
            <w:tcBorders>
              <w:tl2br w:val="nil"/>
              <w:tr2bl w:val="nil"/>
            </w:tcBorders>
            <w:shd w:val="clear" w:color="auto" w:fill="auto"/>
            <w:vAlign w:val="center"/>
          </w:tcPr>
          <w:p w14:paraId="501B5D27">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四川省乐山水文水资源勘测局</w:t>
            </w:r>
          </w:p>
        </w:tc>
        <w:tc>
          <w:tcPr>
            <w:tcW w:w="1088" w:type="pct"/>
            <w:tcBorders>
              <w:tl2br w:val="nil"/>
              <w:tr2bl w:val="nil"/>
            </w:tcBorders>
            <w:shd w:val="clear" w:color="auto" w:fill="auto"/>
            <w:vAlign w:val="center"/>
          </w:tcPr>
          <w:p w14:paraId="24F1F19C">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水文</w:t>
            </w:r>
          </w:p>
        </w:tc>
        <w:tc>
          <w:tcPr>
            <w:tcW w:w="751" w:type="pct"/>
            <w:tcBorders>
              <w:tl2br w:val="nil"/>
              <w:tr2bl w:val="nil"/>
            </w:tcBorders>
            <w:shd w:val="clear" w:color="auto" w:fill="auto"/>
            <w:vAlign w:val="center"/>
          </w:tcPr>
          <w:p w14:paraId="652F9685">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18990322422</w:t>
            </w:r>
          </w:p>
        </w:tc>
      </w:tr>
      <w:tr w14:paraId="536C8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283" w:type="pct"/>
            <w:tcBorders>
              <w:tl2br w:val="nil"/>
              <w:tr2bl w:val="nil"/>
            </w:tcBorders>
            <w:shd w:val="clear" w:color="auto" w:fill="auto"/>
            <w:vAlign w:val="center"/>
          </w:tcPr>
          <w:p w14:paraId="15E4FED9">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15</w:t>
            </w:r>
          </w:p>
        </w:tc>
        <w:tc>
          <w:tcPr>
            <w:tcW w:w="415" w:type="pct"/>
            <w:tcBorders>
              <w:tl2br w:val="nil"/>
              <w:tr2bl w:val="nil"/>
            </w:tcBorders>
            <w:shd w:val="clear" w:color="auto" w:fill="auto"/>
            <w:vAlign w:val="center"/>
          </w:tcPr>
          <w:p w14:paraId="6CC6A682">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张勇</w:t>
            </w:r>
          </w:p>
        </w:tc>
        <w:tc>
          <w:tcPr>
            <w:tcW w:w="283" w:type="pct"/>
            <w:tcBorders>
              <w:tl2br w:val="nil"/>
              <w:tr2bl w:val="nil"/>
            </w:tcBorders>
            <w:shd w:val="clear" w:color="auto" w:fill="auto"/>
            <w:vAlign w:val="center"/>
          </w:tcPr>
          <w:p w14:paraId="435DFE56">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男</w:t>
            </w:r>
          </w:p>
        </w:tc>
        <w:tc>
          <w:tcPr>
            <w:tcW w:w="684" w:type="pct"/>
            <w:tcBorders>
              <w:tl2br w:val="nil"/>
              <w:tr2bl w:val="nil"/>
            </w:tcBorders>
            <w:shd w:val="clear" w:color="auto" w:fill="auto"/>
            <w:vAlign w:val="center"/>
          </w:tcPr>
          <w:p w14:paraId="066B208B">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高级工程师</w:t>
            </w:r>
          </w:p>
        </w:tc>
        <w:tc>
          <w:tcPr>
            <w:tcW w:w="1492" w:type="pct"/>
            <w:tcBorders>
              <w:tl2br w:val="nil"/>
              <w:tr2bl w:val="nil"/>
            </w:tcBorders>
            <w:shd w:val="clear" w:color="auto" w:fill="auto"/>
            <w:vAlign w:val="center"/>
          </w:tcPr>
          <w:p w14:paraId="3DEDC444">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乐山市气象局</w:t>
            </w:r>
          </w:p>
        </w:tc>
        <w:tc>
          <w:tcPr>
            <w:tcW w:w="1088" w:type="pct"/>
            <w:tcBorders>
              <w:tl2br w:val="nil"/>
              <w:tr2bl w:val="nil"/>
            </w:tcBorders>
            <w:shd w:val="clear" w:color="auto" w:fill="auto"/>
            <w:vAlign w:val="center"/>
          </w:tcPr>
          <w:p w14:paraId="22E0CFFE">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气象</w:t>
            </w:r>
          </w:p>
        </w:tc>
        <w:tc>
          <w:tcPr>
            <w:tcW w:w="751" w:type="pct"/>
            <w:tcBorders>
              <w:tl2br w:val="nil"/>
              <w:tr2bl w:val="nil"/>
            </w:tcBorders>
            <w:shd w:val="clear" w:color="auto" w:fill="auto"/>
            <w:vAlign w:val="center"/>
          </w:tcPr>
          <w:p w14:paraId="0E627ABE">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13990678839</w:t>
            </w:r>
          </w:p>
        </w:tc>
      </w:tr>
      <w:tr w14:paraId="1F1C7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283" w:type="pct"/>
            <w:tcBorders>
              <w:tl2br w:val="nil"/>
              <w:tr2bl w:val="nil"/>
            </w:tcBorders>
            <w:shd w:val="clear" w:color="auto" w:fill="auto"/>
            <w:vAlign w:val="center"/>
          </w:tcPr>
          <w:p w14:paraId="4CFB096F">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16</w:t>
            </w:r>
          </w:p>
        </w:tc>
        <w:tc>
          <w:tcPr>
            <w:tcW w:w="415" w:type="pct"/>
            <w:tcBorders>
              <w:tl2br w:val="nil"/>
              <w:tr2bl w:val="nil"/>
            </w:tcBorders>
            <w:shd w:val="clear" w:color="auto" w:fill="auto"/>
            <w:vAlign w:val="center"/>
          </w:tcPr>
          <w:p w14:paraId="7DD5FFF4">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陈贝</w:t>
            </w:r>
          </w:p>
        </w:tc>
        <w:tc>
          <w:tcPr>
            <w:tcW w:w="283" w:type="pct"/>
            <w:tcBorders>
              <w:tl2br w:val="nil"/>
              <w:tr2bl w:val="nil"/>
            </w:tcBorders>
            <w:shd w:val="clear" w:color="auto" w:fill="auto"/>
            <w:vAlign w:val="center"/>
          </w:tcPr>
          <w:p w14:paraId="4670E4D4">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女</w:t>
            </w:r>
          </w:p>
        </w:tc>
        <w:tc>
          <w:tcPr>
            <w:tcW w:w="684" w:type="pct"/>
            <w:tcBorders>
              <w:tl2br w:val="nil"/>
              <w:tr2bl w:val="nil"/>
            </w:tcBorders>
            <w:shd w:val="clear" w:color="auto" w:fill="auto"/>
            <w:vAlign w:val="center"/>
          </w:tcPr>
          <w:p w14:paraId="7DB02317">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高级工程师</w:t>
            </w:r>
          </w:p>
        </w:tc>
        <w:tc>
          <w:tcPr>
            <w:tcW w:w="1492" w:type="pct"/>
            <w:tcBorders>
              <w:tl2br w:val="nil"/>
              <w:tr2bl w:val="nil"/>
            </w:tcBorders>
            <w:shd w:val="clear" w:color="auto" w:fill="auto"/>
            <w:vAlign w:val="center"/>
          </w:tcPr>
          <w:p w14:paraId="080461E4">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乐山市气象局</w:t>
            </w:r>
          </w:p>
        </w:tc>
        <w:tc>
          <w:tcPr>
            <w:tcW w:w="1088" w:type="pct"/>
            <w:tcBorders>
              <w:tl2br w:val="nil"/>
              <w:tr2bl w:val="nil"/>
            </w:tcBorders>
            <w:shd w:val="clear" w:color="auto" w:fill="auto"/>
            <w:vAlign w:val="center"/>
          </w:tcPr>
          <w:p w14:paraId="5B0B8E8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气象</w:t>
            </w:r>
          </w:p>
        </w:tc>
        <w:tc>
          <w:tcPr>
            <w:tcW w:w="751" w:type="pct"/>
            <w:tcBorders>
              <w:tl2br w:val="nil"/>
              <w:tr2bl w:val="nil"/>
            </w:tcBorders>
            <w:shd w:val="clear" w:color="auto" w:fill="auto"/>
            <w:vAlign w:val="center"/>
          </w:tcPr>
          <w:p w14:paraId="056FAF80">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13990669155</w:t>
            </w:r>
          </w:p>
        </w:tc>
      </w:tr>
      <w:tr w14:paraId="569BE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283" w:type="pct"/>
            <w:tcBorders>
              <w:tl2br w:val="nil"/>
              <w:tr2bl w:val="nil"/>
            </w:tcBorders>
            <w:shd w:val="clear" w:color="auto" w:fill="auto"/>
            <w:vAlign w:val="center"/>
          </w:tcPr>
          <w:p w14:paraId="2371331A">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17</w:t>
            </w:r>
          </w:p>
        </w:tc>
        <w:tc>
          <w:tcPr>
            <w:tcW w:w="415" w:type="pct"/>
            <w:tcBorders>
              <w:tl2br w:val="nil"/>
              <w:tr2bl w:val="nil"/>
            </w:tcBorders>
            <w:shd w:val="clear" w:color="auto" w:fill="auto"/>
            <w:vAlign w:val="center"/>
          </w:tcPr>
          <w:p w14:paraId="488AFD87">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罗周</w:t>
            </w:r>
          </w:p>
        </w:tc>
        <w:tc>
          <w:tcPr>
            <w:tcW w:w="283" w:type="pct"/>
            <w:tcBorders>
              <w:tl2br w:val="nil"/>
              <w:tr2bl w:val="nil"/>
            </w:tcBorders>
            <w:shd w:val="clear" w:color="auto" w:fill="auto"/>
            <w:vAlign w:val="center"/>
          </w:tcPr>
          <w:p w14:paraId="64C3863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男</w:t>
            </w:r>
          </w:p>
        </w:tc>
        <w:tc>
          <w:tcPr>
            <w:tcW w:w="684" w:type="pct"/>
            <w:tcBorders>
              <w:tl2br w:val="nil"/>
              <w:tr2bl w:val="nil"/>
            </w:tcBorders>
            <w:shd w:val="clear" w:color="auto" w:fill="auto"/>
            <w:vAlign w:val="center"/>
          </w:tcPr>
          <w:p w14:paraId="21C58B01">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高级工程师</w:t>
            </w:r>
          </w:p>
        </w:tc>
        <w:tc>
          <w:tcPr>
            <w:tcW w:w="1492" w:type="pct"/>
            <w:tcBorders>
              <w:tl2br w:val="nil"/>
              <w:tr2bl w:val="nil"/>
            </w:tcBorders>
            <w:shd w:val="clear" w:color="auto" w:fill="auto"/>
            <w:vAlign w:val="center"/>
          </w:tcPr>
          <w:p w14:paraId="5DD73169">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四川永祥新能源有限公司</w:t>
            </w:r>
          </w:p>
        </w:tc>
        <w:tc>
          <w:tcPr>
            <w:tcW w:w="1088" w:type="pct"/>
            <w:tcBorders>
              <w:tl2br w:val="nil"/>
              <w:tr2bl w:val="nil"/>
            </w:tcBorders>
            <w:shd w:val="clear" w:color="auto" w:fill="auto"/>
            <w:vAlign w:val="center"/>
          </w:tcPr>
          <w:p w14:paraId="78F9464C">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化工工艺</w:t>
            </w:r>
          </w:p>
        </w:tc>
        <w:tc>
          <w:tcPr>
            <w:tcW w:w="751" w:type="pct"/>
            <w:tcBorders>
              <w:tl2br w:val="nil"/>
              <w:tr2bl w:val="nil"/>
            </w:tcBorders>
            <w:shd w:val="clear" w:color="auto" w:fill="auto"/>
            <w:vAlign w:val="center"/>
          </w:tcPr>
          <w:p w14:paraId="1CC9C034">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13881345510</w:t>
            </w:r>
          </w:p>
        </w:tc>
      </w:tr>
      <w:tr w14:paraId="45E12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284" w:type="pct"/>
            <w:tcBorders>
              <w:tl2br w:val="nil"/>
              <w:tr2bl w:val="nil"/>
            </w:tcBorders>
            <w:shd w:val="clear" w:color="auto" w:fill="auto"/>
            <w:vAlign w:val="center"/>
          </w:tcPr>
          <w:p w14:paraId="0451C554">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18</w:t>
            </w:r>
          </w:p>
        </w:tc>
        <w:tc>
          <w:tcPr>
            <w:tcW w:w="415" w:type="pct"/>
            <w:tcBorders>
              <w:tl2br w:val="nil"/>
              <w:tr2bl w:val="nil"/>
            </w:tcBorders>
            <w:shd w:val="clear" w:color="auto" w:fill="auto"/>
            <w:vAlign w:val="center"/>
          </w:tcPr>
          <w:p w14:paraId="6EB825C3">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杨武明</w:t>
            </w:r>
          </w:p>
        </w:tc>
        <w:tc>
          <w:tcPr>
            <w:tcW w:w="283" w:type="pct"/>
            <w:tcBorders>
              <w:tl2br w:val="nil"/>
              <w:tr2bl w:val="nil"/>
            </w:tcBorders>
            <w:shd w:val="clear" w:color="auto" w:fill="auto"/>
            <w:vAlign w:val="center"/>
          </w:tcPr>
          <w:p w14:paraId="482384B0">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男</w:t>
            </w:r>
          </w:p>
        </w:tc>
        <w:tc>
          <w:tcPr>
            <w:tcW w:w="684" w:type="pct"/>
            <w:tcBorders>
              <w:tl2br w:val="nil"/>
              <w:tr2bl w:val="nil"/>
            </w:tcBorders>
            <w:shd w:val="clear" w:color="auto" w:fill="auto"/>
            <w:vAlign w:val="center"/>
          </w:tcPr>
          <w:p w14:paraId="19F74BCA">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高级工程师</w:t>
            </w:r>
          </w:p>
        </w:tc>
        <w:tc>
          <w:tcPr>
            <w:tcW w:w="1492" w:type="pct"/>
            <w:tcBorders>
              <w:tl2br w:val="nil"/>
              <w:tr2bl w:val="nil"/>
            </w:tcBorders>
            <w:shd w:val="clear" w:color="auto" w:fill="auto"/>
            <w:vAlign w:val="center"/>
          </w:tcPr>
          <w:p w14:paraId="6C212BA4">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四川永祥新能源有限公司</w:t>
            </w:r>
          </w:p>
        </w:tc>
        <w:tc>
          <w:tcPr>
            <w:tcW w:w="1088" w:type="pct"/>
            <w:tcBorders>
              <w:tl2br w:val="nil"/>
              <w:tr2bl w:val="nil"/>
            </w:tcBorders>
            <w:shd w:val="clear" w:color="auto" w:fill="auto"/>
            <w:vAlign w:val="center"/>
          </w:tcPr>
          <w:p w14:paraId="2DEC1E7F">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化工安全管理</w:t>
            </w:r>
          </w:p>
        </w:tc>
        <w:tc>
          <w:tcPr>
            <w:tcW w:w="751" w:type="pct"/>
            <w:tcBorders>
              <w:tl2br w:val="nil"/>
              <w:tr2bl w:val="nil"/>
            </w:tcBorders>
            <w:shd w:val="clear" w:color="auto" w:fill="auto"/>
            <w:vAlign w:val="center"/>
          </w:tcPr>
          <w:p w14:paraId="28C2F670">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15983388883</w:t>
            </w:r>
          </w:p>
        </w:tc>
      </w:tr>
      <w:tr w14:paraId="79E4E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284" w:type="pct"/>
            <w:tcBorders>
              <w:tl2br w:val="nil"/>
              <w:tr2bl w:val="nil"/>
            </w:tcBorders>
            <w:shd w:val="clear" w:color="auto" w:fill="auto"/>
            <w:vAlign w:val="center"/>
          </w:tcPr>
          <w:p w14:paraId="5D15D6DE">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19</w:t>
            </w:r>
          </w:p>
        </w:tc>
        <w:tc>
          <w:tcPr>
            <w:tcW w:w="415" w:type="pct"/>
            <w:tcBorders>
              <w:tl2br w:val="nil"/>
              <w:tr2bl w:val="nil"/>
            </w:tcBorders>
            <w:shd w:val="clear" w:color="auto" w:fill="auto"/>
            <w:vAlign w:val="center"/>
          </w:tcPr>
          <w:p w14:paraId="288C2CA5">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李茂</w:t>
            </w:r>
          </w:p>
        </w:tc>
        <w:tc>
          <w:tcPr>
            <w:tcW w:w="283" w:type="pct"/>
            <w:tcBorders>
              <w:tl2br w:val="nil"/>
              <w:tr2bl w:val="nil"/>
            </w:tcBorders>
            <w:shd w:val="clear" w:color="auto" w:fill="auto"/>
            <w:vAlign w:val="center"/>
          </w:tcPr>
          <w:p w14:paraId="611CAA83">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男</w:t>
            </w:r>
          </w:p>
        </w:tc>
        <w:tc>
          <w:tcPr>
            <w:tcW w:w="684" w:type="pct"/>
            <w:tcBorders>
              <w:tl2br w:val="nil"/>
              <w:tr2bl w:val="nil"/>
            </w:tcBorders>
            <w:shd w:val="clear" w:color="auto" w:fill="auto"/>
            <w:vAlign w:val="center"/>
          </w:tcPr>
          <w:p w14:paraId="096776DD">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工程师</w:t>
            </w:r>
          </w:p>
        </w:tc>
        <w:tc>
          <w:tcPr>
            <w:tcW w:w="1492" w:type="pct"/>
            <w:tcBorders>
              <w:tl2br w:val="nil"/>
              <w:tr2bl w:val="nil"/>
            </w:tcBorders>
            <w:shd w:val="clear" w:color="auto" w:fill="auto"/>
            <w:vAlign w:val="center"/>
          </w:tcPr>
          <w:p w14:paraId="657256B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乐山市辐射环境监测站</w:t>
            </w:r>
          </w:p>
        </w:tc>
        <w:tc>
          <w:tcPr>
            <w:tcW w:w="1088" w:type="pct"/>
            <w:tcBorders>
              <w:tl2br w:val="nil"/>
              <w:tr2bl w:val="nil"/>
            </w:tcBorders>
            <w:shd w:val="clear" w:color="auto" w:fill="auto"/>
            <w:vAlign w:val="center"/>
          </w:tcPr>
          <w:p w14:paraId="6625015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环境监测</w:t>
            </w:r>
          </w:p>
        </w:tc>
        <w:tc>
          <w:tcPr>
            <w:tcW w:w="751" w:type="pct"/>
            <w:tcBorders>
              <w:tl2br w:val="nil"/>
              <w:tr2bl w:val="nil"/>
            </w:tcBorders>
            <w:shd w:val="clear" w:color="auto" w:fill="auto"/>
            <w:vAlign w:val="center"/>
          </w:tcPr>
          <w:p w14:paraId="76FAC91D">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13541936099</w:t>
            </w:r>
          </w:p>
        </w:tc>
      </w:tr>
      <w:tr w14:paraId="60799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284" w:type="pct"/>
            <w:tcBorders>
              <w:tl2br w:val="nil"/>
              <w:tr2bl w:val="nil"/>
            </w:tcBorders>
            <w:shd w:val="clear" w:color="auto" w:fill="auto"/>
            <w:vAlign w:val="center"/>
          </w:tcPr>
          <w:p w14:paraId="69C62AA6">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20</w:t>
            </w:r>
          </w:p>
        </w:tc>
        <w:tc>
          <w:tcPr>
            <w:tcW w:w="415" w:type="pct"/>
            <w:tcBorders>
              <w:tl2br w:val="nil"/>
              <w:tr2bl w:val="nil"/>
            </w:tcBorders>
            <w:shd w:val="clear" w:color="auto" w:fill="auto"/>
            <w:vAlign w:val="center"/>
          </w:tcPr>
          <w:p w14:paraId="53B71915">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钟丁生</w:t>
            </w:r>
          </w:p>
        </w:tc>
        <w:tc>
          <w:tcPr>
            <w:tcW w:w="283" w:type="pct"/>
            <w:tcBorders>
              <w:tl2br w:val="nil"/>
              <w:tr2bl w:val="nil"/>
            </w:tcBorders>
            <w:shd w:val="clear" w:color="auto" w:fill="auto"/>
            <w:vAlign w:val="center"/>
          </w:tcPr>
          <w:p w14:paraId="098952CB">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男</w:t>
            </w:r>
          </w:p>
        </w:tc>
        <w:tc>
          <w:tcPr>
            <w:tcW w:w="684" w:type="pct"/>
            <w:tcBorders>
              <w:tl2br w:val="nil"/>
              <w:tr2bl w:val="nil"/>
            </w:tcBorders>
            <w:shd w:val="clear" w:color="auto" w:fill="auto"/>
            <w:vAlign w:val="center"/>
          </w:tcPr>
          <w:p w14:paraId="7D05B3B3">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副教授</w:t>
            </w:r>
          </w:p>
        </w:tc>
        <w:tc>
          <w:tcPr>
            <w:tcW w:w="1492" w:type="pct"/>
            <w:tcBorders>
              <w:tl2br w:val="nil"/>
              <w:tr2bl w:val="nil"/>
            </w:tcBorders>
            <w:shd w:val="clear" w:color="auto" w:fill="auto"/>
            <w:vAlign w:val="center"/>
          </w:tcPr>
          <w:p w14:paraId="703B2EF0">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成都理工大学工程技术学院</w:t>
            </w:r>
          </w:p>
        </w:tc>
        <w:tc>
          <w:tcPr>
            <w:tcW w:w="1088" w:type="pct"/>
            <w:tcBorders>
              <w:tl2br w:val="nil"/>
              <w:tr2bl w:val="nil"/>
            </w:tcBorders>
            <w:shd w:val="clear" w:color="auto" w:fill="auto"/>
            <w:vAlign w:val="center"/>
          </w:tcPr>
          <w:p w14:paraId="6BE8BC15">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核科学与技术</w:t>
            </w:r>
          </w:p>
        </w:tc>
        <w:tc>
          <w:tcPr>
            <w:tcW w:w="751" w:type="pct"/>
            <w:tcBorders>
              <w:tl2br w:val="nil"/>
              <w:tr2bl w:val="nil"/>
            </w:tcBorders>
            <w:shd w:val="clear" w:color="auto" w:fill="auto"/>
            <w:vAlign w:val="center"/>
          </w:tcPr>
          <w:p w14:paraId="087D0B59">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13881357287</w:t>
            </w:r>
          </w:p>
        </w:tc>
      </w:tr>
      <w:tr w14:paraId="1BF62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284" w:type="pct"/>
            <w:tcBorders>
              <w:tl2br w:val="nil"/>
              <w:tr2bl w:val="nil"/>
            </w:tcBorders>
            <w:shd w:val="clear" w:color="auto" w:fill="auto"/>
            <w:vAlign w:val="center"/>
          </w:tcPr>
          <w:p w14:paraId="650C5D3D">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21</w:t>
            </w:r>
          </w:p>
        </w:tc>
        <w:tc>
          <w:tcPr>
            <w:tcW w:w="415" w:type="pct"/>
            <w:tcBorders>
              <w:tl2br w:val="nil"/>
              <w:tr2bl w:val="nil"/>
            </w:tcBorders>
            <w:shd w:val="clear" w:color="auto" w:fill="auto"/>
            <w:vAlign w:val="center"/>
          </w:tcPr>
          <w:p w14:paraId="397E5741">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赵永生</w:t>
            </w:r>
          </w:p>
        </w:tc>
        <w:tc>
          <w:tcPr>
            <w:tcW w:w="283" w:type="pct"/>
            <w:tcBorders>
              <w:tl2br w:val="nil"/>
              <w:tr2bl w:val="nil"/>
            </w:tcBorders>
            <w:shd w:val="clear" w:color="auto" w:fill="auto"/>
            <w:vAlign w:val="center"/>
          </w:tcPr>
          <w:p w14:paraId="085CD6F1">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男</w:t>
            </w:r>
          </w:p>
        </w:tc>
        <w:tc>
          <w:tcPr>
            <w:tcW w:w="684" w:type="pct"/>
            <w:tcBorders>
              <w:tl2br w:val="nil"/>
              <w:tr2bl w:val="nil"/>
            </w:tcBorders>
            <w:shd w:val="clear" w:color="auto" w:fill="auto"/>
            <w:vAlign w:val="center"/>
          </w:tcPr>
          <w:p w14:paraId="66C1293C">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副教授</w:t>
            </w:r>
          </w:p>
        </w:tc>
        <w:tc>
          <w:tcPr>
            <w:tcW w:w="1492" w:type="pct"/>
            <w:tcBorders>
              <w:tl2br w:val="nil"/>
              <w:tr2bl w:val="nil"/>
            </w:tcBorders>
            <w:shd w:val="clear" w:color="auto" w:fill="auto"/>
            <w:vAlign w:val="center"/>
          </w:tcPr>
          <w:p w14:paraId="1A4A9E7F">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成都理工大学工程技术学院</w:t>
            </w:r>
          </w:p>
        </w:tc>
        <w:tc>
          <w:tcPr>
            <w:tcW w:w="1088" w:type="pct"/>
            <w:tcBorders>
              <w:tl2br w:val="nil"/>
              <w:tr2bl w:val="nil"/>
            </w:tcBorders>
            <w:shd w:val="clear" w:color="auto" w:fill="auto"/>
            <w:vAlign w:val="center"/>
          </w:tcPr>
          <w:p w14:paraId="35494C6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无机化学</w:t>
            </w:r>
          </w:p>
        </w:tc>
        <w:tc>
          <w:tcPr>
            <w:tcW w:w="751" w:type="pct"/>
            <w:tcBorders>
              <w:tl2br w:val="nil"/>
              <w:tr2bl w:val="nil"/>
            </w:tcBorders>
            <w:shd w:val="clear" w:color="auto" w:fill="auto"/>
            <w:vAlign w:val="center"/>
          </w:tcPr>
          <w:p w14:paraId="00D6AFE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18981386450</w:t>
            </w:r>
          </w:p>
        </w:tc>
      </w:tr>
      <w:tr w14:paraId="5FEBE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284" w:type="pct"/>
            <w:tcBorders>
              <w:tl2br w:val="nil"/>
              <w:tr2bl w:val="nil"/>
            </w:tcBorders>
            <w:shd w:val="clear" w:color="auto" w:fill="auto"/>
            <w:vAlign w:val="center"/>
          </w:tcPr>
          <w:p w14:paraId="71CFC11F">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22</w:t>
            </w:r>
          </w:p>
        </w:tc>
        <w:tc>
          <w:tcPr>
            <w:tcW w:w="415" w:type="pct"/>
            <w:tcBorders>
              <w:tl2br w:val="nil"/>
              <w:tr2bl w:val="nil"/>
            </w:tcBorders>
            <w:shd w:val="clear" w:color="auto" w:fill="auto"/>
            <w:vAlign w:val="center"/>
          </w:tcPr>
          <w:p w14:paraId="1EC7513D">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谢勇丽</w:t>
            </w:r>
          </w:p>
        </w:tc>
        <w:tc>
          <w:tcPr>
            <w:tcW w:w="283" w:type="pct"/>
            <w:tcBorders>
              <w:tl2br w:val="nil"/>
              <w:tr2bl w:val="nil"/>
            </w:tcBorders>
            <w:shd w:val="clear" w:color="auto" w:fill="auto"/>
            <w:vAlign w:val="center"/>
          </w:tcPr>
          <w:p w14:paraId="68B266F2">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女</w:t>
            </w:r>
          </w:p>
        </w:tc>
        <w:tc>
          <w:tcPr>
            <w:tcW w:w="684" w:type="pct"/>
            <w:tcBorders>
              <w:tl2br w:val="nil"/>
              <w:tr2bl w:val="nil"/>
            </w:tcBorders>
            <w:shd w:val="clear" w:color="auto" w:fill="auto"/>
            <w:vAlign w:val="center"/>
          </w:tcPr>
          <w:p w14:paraId="6BA5EE1F">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副教授</w:t>
            </w:r>
          </w:p>
        </w:tc>
        <w:tc>
          <w:tcPr>
            <w:tcW w:w="1492" w:type="pct"/>
            <w:tcBorders>
              <w:tl2br w:val="nil"/>
              <w:tr2bl w:val="nil"/>
            </w:tcBorders>
            <w:shd w:val="clear" w:color="auto" w:fill="auto"/>
            <w:vAlign w:val="center"/>
          </w:tcPr>
          <w:p w14:paraId="067B2A2B">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成都理工大学工程技术学院</w:t>
            </w:r>
          </w:p>
        </w:tc>
        <w:tc>
          <w:tcPr>
            <w:tcW w:w="1088" w:type="pct"/>
            <w:tcBorders>
              <w:tl2br w:val="nil"/>
              <w:tr2bl w:val="nil"/>
            </w:tcBorders>
            <w:shd w:val="clear" w:color="auto" w:fill="auto"/>
            <w:vAlign w:val="center"/>
          </w:tcPr>
          <w:p w14:paraId="37EC45F3">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环境工程</w:t>
            </w:r>
          </w:p>
        </w:tc>
        <w:tc>
          <w:tcPr>
            <w:tcW w:w="751" w:type="pct"/>
            <w:tcBorders>
              <w:tl2br w:val="nil"/>
              <w:tr2bl w:val="nil"/>
            </w:tcBorders>
            <w:shd w:val="clear" w:color="auto" w:fill="auto"/>
            <w:vAlign w:val="center"/>
          </w:tcPr>
          <w:p w14:paraId="1C7F38C0">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18990602208</w:t>
            </w:r>
          </w:p>
        </w:tc>
      </w:tr>
      <w:tr w14:paraId="65728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284" w:type="pct"/>
            <w:tcBorders>
              <w:tl2br w:val="nil"/>
              <w:tr2bl w:val="nil"/>
            </w:tcBorders>
            <w:shd w:val="clear" w:color="auto" w:fill="auto"/>
            <w:vAlign w:val="center"/>
          </w:tcPr>
          <w:p w14:paraId="3688DC5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23</w:t>
            </w:r>
          </w:p>
        </w:tc>
        <w:tc>
          <w:tcPr>
            <w:tcW w:w="415" w:type="pct"/>
            <w:tcBorders>
              <w:tl2br w:val="nil"/>
              <w:tr2bl w:val="nil"/>
            </w:tcBorders>
            <w:shd w:val="clear" w:color="auto" w:fill="auto"/>
            <w:vAlign w:val="center"/>
          </w:tcPr>
          <w:p w14:paraId="0994B38D">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薛萍</w:t>
            </w:r>
          </w:p>
        </w:tc>
        <w:tc>
          <w:tcPr>
            <w:tcW w:w="283" w:type="pct"/>
            <w:tcBorders>
              <w:tl2br w:val="nil"/>
              <w:tr2bl w:val="nil"/>
            </w:tcBorders>
            <w:shd w:val="clear" w:color="auto" w:fill="auto"/>
            <w:vAlign w:val="center"/>
          </w:tcPr>
          <w:p w14:paraId="4A487833">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女</w:t>
            </w:r>
          </w:p>
        </w:tc>
        <w:tc>
          <w:tcPr>
            <w:tcW w:w="684" w:type="pct"/>
            <w:tcBorders>
              <w:tl2br w:val="nil"/>
              <w:tr2bl w:val="nil"/>
            </w:tcBorders>
            <w:shd w:val="clear" w:color="auto" w:fill="auto"/>
            <w:vAlign w:val="center"/>
          </w:tcPr>
          <w:p w14:paraId="3F2CBEA0">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高级工程师</w:t>
            </w:r>
          </w:p>
        </w:tc>
        <w:tc>
          <w:tcPr>
            <w:tcW w:w="1492" w:type="pct"/>
            <w:tcBorders>
              <w:tl2br w:val="nil"/>
              <w:tr2bl w:val="nil"/>
            </w:tcBorders>
            <w:shd w:val="clear" w:color="auto" w:fill="auto"/>
            <w:vAlign w:val="center"/>
          </w:tcPr>
          <w:p w14:paraId="2F20926F">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乐山市生态环境局高新分局</w:t>
            </w:r>
          </w:p>
        </w:tc>
        <w:tc>
          <w:tcPr>
            <w:tcW w:w="1088" w:type="pct"/>
            <w:tcBorders>
              <w:tl2br w:val="nil"/>
              <w:tr2bl w:val="nil"/>
            </w:tcBorders>
            <w:shd w:val="clear" w:color="auto" w:fill="auto"/>
            <w:vAlign w:val="center"/>
          </w:tcPr>
          <w:p w14:paraId="346DF1A1">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环境保护</w:t>
            </w:r>
          </w:p>
        </w:tc>
        <w:tc>
          <w:tcPr>
            <w:tcW w:w="751" w:type="pct"/>
            <w:tcBorders>
              <w:tl2br w:val="nil"/>
              <w:tr2bl w:val="nil"/>
            </w:tcBorders>
            <w:shd w:val="clear" w:color="auto" w:fill="auto"/>
            <w:vAlign w:val="center"/>
          </w:tcPr>
          <w:p w14:paraId="5473507B">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13881378109</w:t>
            </w:r>
          </w:p>
        </w:tc>
      </w:tr>
      <w:tr w14:paraId="1A6A5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284" w:type="pct"/>
            <w:tcBorders>
              <w:tl2br w:val="nil"/>
              <w:tr2bl w:val="nil"/>
            </w:tcBorders>
            <w:shd w:val="clear" w:color="auto" w:fill="auto"/>
            <w:vAlign w:val="center"/>
          </w:tcPr>
          <w:p w14:paraId="22BEC4B1">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24</w:t>
            </w:r>
          </w:p>
        </w:tc>
        <w:tc>
          <w:tcPr>
            <w:tcW w:w="415" w:type="pct"/>
            <w:tcBorders>
              <w:tl2br w:val="nil"/>
              <w:tr2bl w:val="nil"/>
            </w:tcBorders>
            <w:shd w:val="clear" w:color="auto" w:fill="auto"/>
            <w:vAlign w:val="center"/>
          </w:tcPr>
          <w:p w14:paraId="23196083">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管文静</w:t>
            </w:r>
          </w:p>
        </w:tc>
        <w:tc>
          <w:tcPr>
            <w:tcW w:w="283" w:type="pct"/>
            <w:tcBorders>
              <w:tl2br w:val="nil"/>
              <w:tr2bl w:val="nil"/>
            </w:tcBorders>
            <w:shd w:val="clear" w:color="auto" w:fill="auto"/>
            <w:vAlign w:val="center"/>
          </w:tcPr>
          <w:p w14:paraId="4CA53CC9">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男</w:t>
            </w:r>
          </w:p>
        </w:tc>
        <w:tc>
          <w:tcPr>
            <w:tcW w:w="684" w:type="pct"/>
            <w:tcBorders>
              <w:tl2br w:val="nil"/>
              <w:tr2bl w:val="nil"/>
            </w:tcBorders>
            <w:shd w:val="clear" w:color="auto" w:fill="auto"/>
            <w:vAlign w:val="center"/>
          </w:tcPr>
          <w:p w14:paraId="779C8C10">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工程师</w:t>
            </w:r>
          </w:p>
        </w:tc>
        <w:tc>
          <w:tcPr>
            <w:tcW w:w="1492" w:type="pct"/>
            <w:tcBorders>
              <w:tl2br w:val="nil"/>
              <w:tr2bl w:val="nil"/>
            </w:tcBorders>
            <w:shd w:val="clear" w:color="auto" w:fill="auto"/>
            <w:vAlign w:val="center"/>
          </w:tcPr>
          <w:p w14:paraId="3233B3E2">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乐山高能时代环境技术有限公司</w:t>
            </w:r>
          </w:p>
        </w:tc>
        <w:tc>
          <w:tcPr>
            <w:tcW w:w="1088" w:type="pct"/>
            <w:tcBorders>
              <w:tl2br w:val="nil"/>
              <w:tr2bl w:val="nil"/>
            </w:tcBorders>
            <w:shd w:val="clear" w:color="auto" w:fill="auto"/>
            <w:vAlign w:val="center"/>
          </w:tcPr>
          <w:p w14:paraId="6C2C1072">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危废处置</w:t>
            </w:r>
          </w:p>
        </w:tc>
        <w:tc>
          <w:tcPr>
            <w:tcW w:w="751" w:type="pct"/>
            <w:tcBorders>
              <w:tl2br w:val="nil"/>
              <w:tr2bl w:val="nil"/>
            </w:tcBorders>
            <w:shd w:val="clear" w:color="auto" w:fill="auto"/>
            <w:vAlign w:val="center"/>
          </w:tcPr>
          <w:p w14:paraId="42C1944F">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18228549770</w:t>
            </w:r>
          </w:p>
        </w:tc>
      </w:tr>
      <w:tr w14:paraId="25F5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284" w:type="pct"/>
            <w:tcBorders>
              <w:tl2br w:val="nil"/>
              <w:tr2bl w:val="nil"/>
            </w:tcBorders>
            <w:shd w:val="clear" w:color="auto" w:fill="auto"/>
            <w:vAlign w:val="center"/>
          </w:tcPr>
          <w:p w14:paraId="526C7641">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25</w:t>
            </w:r>
          </w:p>
        </w:tc>
        <w:tc>
          <w:tcPr>
            <w:tcW w:w="415" w:type="pct"/>
            <w:tcBorders>
              <w:tl2br w:val="nil"/>
              <w:tr2bl w:val="nil"/>
            </w:tcBorders>
            <w:shd w:val="clear" w:color="auto" w:fill="auto"/>
            <w:vAlign w:val="center"/>
          </w:tcPr>
          <w:p w14:paraId="3180D606">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李伟</w:t>
            </w:r>
          </w:p>
        </w:tc>
        <w:tc>
          <w:tcPr>
            <w:tcW w:w="283" w:type="pct"/>
            <w:tcBorders>
              <w:tl2br w:val="nil"/>
              <w:tr2bl w:val="nil"/>
            </w:tcBorders>
            <w:shd w:val="clear" w:color="auto" w:fill="auto"/>
            <w:vAlign w:val="center"/>
          </w:tcPr>
          <w:p w14:paraId="6C52CDF6">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男</w:t>
            </w:r>
          </w:p>
        </w:tc>
        <w:tc>
          <w:tcPr>
            <w:tcW w:w="684" w:type="pct"/>
            <w:tcBorders>
              <w:tl2br w:val="nil"/>
              <w:tr2bl w:val="nil"/>
            </w:tcBorders>
            <w:shd w:val="clear" w:color="auto" w:fill="auto"/>
            <w:vAlign w:val="center"/>
          </w:tcPr>
          <w:p w14:paraId="0B6F68DA">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工程师</w:t>
            </w:r>
          </w:p>
        </w:tc>
        <w:tc>
          <w:tcPr>
            <w:tcW w:w="1492" w:type="pct"/>
            <w:tcBorders>
              <w:tl2br w:val="nil"/>
              <w:tr2bl w:val="nil"/>
            </w:tcBorders>
            <w:shd w:val="clear" w:color="auto" w:fill="auto"/>
            <w:vAlign w:val="center"/>
          </w:tcPr>
          <w:p w14:paraId="45AB6239">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乐山高能时代环境技术有限公司</w:t>
            </w:r>
          </w:p>
        </w:tc>
        <w:tc>
          <w:tcPr>
            <w:tcW w:w="1088" w:type="pct"/>
            <w:tcBorders>
              <w:tl2br w:val="nil"/>
              <w:tr2bl w:val="nil"/>
            </w:tcBorders>
            <w:shd w:val="clear" w:color="auto" w:fill="auto"/>
            <w:vAlign w:val="center"/>
          </w:tcPr>
          <w:p w14:paraId="671296BE">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环境保护</w:t>
            </w:r>
          </w:p>
        </w:tc>
        <w:tc>
          <w:tcPr>
            <w:tcW w:w="751" w:type="pct"/>
            <w:tcBorders>
              <w:tl2br w:val="nil"/>
              <w:tr2bl w:val="nil"/>
            </w:tcBorders>
            <w:shd w:val="clear" w:color="auto" w:fill="auto"/>
            <w:vAlign w:val="center"/>
          </w:tcPr>
          <w:p w14:paraId="414B3D83">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13890381152</w:t>
            </w:r>
          </w:p>
        </w:tc>
      </w:tr>
      <w:tr w14:paraId="0C98F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284" w:type="pct"/>
            <w:tcBorders>
              <w:tl2br w:val="nil"/>
              <w:tr2bl w:val="nil"/>
            </w:tcBorders>
            <w:shd w:val="clear" w:color="auto" w:fill="auto"/>
            <w:vAlign w:val="center"/>
          </w:tcPr>
          <w:p w14:paraId="477F405A">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26</w:t>
            </w:r>
          </w:p>
        </w:tc>
        <w:tc>
          <w:tcPr>
            <w:tcW w:w="415" w:type="pct"/>
            <w:tcBorders>
              <w:tl2br w:val="nil"/>
              <w:tr2bl w:val="nil"/>
            </w:tcBorders>
            <w:shd w:val="clear" w:color="auto" w:fill="auto"/>
            <w:vAlign w:val="center"/>
          </w:tcPr>
          <w:p w14:paraId="6AE684CF">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贺勇</w:t>
            </w:r>
          </w:p>
        </w:tc>
        <w:tc>
          <w:tcPr>
            <w:tcW w:w="283" w:type="pct"/>
            <w:tcBorders>
              <w:tl2br w:val="nil"/>
              <w:tr2bl w:val="nil"/>
            </w:tcBorders>
            <w:shd w:val="clear" w:color="auto" w:fill="auto"/>
            <w:vAlign w:val="center"/>
          </w:tcPr>
          <w:p w14:paraId="1BD8D1E5">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男</w:t>
            </w:r>
          </w:p>
        </w:tc>
        <w:tc>
          <w:tcPr>
            <w:tcW w:w="684" w:type="pct"/>
            <w:tcBorders>
              <w:tl2br w:val="nil"/>
              <w:tr2bl w:val="nil"/>
            </w:tcBorders>
            <w:shd w:val="clear" w:color="auto" w:fill="auto"/>
            <w:vAlign w:val="center"/>
          </w:tcPr>
          <w:p w14:paraId="6640D25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高级工程师</w:t>
            </w:r>
          </w:p>
        </w:tc>
        <w:tc>
          <w:tcPr>
            <w:tcW w:w="1492" w:type="pct"/>
            <w:tcBorders>
              <w:tl2br w:val="nil"/>
              <w:tr2bl w:val="nil"/>
            </w:tcBorders>
            <w:shd w:val="clear" w:color="auto" w:fill="auto"/>
            <w:vAlign w:val="center"/>
          </w:tcPr>
          <w:p w14:paraId="0777A820">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四川省地质矿产勘查开发局二零七地质队</w:t>
            </w:r>
          </w:p>
        </w:tc>
        <w:tc>
          <w:tcPr>
            <w:tcW w:w="1088" w:type="pct"/>
            <w:tcBorders>
              <w:tl2br w:val="nil"/>
              <w:tr2bl w:val="nil"/>
            </w:tcBorders>
            <w:shd w:val="clear" w:color="auto" w:fill="auto"/>
            <w:vAlign w:val="center"/>
          </w:tcPr>
          <w:p w14:paraId="1E1BE71F">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水文地质、工程地</w:t>
            </w:r>
          </w:p>
          <w:p w14:paraId="1B9948C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质和环境地质</w:t>
            </w:r>
          </w:p>
        </w:tc>
        <w:tc>
          <w:tcPr>
            <w:tcW w:w="751" w:type="pct"/>
            <w:tcBorders>
              <w:tl2br w:val="nil"/>
              <w:tr2bl w:val="nil"/>
            </w:tcBorders>
            <w:shd w:val="clear" w:color="auto" w:fill="auto"/>
            <w:vAlign w:val="center"/>
          </w:tcPr>
          <w:p w14:paraId="0781C98A">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15082225528</w:t>
            </w:r>
          </w:p>
        </w:tc>
      </w:tr>
      <w:tr w14:paraId="003B6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284" w:type="pct"/>
            <w:tcBorders>
              <w:tl2br w:val="nil"/>
              <w:tr2bl w:val="nil"/>
            </w:tcBorders>
            <w:shd w:val="clear" w:color="auto" w:fill="auto"/>
            <w:vAlign w:val="center"/>
          </w:tcPr>
          <w:p w14:paraId="0C6CBBB3">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27</w:t>
            </w:r>
          </w:p>
        </w:tc>
        <w:tc>
          <w:tcPr>
            <w:tcW w:w="415" w:type="pct"/>
            <w:tcBorders>
              <w:tl2br w:val="nil"/>
              <w:tr2bl w:val="nil"/>
            </w:tcBorders>
            <w:shd w:val="clear" w:color="auto" w:fill="auto"/>
            <w:vAlign w:val="center"/>
          </w:tcPr>
          <w:p w14:paraId="6CF725F9">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杨爱平</w:t>
            </w:r>
          </w:p>
        </w:tc>
        <w:tc>
          <w:tcPr>
            <w:tcW w:w="283" w:type="pct"/>
            <w:tcBorders>
              <w:tl2br w:val="nil"/>
              <w:tr2bl w:val="nil"/>
            </w:tcBorders>
            <w:shd w:val="clear" w:color="auto" w:fill="auto"/>
            <w:vAlign w:val="center"/>
          </w:tcPr>
          <w:p w14:paraId="4D969F27">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男</w:t>
            </w:r>
          </w:p>
        </w:tc>
        <w:tc>
          <w:tcPr>
            <w:tcW w:w="684" w:type="pct"/>
            <w:tcBorders>
              <w:tl2br w:val="nil"/>
              <w:tr2bl w:val="nil"/>
            </w:tcBorders>
            <w:shd w:val="clear" w:color="auto" w:fill="auto"/>
            <w:vAlign w:val="center"/>
          </w:tcPr>
          <w:p w14:paraId="67C44F9A">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高级工程师</w:t>
            </w:r>
          </w:p>
        </w:tc>
        <w:tc>
          <w:tcPr>
            <w:tcW w:w="1492" w:type="pct"/>
            <w:tcBorders>
              <w:tl2br w:val="nil"/>
              <w:tr2bl w:val="nil"/>
            </w:tcBorders>
            <w:shd w:val="clear" w:color="auto" w:fill="auto"/>
            <w:vAlign w:val="center"/>
          </w:tcPr>
          <w:p w14:paraId="74FCA9BB">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四川省地质矿产勘查开发局二零七地质队</w:t>
            </w:r>
          </w:p>
        </w:tc>
        <w:tc>
          <w:tcPr>
            <w:tcW w:w="1088" w:type="pct"/>
            <w:tcBorders>
              <w:tl2br w:val="nil"/>
              <w:tr2bl w:val="nil"/>
            </w:tcBorders>
            <w:shd w:val="clear" w:color="auto" w:fill="auto"/>
            <w:vAlign w:val="center"/>
          </w:tcPr>
          <w:p w14:paraId="2F182B87">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水文地质、工程地</w:t>
            </w:r>
          </w:p>
          <w:p w14:paraId="4B88FD15">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质和环境地质</w:t>
            </w:r>
          </w:p>
        </w:tc>
        <w:tc>
          <w:tcPr>
            <w:tcW w:w="751" w:type="pct"/>
            <w:tcBorders>
              <w:tl2br w:val="nil"/>
              <w:tr2bl w:val="nil"/>
            </w:tcBorders>
            <w:shd w:val="clear" w:color="auto" w:fill="auto"/>
            <w:vAlign w:val="center"/>
          </w:tcPr>
          <w:p w14:paraId="1715F57C">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13981321091</w:t>
            </w:r>
          </w:p>
        </w:tc>
      </w:tr>
      <w:tr w14:paraId="30B62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284" w:type="pct"/>
            <w:tcBorders>
              <w:tl2br w:val="nil"/>
              <w:tr2bl w:val="nil"/>
            </w:tcBorders>
            <w:shd w:val="clear" w:color="auto" w:fill="auto"/>
            <w:vAlign w:val="center"/>
          </w:tcPr>
          <w:p w14:paraId="73F6FC60">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28</w:t>
            </w:r>
          </w:p>
        </w:tc>
        <w:tc>
          <w:tcPr>
            <w:tcW w:w="415" w:type="pct"/>
            <w:tcBorders>
              <w:tl2br w:val="nil"/>
              <w:tr2bl w:val="nil"/>
            </w:tcBorders>
            <w:shd w:val="clear" w:color="auto" w:fill="auto"/>
            <w:vAlign w:val="center"/>
          </w:tcPr>
          <w:p w14:paraId="4C92263E">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祝小平</w:t>
            </w:r>
          </w:p>
        </w:tc>
        <w:tc>
          <w:tcPr>
            <w:tcW w:w="283" w:type="pct"/>
            <w:tcBorders>
              <w:tl2br w:val="nil"/>
              <w:tr2bl w:val="nil"/>
            </w:tcBorders>
            <w:shd w:val="clear" w:color="auto" w:fill="auto"/>
            <w:vAlign w:val="center"/>
          </w:tcPr>
          <w:p w14:paraId="2D5F70C7">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男</w:t>
            </w:r>
          </w:p>
        </w:tc>
        <w:tc>
          <w:tcPr>
            <w:tcW w:w="684" w:type="pct"/>
            <w:tcBorders>
              <w:tl2br w:val="nil"/>
              <w:tr2bl w:val="nil"/>
            </w:tcBorders>
            <w:shd w:val="clear" w:color="auto" w:fill="auto"/>
            <w:vAlign w:val="center"/>
          </w:tcPr>
          <w:p w14:paraId="685CDFC9">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高级工程师</w:t>
            </w:r>
          </w:p>
        </w:tc>
        <w:tc>
          <w:tcPr>
            <w:tcW w:w="1492" w:type="pct"/>
            <w:tcBorders>
              <w:tl2br w:val="nil"/>
              <w:tr2bl w:val="nil"/>
            </w:tcBorders>
            <w:shd w:val="clear" w:color="auto" w:fill="auto"/>
            <w:vAlign w:val="center"/>
          </w:tcPr>
          <w:p w14:paraId="59A39001">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四川省地质矿产勘查开发局二零七地质队</w:t>
            </w:r>
          </w:p>
        </w:tc>
        <w:tc>
          <w:tcPr>
            <w:tcW w:w="1088" w:type="pct"/>
            <w:tcBorders>
              <w:tl2br w:val="nil"/>
              <w:tr2bl w:val="nil"/>
            </w:tcBorders>
            <w:shd w:val="clear" w:color="auto" w:fill="auto"/>
            <w:vAlign w:val="center"/>
          </w:tcPr>
          <w:p w14:paraId="15F8709D">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岩土工程、水文地 质、工程地质和环 境地质</w:t>
            </w:r>
          </w:p>
        </w:tc>
        <w:tc>
          <w:tcPr>
            <w:tcW w:w="751" w:type="pct"/>
            <w:tcBorders>
              <w:tl2br w:val="nil"/>
              <w:tr2bl w:val="nil"/>
            </w:tcBorders>
            <w:shd w:val="clear" w:color="auto" w:fill="auto"/>
            <w:vAlign w:val="center"/>
          </w:tcPr>
          <w:p w14:paraId="4B556CB4">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13708138841</w:t>
            </w:r>
          </w:p>
        </w:tc>
      </w:tr>
      <w:tr w14:paraId="173C9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284" w:type="pct"/>
            <w:tcBorders>
              <w:tl2br w:val="nil"/>
              <w:tr2bl w:val="nil"/>
            </w:tcBorders>
            <w:shd w:val="clear" w:color="auto" w:fill="auto"/>
            <w:vAlign w:val="center"/>
          </w:tcPr>
          <w:p w14:paraId="565BD18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29</w:t>
            </w:r>
          </w:p>
        </w:tc>
        <w:tc>
          <w:tcPr>
            <w:tcW w:w="415" w:type="pct"/>
            <w:tcBorders>
              <w:tl2br w:val="nil"/>
              <w:tr2bl w:val="nil"/>
            </w:tcBorders>
            <w:shd w:val="clear" w:color="auto" w:fill="auto"/>
            <w:vAlign w:val="center"/>
          </w:tcPr>
          <w:p w14:paraId="29E4AE59">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梁勇</w:t>
            </w:r>
          </w:p>
        </w:tc>
        <w:tc>
          <w:tcPr>
            <w:tcW w:w="283" w:type="pct"/>
            <w:tcBorders>
              <w:tl2br w:val="nil"/>
              <w:tr2bl w:val="nil"/>
            </w:tcBorders>
            <w:shd w:val="clear" w:color="auto" w:fill="auto"/>
            <w:vAlign w:val="center"/>
          </w:tcPr>
          <w:p w14:paraId="78EB0B7E">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男</w:t>
            </w:r>
          </w:p>
        </w:tc>
        <w:tc>
          <w:tcPr>
            <w:tcW w:w="684" w:type="pct"/>
            <w:tcBorders>
              <w:tl2br w:val="nil"/>
              <w:tr2bl w:val="nil"/>
            </w:tcBorders>
            <w:shd w:val="clear" w:color="auto" w:fill="auto"/>
            <w:vAlign w:val="center"/>
          </w:tcPr>
          <w:p w14:paraId="68C284B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高级工程师</w:t>
            </w:r>
          </w:p>
        </w:tc>
        <w:tc>
          <w:tcPr>
            <w:tcW w:w="1492" w:type="pct"/>
            <w:tcBorders>
              <w:tl2br w:val="nil"/>
              <w:tr2bl w:val="nil"/>
            </w:tcBorders>
            <w:shd w:val="clear" w:color="auto" w:fill="auto"/>
            <w:vAlign w:val="center"/>
          </w:tcPr>
          <w:p w14:paraId="5BD75F16">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四川省地质矿产勘查开发局二零七地质队</w:t>
            </w:r>
          </w:p>
        </w:tc>
        <w:tc>
          <w:tcPr>
            <w:tcW w:w="1088" w:type="pct"/>
            <w:tcBorders>
              <w:tl2br w:val="nil"/>
              <w:tr2bl w:val="nil"/>
            </w:tcBorders>
            <w:shd w:val="clear" w:color="auto" w:fill="auto"/>
            <w:vAlign w:val="center"/>
          </w:tcPr>
          <w:p w14:paraId="157ECE8C">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地质科学、地灾处</w:t>
            </w:r>
          </w:p>
          <w:p w14:paraId="298E04AB">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置</w:t>
            </w:r>
          </w:p>
        </w:tc>
        <w:tc>
          <w:tcPr>
            <w:tcW w:w="751" w:type="pct"/>
            <w:tcBorders>
              <w:tl2br w:val="nil"/>
              <w:tr2bl w:val="nil"/>
            </w:tcBorders>
            <w:shd w:val="clear" w:color="auto" w:fill="auto"/>
            <w:vAlign w:val="center"/>
          </w:tcPr>
          <w:p w14:paraId="1B3E7ABB">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13508137161</w:t>
            </w:r>
          </w:p>
        </w:tc>
      </w:tr>
      <w:tr w14:paraId="67CC7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284" w:type="pct"/>
            <w:tcBorders>
              <w:tl2br w:val="nil"/>
              <w:tr2bl w:val="nil"/>
            </w:tcBorders>
            <w:shd w:val="clear" w:color="auto" w:fill="auto"/>
            <w:vAlign w:val="center"/>
          </w:tcPr>
          <w:p w14:paraId="46A782A3">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30</w:t>
            </w:r>
          </w:p>
        </w:tc>
        <w:tc>
          <w:tcPr>
            <w:tcW w:w="415" w:type="pct"/>
            <w:tcBorders>
              <w:tl2br w:val="nil"/>
              <w:tr2bl w:val="nil"/>
            </w:tcBorders>
            <w:shd w:val="clear" w:color="auto" w:fill="auto"/>
            <w:vAlign w:val="center"/>
          </w:tcPr>
          <w:p w14:paraId="3D7FCF9C">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王嘉昆</w:t>
            </w:r>
          </w:p>
        </w:tc>
        <w:tc>
          <w:tcPr>
            <w:tcW w:w="283" w:type="pct"/>
            <w:tcBorders>
              <w:tl2br w:val="nil"/>
              <w:tr2bl w:val="nil"/>
            </w:tcBorders>
            <w:shd w:val="clear" w:color="auto" w:fill="auto"/>
            <w:vAlign w:val="center"/>
          </w:tcPr>
          <w:p w14:paraId="1A6E172E">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男</w:t>
            </w:r>
          </w:p>
        </w:tc>
        <w:tc>
          <w:tcPr>
            <w:tcW w:w="684" w:type="pct"/>
            <w:tcBorders>
              <w:tl2br w:val="nil"/>
              <w:tr2bl w:val="nil"/>
            </w:tcBorders>
            <w:shd w:val="clear" w:color="auto" w:fill="auto"/>
            <w:vAlign w:val="center"/>
          </w:tcPr>
          <w:p w14:paraId="7ED424F5">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高级工程师</w:t>
            </w:r>
          </w:p>
        </w:tc>
        <w:tc>
          <w:tcPr>
            <w:tcW w:w="1492" w:type="pct"/>
            <w:tcBorders>
              <w:tl2br w:val="nil"/>
              <w:tr2bl w:val="nil"/>
            </w:tcBorders>
            <w:shd w:val="clear" w:color="auto" w:fill="auto"/>
            <w:vAlign w:val="center"/>
          </w:tcPr>
          <w:p w14:paraId="17D1E4C4">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四川省地质矿产勘查开发局二零七地质队</w:t>
            </w:r>
          </w:p>
        </w:tc>
        <w:tc>
          <w:tcPr>
            <w:tcW w:w="1088" w:type="pct"/>
            <w:tcBorders>
              <w:tl2br w:val="nil"/>
              <w:tr2bl w:val="nil"/>
            </w:tcBorders>
            <w:shd w:val="clear" w:color="auto" w:fill="auto"/>
            <w:vAlign w:val="center"/>
          </w:tcPr>
          <w:p w14:paraId="33215441">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地质科学、地灾处</w:t>
            </w:r>
          </w:p>
          <w:p w14:paraId="3ABC344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置</w:t>
            </w:r>
          </w:p>
        </w:tc>
        <w:tc>
          <w:tcPr>
            <w:tcW w:w="751" w:type="pct"/>
            <w:tcBorders>
              <w:tl2br w:val="nil"/>
              <w:tr2bl w:val="nil"/>
            </w:tcBorders>
            <w:shd w:val="clear" w:color="auto" w:fill="auto"/>
            <w:vAlign w:val="center"/>
          </w:tcPr>
          <w:p w14:paraId="5DF9E38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13508131369</w:t>
            </w:r>
          </w:p>
        </w:tc>
      </w:tr>
      <w:tr w14:paraId="3F799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284" w:type="pct"/>
            <w:tcBorders>
              <w:tl2br w:val="nil"/>
              <w:tr2bl w:val="nil"/>
            </w:tcBorders>
            <w:shd w:val="clear" w:color="auto" w:fill="auto"/>
            <w:vAlign w:val="center"/>
          </w:tcPr>
          <w:p w14:paraId="07749232">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31</w:t>
            </w:r>
          </w:p>
        </w:tc>
        <w:tc>
          <w:tcPr>
            <w:tcW w:w="415" w:type="pct"/>
            <w:tcBorders>
              <w:tl2br w:val="nil"/>
              <w:tr2bl w:val="nil"/>
            </w:tcBorders>
            <w:shd w:val="clear" w:color="auto" w:fill="auto"/>
            <w:vAlign w:val="center"/>
          </w:tcPr>
          <w:p w14:paraId="23BAB9B3">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付永胜</w:t>
            </w:r>
          </w:p>
        </w:tc>
        <w:tc>
          <w:tcPr>
            <w:tcW w:w="283" w:type="pct"/>
            <w:tcBorders>
              <w:tl2br w:val="nil"/>
              <w:tr2bl w:val="nil"/>
            </w:tcBorders>
            <w:shd w:val="clear" w:color="auto" w:fill="auto"/>
            <w:vAlign w:val="center"/>
          </w:tcPr>
          <w:p w14:paraId="7C05274E">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男</w:t>
            </w:r>
          </w:p>
        </w:tc>
        <w:tc>
          <w:tcPr>
            <w:tcW w:w="684" w:type="pct"/>
            <w:tcBorders>
              <w:tl2br w:val="nil"/>
              <w:tr2bl w:val="nil"/>
            </w:tcBorders>
            <w:shd w:val="clear" w:color="auto" w:fill="auto"/>
            <w:vAlign w:val="center"/>
          </w:tcPr>
          <w:p w14:paraId="1DCA0219">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教授</w:t>
            </w:r>
          </w:p>
        </w:tc>
        <w:tc>
          <w:tcPr>
            <w:tcW w:w="1492" w:type="pct"/>
            <w:tcBorders>
              <w:tl2br w:val="nil"/>
              <w:tr2bl w:val="nil"/>
            </w:tcBorders>
            <w:shd w:val="clear" w:color="auto" w:fill="auto"/>
            <w:vAlign w:val="center"/>
          </w:tcPr>
          <w:p w14:paraId="649661CA">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西南交通大学</w:t>
            </w:r>
          </w:p>
        </w:tc>
        <w:tc>
          <w:tcPr>
            <w:tcW w:w="1088" w:type="pct"/>
            <w:tcBorders>
              <w:tl2br w:val="nil"/>
              <w:tr2bl w:val="nil"/>
            </w:tcBorders>
            <w:shd w:val="clear" w:color="auto" w:fill="auto"/>
            <w:vAlign w:val="center"/>
          </w:tcPr>
          <w:p w14:paraId="005BDDB5">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水环境应急处置</w:t>
            </w:r>
          </w:p>
        </w:tc>
        <w:tc>
          <w:tcPr>
            <w:tcW w:w="751" w:type="pct"/>
            <w:tcBorders>
              <w:tl2br w:val="nil"/>
              <w:tr2bl w:val="nil"/>
            </w:tcBorders>
            <w:shd w:val="clear" w:color="auto" w:fill="auto"/>
            <w:vAlign w:val="center"/>
          </w:tcPr>
          <w:p w14:paraId="6BB170AE">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13908038700</w:t>
            </w:r>
          </w:p>
        </w:tc>
      </w:tr>
      <w:tr w14:paraId="49BD5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284" w:type="pct"/>
            <w:tcBorders>
              <w:tl2br w:val="nil"/>
              <w:tr2bl w:val="nil"/>
            </w:tcBorders>
            <w:shd w:val="clear" w:color="auto" w:fill="auto"/>
            <w:vAlign w:val="center"/>
          </w:tcPr>
          <w:p w14:paraId="42841D1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32</w:t>
            </w:r>
          </w:p>
        </w:tc>
        <w:tc>
          <w:tcPr>
            <w:tcW w:w="415" w:type="pct"/>
            <w:tcBorders>
              <w:tl2br w:val="nil"/>
              <w:tr2bl w:val="nil"/>
            </w:tcBorders>
            <w:shd w:val="clear" w:color="auto" w:fill="auto"/>
            <w:vAlign w:val="center"/>
          </w:tcPr>
          <w:p w14:paraId="0619E017">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童燕飞</w:t>
            </w:r>
          </w:p>
        </w:tc>
        <w:tc>
          <w:tcPr>
            <w:tcW w:w="283" w:type="pct"/>
            <w:tcBorders>
              <w:tl2br w:val="nil"/>
              <w:tr2bl w:val="nil"/>
            </w:tcBorders>
            <w:shd w:val="clear" w:color="auto" w:fill="auto"/>
            <w:vAlign w:val="center"/>
          </w:tcPr>
          <w:p w14:paraId="258D420C">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男</w:t>
            </w:r>
          </w:p>
        </w:tc>
        <w:tc>
          <w:tcPr>
            <w:tcW w:w="684" w:type="pct"/>
            <w:tcBorders>
              <w:tl2br w:val="nil"/>
              <w:tr2bl w:val="nil"/>
            </w:tcBorders>
            <w:shd w:val="clear" w:color="auto" w:fill="auto"/>
            <w:vAlign w:val="center"/>
          </w:tcPr>
          <w:p w14:paraId="0C9C2F09">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工程师</w:t>
            </w:r>
          </w:p>
        </w:tc>
        <w:tc>
          <w:tcPr>
            <w:tcW w:w="1492" w:type="pct"/>
            <w:tcBorders>
              <w:tl2br w:val="nil"/>
              <w:tr2bl w:val="nil"/>
            </w:tcBorders>
            <w:shd w:val="clear" w:color="auto" w:fill="auto"/>
            <w:vAlign w:val="center"/>
          </w:tcPr>
          <w:p w14:paraId="0F62C7DE">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四川亿龙环保工程有限公司</w:t>
            </w:r>
          </w:p>
        </w:tc>
        <w:tc>
          <w:tcPr>
            <w:tcW w:w="1088" w:type="pct"/>
            <w:tcBorders>
              <w:tl2br w:val="nil"/>
              <w:tr2bl w:val="nil"/>
            </w:tcBorders>
            <w:shd w:val="clear" w:color="auto" w:fill="auto"/>
            <w:vAlign w:val="center"/>
          </w:tcPr>
          <w:p w14:paraId="3017C8B3">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污水处理</w:t>
            </w:r>
          </w:p>
        </w:tc>
        <w:tc>
          <w:tcPr>
            <w:tcW w:w="751" w:type="pct"/>
            <w:tcBorders>
              <w:tl2br w:val="nil"/>
              <w:tr2bl w:val="nil"/>
            </w:tcBorders>
            <w:shd w:val="clear" w:color="auto" w:fill="auto"/>
            <w:vAlign w:val="center"/>
          </w:tcPr>
          <w:p w14:paraId="209F1644">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18608221931</w:t>
            </w:r>
          </w:p>
        </w:tc>
      </w:tr>
    </w:tbl>
    <w:p w14:paraId="6409CD37">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仿宋" w:cs="Times New Roman"/>
          <w:b/>
          <w:bCs/>
          <w:sz w:val="32"/>
          <w:szCs w:val="32"/>
          <w:lang w:val="en-US" w:eastAsia="zh-CN"/>
        </w:rPr>
        <w:sectPr>
          <w:pgSz w:w="11906" w:h="16838"/>
          <w:pgMar w:top="1440" w:right="1800" w:bottom="1440" w:left="1800" w:header="850" w:footer="850" w:gutter="0"/>
          <w:pgBorders>
            <w:top w:val="none" w:sz="0" w:space="0"/>
            <w:left w:val="none" w:sz="0" w:space="0"/>
            <w:bottom w:val="none" w:sz="0" w:space="0"/>
            <w:right w:val="none" w:sz="0" w:space="0"/>
          </w:pgBorders>
          <w:pgNumType w:fmt="decimal"/>
          <w:cols w:space="0" w:num="1"/>
          <w:rtlGutter w:val="0"/>
          <w:docGrid w:linePitch="312" w:charSpace="0"/>
        </w:sectPr>
      </w:pPr>
    </w:p>
    <w:p w14:paraId="013528E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附件5</w:t>
      </w:r>
    </w:p>
    <w:p w14:paraId="0099134D">
      <w:pPr>
        <w:keepNext w:val="0"/>
        <w:keepLines w:val="0"/>
        <w:pageBreakBefore w:val="0"/>
        <w:kinsoku/>
        <w:wordWrap/>
        <w:overflowPunct/>
        <w:topLinePunct w:val="0"/>
        <w:autoSpaceDE/>
        <w:autoSpaceDN/>
        <w:bidi w:val="0"/>
        <w:spacing w:line="240" w:lineRule="auto"/>
        <w:ind w:left="0" w:leftChars="0" w:right="0" w:rightChars="0" w:firstLine="0" w:firstLineChars="0"/>
        <w:jc w:val="both"/>
        <w:textAlignment w:val="auto"/>
        <w:rPr>
          <w:rFonts w:hint="eastAsia" w:ascii="Times New Roman" w:hAnsi="Times New Roman" w:eastAsia="仿宋" w:cs="Times New Roman"/>
          <w:b/>
          <w:bCs/>
          <w:sz w:val="32"/>
          <w:szCs w:val="32"/>
          <w:lang w:val="en-US" w:eastAsia="zh-CN"/>
        </w:rPr>
      </w:pPr>
    </w:p>
    <w:p w14:paraId="625CF61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t>峨眉山市集中式饮用水水源地</w:t>
      </w:r>
    </w:p>
    <w:p w14:paraId="7D71C0D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t>突发环境事件情景构建及应急处置案例</w:t>
      </w:r>
    </w:p>
    <w:p w14:paraId="06CEC013">
      <w:pPr>
        <w:rPr>
          <w:rFonts w:hint="eastAsia"/>
          <w:lang w:val="en-US" w:eastAsia="zh-CN"/>
        </w:rPr>
      </w:pPr>
    </w:p>
    <w:p w14:paraId="6F6528A4">
      <w:pPr>
        <w:rPr>
          <w:rFonts w:hint="eastAsia"/>
          <w:lang w:val="en-US" w:eastAsia="zh-CN"/>
        </w:rPr>
      </w:pPr>
    </w:p>
    <w:p w14:paraId="38CC38F0">
      <w:pPr>
        <w:rPr>
          <w:rFonts w:hint="eastAsia"/>
          <w:lang w:val="en-US" w:eastAsia="zh-CN"/>
        </w:rPr>
      </w:pPr>
      <w:r>
        <w:rPr>
          <w:rFonts w:hint="eastAsia"/>
          <w:lang w:val="en-US" w:eastAsia="zh-CN"/>
        </w:rPr>
        <w:t>峨眉山市集中式饮用水水源地突发环境事件常见应急情景主要为水污染情景，原因有交通事故、安全生产等。</w:t>
      </w:r>
    </w:p>
    <w:p w14:paraId="4A5FF71D">
      <w:pPr>
        <w:rPr>
          <w:rFonts w:hint="eastAsia" w:ascii="黑体" w:hAnsi="黑体" w:eastAsia="黑体" w:cs="黑体"/>
          <w:lang w:val="en-US" w:eastAsia="zh-CN"/>
        </w:rPr>
      </w:pPr>
      <w:r>
        <w:rPr>
          <w:rFonts w:hint="eastAsia" w:ascii="黑体" w:hAnsi="黑体" w:eastAsia="黑体" w:cs="黑体"/>
          <w:lang w:val="en-US" w:eastAsia="zh-CN"/>
        </w:rPr>
        <w:t>一、污水处理站污水泄漏进入河流</w:t>
      </w:r>
    </w:p>
    <w:p w14:paraId="33E454E1">
      <w:pPr>
        <w:rPr>
          <w:rFonts w:hint="eastAsia"/>
          <w:color w:val="FF0000"/>
          <w:u w:val="single"/>
          <w:lang w:val="en-US" w:eastAsia="zh-CN"/>
        </w:rPr>
      </w:pPr>
      <w:r>
        <w:rPr>
          <w:rFonts w:hint="eastAsia"/>
          <w:color w:val="FF0000"/>
          <w:u w:val="single"/>
          <w:lang w:val="en-US" w:eastAsia="zh-CN"/>
        </w:rPr>
        <w:t>情景事件过程：</w:t>
      </w:r>
      <w:r>
        <w:rPr>
          <w:rFonts w:hint="eastAsia" w:cs="Times New Roman"/>
          <w:color w:val="FF0000"/>
          <w:u w:val="single"/>
          <w:lang w:val="en-US" w:eastAsia="zh-CN"/>
        </w:rPr>
        <w:t>黄湾乡水源地调查范围内某污水处理站处置不当或者泄漏，导致污水进入河流，影响河流水质。</w:t>
      </w:r>
    </w:p>
    <w:p w14:paraId="624D7140">
      <w:pPr>
        <w:rPr>
          <w:rFonts w:hint="eastAsia"/>
          <w:lang w:val="en-US" w:eastAsia="zh-CN"/>
        </w:rPr>
      </w:pPr>
      <w:r>
        <w:rPr>
          <w:rFonts w:hint="eastAsia"/>
          <w:lang w:val="en-US" w:eastAsia="zh-CN"/>
        </w:rPr>
        <w:t>应急流程：相关部门接到群众、巡查人员或企业事故报告后，迅速通报峨眉山市生态环境局、应急局、属地镇人民政府、水务局、公安局、卫生健康局，并立即组织人员装备赶赴事发现场调查处置，有关部门和相关镇政府根据市政府领导指示，按峨眉山市集中式饮用水水源地突发环境事件应急预案要求，成立现场指挥机构，启动应急响应，组织应急抢险救援工作。</w:t>
      </w:r>
    </w:p>
    <w:p w14:paraId="151ADCD3">
      <w:pPr>
        <w:rPr>
          <w:rFonts w:hint="eastAsia"/>
          <w:lang w:val="en-US" w:eastAsia="zh-CN"/>
        </w:rPr>
      </w:pPr>
      <w:r>
        <w:rPr>
          <w:rFonts w:hint="eastAsia"/>
          <w:lang w:val="en-US" w:eastAsia="zh-CN"/>
        </w:rPr>
        <w:t>峨眉山市生态环境局到达现场后，监测人员立即对现场及靠近取水口水质进行布点，启动24小时应急监测工作，根据监测结果实时绘制“污染带示意图”及“监测数据变化趋势图”，及时掌握水质污染状况，分析污染带动态迁移情况；环境监察人员立即对现场情况进行排查；及时将相关情况报告给指挥专项工作组，为指挥专项工作组决策提供支持和建议。</w:t>
      </w:r>
    </w:p>
    <w:p w14:paraId="734CF61C">
      <w:pPr>
        <w:rPr>
          <w:rFonts w:hint="eastAsia"/>
          <w:lang w:val="en-US" w:eastAsia="zh-CN"/>
        </w:rPr>
      </w:pPr>
      <w:r>
        <w:rPr>
          <w:rFonts w:hint="eastAsia"/>
          <w:lang w:val="en-US" w:eastAsia="zh-CN"/>
        </w:rPr>
        <w:t>应急处置措施：</w:t>
      </w:r>
    </w:p>
    <w:p w14:paraId="0650E6C2">
      <w:pPr>
        <w:rPr>
          <w:rFonts w:hint="eastAsia"/>
          <w:lang w:val="en-US" w:eastAsia="zh-CN"/>
        </w:rPr>
      </w:pPr>
      <w:r>
        <w:rPr>
          <w:rFonts w:hint="eastAsia"/>
          <w:lang w:val="en-US" w:eastAsia="zh-CN"/>
        </w:rPr>
        <w:t>（1）迅速处置</w:t>
      </w:r>
    </w:p>
    <w:p w14:paraId="253F4111">
      <w:pPr>
        <w:rPr>
          <w:rFonts w:hint="eastAsia"/>
          <w:lang w:val="en-US" w:eastAsia="zh-CN"/>
        </w:rPr>
      </w:pPr>
      <w:r>
        <w:rPr>
          <w:rFonts w:hint="eastAsia"/>
          <w:lang w:val="en-US" w:eastAsia="zh-CN"/>
        </w:rPr>
        <w:t>①供水厂对出水进行实时监测，做好自来水深度处理工作，保证出水水质，确保饮用水水源安全，若无法达到则启用备用水源。</w:t>
      </w:r>
    </w:p>
    <w:p w14:paraId="03DEE5F7">
      <w:pPr>
        <w:rPr>
          <w:rFonts w:hint="eastAsia"/>
          <w:lang w:val="en-US" w:eastAsia="zh-CN"/>
        </w:rPr>
      </w:pPr>
      <w:r>
        <w:rPr>
          <w:rFonts w:hint="eastAsia"/>
          <w:lang w:val="en-US" w:eastAsia="zh-CN"/>
        </w:rPr>
        <w:t>②各排污单位启动企业应急预案，切断污染源，尽快采取修补、封堵、收集、转移等措施，切断泄漏源，开展应急处置。</w:t>
      </w:r>
    </w:p>
    <w:p w14:paraId="5960830D">
      <w:pPr>
        <w:rPr>
          <w:rFonts w:hint="eastAsia"/>
          <w:lang w:val="en-US" w:eastAsia="zh-CN"/>
        </w:rPr>
      </w:pPr>
      <w:r>
        <w:rPr>
          <w:rFonts w:hint="eastAsia"/>
          <w:lang w:val="en-US" w:eastAsia="zh-CN"/>
        </w:rPr>
        <w:t>③若发生危险化学品泄漏（污水处理过程中可能涉及），先确定危化品类型，根据专家组建议制定综合处置方案，经现场应急指挥工作组确认后实施。</w:t>
      </w:r>
    </w:p>
    <w:p w14:paraId="1E927FFE">
      <w:pPr>
        <w:rPr>
          <w:rFonts w:hint="eastAsia"/>
          <w:lang w:val="en-US" w:eastAsia="zh-CN"/>
        </w:rPr>
      </w:pPr>
      <w:r>
        <w:rPr>
          <w:rFonts w:hint="eastAsia"/>
          <w:lang w:val="en-US" w:eastAsia="zh-CN"/>
        </w:rPr>
        <w:t>（2）应急监测及信息报告</w:t>
      </w:r>
    </w:p>
    <w:p w14:paraId="694380B0">
      <w:pPr>
        <w:rPr>
          <w:rFonts w:hint="eastAsia"/>
          <w:lang w:val="en-US" w:eastAsia="zh-CN"/>
        </w:rPr>
      </w:pPr>
      <w:r>
        <w:rPr>
          <w:rFonts w:hint="eastAsia"/>
          <w:lang w:val="en-US" w:eastAsia="zh-CN"/>
        </w:rPr>
        <w:t>①应急监测组到达现场后，监测人员立即对现场及靠近取水口水质进行布点，启动24小时应急监测工作；若事发地离取水口较远，在上游布设预警监测断面。</w:t>
      </w:r>
    </w:p>
    <w:p w14:paraId="56B1AD6D">
      <w:pPr>
        <w:rPr>
          <w:rFonts w:hint="eastAsia"/>
          <w:lang w:val="en-US" w:eastAsia="zh-CN"/>
        </w:rPr>
      </w:pPr>
      <w:r>
        <w:rPr>
          <w:rFonts w:hint="eastAsia"/>
          <w:lang w:val="en-US" w:eastAsia="zh-CN"/>
        </w:rPr>
        <w:t>②根据实时监测结果协调水库引流渠立即进行配水，加大下泄流量；在指挥专项工作组的统一领导下组织开展应急处置工作。</w:t>
      </w:r>
    </w:p>
    <w:p w14:paraId="265CD30F">
      <w:pPr>
        <w:rPr>
          <w:rFonts w:hint="eastAsia"/>
          <w:lang w:val="en-US" w:eastAsia="zh-CN"/>
        </w:rPr>
      </w:pPr>
      <w:r>
        <w:rPr>
          <w:rFonts w:hint="eastAsia"/>
          <w:lang w:val="en-US" w:eastAsia="zh-CN"/>
        </w:rPr>
        <w:t>应急终止：若取水口及各监测断面污染物浓度达到国家地表水Ⅲ类水环境质量标准的要求，水质基本恢复正常后，经指挥专项工作组同意，应急终止。</w:t>
      </w:r>
    </w:p>
    <w:p w14:paraId="61447025">
      <w:pPr>
        <w:rPr>
          <w:rFonts w:hint="eastAsia"/>
          <w:lang w:val="en-US" w:eastAsia="zh-CN"/>
        </w:rPr>
      </w:pPr>
      <w:r>
        <w:rPr>
          <w:rFonts w:hint="eastAsia"/>
          <w:lang w:val="en-US" w:eastAsia="zh-CN"/>
        </w:rPr>
        <w:t>后期工作：①进行后期污染监测和生态恢复，防止次生突发环境事件；②加强巡查和企业监管，发现问题立即上报，及时拦截污染物，确保饮用水水源地环境安全；③对事件发生原因进行调查，按规定开展水质监测，发挥各行政部门联动机制，严厉打击各类环境违法行为；④不断完善应急预案，对于跨区县污染情况，强化与相关区县的沟通协调和联动机制，保证信息通畅，确保发生突发环境事件后，第一时间启动应急预案，第一时间处置到位，确保全县饮用水水源安全；⑤卫生健康局、医保局要做好受伤人员救治和医疗保障工作</w:t>
      </w:r>
    </w:p>
    <w:p w14:paraId="6531F41B">
      <w:pPr>
        <w:rPr>
          <w:rFonts w:hint="eastAsia" w:ascii="黑体" w:hAnsi="黑体" w:eastAsia="黑体" w:cs="黑体"/>
          <w:lang w:val="en-US" w:eastAsia="zh-CN"/>
        </w:rPr>
      </w:pPr>
      <w:r>
        <w:rPr>
          <w:rFonts w:hint="eastAsia" w:ascii="黑体" w:hAnsi="黑体" w:eastAsia="黑体" w:cs="黑体"/>
          <w:lang w:val="en-US" w:eastAsia="zh-CN"/>
        </w:rPr>
        <w:t>二、水电站油污（船舶油污）泄漏进入河流（水库）</w:t>
      </w:r>
    </w:p>
    <w:p w14:paraId="2F73CF13">
      <w:pPr>
        <w:rPr>
          <w:rFonts w:hint="eastAsia"/>
          <w:color w:val="FF0000"/>
          <w:u w:val="single"/>
          <w:lang w:val="en-US" w:eastAsia="zh-CN"/>
        </w:rPr>
      </w:pPr>
      <w:r>
        <w:rPr>
          <w:rFonts w:hint="eastAsia"/>
          <w:color w:val="FF0000"/>
          <w:u w:val="single"/>
          <w:lang w:val="en-US" w:eastAsia="zh-CN"/>
        </w:rPr>
        <w:t>情景事件过程：黄湾乡水源地上游某水电站在运营及后续清退过程中，发生油品（油污）泄漏进入河流污染水质；观音岩水库内船舶发生故障导致油污进入水库。</w:t>
      </w:r>
    </w:p>
    <w:p w14:paraId="3D04C694">
      <w:pPr>
        <w:rPr>
          <w:rFonts w:hint="eastAsia"/>
          <w:lang w:val="en-US" w:eastAsia="zh-CN"/>
        </w:rPr>
      </w:pPr>
      <w:r>
        <w:rPr>
          <w:rFonts w:hint="eastAsia"/>
          <w:lang w:val="en-US" w:eastAsia="zh-CN"/>
        </w:rPr>
        <w:t>应急流程：相关部门接到群众、巡查人员或企业事故报告后，迅速通报峨眉山市生态环境局、应急局、属地镇人民政府、水务局、公安局、卫生健康局、消防部门（若发生火灾爆炸），并立即组织人员装备赶赴事发现场组织调查，有关部门和相关镇政府根据政府领导指示，按峨眉山市集中式饮用水水源地突发环境事件应急预案要求，成立现场指挥机构，启动应急响应，组织应急抢险救援工作。</w:t>
      </w:r>
    </w:p>
    <w:p w14:paraId="4F6C906D">
      <w:pPr>
        <w:rPr>
          <w:rFonts w:hint="eastAsia"/>
          <w:lang w:val="en-US" w:eastAsia="zh-CN"/>
        </w:rPr>
      </w:pPr>
      <w:r>
        <w:rPr>
          <w:rFonts w:hint="eastAsia"/>
          <w:lang w:val="en-US" w:eastAsia="zh-CN"/>
        </w:rPr>
        <w:t>峨眉山市生态环境局到达现场后，监测人员立即对现场及靠近取水口水质布点，启动24小时应急监测工作；环境监察人员立即对现场情况进行排查；及时将相关情况报告给指挥专项工作组，为指挥专项工作组决策提供支持和建议。</w:t>
      </w:r>
    </w:p>
    <w:p w14:paraId="78F1946E">
      <w:pPr>
        <w:rPr>
          <w:rFonts w:hint="eastAsia"/>
          <w:lang w:val="en-US" w:eastAsia="zh-CN"/>
        </w:rPr>
      </w:pPr>
      <w:r>
        <w:rPr>
          <w:rFonts w:hint="eastAsia"/>
          <w:lang w:val="en-US" w:eastAsia="zh-CN"/>
        </w:rPr>
        <w:t>应急处置措施：</w:t>
      </w:r>
    </w:p>
    <w:p w14:paraId="321ECB45">
      <w:pPr>
        <w:rPr>
          <w:rFonts w:hint="eastAsia"/>
          <w:lang w:val="en-US" w:eastAsia="zh-CN"/>
        </w:rPr>
      </w:pPr>
      <w:r>
        <w:rPr>
          <w:rFonts w:hint="eastAsia"/>
          <w:lang w:val="en-US" w:eastAsia="zh-CN"/>
        </w:rPr>
        <w:t>（1）迅速处置</w:t>
      </w:r>
    </w:p>
    <w:p w14:paraId="023B2E22">
      <w:pPr>
        <w:rPr>
          <w:rFonts w:hint="default"/>
          <w:lang w:val="en-US" w:eastAsia="zh-CN"/>
        </w:rPr>
      </w:pPr>
      <w:r>
        <w:rPr>
          <w:rFonts w:hint="eastAsia"/>
          <w:lang w:val="en-US" w:eastAsia="zh-CN"/>
        </w:rPr>
        <w:t>①要求该水源地在取水口周围铺设稻草、吸油毡等进行吸附拦截，可在水质处理工序增加活性炭投放量，做好自来水深度处理工作，对出水进行实时监测，保证出水水质，确保饮用水水源安全。若水厂已不能保证出水水质达标，立即启用备用水源地。</w:t>
      </w:r>
    </w:p>
    <w:p w14:paraId="3ABB8DE8">
      <w:pPr>
        <w:rPr>
          <w:rFonts w:hint="eastAsia"/>
          <w:lang w:val="en-US" w:eastAsia="zh-CN"/>
        </w:rPr>
      </w:pPr>
      <w:r>
        <w:rPr>
          <w:rFonts w:hint="eastAsia"/>
          <w:lang w:val="en-US" w:eastAsia="zh-CN"/>
        </w:rPr>
        <w:t>②尽快采取修补、封堵、收集、转移等措施，切断泄漏源；</w:t>
      </w:r>
    </w:p>
    <w:p w14:paraId="0C142C27">
      <w:pPr>
        <w:rPr>
          <w:rFonts w:hint="eastAsia"/>
          <w:lang w:val="en-US" w:eastAsia="zh-CN"/>
        </w:rPr>
      </w:pPr>
      <w:r>
        <w:rPr>
          <w:rFonts w:hint="eastAsia"/>
          <w:lang w:val="en-US" w:eastAsia="zh-CN"/>
        </w:rPr>
        <w:t>③在事故现场周边划定警戒范围，安排人员紧急调运稻草、吸油毛毡、绳，对泄漏的油污进行拦截、吸附处理；</w:t>
      </w:r>
    </w:p>
    <w:p w14:paraId="31576EB9">
      <w:pPr>
        <w:rPr>
          <w:rFonts w:hint="eastAsia"/>
          <w:lang w:val="en-US" w:eastAsia="zh-CN"/>
        </w:rPr>
      </w:pPr>
      <w:r>
        <w:rPr>
          <w:rFonts w:hint="eastAsia"/>
          <w:lang w:val="en-US" w:eastAsia="zh-CN"/>
        </w:rPr>
        <w:t>④若发生火灾爆炸，在事故现场可采用活性炭对消防废水中含磷有机物进行吸附，通过引流消防废水等方式进行拦阻。</w:t>
      </w:r>
    </w:p>
    <w:p w14:paraId="52FB2862">
      <w:pPr>
        <w:rPr>
          <w:rFonts w:hint="eastAsia"/>
          <w:lang w:val="en-US" w:eastAsia="zh-CN"/>
        </w:rPr>
      </w:pPr>
      <w:r>
        <w:rPr>
          <w:rFonts w:hint="eastAsia"/>
          <w:lang w:val="en-US" w:eastAsia="zh-CN"/>
        </w:rPr>
        <w:t>（2）应急监测及信息报告</w:t>
      </w:r>
    </w:p>
    <w:p w14:paraId="0B75E334">
      <w:pPr>
        <w:rPr>
          <w:rFonts w:hint="eastAsia"/>
          <w:lang w:val="en-US" w:eastAsia="zh-CN"/>
        </w:rPr>
      </w:pPr>
      <w:r>
        <w:rPr>
          <w:rFonts w:hint="eastAsia"/>
          <w:lang w:val="en-US" w:eastAsia="zh-CN"/>
        </w:rPr>
        <w:t>①应急监测组到达现场后，监测人员立即对现场及靠近取水口水质进行布点，启动24小时应急监测工作；若事发地离取水口较远，在上游布设预警监测断面。</w:t>
      </w:r>
    </w:p>
    <w:p w14:paraId="1EA53610">
      <w:pPr>
        <w:rPr>
          <w:rFonts w:hint="eastAsia"/>
          <w:lang w:val="en-US" w:eastAsia="zh-CN"/>
        </w:rPr>
      </w:pPr>
      <w:r>
        <w:rPr>
          <w:rFonts w:hint="eastAsia"/>
          <w:lang w:val="en-US" w:eastAsia="zh-CN"/>
        </w:rPr>
        <w:t>②在指挥专项工作组的统一领导下组织开展应急处置工作。融媒体中心配合委宣传部组织开展舆论引导，根据需要组织新闻发布会；文体旅游局加强对广播电视新闻单位、媒体记者的组织和管理。</w:t>
      </w:r>
    </w:p>
    <w:p w14:paraId="5B61414A">
      <w:pPr>
        <w:rPr>
          <w:rFonts w:hint="eastAsia"/>
          <w:lang w:val="en-US" w:eastAsia="zh-CN"/>
        </w:rPr>
      </w:pPr>
      <w:r>
        <w:rPr>
          <w:rFonts w:hint="eastAsia"/>
          <w:lang w:val="en-US" w:eastAsia="zh-CN"/>
        </w:rPr>
        <w:t>应急终止：若取水口和各监测断面石油类浓度达到国家地表水Ⅲ类水环境质量标准（0.05毫克/升）的要求，水质基本恢复正常后，经指挥专项工作组同意，应急终止。</w:t>
      </w:r>
    </w:p>
    <w:p w14:paraId="48F48B7C">
      <w:pPr>
        <w:rPr>
          <w:rFonts w:hint="eastAsia"/>
          <w:lang w:val="en-US" w:eastAsia="zh-CN"/>
        </w:rPr>
      </w:pPr>
      <w:r>
        <w:rPr>
          <w:rFonts w:hint="eastAsia"/>
          <w:lang w:val="en-US" w:eastAsia="zh-CN"/>
        </w:rPr>
        <w:t>后期工作：①对泄漏的油品、化学品进行专业回收处置；进行后期污染监测和生态恢复，防止次生突发环境事件；②落实水电站运营单位、拆除单位等资质要求和应急培训；③加强巡查监管，发现问题立即上报，及时拦截污染物，确保饮用水水源地环境安全；④对事件发生原因进行调查，按规定开展水质监测，发挥各行政部门联动机制，严厉打击各类环境违法行为；⑤卫生健康局、医保局要做好受伤人员救治和医疗保障工作；⑥不断完善应急预案，对于跨区污染情况，强化与相关区的沟通协调和联动机制，保证信息通畅，确保发生突发环境事件后，第一时间启动应急预案，第一时间处置到位，确保全饮用水水源安全。</w:t>
      </w:r>
    </w:p>
    <w:p w14:paraId="7FCA7014">
      <w:pPr>
        <w:rPr>
          <w:rFonts w:hint="default" w:ascii="黑体" w:hAnsi="黑体" w:eastAsia="黑体" w:cs="黑体"/>
          <w:lang w:val="en-US" w:eastAsia="zh-CN"/>
        </w:rPr>
      </w:pPr>
      <w:r>
        <w:rPr>
          <w:rFonts w:hint="eastAsia" w:ascii="黑体" w:hAnsi="黑体" w:eastAsia="黑体" w:cs="黑体"/>
          <w:lang w:val="en-US" w:eastAsia="zh-CN"/>
        </w:rPr>
        <w:t>三、观音岩水库发生水华事件</w:t>
      </w:r>
    </w:p>
    <w:p w14:paraId="11B4896B">
      <w:pPr>
        <w:rPr>
          <w:rFonts w:hint="default"/>
          <w:lang w:val="en-US" w:eastAsia="zh-CN"/>
        </w:rPr>
      </w:pPr>
      <w:r>
        <w:rPr>
          <w:rFonts w:hint="eastAsia"/>
          <w:lang w:val="en-US" w:eastAsia="zh-CN"/>
        </w:rPr>
        <w:t>情景事件过程：受天气等各类因素影响，观音岩水库发生了水华事件。</w:t>
      </w:r>
    </w:p>
    <w:p w14:paraId="016E0EF4">
      <w:pPr>
        <w:rPr>
          <w:rFonts w:hint="eastAsia"/>
          <w:lang w:val="en-US" w:eastAsia="zh-CN"/>
        </w:rPr>
      </w:pPr>
      <w:r>
        <w:rPr>
          <w:rFonts w:hint="eastAsia"/>
          <w:lang w:val="en-US" w:eastAsia="zh-CN"/>
        </w:rPr>
        <w:t>事件原因：①春季晴热高温，水体自净功能降低，水体中的氮、磷比例较高，为蓝藻生长繁殖提供了条件；②自身生物群落结构问题，缺少藻类捕食者；③周围耕地污染，污染物通过土壤和径流进入水源地，因水库自身性质和生物群落结构问题，易造成营养物质累积。</w:t>
      </w:r>
    </w:p>
    <w:p w14:paraId="54BEC7C1">
      <w:pPr>
        <w:rPr>
          <w:rFonts w:hint="eastAsia"/>
          <w:lang w:val="en-US" w:eastAsia="zh-CN"/>
        </w:rPr>
      </w:pPr>
      <w:r>
        <w:rPr>
          <w:rFonts w:hint="eastAsia"/>
          <w:lang w:val="en-US" w:eastAsia="zh-CN"/>
        </w:rPr>
        <w:t>应急流程：相关部门接到群众或巡查人员事故报告后，迅速通报峨眉山市生态环境局、应急局、属地镇人民政府、水务局、公安局、卫生健康局，并立即组织人员装备赶赴事发现场组织调查，各级有关部门和相关镇政府根据政府领导指示，按峨眉山市集中式饮用水水源地突发环境事件应急预案要求，成立现场指挥机构，启动应急响应，组织应急抢险救援工作。</w:t>
      </w:r>
    </w:p>
    <w:p w14:paraId="1FF34CA8">
      <w:pPr>
        <w:rPr>
          <w:rFonts w:hint="eastAsia"/>
          <w:lang w:val="en-US" w:eastAsia="zh-CN"/>
        </w:rPr>
      </w:pPr>
      <w:r>
        <w:rPr>
          <w:rFonts w:hint="eastAsia"/>
          <w:lang w:val="en-US" w:eastAsia="zh-CN"/>
        </w:rPr>
        <w:t>峨眉山市生态环境局到达现场后，监测人员立即对现场及靠近取水口水质进行应急监测工作，环境监察人员立即对现场情况进行排查；及时将相关情况报告给指挥专项工作组，为指挥专项工作组决策提供支持和建议。</w:t>
      </w:r>
    </w:p>
    <w:p w14:paraId="739D244A">
      <w:pPr>
        <w:rPr>
          <w:rFonts w:hint="eastAsia"/>
          <w:lang w:val="en-US" w:eastAsia="zh-CN"/>
        </w:rPr>
      </w:pPr>
      <w:r>
        <w:rPr>
          <w:rFonts w:hint="eastAsia"/>
          <w:lang w:val="en-US" w:eastAsia="zh-CN"/>
        </w:rPr>
        <w:t>应急处置措施：</w:t>
      </w:r>
    </w:p>
    <w:p w14:paraId="083E960E">
      <w:pPr>
        <w:rPr>
          <w:rFonts w:hint="eastAsia"/>
          <w:lang w:val="en-US" w:eastAsia="zh-CN"/>
        </w:rPr>
      </w:pPr>
      <w:r>
        <w:rPr>
          <w:rFonts w:hint="eastAsia"/>
          <w:lang w:val="en-US" w:eastAsia="zh-CN"/>
        </w:rPr>
        <w:t>（1）迅速处置</w:t>
      </w:r>
    </w:p>
    <w:p w14:paraId="4CE552CE">
      <w:pPr>
        <w:rPr>
          <w:rFonts w:hint="eastAsia"/>
          <w:lang w:val="en-US" w:eastAsia="zh-CN"/>
        </w:rPr>
      </w:pPr>
      <w:r>
        <w:rPr>
          <w:rFonts w:hint="eastAsia"/>
          <w:lang w:val="en-US" w:eastAsia="zh-CN"/>
        </w:rPr>
        <w:t>①供水厂对出水进行实时监测，做好自来水深度处理工作，保证出水水质，确保饮用水水源安全。若水厂已不能保证出水水质达标，立即启用应急水源，确保24小时内恢复供水。</w:t>
      </w:r>
    </w:p>
    <w:p w14:paraId="77E79B52">
      <w:pPr>
        <w:rPr>
          <w:rFonts w:hint="eastAsia"/>
          <w:lang w:val="en-US" w:eastAsia="zh-CN"/>
        </w:rPr>
      </w:pPr>
      <w:r>
        <w:rPr>
          <w:rFonts w:hint="eastAsia"/>
          <w:lang w:val="en-US" w:eastAsia="zh-CN"/>
        </w:rPr>
        <w:t>②组织人员和设备将死亡或濒临死亡的藻类迅速打捞出水。打捞可采用人工捞取或者机动表层吸附。打捞出水的藻类、水面漂浮物及沉淀污泥等送往垃圾填埋场进行无害化处理；</w:t>
      </w:r>
    </w:p>
    <w:p w14:paraId="5633931B">
      <w:pPr>
        <w:rPr>
          <w:rFonts w:hint="eastAsia"/>
          <w:lang w:val="en-US" w:eastAsia="zh-CN"/>
        </w:rPr>
      </w:pPr>
      <w:r>
        <w:rPr>
          <w:rFonts w:hint="eastAsia"/>
          <w:lang w:val="en-US" w:eastAsia="zh-CN"/>
        </w:rPr>
        <w:t>③可采用活性炭吸收水中藻毒素；也可采用除藻剂法、微滤法等处理藻类及藻毒素；</w:t>
      </w:r>
    </w:p>
    <w:p w14:paraId="46CE1E49">
      <w:pPr>
        <w:rPr>
          <w:rFonts w:hint="eastAsia"/>
          <w:lang w:val="en-US" w:eastAsia="zh-CN"/>
        </w:rPr>
      </w:pPr>
      <w:r>
        <w:rPr>
          <w:rFonts w:hint="eastAsia"/>
          <w:lang w:val="en-US" w:eastAsia="zh-CN"/>
        </w:rPr>
        <w:t>④可通过增氧曝气、换水、库区清淤、投放鱼苗、建设生态隔离带等方式改善水库水质，根据水库中超标因子具体情况，投放絮凝剂净化处理（例如沸石粉，可去除水中部分氨氮）；</w:t>
      </w:r>
    </w:p>
    <w:p w14:paraId="2E8967B9">
      <w:pPr>
        <w:rPr>
          <w:rFonts w:hint="eastAsia"/>
          <w:lang w:val="en-US" w:eastAsia="zh-CN"/>
        </w:rPr>
      </w:pPr>
      <w:r>
        <w:rPr>
          <w:rFonts w:hint="eastAsia"/>
          <w:lang w:val="en-US" w:eastAsia="zh-CN"/>
        </w:rPr>
        <w:t>（2）应急监测及信息报告</w:t>
      </w:r>
    </w:p>
    <w:p w14:paraId="65BF3193">
      <w:pPr>
        <w:rPr>
          <w:rFonts w:hint="eastAsia"/>
          <w:lang w:val="en-US" w:eastAsia="zh-CN"/>
        </w:rPr>
      </w:pPr>
      <w:r>
        <w:rPr>
          <w:rFonts w:hint="eastAsia"/>
          <w:lang w:val="en-US" w:eastAsia="zh-CN"/>
        </w:rPr>
        <w:t>①应急监测组到达现场后，监测人员立即对现场及靠近取水口水质进行应急监测工作。</w:t>
      </w:r>
    </w:p>
    <w:p w14:paraId="08B86776">
      <w:pPr>
        <w:rPr>
          <w:rFonts w:hint="eastAsia"/>
          <w:lang w:val="en-US" w:eastAsia="zh-CN"/>
        </w:rPr>
      </w:pPr>
      <w:r>
        <w:rPr>
          <w:rFonts w:hint="eastAsia"/>
          <w:lang w:val="en-US" w:eastAsia="zh-CN"/>
        </w:rPr>
        <w:t>②在指挥专项工作组的统一领导下组织开展应急处置工作。融媒体中心配合委宣传部组织开展舆论引导，根据需要组织新闻发布会；文体旅游局加强对广播电视新闻单位、媒体记者的组织和管理。</w:t>
      </w:r>
    </w:p>
    <w:p w14:paraId="5E6EC7CD">
      <w:pPr>
        <w:rPr>
          <w:rFonts w:hint="eastAsia"/>
          <w:lang w:val="en-US" w:eastAsia="zh-CN"/>
        </w:rPr>
      </w:pPr>
      <w:r>
        <w:rPr>
          <w:rFonts w:hint="eastAsia"/>
          <w:lang w:val="en-US" w:eastAsia="zh-CN"/>
        </w:rPr>
        <w:t>应急终止：若水库污染物浓度达到国家地表水三类水环境质量标准的要求，水质基本恢复正常后，经指挥专项工作组同意，应急终止。</w:t>
      </w:r>
    </w:p>
    <w:p w14:paraId="07C5D00F">
      <w:pPr>
        <w:rPr>
          <w:rFonts w:hint="eastAsia"/>
          <w:lang w:val="en-US" w:eastAsia="zh-CN"/>
        </w:rPr>
      </w:pPr>
      <w:r>
        <w:rPr>
          <w:rFonts w:hint="eastAsia"/>
          <w:lang w:val="en-US" w:eastAsia="zh-CN"/>
        </w:rPr>
        <w:t>后期工作：①加强巡查监管，发现问题立即上报；②强化对水库的日常维护管理，在生活垃圾整治方面，完善垃圾清运制度，积极宣传，杜绝垃圾入库现象；③在农业面源污染防治方面，指导农户科学使用化肥、农药、农膜等生产资料，指导畜禽养殖、农作物秸秆等农业废弃物资源化利用；④对事件发生原因进行调查，按规定开展水质监测，发挥各行政部门联动机制，严厉打击各类环境违法行为；⑤在排污口运行监管方面，加强施工工地、农家乐等的日常巡查。⑥在水面环境整治方面，组织船只和人员对库区进行每日巡库，并对库区内水生植物和漂浮物及白色垃圾进行打捞，改善水质；⑦不断完善应急预案，确保发生突发环境事件后，第一时间启动应急预案，第一时间处置到位，确保全饮用水水源安全；⑧卫生健康局、医保局要做好受伤人员救治和医疗保障工作。</w:t>
      </w:r>
    </w:p>
    <w:p w14:paraId="37417260">
      <w:pPr>
        <w:rPr>
          <w:rFonts w:hint="eastAsia" w:ascii="黑体" w:hAnsi="黑体" w:eastAsia="黑体" w:cs="黑体"/>
          <w:lang w:val="en-US" w:eastAsia="zh-CN"/>
        </w:rPr>
      </w:pPr>
      <w:r>
        <w:rPr>
          <w:rFonts w:hint="eastAsia" w:ascii="黑体" w:hAnsi="黑体" w:eastAsia="黑体" w:cs="黑体"/>
          <w:lang w:val="en-US" w:eastAsia="zh-CN"/>
        </w:rPr>
        <w:t>四、山体滑坡等自然灾害事件</w:t>
      </w:r>
    </w:p>
    <w:p w14:paraId="5358C509">
      <w:pPr>
        <w:rPr>
          <w:rFonts w:hint="eastAsia"/>
          <w:color w:val="FF0000"/>
          <w:u w:val="single"/>
          <w:lang w:val="en-US" w:eastAsia="zh-CN"/>
        </w:rPr>
      </w:pPr>
      <w:r>
        <w:rPr>
          <w:rFonts w:hint="eastAsia"/>
          <w:color w:val="FF0000"/>
          <w:u w:val="single"/>
          <w:lang w:val="en-US" w:eastAsia="zh-CN"/>
        </w:rPr>
        <w:t>情景事件过程：受降雨影响，某水源地上游发生了山体滑坡等地质灾害等。</w:t>
      </w:r>
    </w:p>
    <w:p w14:paraId="43D1DA85">
      <w:pPr>
        <w:rPr>
          <w:rFonts w:hint="eastAsia"/>
          <w:lang w:val="en-US" w:eastAsia="zh-CN"/>
        </w:rPr>
      </w:pPr>
      <w:r>
        <w:rPr>
          <w:rFonts w:hint="eastAsia"/>
          <w:lang w:val="en-US" w:eastAsia="zh-CN"/>
        </w:rPr>
        <w:t>应急流程：相关部门接到群众或巡查人员事故报告后，迅速通报峨眉山市生态环境局、应急局、属地镇人民政府、水务局、公安局、卫生健康局，并立即组织人员装备赶赴事发现场组织调查，各级有关部门和相关镇政府根据政府领导指示，按峨眉山市集中式饮用水水源地突发环境事件应急预案要求，成立现场指挥机构，启动应急响应，组织应急抢险救援工作。</w:t>
      </w:r>
    </w:p>
    <w:p w14:paraId="28EB0723">
      <w:pPr>
        <w:rPr>
          <w:rFonts w:hint="eastAsia"/>
          <w:lang w:val="en-US" w:eastAsia="zh-CN"/>
        </w:rPr>
      </w:pPr>
      <w:r>
        <w:rPr>
          <w:rFonts w:hint="eastAsia"/>
          <w:lang w:val="en-US" w:eastAsia="zh-CN"/>
        </w:rPr>
        <w:t>峨眉山市生态环境局到达现场后，监测人员立即对现场及靠近取水口水质进行应急监测工作，环境监察人员立即对现场情况进行排查；及时将相关情况报告给指挥专项工作组，为指挥专项工作组决策提供支持和建议。</w:t>
      </w:r>
    </w:p>
    <w:p w14:paraId="52FB5E3B">
      <w:pPr>
        <w:rPr>
          <w:rFonts w:hint="eastAsia"/>
          <w:lang w:val="en-US" w:eastAsia="zh-CN"/>
        </w:rPr>
      </w:pPr>
      <w:r>
        <w:rPr>
          <w:rFonts w:hint="eastAsia"/>
          <w:lang w:val="en-US" w:eastAsia="zh-CN"/>
        </w:rPr>
        <w:t>应急处置措施：</w:t>
      </w:r>
    </w:p>
    <w:p w14:paraId="04D4243E">
      <w:pPr>
        <w:rPr>
          <w:rFonts w:hint="eastAsia"/>
          <w:lang w:val="en-US" w:eastAsia="zh-CN"/>
        </w:rPr>
      </w:pPr>
      <w:r>
        <w:rPr>
          <w:rFonts w:hint="eastAsia"/>
          <w:lang w:val="en-US" w:eastAsia="zh-CN"/>
        </w:rPr>
        <w:t>（1）迅速处置</w:t>
      </w:r>
    </w:p>
    <w:p w14:paraId="1CBD7989">
      <w:pPr>
        <w:rPr>
          <w:rFonts w:hint="eastAsia"/>
          <w:lang w:val="en-US" w:eastAsia="zh-CN"/>
        </w:rPr>
      </w:pPr>
      <w:r>
        <w:rPr>
          <w:rFonts w:hint="eastAsia"/>
          <w:lang w:val="en-US" w:eastAsia="zh-CN"/>
        </w:rPr>
        <w:t>①供水厂对出水进行实时监测，做好自来水深度处理工作，保证出水水质，确保饮用水水源安全。若水厂已不能保证出水水质达标，立即启用应急水源，确保24小时内恢复供水。</w:t>
      </w:r>
    </w:p>
    <w:p w14:paraId="220A17FC">
      <w:pPr>
        <w:rPr>
          <w:rFonts w:hint="eastAsia"/>
          <w:lang w:val="en-US" w:eastAsia="zh-CN"/>
        </w:rPr>
      </w:pPr>
      <w:r>
        <w:rPr>
          <w:rFonts w:hint="eastAsia"/>
          <w:lang w:val="en-US" w:eastAsia="zh-CN"/>
        </w:rPr>
        <w:t>②组织人员和设备清理进入水源地的泥土等，若水体浑浊，根据需要修筑临时围堰隔离浑浊水体；</w:t>
      </w:r>
    </w:p>
    <w:p w14:paraId="0A561A32">
      <w:pPr>
        <w:rPr>
          <w:rFonts w:hint="eastAsia"/>
          <w:lang w:val="en-US" w:eastAsia="zh-CN"/>
        </w:rPr>
      </w:pPr>
      <w:r>
        <w:rPr>
          <w:rFonts w:hint="eastAsia"/>
          <w:lang w:val="en-US" w:eastAsia="zh-CN"/>
        </w:rPr>
        <w:t>④可通过投放絮凝剂净化处理；</w:t>
      </w:r>
    </w:p>
    <w:p w14:paraId="099F92B2">
      <w:pPr>
        <w:rPr>
          <w:rFonts w:hint="eastAsia"/>
          <w:lang w:val="en-US" w:eastAsia="zh-CN"/>
        </w:rPr>
      </w:pPr>
      <w:r>
        <w:rPr>
          <w:rFonts w:hint="eastAsia"/>
          <w:lang w:val="en-US" w:eastAsia="zh-CN"/>
        </w:rPr>
        <w:t>（2）应急监测及信息报告</w:t>
      </w:r>
    </w:p>
    <w:p w14:paraId="47D0B23A">
      <w:pPr>
        <w:rPr>
          <w:rFonts w:hint="eastAsia"/>
          <w:lang w:val="en-US" w:eastAsia="zh-CN"/>
        </w:rPr>
      </w:pPr>
      <w:r>
        <w:rPr>
          <w:rFonts w:hint="eastAsia"/>
          <w:lang w:val="en-US" w:eastAsia="zh-CN"/>
        </w:rPr>
        <w:t>①应急监测组到达现场后，监测人员立即对现场及靠近取水口水质进行应急监测工作。</w:t>
      </w:r>
    </w:p>
    <w:p w14:paraId="6F2FD9C3">
      <w:pPr>
        <w:rPr>
          <w:rFonts w:hint="eastAsia"/>
          <w:lang w:val="en-US" w:eastAsia="zh-CN"/>
        </w:rPr>
      </w:pPr>
      <w:r>
        <w:rPr>
          <w:rFonts w:hint="eastAsia"/>
          <w:lang w:val="en-US" w:eastAsia="zh-CN"/>
        </w:rPr>
        <w:t>②在指挥专项工作组的统一领导下组织开展应急处置工作。融媒体中心配合委宣传部组织开展舆论引导，根据需要组织新闻发布会；文体旅游局加强对广播电视新闻单位、媒体记者的组织和管理。</w:t>
      </w:r>
    </w:p>
    <w:p w14:paraId="5D2625EC">
      <w:pPr>
        <w:rPr>
          <w:rFonts w:hint="eastAsia"/>
          <w:lang w:val="en-US" w:eastAsia="zh-CN"/>
        </w:rPr>
      </w:pPr>
      <w:r>
        <w:rPr>
          <w:rFonts w:hint="eastAsia"/>
          <w:lang w:val="en-US" w:eastAsia="zh-CN"/>
        </w:rPr>
        <w:t>应急终止：若水体污染物浓度达到国家地表水三类水环境质量标准的要求，水质基本恢复正常后，经指挥专项工作组同意，应急终止。</w:t>
      </w:r>
    </w:p>
    <w:p w14:paraId="4EA281A7">
      <w:pPr>
        <w:rPr>
          <w:rFonts w:hint="eastAsia"/>
          <w:lang w:val="en-US" w:eastAsia="zh-CN"/>
        </w:rPr>
      </w:pPr>
      <w:r>
        <w:rPr>
          <w:rFonts w:hint="eastAsia"/>
          <w:lang w:val="en-US" w:eastAsia="zh-CN"/>
        </w:rPr>
        <w:t>后期工作：</w:t>
      </w:r>
    </w:p>
    <w:p w14:paraId="6232C989">
      <w:pPr>
        <w:rPr>
          <w:rFonts w:hint="eastAsia"/>
          <w:lang w:val="en-US" w:eastAsia="zh-CN"/>
        </w:rPr>
      </w:pPr>
      <w:r>
        <w:rPr>
          <w:rFonts w:hint="eastAsia"/>
          <w:lang w:val="en-US" w:eastAsia="zh-CN"/>
        </w:rPr>
        <w:t>①加强巡查监管，发现问题立即上报；</w:t>
      </w:r>
    </w:p>
    <w:p w14:paraId="240E4D5D">
      <w:pPr>
        <w:rPr>
          <w:rFonts w:hint="eastAsia"/>
          <w:lang w:val="en-US" w:eastAsia="zh-CN"/>
        </w:rPr>
      </w:pPr>
      <w:r>
        <w:rPr>
          <w:rFonts w:hint="eastAsia"/>
          <w:lang w:val="en-US" w:eastAsia="zh-CN"/>
        </w:rPr>
        <w:t>②强化对水库的日常维护管理，在生活垃圾整治方面，完善垃圾清运制度，积极宣传，杜绝垃圾入库现象；</w:t>
      </w:r>
    </w:p>
    <w:p w14:paraId="6215C728">
      <w:pPr>
        <w:rPr>
          <w:rFonts w:hint="eastAsia"/>
          <w:lang w:val="en-US" w:eastAsia="zh-CN"/>
        </w:rPr>
      </w:pPr>
      <w:r>
        <w:rPr>
          <w:rFonts w:hint="eastAsia"/>
          <w:lang w:val="en-US" w:eastAsia="zh-CN"/>
        </w:rPr>
        <w:t>③在农业面源污染防治方面，指导农户科学使用化肥、农药、农膜等生产资料，指导畜禽养殖、农作物秸秆等农业废弃物资源化利用；</w:t>
      </w:r>
    </w:p>
    <w:p w14:paraId="334F6E58">
      <w:pPr>
        <w:rPr>
          <w:rFonts w:hint="eastAsia"/>
          <w:lang w:val="en-US" w:eastAsia="zh-CN"/>
        </w:rPr>
      </w:pPr>
      <w:r>
        <w:rPr>
          <w:rFonts w:hint="eastAsia"/>
          <w:lang w:val="en-US" w:eastAsia="zh-CN"/>
        </w:rPr>
        <w:t>④对事件发生原因进行调查，按规定开展水质监测，发挥各行政部门联动机制，严厉打击各类环境违法行为；</w:t>
      </w:r>
    </w:p>
    <w:p w14:paraId="71E85510">
      <w:pPr>
        <w:rPr>
          <w:rFonts w:hint="eastAsia"/>
          <w:lang w:val="en-US" w:eastAsia="zh-CN"/>
        </w:rPr>
      </w:pPr>
      <w:r>
        <w:rPr>
          <w:rFonts w:hint="eastAsia"/>
          <w:lang w:val="en-US" w:eastAsia="zh-CN"/>
        </w:rPr>
        <w:t>⑤在排污口运行监管方面，加强施工工地、农家乐等的日常巡查。</w:t>
      </w:r>
    </w:p>
    <w:p w14:paraId="5BCC3B50">
      <w:pPr>
        <w:rPr>
          <w:rFonts w:hint="eastAsia"/>
          <w:lang w:val="en-US" w:eastAsia="zh-CN"/>
        </w:rPr>
      </w:pPr>
      <w:r>
        <w:rPr>
          <w:rFonts w:hint="eastAsia"/>
          <w:lang w:val="en-US" w:eastAsia="zh-CN"/>
        </w:rPr>
        <w:t>⑥在水面环境整治方面，组织船只和人员对库区进行每日巡库，并对库区内水生植物和漂浮物及白色垃圾进行打捞，改善水质；</w:t>
      </w:r>
    </w:p>
    <w:p w14:paraId="1E3188C2">
      <w:pPr>
        <w:rPr>
          <w:rFonts w:hint="eastAsia"/>
          <w:lang w:val="en-US" w:eastAsia="zh-CN"/>
        </w:rPr>
      </w:pPr>
      <w:r>
        <w:rPr>
          <w:rFonts w:hint="eastAsia"/>
          <w:lang w:val="en-US" w:eastAsia="zh-CN"/>
        </w:rPr>
        <w:t>⑦不断完善应急预案，确保发生突发环境事件后，第一时间启动应急预案，第一时间处置到位，确保全饮用水水源安全；</w:t>
      </w:r>
    </w:p>
    <w:p w14:paraId="22FBF0B5">
      <w:pPr>
        <w:rPr>
          <w:rFonts w:hint="eastAsia"/>
          <w:lang w:val="en-US" w:eastAsia="zh-CN"/>
        </w:rPr>
      </w:pPr>
      <w:r>
        <w:rPr>
          <w:rFonts w:hint="eastAsia"/>
          <w:lang w:val="en-US" w:eastAsia="zh-CN"/>
        </w:rPr>
        <w:t>⑧卫生健康局、医保局要做好受伤人员救治和医疗保障工作。</w:t>
      </w:r>
    </w:p>
    <w:p w14:paraId="647AD43F">
      <w:pPr>
        <w:rPr>
          <w:rFonts w:hint="eastAsia" w:ascii="黑体" w:hAnsi="黑体" w:eastAsia="黑体" w:cs="黑体"/>
          <w:lang w:val="en-US" w:eastAsia="zh-CN"/>
        </w:rPr>
      </w:pPr>
      <w:r>
        <w:rPr>
          <w:rFonts w:hint="eastAsia" w:ascii="黑体" w:hAnsi="黑体" w:eastAsia="黑体" w:cs="黑体"/>
          <w:lang w:val="en-US" w:eastAsia="zh-CN"/>
        </w:rPr>
        <w:t>五、群星水源地取水口上游水污染导致取水中断、取水设施故障</w:t>
      </w:r>
    </w:p>
    <w:p w14:paraId="4182C893">
      <w:pPr>
        <w:rPr>
          <w:rFonts w:hint="eastAsia"/>
          <w:color w:val="FF0000"/>
          <w:u w:val="single"/>
          <w:lang w:val="en-US" w:eastAsia="zh-CN"/>
        </w:rPr>
      </w:pPr>
      <w:r>
        <w:rPr>
          <w:rFonts w:hint="eastAsia"/>
          <w:color w:val="FF0000"/>
          <w:u w:val="single"/>
          <w:lang w:val="en-US" w:eastAsia="zh-CN"/>
        </w:rPr>
        <w:t>情景事件过程：群星水源地取水口上游不法分子非法倾倒废酸液体，导致饮用水水源上游支流河道水质污染，并直接威胁下游饮用水水源水质安全，或取水设施故障，或因道路交通移动源导致水源地污染。</w:t>
      </w:r>
    </w:p>
    <w:p w14:paraId="35BB8228">
      <w:pPr>
        <w:rPr>
          <w:rFonts w:hint="eastAsia" w:eastAsia="仿宋_GB2312"/>
          <w:color w:val="FF0000"/>
          <w:u w:val="single"/>
          <w:lang w:val="en-US" w:eastAsia="zh-CN"/>
        </w:rPr>
      </w:pPr>
      <w:r>
        <w:rPr>
          <w:rFonts w:hint="eastAsia"/>
          <w:color w:val="FF0000"/>
          <w:u w:val="single"/>
          <w:lang w:val="en-US" w:eastAsia="zh-CN"/>
        </w:rPr>
        <w:t>应急流程：相关部门接到夹江县、群众或巡查人员事故报告后，迅速通报峨眉山市生态环境局、应急局、属地镇人民政府、水务局、公安局、卫生健康局，</w:t>
      </w:r>
      <w:r>
        <w:rPr>
          <w:rFonts w:hint="eastAsia" w:ascii="仿宋_GB2312" w:eastAsia="仿宋_GB2312" w:cs="仿宋_GB2312"/>
          <w:color w:val="FF0000"/>
          <w:sz w:val="32"/>
          <w:szCs w:val="32"/>
          <w:u w:val="single"/>
          <w:shd w:val="clear" w:color="auto" w:fill="FFFFFF"/>
        </w:rPr>
        <w:t>并立即组织人员装备赶赴事发现场，相关部门根据县政府领导指示，按县突发饮用水污染事件应急预案要求，成立现场指挥机构，启动应急响应，</w:t>
      </w:r>
      <w:r>
        <w:rPr>
          <w:rFonts w:hint="eastAsia" w:ascii="仿宋_GB2312" w:cs="仿宋_GB2312"/>
          <w:color w:val="FF0000"/>
          <w:sz w:val="32"/>
          <w:szCs w:val="32"/>
          <w:u w:val="single"/>
          <w:shd w:val="clear" w:color="auto" w:fill="FFFFFF"/>
          <w:lang w:val="en-US" w:eastAsia="zh-CN"/>
        </w:rPr>
        <w:t>协同夹江县</w:t>
      </w:r>
      <w:r>
        <w:rPr>
          <w:rFonts w:hint="eastAsia" w:ascii="仿宋_GB2312" w:eastAsia="仿宋_GB2312" w:cs="仿宋_GB2312"/>
          <w:color w:val="FF0000"/>
          <w:sz w:val="32"/>
          <w:szCs w:val="32"/>
          <w:u w:val="single"/>
          <w:shd w:val="clear" w:color="auto" w:fill="FFFFFF"/>
        </w:rPr>
        <w:t>组织应急抢险救援工作</w:t>
      </w:r>
      <w:r>
        <w:rPr>
          <w:rFonts w:hint="eastAsia" w:ascii="仿宋_GB2312" w:cs="仿宋_GB2312"/>
          <w:color w:val="FF0000"/>
          <w:sz w:val="32"/>
          <w:szCs w:val="32"/>
          <w:u w:val="single"/>
          <w:shd w:val="clear" w:color="auto" w:fill="FFFFFF"/>
          <w:lang w:eastAsia="zh-CN"/>
        </w:rPr>
        <w:t>。</w:t>
      </w:r>
    </w:p>
    <w:p w14:paraId="65BEF2FB">
      <w:pPr>
        <w:rPr>
          <w:rFonts w:hint="eastAsia"/>
          <w:color w:val="FF0000"/>
          <w:u w:val="single"/>
          <w:lang w:val="en-US" w:eastAsia="zh-CN"/>
        </w:rPr>
      </w:pPr>
      <w:r>
        <w:rPr>
          <w:rFonts w:hint="eastAsia"/>
          <w:color w:val="FF0000"/>
          <w:u w:val="single"/>
          <w:lang w:val="en-US" w:eastAsia="zh-CN"/>
        </w:rPr>
        <w:t>峨眉山市生态环境局到达现场后，监测人员立即配合夹江县对现场及靠近取水口水质进行应急监测工作，环境监察人员立即对现场情况进行排查；及时将相关情况报告给指挥专项工作组，为指挥专项工作组决策提供支持和建议。</w:t>
      </w:r>
    </w:p>
    <w:p w14:paraId="511069C0">
      <w:pPr>
        <w:rPr>
          <w:rFonts w:hint="eastAsia"/>
          <w:color w:val="FF0000"/>
          <w:u w:val="single"/>
          <w:lang w:val="en-US" w:eastAsia="zh-CN"/>
        </w:rPr>
      </w:pPr>
      <w:r>
        <w:rPr>
          <w:rFonts w:hint="eastAsia"/>
          <w:color w:val="FF0000"/>
          <w:u w:val="single"/>
          <w:lang w:val="en-US" w:eastAsia="zh-CN"/>
        </w:rPr>
        <w:t>应急处置措施：</w:t>
      </w:r>
    </w:p>
    <w:p w14:paraId="14AC2012">
      <w:pPr>
        <w:rPr>
          <w:rFonts w:hint="eastAsia"/>
          <w:color w:val="FF0000"/>
          <w:u w:val="single"/>
          <w:lang w:val="en-US" w:eastAsia="zh-CN"/>
        </w:rPr>
      </w:pPr>
      <w:r>
        <w:rPr>
          <w:rFonts w:hint="eastAsia"/>
          <w:color w:val="FF0000"/>
          <w:u w:val="single"/>
          <w:lang w:val="en-US" w:eastAsia="zh-CN"/>
        </w:rPr>
        <w:t>（1）迅速处置</w:t>
      </w:r>
    </w:p>
    <w:p w14:paraId="74173EB1">
      <w:pPr>
        <w:rPr>
          <w:rFonts w:hint="eastAsia"/>
          <w:color w:val="FF0000"/>
          <w:u w:val="single"/>
          <w:lang w:val="en-US" w:eastAsia="zh-CN"/>
        </w:rPr>
      </w:pPr>
      <w:r>
        <w:rPr>
          <w:rFonts w:hint="eastAsia"/>
          <w:color w:val="FF0000"/>
          <w:u w:val="single"/>
          <w:lang w:val="en-US" w:eastAsia="zh-CN"/>
        </w:rPr>
        <w:t>①立即启用应急水源，在该水源地水质完全达标后方可恢复继续取用。</w:t>
      </w:r>
    </w:p>
    <w:p w14:paraId="18581002">
      <w:pPr>
        <w:rPr>
          <w:rFonts w:hint="eastAsia"/>
          <w:color w:val="FF0000"/>
          <w:u w:val="single"/>
          <w:lang w:val="en-US" w:eastAsia="zh-CN"/>
        </w:rPr>
      </w:pPr>
      <w:r>
        <w:rPr>
          <w:rFonts w:hint="eastAsia"/>
          <w:color w:val="FF0000"/>
          <w:u w:val="single"/>
          <w:lang w:val="en-US" w:eastAsia="zh-CN"/>
        </w:rPr>
        <w:t>②供水厂对出水进行实时监测，做好自来水深度处理工作，保证出水水质，确保饮用水水源安全。若水厂已不能保证出水水质达标。</w:t>
      </w:r>
    </w:p>
    <w:p w14:paraId="1DF126DF">
      <w:pPr>
        <w:rPr>
          <w:rFonts w:hint="eastAsia"/>
          <w:color w:val="FF0000"/>
          <w:u w:val="single"/>
          <w:lang w:val="en-US" w:eastAsia="zh-CN"/>
        </w:rPr>
      </w:pPr>
      <w:r>
        <w:rPr>
          <w:rFonts w:hint="eastAsia"/>
          <w:color w:val="FF0000"/>
          <w:u w:val="single"/>
          <w:lang w:val="en-US" w:eastAsia="zh-CN"/>
        </w:rPr>
        <w:t>③组织人员和设备清理进入水源地的泥土等，若水体浑浊，根据需要修筑临时围堰隔离浑浊水体；</w:t>
      </w:r>
    </w:p>
    <w:p w14:paraId="23E1F66B">
      <w:pPr>
        <w:rPr>
          <w:rFonts w:hint="eastAsia"/>
          <w:color w:val="FF0000"/>
          <w:u w:val="single"/>
          <w:lang w:val="en-US" w:eastAsia="zh-CN"/>
        </w:rPr>
      </w:pPr>
      <w:r>
        <w:rPr>
          <w:rFonts w:hint="eastAsia"/>
          <w:color w:val="FF0000"/>
          <w:u w:val="single"/>
          <w:lang w:val="en-US" w:eastAsia="zh-CN"/>
        </w:rPr>
        <w:t>④可通过投放絮凝剂净化处理；</w:t>
      </w:r>
    </w:p>
    <w:p w14:paraId="67E33D93">
      <w:pPr>
        <w:rPr>
          <w:rFonts w:hint="eastAsia"/>
          <w:color w:val="FF0000"/>
          <w:u w:val="single"/>
          <w:lang w:val="en-US" w:eastAsia="zh-CN"/>
        </w:rPr>
      </w:pPr>
      <w:r>
        <w:rPr>
          <w:rFonts w:hint="eastAsia"/>
          <w:color w:val="FF0000"/>
          <w:u w:val="single"/>
          <w:lang w:val="en-US" w:eastAsia="zh-CN"/>
        </w:rPr>
        <w:t>（2）应急监测及信息报告</w:t>
      </w:r>
    </w:p>
    <w:p w14:paraId="3A40B755">
      <w:pPr>
        <w:rPr>
          <w:rFonts w:hint="eastAsia"/>
          <w:color w:val="FF0000"/>
          <w:u w:val="single"/>
          <w:lang w:val="en-US" w:eastAsia="zh-CN"/>
        </w:rPr>
      </w:pPr>
      <w:r>
        <w:rPr>
          <w:rFonts w:hint="eastAsia"/>
          <w:color w:val="FF0000"/>
          <w:u w:val="single"/>
          <w:lang w:val="en-US" w:eastAsia="zh-CN"/>
        </w:rPr>
        <w:t>①应急监测组到达现场后，监测人员立即对现场及靠近取水口水质进行应急监测工作。</w:t>
      </w:r>
    </w:p>
    <w:p w14:paraId="5B0CCF52">
      <w:pPr>
        <w:rPr>
          <w:rFonts w:hint="eastAsia"/>
          <w:color w:val="FF0000"/>
          <w:u w:val="single"/>
          <w:lang w:val="en-US" w:eastAsia="zh-CN"/>
        </w:rPr>
      </w:pPr>
      <w:r>
        <w:rPr>
          <w:rFonts w:hint="eastAsia"/>
          <w:color w:val="FF0000"/>
          <w:u w:val="single"/>
          <w:lang w:val="en-US" w:eastAsia="zh-CN"/>
        </w:rPr>
        <w:t>②在指挥专项工作组的统一领导下组织开展应急处置工作。融媒体中心配合委宣传部组织开展舆论引导，根据需要组织新闻发布会；文体旅游局加强对广播电视新闻单位、媒体记者的组织和管理。</w:t>
      </w:r>
    </w:p>
    <w:p w14:paraId="3E914904">
      <w:pPr>
        <w:rPr>
          <w:rFonts w:hint="eastAsia"/>
          <w:color w:val="FF0000"/>
          <w:u w:val="single"/>
          <w:lang w:val="en-US" w:eastAsia="zh-CN"/>
        </w:rPr>
      </w:pPr>
      <w:r>
        <w:rPr>
          <w:rFonts w:hint="eastAsia"/>
          <w:color w:val="FF0000"/>
          <w:u w:val="single"/>
          <w:lang w:val="en-US" w:eastAsia="zh-CN"/>
        </w:rPr>
        <w:t>应急终止：若水体污染物浓度达到国家地表水三类水环境质量标准的要求，水质基本恢复正常后，经指挥专项工作组同意，应急终止。</w:t>
      </w:r>
    </w:p>
    <w:p w14:paraId="65541C24">
      <w:pPr>
        <w:rPr>
          <w:rFonts w:hint="eastAsia"/>
          <w:color w:val="FF0000"/>
          <w:u w:val="single"/>
          <w:lang w:val="en-US" w:eastAsia="zh-CN"/>
        </w:rPr>
      </w:pPr>
      <w:r>
        <w:rPr>
          <w:rFonts w:hint="eastAsia"/>
          <w:color w:val="FF0000"/>
          <w:u w:val="single"/>
          <w:lang w:val="en-US" w:eastAsia="zh-CN"/>
        </w:rPr>
        <w:t>后期工作：</w:t>
      </w:r>
    </w:p>
    <w:p w14:paraId="3FE14910">
      <w:pPr>
        <w:rPr>
          <w:rFonts w:hint="eastAsia"/>
          <w:color w:val="FF0000"/>
          <w:u w:val="single"/>
          <w:lang w:val="en-US" w:eastAsia="zh-CN"/>
        </w:rPr>
      </w:pPr>
      <w:r>
        <w:rPr>
          <w:rFonts w:hint="eastAsia"/>
          <w:color w:val="FF0000"/>
          <w:u w:val="single"/>
          <w:lang w:val="en-US" w:eastAsia="zh-CN"/>
        </w:rPr>
        <w:t>①加强与夹江县的信息沟通，接到相关问题反馈立即上报；</w:t>
      </w:r>
    </w:p>
    <w:p w14:paraId="2B02898F">
      <w:pPr>
        <w:rPr>
          <w:rFonts w:hint="eastAsia"/>
          <w:color w:val="FF0000"/>
          <w:u w:val="single"/>
          <w:lang w:val="en-US" w:eastAsia="zh-CN"/>
        </w:rPr>
      </w:pPr>
      <w:r>
        <w:rPr>
          <w:rFonts w:hint="eastAsia"/>
          <w:color w:val="FF0000"/>
          <w:u w:val="single"/>
          <w:lang w:val="en-US" w:eastAsia="zh-CN"/>
        </w:rPr>
        <w:t>②强化对水源地的日常维护管理；</w:t>
      </w:r>
    </w:p>
    <w:p w14:paraId="78CC7868">
      <w:pPr>
        <w:rPr>
          <w:rFonts w:hint="eastAsia"/>
          <w:color w:val="FF0000"/>
          <w:u w:val="single"/>
          <w:lang w:val="en-US" w:eastAsia="zh-CN"/>
        </w:rPr>
      </w:pPr>
      <w:r>
        <w:rPr>
          <w:rFonts w:hint="eastAsia"/>
          <w:color w:val="FF0000"/>
          <w:u w:val="single"/>
          <w:lang w:val="en-US" w:eastAsia="zh-CN"/>
        </w:rPr>
        <w:t>③不断完善应急预案，确保发生突发环境事件后，第一时间启动应急预案，第一时间处置到位，确保全饮用水水源安全。</w:t>
      </w:r>
    </w:p>
    <w:p w14:paraId="5BFF0505">
      <w:pPr>
        <w:rPr>
          <w:rFonts w:hint="eastAsia"/>
          <w:lang w:val="en-US" w:eastAsia="zh-CN"/>
        </w:rPr>
      </w:pPr>
    </w:p>
    <w:p w14:paraId="3BC0B2FA">
      <w:pPr>
        <w:rPr>
          <w:rFonts w:hint="eastAsia"/>
          <w:lang w:val="en-US" w:eastAsia="zh-CN"/>
        </w:rPr>
      </w:pPr>
    </w:p>
    <w:p w14:paraId="5D75EC16">
      <w:pPr>
        <w:rPr>
          <w:rFonts w:hint="eastAsia"/>
          <w:lang w:val="en-US" w:eastAsia="zh-CN"/>
        </w:rPr>
      </w:pPr>
    </w:p>
    <w:p w14:paraId="3C966E6B">
      <w:pPr>
        <w:rPr>
          <w:rFonts w:hint="eastAsia"/>
          <w:lang w:val="en-US" w:eastAsia="zh-CN"/>
        </w:rPr>
      </w:pPr>
      <w:r>
        <w:rPr>
          <w:rFonts w:hint="eastAsia"/>
          <w:lang w:val="en-US" w:eastAsia="zh-CN"/>
        </w:rPr>
        <w:t>。</w:t>
      </w:r>
    </w:p>
    <w:p w14:paraId="5D61DBCA">
      <w:pPr>
        <w:keepNext w:val="0"/>
        <w:keepLines w:val="0"/>
        <w:pageBreakBefore w:val="0"/>
        <w:kinsoku/>
        <w:wordWrap/>
        <w:overflowPunct/>
        <w:topLinePunct w:val="0"/>
        <w:autoSpaceDE/>
        <w:autoSpaceDN/>
        <w:bidi w:val="0"/>
        <w:spacing w:line="240" w:lineRule="auto"/>
        <w:ind w:left="0" w:leftChars="0" w:right="0" w:rightChars="0" w:firstLine="0" w:firstLineChars="0"/>
        <w:jc w:val="both"/>
        <w:textAlignment w:val="auto"/>
        <w:rPr>
          <w:rFonts w:hint="eastAsia" w:ascii="Times New Roman" w:hAnsi="Times New Roman" w:eastAsia="仿宋" w:cs="Times New Roman"/>
          <w:b/>
          <w:bCs/>
          <w:sz w:val="32"/>
          <w:szCs w:val="32"/>
          <w:lang w:val="en-US" w:eastAsia="zh-CN"/>
        </w:rPr>
        <w:sectPr>
          <w:footerReference r:id="rId19" w:type="default"/>
          <w:pgSz w:w="11906" w:h="16838"/>
          <w:pgMar w:top="1440" w:right="1800" w:bottom="1440" w:left="1800" w:header="850" w:footer="850" w:gutter="0"/>
          <w:pgBorders>
            <w:top w:val="none" w:sz="0" w:space="0"/>
            <w:left w:val="none" w:sz="0" w:space="0"/>
            <w:bottom w:val="none" w:sz="0" w:space="0"/>
            <w:right w:val="none" w:sz="0" w:space="0"/>
          </w:pgBorders>
          <w:pgNumType w:fmt="decimal"/>
          <w:cols w:space="0" w:num="1"/>
          <w:rtlGutter w:val="0"/>
          <w:docGrid w:linePitch="312" w:charSpace="0"/>
        </w:sectPr>
      </w:pPr>
    </w:p>
    <w:p w14:paraId="1F26366F">
      <w:pPr>
        <w:spacing w:before="101" w:line="228" w:lineRule="auto"/>
        <w:ind w:left="0" w:leftChars="0" w:firstLine="0" w:firstLineChars="0"/>
        <w:rPr>
          <w:rFonts w:ascii="黑体" w:hAnsi="黑体" w:eastAsia="黑体" w:cs="黑体"/>
          <w:sz w:val="31"/>
          <w:szCs w:val="31"/>
        </w:rPr>
      </w:pPr>
      <w:r>
        <w:rPr>
          <w:rFonts w:ascii="黑体" w:hAnsi="黑体" w:eastAsia="黑体" w:cs="黑体"/>
          <w:spacing w:val="-4"/>
          <w:sz w:val="31"/>
          <w:szCs w:val="31"/>
        </w:rPr>
        <w:t>附表1</w:t>
      </w:r>
    </w:p>
    <w:p w14:paraId="1DDEB52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仿宋" w:cs="Times New Roman"/>
          <w:b/>
          <w:bCs/>
          <w:sz w:val="32"/>
          <w:szCs w:val="32"/>
        </w:rPr>
      </w:pPr>
      <w:r>
        <w:rPr>
          <w:rFonts w:hint="eastAsia" w:eastAsia="仿宋" w:cs="Times New Roman"/>
          <w:b/>
          <w:bCs/>
          <w:sz w:val="32"/>
          <w:szCs w:val="32"/>
          <w:lang w:val="en-US" w:eastAsia="zh-CN"/>
        </w:rPr>
        <w:t>峨眉山市</w:t>
      </w:r>
      <w:r>
        <w:rPr>
          <w:rFonts w:hint="default" w:ascii="Times New Roman" w:hAnsi="Times New Roman" w:eastAsia="仿宋" w:cs="Times New Roman"/>
          <w:b/>
          <w:bCs/>
          <w:sz w:val="32"/>
          <w:szCs w:val="32"/>
        </w:rPr>
        <w:t>集中式饮用水水源地</w:t>
      </w:r>
    </w:p>
    <w:p w14:paraId="5176F3D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仿宋" w:cs="Times New Roman"/>
          <w:b/>
          <w:bCs/>
          <w:sz w:val="32"/>
          <w:szCs w:val="32"/>
        </w:rPr>
      </w:pPr>
      <w:r>
        <w:rPr>
          <w:rFonts w:hint="default" w:ascii="Times New Roman" w:hAnsi="Times New Roman" w:eastAsia="仿宋" w:cs="Times New Roman"/>
          <w:b/>
          <w:bCs/>
          <w:sz w:val="32"/>
          <w:szCs w:val="32"/>
        </w:rPr>
        <w:t>突发环境事件信息接收表</w:t>
      </w:r>
    </w:p>
    <w:p w14:paraId="11D25A2B">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仿宋" w:cs="Times New Roman"/>
          <w:b/>
          <w:bCs/>
          <w:sz w:val="32"/>
          <w:szCs w:val="32"/>
          <w:lang w:eastAsia="zh-CN"/>
        </w:rPr>
      </w:pP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6"/>
        <w:gridCol w:w="3101"/>
        <w:gridCol w:w="1792"/>
        <w:gridCol w:w="1792"/>
      </w:tblGrid>
      <w:tr w14:paraId="21C63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837" w:type="dxa"/>
            <w:noWrap w:val="0"/>
            <w:vAlign w:val="center"/>
          </w:tcPr>
          <w:p w14:paraId="363C83B1">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事件部门</w:t>
            </w:r>
          </w:p>
        </w:tc>
        <w:tc>
          <w:tcPr>
            <w:tcW w:w="3102" w:type="dxa"/>
            <w:noWrap w:val="0"/>
            <w:vAlign w:val="center"/>
          </w:tcPr>
          <w:p w14:paraId="279293E1">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c>
          <w:tcPr>
            <w:tcW w:w="1792" w:type="dxa"/>
            <w:noWrap w:val="0"/>
            <w:vAlign w:val="center"/>
          </w:tcPr>
          <w:p w14:paraId="4D6F8382">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事件部门负责人</w:t>
            </w:r>
          </w:p>
        </w:tc>
        <w:tc>
          <w:tcPr>
            <w:tcW w:w="1792" w:type="dxa"/>
            <w:noWrap w:val="0"/>
            <w:vAlign w:val="center"/>
          </w:tcPr>
          <w:p w14:paraId="531AD7F4">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r>
      <w:tr w14:paraId="01D56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837" w:type="dxa"/>
            <w:noWrap w:val="0"/>
            <w:vAlign w:val="center"/>
          </w:tcPr>
          <w:p w14:paraId="0DF998C7">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报告人姓名</w:t>
            </w:r>
          </w:p>
          <w:p w14:paraId="772792DE">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（联系电话）</w:t>
            </w:r>
          </w:p>
        </w:tc>
        <w:tc>
          <w:tcPr>
            <w:tcW w:w="3102" w:type="dxa"/>
            <w:noWrap w:val="0"/>
            <w:vAlign w:val="center"/>
          </w:tcPr>
          <w:p w14:paraId="569271D2">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c>
          <w:tcPr>
            <w:tcW w:w="1792" w:type="dxa"/>
            <w:vMerge w:val="restart"/>
            <w:noWrap w:val="0"/>
            <w:vAlign w:val="center"/>
          </w:tcPr>
          <w:p w14:paraId="61132C1A">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信息报告、接收时间</w:t>
            </w:r>
          </w:p>
        </w:tc>
        <w:tc>
          <w:tcPr>
            <w:tcW w:w="1792" w:type="dxa"/>
            <w:vMerge w:val="restart"/>
            <w:noWrap w:val="0"/>
            <w:vAlign w:val="center"/>
          </w:tcPr>
          <w:p w14:paraId="5DFD817F">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r>
      <w:tr w14:paraId="00801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837" w:type="dxa"/>
            <w:noWrap w:val="0"/>
            <w:vAlign w:val="center"/>
          </w:tcPr>
          <w:p w14:paraId="65AFD39F">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接收人姓名</w:t>
            </w:r>
          </w:p>
        </w:tc>
        <w:tc>
          <w:tcPr>
            <w:tcW w:w="3102" w:type="dxa"/>
            <w:noWrap w:val="0"/>
            <w:vAlign w:val="center"/>
          </w:tcPr>
          <w:p w14:paraId="7D8C24AD">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c>
          <w:tcPr>
            <w:tcW w:w="1792" w:type="dxa"/>
            <w:vMerge w:val="continue"/>
            <w:noWrap w:val="0"/>
            <w:vAlign w:val="center"/>
          </w:tcPr>
          <w:p w14:paraId="3A5C4CD5">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c>
          <w:tcPr>
            <w:tcW w:w="1792" w:type="dxa"/>
            <w:vMerge w:val="continue"/>
            <w:noWrap w:val="0"/>
            <w:vAlign w:val="center"/>
          </w:tcPr>
          <w:p w14:paraId="4D8A81FE">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r>
      <w:tr w14:paraId="6A156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23" w:type="dxa"/>
            <w:gridSpan w:val="4"/>
            <w:noWrap w:val="0"/>
            <w:vAlign w:val="center"/>
          </w:tcPr>
          <w:p w14:paraId="7546114D">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A事件发生日期和时间：</w:t>
            </w:r>
          </w:p>
        </w:tc>
      </w:tr>
      <w:tr w14:paraId="4C9B7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23" w:type="dxa"/>
            <w:gridSpan w:val="4"/>
            <w:noWrap w:val="0"/>
            <w:vAlign w:val="center"/>
          </w:tcPr>
          <w:p w14:paraId="290BC8B7">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B事件设施（位置名称）：</w:t>
            </w:r>
          </w:p>
        </w:tc>
      </w:tr>
      <w:tr w14:paraId="7C5F5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23" w:type="dxa"/>
            <w:gridSpan w:val="4"/>
            <w:noWrap w:val="0"/>
            <w:vAlign w:val="center"/>
          </w:tcPr>
          <w:p w14:paraId="018C21BB">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C事件发生原因：</w:t>
            </w:r>
          </w:p>
        </w:tc>
      </w:tr>
      <w:tr w14:paraId="1DE7D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23" w:type="dxa"/>
            <w:gridSpan w:val="4"/>
            <w:noWrap w:val="0"/>
            <w:vAlign w:val="center"/>
          </w:tcPr>
          <w:p w14:paraId="26F94EB0">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D污染物种类、影响程度及范围：</w:t>
            </w:r>
          </w:p>
        </w:tc>
      </w:tr>
      <w:tr w14:paraId="714F0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23" w:type="dxa"/>
            <w:gridSpan w:val="4"/>
            <w:noWrap w:val="0"/>
            <w:vAlign w:val="center"/>
          </w:tcPr>
          <w:p w14:paraId="5EBD622D">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E事件发展趋势：</w:t>
            </w:r>
          </w:p>
        </w:tc>
      </w:tr>
      <w:tr w14:paraId="37BF6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23" w:type="dxa"/>
            <w:gridSpan w:val="4"/>
            <w:noWrap w:val="0"/>
            <w:vAlign w:val="center"/>
          </w:tcPr>
          <w:p w14:paraId="149F98B5">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F现场处置情况：</w:t>
            </w:r>
          </w:p>
        </w:tc>
      </w:tr>
      <w:tr w14:paraId="41382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23" w:type="dxa"/>
            <w:gridSpan w:val="4"/>
            <w:noWrap w:val="0"/>
            <w:vAlign w:val="center"/>
          </w:tcPr>
          <w:p w14:paraId="2CE7A8E4">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G事件的可控性：</w:t>
            </w:r>
          </w:p>
        </w:tc>
      </w:tr>
      <w:tr w14:paraId="3EACF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23" w:type="dxa"/>
            <w:gridSpan w:val="4"/>
            <w:noWrap w:val="0"/>
            <w:vAlign w:val="center"/>
          </w:tcPr>
          <w:p w14:paraId="63E357D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备注：</w:t>
            </w:r>
          </w:p>
        </w:tc>
      </w:tr>
      <w:tr w14:paraId="17F95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23" w:type="dxa"/>
            <w:gridSpan w:val="4"/>
            <w:noWrap w:val="0"/>
            <w:vAlign w:val="center"/>
          </w:tcPr>
          <w:p w14:paraId="64BCD224">
            <w:pPr>
              <w:pStyle w:val="81"/>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rPr>
                <w:rFonts w:hint="eastAsia"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注意事项：</w:t>
            </w:r>
          </w:p>
          <w:p w14:paraId="5BF17155">
            <w:pPr>
              <w:pStyle w:val="81"/>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rPr>
                <w:rFonts w:hint="eastAsia"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（1）现场处置情况须注明临时指挥人员、设备以及停车情况等；</w:t>
            </w:r>
          </w:p>
          <w:p w14:paraId="0B454748">
            <w:pPr>
              <w:pStyle w:val="81"/>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rPr>
                <w:rFonts w:hint="eastAsia"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（2）事件的可控性须注明可控级别；</w:t>
            </w:r>
          </w:p>
          <w:p w14:paraId="5F96AD25">
            <w:pPr>
              <w:pStyle w:val="81"/>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（3）事件发生时环境条件应尽量明确。</w:t>
            </w:r>
          </w:p>
        </w:tc>
      </w:tr>
    </w:tbl>
    <w:p w14:paraId="49C2C532">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仿宋" w:cs="Times New Roman"/>
          <w:b/>
          <w:bCs/>
          <w:sz w:val="32"/>
          <w:szCs w:val="32"/>
          <w:lang w:eastAsia="zh-CN"/>
        </w:rPr>
      </w:pPr>
    </w:p>
    <w:p w14:paraId="3C36B462">
      <w:pPr>
        <w:spacing w:before="101" w:line="228" w:lineRule="auto"/>
        <w:ind w:left="0" w:leftChars="0" w:firstLine="0" w:firstLineChars="0"/>
        <w:rPr>
          <w:rFonts w:hint="eastAsia" w:ascii="黑体" w:hAnsi="黑体" w:eastAsia="黑体" w:cs="黑体"/>
          <w:sz w:val="31"/>
          <w:szCs w:val="31"/>
          <w:lang w:eastAsia="zh-CN"/>
        </w:rPr>
      </w:pPr>
      <w:r>
        <w:rPr>
          <w:rFonts w:ascii="黑体" w:hAnsi="黑体" w:eastAsia="黑体" w:cs="黑体"/>
          <w:spacing w:val="-4"/>
          <w:sz w:val="31"/>
          <w:szCs w:val="31"/>
        </w:rPr>
        <w:t>附表</w:t>
      </w:r>
      <w:r>
        <w:rPr>
          <w:rFonts w:hint="eastAsia" w:ascii="黑体" w:hAnsi="黑体" w:eastAsia="黑体" w:cs="黑体"/>
          <w:spacing w:val="-4"/>
          <w:sz w:val="31"/>
          <w:szCs w:val="31"/>
          <w:lang w:val="en-US" w:eastAsia="zh-CN"/>
        </w:rPr>
        <w:t>2</w:t>
      </w:r>
    </w:p>
    <w:p w14:paraId="1A84D59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仿宋" w:cs="Times New Roman"/>
          <w:b/>
          <w:bCs/>
          <w:sz w:val="32"/>
          <w:szCs w:val="32"/>
        </w:rPr>
      </w:pPr>
      <w:r>
        <w:rPr>
          <w:rFonts w:hint="eastAsia" w:eastAsia="仿宋" w:cs="Times New Roman"/>
          <w:b/>
          <w:bCs/>
          <w:sz w:val="32"/>
          <w:szCs w:val="32"/>
          <w:lang w:val="en-US" w:eastAsia="zh-CN"/>
        </w:rPr>
        <w:t>峨眉山市</w:t>
      </w:r>
      <w:r>
        <w:rPr>
          <w:rFonts w:hint="default" w:ascii="Times New Roman" w:hAnsi="Times New Roman" w:eastAsia="仿宋" w:cs="Times New Roman"/>
          <w:b/>
          <w:bCs/>
          <w:sz w:val="32"/>
          <w:szCs w:val="32"/>
        </w:rPr>
        <w:t>集中式饮用水水源地</w:t>
      </w:r>
    </w:p>
    <w:p w14:paraId="04967BA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仿宋" w:cs="Times New Roman"/>
          <w:b/>
          <w:bCs/>
          <w:sz w:val="32"/>
          <w:szCs w:val="32"/>
        </w:rPr>
      </w:pPr>
      <w:r>
        <w:rPr>
          <w:rFonts w:hint="default" w:ascii="Times New Roman" w:hAnsi="Times New Roman" w:eastAsia="仿宋" w:cs="Times New Roman"/>
          <w:b/>
          <w:bCs/>
          <w:sz w:val="32"/>
          <w:szCs w:val="32"/>
        </w:rPr>
        <w:t>突发环境事件</w:t>
      </w:r>
      <w:r>
        <w:rPr>
          <w:rFonts w:hint="eastAsia" w:eastAsia="仿宋" w:cs="Times New Roman"/>
          <w:b/>
          <w:bCs/>
          <w:sz w:val="32"/>
          <w:szCs w:val="32"/>
          <w:lang w:val="en-US" w:eastAsia="zh-CN"/>
        </w:rPr>
        <w:t>报告</w:t>
      </w:r>
      <w:r>
        <w:rPr>
          <w:rFonts w:hint="default" w:ascii="Times New Roman" w:hAnsi="Times New Roman" w:eastAsia="仿宋" w:cs="Times New Roman"/>
          <w:b/>
          <w:bCs/>
          <w:sz w:val="32"/>
          <w:szCs w:val="32"/>
        </w:rPr>
        <w:t>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685"/>
        <w:gridCol w:w="2572"/>
        <w:gridCol w:w="926"/>
        <w:gridCol w:w="1275"/>
        <w:gridCol w:w="1913"/>
      </w:tblGrid>
      <w:tr w14:paraId="2CC47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837" w:type="dxa"/>
            <w:gridSpan w:val="2"/>
            <w:noWrap w:val="0"/>
            <w:vAlign w:val="center"/>
          </w:tcPr>
          <w:p w14:paraId="181841A0">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报告人姓名</w:t>
            </w:r>
          </w:p>
        </w:tc>
        <w:tc>
          <w:tcPr>
            <w:tcW w:w="2572" w:type="dxa"/>
            <w:noWrap w:val="0"/>
            <w:vAlign w:val="center"/>
          </w:tcPr>
          <w:p w14:paraId="7474E5DB">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c>
          <w:tcPr>
            <w:tcW w:w="2201" w:type="dxa"/>
            <w:gridSpan w:val="2"/>
            <w:noWrap w:val="0"/>
            <w:vAlign w:val="center"/>
          </w:tcPr>
          <w:p w14:paraId="46AE19E5">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报告人电话</w:t>
            </w:r>
          </w:p>
        </w:tc>
        <w:tc>
          <w:tcPr>
            <w:tcW w:w="1913" w:type="dxa"/>
            <w:noWrap w:val="0"/>
            <w:vAlign w:val="center"/>
          </w:tcPr>
          <w:p w14:paraId="6A4C85F0">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r>
      <w:tr w14:paraId="288B4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837" w:type="dxa"/>
            <w:gridSpan w:val="2"/>
            <w:noWrap w:val="0"/>
            <w:vAlign w:val="center"/>
          </w:tcPr>
          <w:p w14:paraId="3277B141">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kern w:val="2"/>
                <w:sz w:val="22"/>
                <w:szCs w:val="22"/>
                <w:lang w:val="en-US" w:eastAsia="zh-CN" w:bidi="ar-SA"/>
              </w:rPr>
            </w:pPr>
            <w:r>
              <w:rPr>
                <w:rFonts w:hint="eastAsia" w:ascii="Times New Roman" w:hAnsi="Times New Roman" w:eastAsia="仿宋" w:cs="Times New Roman"/>
                <w:color w:val="auto"/>
                <w:sz w:val="22"/>
                <w:szCs w:val="22"/>
                <w:lang w:val="en-US" w:eastAsia="zh-CN" w:bidi="ar-SA"/>
              </w:rPr>
              <w:t>单位电话</w:t>
            </w:r>
          </w:p>
        </w:tc>
        <w:tc>
          <w:tcPr>
            <w:tcW w:w="2572" w:type="dxa"/>
            <w:noWrap w:val="0"/>
            <w:vAlign w:val="center"/>
          </w:tcPr>
          <w:p w14:paraId="6336CD00">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kern w:val="2"/>
                <w:sz w:val="22"/>
                <w:szCs w:val="22"/>
                <w:lang w:val="en-US" w:eastAsia="zh-CN" w:bidi="ar-SA"/>
              </w:rPr>
            </w:pPr>
          </w:p>
        </w:tc>
        <w:tc>
          <w:tcPr>
            <w:tcW w:w="2201" w:type="dxa"/>
            <w:gridSpan w:val="2"/>
            <w:noWrap w:val="0"/>
            <w:vAlign w:val="center"/>
          </w:tcPr>
          <w:p w14:paraId="69413C62">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kern w:val="2"/>
                <w:sz w:val="22"/>
                <w:szCs w:val="22"/>
                <w:lang w:val="en-US" w:eastAsia="zh-CN" w:bidi="ar-SA"/>
              </w:rPr>
            </w:pPr>
            <w:r>
              <w:rPr>
                <w:rFonts w:hint="eastAsia" w:ascii="Times New Roman" w:hAnsi="Times New Roman" w:eastAsia="仿宋" w:cs="Times New Roman"/>
                <w:color w:val="auto"/>
                <w:sz w:val="22"/>
                <w:szCs w:val="22"/>
                <w:lang w:val="en-US" w:eastAsia="zh-CN" w:bidi="ar-SA"/>
              </w:rPr>
              <w:t>报告日期</w:t>
            </w:r>
          </w:p>
        </w:tc>
        <w:tc>
          <w:tcPr>
            <w:tcW w:w="1913" w:type="dxa"/>
            <w:noWrap w:val="0"/>
            <w:vAlign w:val="center"/>
          </w:tcPr>
          <w:p w14:paraId="7E278314">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r>
      <w:tr w14:paraId="431E8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837" w:type="dxa"/>
            <w:gridSpan w:val="2"/>
            <w:noWrap w:val="0"/>
            <w:vAlign w:val="center"/>
          </w:tcPr>
          <w:p w14:paraId="7024CC0E">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报告单位</w:t>
            </w:r>
          </w:p>
        </w:tc>
        <w:tc>
          <w:tcPr>
            <w:tcW w:w="6686" w:type="dxa"/>
            <w:gridSpan w:val="4"/>
            <w:noWrap w:val="0"/>
            <w:vAlign w:val="center"/>
          </w:tcPr>
          <w:p w14:paraId="6B9A9617">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r>
      <w:tr w14:paraId="7E195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23" w:type="dxa"/>
            <w:gridSpan w:val="6"/>
            <w:noWrap w:val="0"/>
            <w:vAlign w:val="center"/>
          </w:tcPr>
          <w:p w14:paraId="57FF3779">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A事件发生日期和时间：</w:t>
            </w:r>
          </w:p>
        </w:tc>
      </w:tr>
      <w:tr w14:paraId="59F3E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23" w:type="dxa"/>
            <w:gridSpan w:val="6"/>
            <w:noWrap w:val="0"/>
            <w:vAlign w:val="center"/>
          </w:tcPr>
          <w:p w14:paraId="1250BAB3">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B事件设施（位置）名称：</w:t>
            </w:r>
          </w:p>
        </w:tc>
      </w:tr>
      <w:tr w14:paraId="55936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23" w:type="dxa"/>
            <w:gridSpan w:val="6"/>
            <w:noWrap w:val="0"/>
            <w:vAlign w:val="center"/>
          </w:tcPr>
          <w:p w14:paraId="56F53453">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C事件发生地点：</w:t>
            </w:r>
          </w:p>
        </w:tc>
      </w:tr>
      <w:tr w14:paraId="0C7C0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23" w:type="dxa"/>
            <w:gridSpan w:val="6"/>
            <w:noWrap w:val="0"/>
            <w:vAlign w:val="center"/>
          </w:tcPr>
          <w:p w14:paraId="261E25A2">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D事件发生原因：</w:t>
            </w:r>
          </w:p>
        </w:tc>
      </w:tr>
      <w:tr w14:paraId="4C300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23" w:type="dxa"/>
            <w:gridSpan w:val="6"/>
            <w:noWrap w:val="0"/>
            <w:vAlign w:val="center"/>
          </w:tcPr>
          <w:p w14:paraId="17B71AAA">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E污染物泄漏部位：</w:t>
            </w:r>
          </w:p>
        </w:tc>
      </w:tr>
      <w:tr w14:paraId="409DB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23" w:type="dxa"/>
            <w:gridSpan w:val="6"/>
            <w:noWrap w:val="0"/>
            <w:vAlign w:val="center"/>
          </w:tcPr>
          <w:p w14:paraId="7418E151">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F污染物种类：</w:t>
            </w:r>
          </w:p>
        </w:tc>
      </w:tr>
      <w:tr w14:paraId="26791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23" w:type="dxa"/>
            <w:gridSpan w:val="6"/>
            <w:noWrap w:val="0"/>
            <w:vAlign w:val="center"/>
          </w:tcPr>
          <w:p w14:paraId="360221C8">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G估计扩散范围和进一步扩散的可能性：</w:t>
            </w:r>
          </w:p>
        </w:tc>
      </w:tr>
      <w:tr w14:paraId="1D577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23" w:type="dxa"/>
            <w:gridSpan w:val="6"/>
            <w:noWrap w:val="0"/>
            <w:vAlign w:val="center"/>
          </w:tcPr>
          <w:p w14:paraId="7D461E0D">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污染物运动方向：</w:t>
            </w:r>
          </w:p>
        </w:tc>
      </w:tr>
      <w:tr w14:paraId="763B5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23" w:type="dxa"/>
            <w:gridSpan w:val="6"/>
            <w:noWrap w:val="0"/>
            <w:vAlign w:val="center"/>
          </w:tcPr>
          <w:p w14:paraId="1AE79C9E">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预计将受到污染物威胁的地区和污染程度：</w:t>
            </w:r>
          </w:p>
        </w:tc>
      </w:tr>
      <w:tr w14:paraId="06D93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23" w:type="dxa"/>
            <w:gridSpan w:val="6"/>
            <w:noWrap w:val="0"/>
            <w:vAlign w:val="center"/>
          </w:tcPr>
          <w:p w14:paraId="14424E37">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已采取和将要采取的措施：</w:t>
            </w:r>
          </w:p>
        </w:tc>
      </w:tr>
      <w:tr w14:paraId="73A42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52" w:type="dxa"/>
            <w:noWrap w:val="0"/>
            <w:vAlign w:val="center"/>
          </w:tcPr>
          <w:p w14:paraId="7C9FA534">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接收信息单位</w:t>
            </w:r>
          </w:p>
        </w:tc>
        <w:tc>
          <w:tcPr>
            <w:tcW w:w="4183" w:type="dxa"/>
            <w:gridSpan w:val="3"/>
            <w:noWrap w:val="0"/>
            <w:vAlign w:val="center"/>
          </w:tcPr>
          <w:p w14:paraId="7CA14147">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c>
          <w:tcPr>
            <w:tcW w:w="1275" w:type="dxa"/>
            <w:noWrap w:val="0"/>
            <w:vAlign w:val="center"/>
          </w:tcPr>
          <w:p w14:paraId="2A73ACE1">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接收时间</w:t>
            </w:r>
          </w:p>
        </w:tc>
        <w:tc>
          <w:tcPr>
            <w:tcW w:w="1913" w:type="dxa"/>
            <w:noWrap w:val="0"/>
            <w:vAlign w:val="center"/>
          </w:tcPr>
          <w:p w14:paraId="7E27C39D">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r>
    </w:tbl>
    <w:p w14:paraId="4635F667">
      <w:pPr>
        <w:spacing w:before="101" w:line="228" w:lineRule="auto"/>
        <w:ind w:left="0" w:leftChars="0" w:firstLine="0" w:firstLineChars="0"/>
        <w:rPr>
          <w:rFonts w:hint="eastAsia" w:ascii="黑体" w:hAnsi="黑体" w:eastAsia="黑体" w:cs="黑体"/>
          <w:sz w:val="31"/>
          <w:szCs w:val="31"/>
          <w:lang w:eastAsia="zh-CN"/>
        </w:rPr>
      </w:pPr>
      <w:r>
        <w:rPr>
          <w:rFonts w:ascii="黑体" w:hAnsi="黑体" w:eastAsia="黑体" w:cs="黑体"/>
          <w:spacing w:val="-4"/>
          <w:sz w:val="31"/>
          <w:szCs w:val="31"/>
        </w:rPr>
        <w:t>附表</w:t>
      </w:r>
      <w:r>
        <w:rPr>
          <w:rFonts w:hint="eastAsia" w:ascii="黑体" w:hAnsi="黑体" w:eastAsia="黑体" w:cs="黑体"/>
          <w:spacing w:val="-4"/>
          <w:sz w:val="31"/>
          <w:szCs w:val="31"/>
          <w:lang w:val="en-US" w:eastAsia="zh-CN"/>
        </w:rPr>
        <w:t>3</w:t>
      </w:r>
    </w:p>
    <w:p w14:paraId="24411AF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eastAsia="仿宋" w:cs="Times New Roman"/>
          <w:b/>
          <w:bCs/>
          <w:sz w:val="32"/>
          <w:szCs w:val="32"/>
          <w:lang w:val="en-US" w:eastAsia="zh-CN"/>
        </w:rPr>
      </w:pPr>
    </w:p>
    <w:p w14:paraId="6EC617F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仿宋" w:cs="Times New Roman"/>
          <w:b/>
          <w:bCs/>
          <w:sz w:val="32"/>
          <w:szCs w:val="32"/>
        </w:rPr>
      </w:pPr>
      <w:r>
        <w:rPr>
          <w:rFonts w:hint="eastAsia" w:eastAsia="仿宋" w:cs="Times New Roman"/>
          <w:b/>
          <w:bCs/>
          <w:sz w:val="32"/>
          <w:szCs w:val="32"/>
          <w:lang w:val="en-US" w:eastAsia="zh-CN"/>
        </w:rPr>
        <w:t>峨眉山市</w:t>
      </w:r>
      <w:r>
        <w:rPr>
          <w:rFonts w:hint="default" w:ascii="Times New Roman" w:hAnsi="Times New Roman" w:eastAsia="仿宋" w:cs="Times New Roman"/>
          <w:b/>
          <w:bCs/>
          <w:sz w:val="32"/>
          <w:szCs w:val="32"/>
        </w:rPr>
        <w:t>集中式饮用水水源地</w:t>
      </w:r>
    </w:p>
    <w:p w14:paraId="7E0742F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仿宋" w:cs="Times New Roman"/>
          <w:b/>
          <w:bCs/>
          <w:sz w:val="32"/>
          <w:szCs w:val="32"/>
        </w:rPr>
      </w:pPr>
      <w:r>
        <w:rPr>
          <w:rFonts w:hint="default" w:ascii="Times New Roman" w:hAnsi="Times New Roman" w:eastAsia="仿宋" w:cs="Times New Roman"/>
          <w:b/>
          <w:bCs/>
          <w:sz w:val="32"/>
          <w:szCs w:val="32"/>
        </w:rPr>
        <w:t>突发环境事件</w:t>
      </w:r>
      <w:r>
        <w:rPr>
          <w:rFonts w:hint="eastAsia" w:eastAsia="仿宋" w:cs="Times New Roman"/>
          <w:b/>
          <w:bCs/>
          <w:sz w:val="32"/>
          <w:szCs w:val="32"/>
          <w:lang w:val="en-US" w:eastAsia="zh-CN"/>
        </w:rPr>
        <w:t>处理信息</w:t>
      </w:r>
      <w:r>
        <w:rPr>
          <w:rFonts w:hint="default" w:ascii="Times New Roman" w:hAnsi="Times New Roman" w:eastAsia="仿宋" w:cs="Times New Roman"/>
          <w:b/>
          <w:bCs/>
          <w:sz w:val="32"/>
          <w:szCs w:val="32"/>
        </w:rPr>
        <w:t>表</w:t>
      </w:r>
    </w:p>
    <w:p w14:paraId="1BDE857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仿宋" w:cs="Times New Roman"/>
          <w:b/>
          <w:bCs/>
          <w:sz w:val="32"/>
          <w:szCs w:val="32"/>
        </w:rPr>
      </w:pP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7"/>
        <w:gridCol w:w="2572"/>
        <w:gridCol w:w="2201"/>
        <w:gridCol w:w="1913"/>
      </w:tblGrid>
      <w:tr w14:paraId="28098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837" w:type="dxa"/>
            <w:noWrap w:val="0"/>
            <w:vAlign w:val="center"/>
          </w:tcPr>
          <w:p w14:paraId="58B86B07">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事件</w:t>
            </w:r>
          </w:p>
        </w:tc>
        <w:tc>
          <w:tcPr>
            <w:tcW w:w="2572" w:type="dxa"/>
            <w:noWrap w:val="0"/>
            <w:vAlign w:val="center"/>
          </w:tcPr>
          <w:p w14:paraId="4EB3A517">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c>
          <w:tcPr>
            <w:tcW w:w="2201" w:type="dxa"/>
            <w:noWrap w:val="0"/>
            <w:vAlign w:val="center"/>
          </w:tcPr>
          <w:p w14:paraId="67DABD4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事件负责人</w:t>
            </w:r>
          </w:p>
          <w:p w14:paraId="6651CACB">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（联系电话）</w:t>
            </w:r>
          </w:p>
        </w:tc>
        <w:tc>
          <w:tcPr>
            <w:tcW w:w="1913" w:type="dxa"/>
            <w:noWrap w:val="0"/>
            <w:vAlign w:val="center"/>
          </w:tcPr>
          <w:p w14:paraId="5EE931BF">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r>
      <w:tr w14:paraId="44467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837" w:type="dxa"/>
            <w:noWrap w:val="0"/>
            <w:vAlign w:val="center"/>
          </w:tcPr>
          <w:p w14:paraId="4DDE2EB4">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事件处理总指挥（临时总指挥）</w:t>
            </w:r>
          </w:p>
        </w:tc>
        <w:tc>
          <w:tcPr>
            <w:tcW w:w="6686" w:type="dxa"/>
            <w:gridSpan w:val="3"/>
            <w:noWrap w:val="0"/>
            <w:vAlign w:val="center"/>
          </w:tcPr>
          <w:p w14:paraId="100E0CD7">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r>
      <w:tr w14:paraId="45099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23" w:type="dxa"/>
            <w:gridSpan w:val="4"/>
            <w:noWrap w:val="0"/>
            <w:vAlign w:val="top"/>
          </w:tcPr>
          <w:p w14:paraId="67B111E3">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A事件发生和处理结束时间：</w:t>
            </w:r>
          </w:p>
        </w:tc>
      </w:tr>
      <w:tr w14:paraId="7E09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23" w:type="dxa"/>
            <w:gridSpan w:val="4"/>
            <w:noWrap w:val="0"/>
            <w:vAlign w:val="top"/>
          </w:tcPr>
          <w:p w14:paraId="35B0B9C8">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B损坏/修复的设备：</w:t>
            </w:r>
          </w:p>
        </w:tc>
      </w:tr>
      <w:tr w14:paraId="68D52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23" w:type="dxa"/>
            <w:gridSpan w:val="4"/>
            <w:noWrap w:val="0"/>
            <w:vAlign w:val="top"/>
          </w:tcPr>
          <w:p w14:paraId="42CEE69C">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C事件对环境的影响：</w:t>
            </w:r>
          </w:p>
        </w:tc>
      </w:tr>
      <w:tr w14:paraId="5538F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23" w:type="dxa"/>
            <w:gridSpan w:val="4"/>
            <w:noWrap w:val="0"/>
            <w:vAlign w:val="top"/>
          </w:tcPr>
          <w:p w14:paraId="4BFFB34E">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D现场处理措施概要：</w:t>
            </w:r>
          </w:p>
        </w:tc>
      </w:tr>
      <w:tr w14:paraId="5EC7B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23" w:type="dxa"/>
            <w:gridSpan w:val="4"/>
            <w:noWrap w:val="0"/>
            <w:vAlign w:val="top"/>
          </w:tcPr>
          <w:p w14:paraId="043E2B06">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E事件的消控程度：</w:t>
            </w:r>
          </w:p>
        </w:tc>
      </w:tr>
      <w:tr w14:paraId="0240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23" w:type="dxa"/>
            <w:gridSpan w:val="4"/>
            <w:noWrap w:val="0"/>
            <w:vAlign w:val="top"/>
          </w:tcPr>
          <w:p w14:paraId="2CC49BA4">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F后期处理措施概要：</w:t>
            </w:r>
          </w:p>
        </w:tc>
      </w:tr>
      <w:tr w14:paraId="5EA35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23" w:type="dxa"/>
            <w:gridSpan w:val="4"/>
            <w:noWrap w:val="0"/>
            <w:vAlign w:val="top"/>
          </w:tcPr>
          <w:p w14:paraId="6F0EAB5A">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G事件责任人（明确处罚措施）：</w:t>
            </w:r>
          </w:p>
        </w:tc>
      </w:tr>
      <w:tr w14:paraId="540A9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23" w:type="dxa"/>
            <w:gridSpan w:val="4"/>
            <w:noWrap w:val="0"/>
            <w:vAlign w:val="top"/>
          </w:tcPr>
          <w:p w14:paraId="03B51F0F">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备注：</w:t>
            </w:r>
          </w:p>
        </w:tc>
      </w:tr>
      <w:tr w14:paraId="612BD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23" w:type="dxa"/>
            <w:gridSpan w:val="4"/>
            <w:noWrap w:val="0"/>
            <w:vAlign w:val="top"/>
          </w:tcPr>
          <w:p w14:paraId="6417E705">
            <w:pPr>
              <w:pStyle w:val="81"/>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注意事项：</w:t>
            </w:r>
          </w:p>
          <w:p w14:paraId="09A753D1">
            <w:pPr>
              <w:pStyle w:val="81"/>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（1）事件对环境的影响需尽可能明确环境的影响程度、范围</w:t>
            </w:r>
          </w:p>
          <w:p w14:paraId="78950E89">
            <w:pPr>
              <w:pStyle w:val="81"/>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（2）事件处理时环境条件应尽量明确。</w:t>
            </w:r>
          </w:p>
        </w:tc>
      </w:tr>
    </w:tbl>
    <w:p w14:paraId="5D76BB4A">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仿宋" w:cs="Times New Roman"/>
          <w:b/>
          <w:bCs/>
          <w:sz w:val="32"/>
          <w:szCs w:val="32"/>
          <w:lang w:eastAsia="zh-CN"/>
        </w:rPr>
      </w:pPr>
    </w:p>
    <w:p w14:paraId="21755978">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仿宋" w:cs="Times New Roman"/>
          <w:b/>
          <w:bCs/>
          <w:sz w:val="32"/>
          <w:szCs w:val="32"/>
          <w:lang w:eastAsia="zh-CN"/>
        </w:rPr>
      </w:pPr>
    </w:p>
    <w:p w14:paraId="2A03BF18">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仿宋" w:cs="Times New Roman"/>
          <w:b/>
          <w:bCs/>
          <w:sz w:val="32"/>
          <w:szCs w:val="32"/>
          <w:lang w:eastAsia="zh-CN"/>
        </w:rPr>
      </w:pPr>
    </w:p>
    <w:p w14:paraId="51D2DF96">
      <w:pPr>
        <w:spacing w:before="101" w:line="228" w:lineRule="auto"/>
        <w:ind w:left="0" w:leftChars="0" w:firstLine="0" w:firstLineChars="0"/>
        <w:rPr>
          <w:rFonts w:hint="eastAsia" w:ascii="黑体" w:hAnsi="黑体" w:eastAsia="黑体" w:cs="黑体"/>
          <w:sz w:val="31"/>
          <w:szCs w:val="31"/>
          <w:lang w:eastAsia="zh-CN"/>
        </w:rPr>
      </w:pPr>
      <w:r>
        <w:rPr>
          <w:rFonts w:ascii="黑体" w:hAnsi="黑体" w:eastAsia="黑体" w:cs="黑体"/>
          <w:spacing w:val="-4"/>
          <w:sz w:val="31"/>
          <w:szCs w:val="31"/>
        </w:rPr>
        <w:t>附表</w:t>
      </w:r>
      <w:r>
        <w:rPr>
          <w:rFonts w:hint="eastAsia" w:ascii="黑体" w:hAnsi="黑体" w:eastAsia="黑体" w:cs="黑体"/>
          <w:spacing w:val="-4"/>
          <w:sz w:val="31"/>
          <w:szCs w:val="31"/>
          <w:lang w:val="en-US" w:eastAsia="zh-CN"/>
        </w:rPr>
        <w:t>4</w:t>
      </w:r>
    </w:p>
    <w:p w14:paraId="40602F4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eastAsia="仿宋" w:cs="Times New Roman"/>
          <w:b/>
          <w:bCs/>
          <w:sz w:val="32"/>
          <w:szCs w:val="32"/>
          <w:lang w:val="en-US" w:eastAsia="zh-CN"/>
        </w:rPr>
      </w:pPr>
    </w:p>
    <w:p w14:paraId="40FAA33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仿宋" w:cs="Times New Roman"/>
          <w:b/>
          <w:bCs/>
          <w:sz w:val="32"/>
          <w:szCs w:val="32"/>
        </w:rPr>
      </w:pPr>
      <w:r>
        <w:rPr>
          <w:rFonts w:hint="eastAsia" w:eastAsia="仿宋" w:cs="Times New Roman"/>
          <w:b/>
          <w:bCs/>
          <w:sz w:val="32"/>
          <w:szCs w:val="32"/>
          <w:lang w:val="en-US" w:eastAsia="zh-CN"/>
        </w:rPr>
        <w:t>峨眉山市</w:t>
      </w:r>
      <w:r>
        <w:rPr>
          <w:rFonts w:hint="default" w:ascii="Times New Roman" w:hAnsi="Times New Roman" w:eastAsia="仿宋" w:cs="Times New Roman"/>
          <w:b/>
          <w:bCs/>
          <w:sz w:val="32"/>
          <w:szCs w:val="32"/>
        </w:rPr>
        <w:t>集中式饮用水水源地</w:t>
      </w:r>
    </w:p>
    <w:p w14:paraId="683689E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仿宋" w:cs="Times New Roman"/>
          <w:b/>
          <w:bCs/>
          <w:sz w:val="32"/>
          <w:szCs w:val="32"/>
          <w:lang w:val="en-US" w:eastAsia="zh-CN"/>
        </w:rPr>
      </w:pPr>
      <w:r>
        <w:rPr>
          <w:rFonts w:hint="default" w:ascii="Times New Roman" w:hAnsi="Times New Roman" w:eastAsia="仿宋" w:cs="Times New Roman"/>
          <w:b/>
          <w:bCs/>
          <w:sz w:val="32"/>
          <w:szCs w:val="32"/>
        </w:rPr>
        <w:t>突发环境事件</w:t>
      </w:r>
      <w:r>
        <w:rPr>
          <w:rFonts w:hint="eastAsia" w:eastAsia="仿宋" w:cs="Times New Roman"/>
          <w:b/>
          <w:bCs/>
          <w:sz w:val="32"/>
          <w:szCs w:val="32"/>
          <w:lang w:val="en-US" w:eastAsia="zh-CN"/>
        </w:rPr>
        <w:t>应急预案启动令</w:t>
      </w:r>
    </w:p>
    <w:p w14:paraId="57E3186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仿宋" w:cs="Times New Roman"/>
          <w:b/>
          <w:bCs/>
          <w:sz w:val="32"/>
          <w:szCs w:val="32"/>
        </w:rPr>
      </w:pP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7"/>
        <w:gridCol w:w="2572"/>
        <w:gridCol w:w="2201"/>
        <w:gridCol w:w="1913"/>
      </w:tblGrid>
      <w:tr w14:paraId="155ED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837" w:type="dxa"/>
            <w:noWrap w:val="0"/>
            <w:vAlign w:val="center"/>
          </w:tcPr>
          <w:p w14:paraId="2CC8FEC4">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签发人</w:t>
            </w:r>
          </w:p>
        </w:tc>
        <w:tc>
          <w:tcPr>
            <w:tcW w:w="2572" w:type="dxa"/>
            <w:noWrap w:val="0"/>
            <w:vAlign w:val="center"/>
          </w:tcPr>
          <w:p w14:paraId="1CB35206">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c>
          <w:tcPr>
            <w:tcW w:w="2201" w:type="dxa"/>
            <w:noWrap w:val="0"/>
            <w:vAlign w:val="center"/>
          </w:tcPr>
          <w:p w14:paraId="464F6FA5">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签发时间</w:t>
            </w:r>
          </w:p>
        </w:tc>
        <w:tc>
          <w:tcPr>
            <w:tcW w:w="1913" w:type="dxa"/>
            <w:noWrap w:val="0"/>
            <w:vAlign w:val="center"/>
          </w:tcPr>
          <w:p w14:paraId="2FFD1713">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r>
      <w:tr w14:paraId="3845C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837" w:type="dxa"/>
            <w:noWrap w:val="0"/>
            <w:vAlign w:val="center"/>
          </w:tcPr>
          <w:p w14:paraId="010E3D23">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传令人</w:t>
            </w:r>
          </w:p>
        </w:tc>
        <w:tc>
          <w:tcPr>
            <w:tcW w:w="2572" w:type="dxa"/>
            <w:noWrap w:val="0"/>
            <w:vAlign w:val="center"/>
          </w:tcPr>
          <w:p w14:paraId="1BA29FD7">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c>
          <w:tcPr>
            <w:tcW w:w="2201" w:type="dxa"/>
            <w:noWrap w:val="0"/>
            <w:vAlign w:val="center"/>
          </w:tcPr>
          <w:p w14:paraId="53C9E445">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传令时间</w:t>
            </w:r>
          </w:p>
        </w:tc>
        <w:tc>
          <w:tcPr>
            <w:tcW w:w="1913" w:type="dxa"/>
            <w:noWrap w:val="0"/>
            <w:vAlign w:val="center"/>
          </w:tcPr>
          <w:p w14:paraId="0BCEF370">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r>
      <w:tr w14:paraId="339DC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8523" w:type="dxa"/>
            <w:gridSpan w:val="4"/>
            <w:noWrap w:val="0"/>
            <w:vAlign w:val="top"/>
          </w:tcPr>
          <w:p w14:paraId="490EBE96">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命令内容：（包括信息来源、事件现状、宣布事项）</w:t>
            </w:r>
          </w:p>
        </w:tc>
      </w:tr>
      <w:tr w14:paraId="15366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8" w:hRule="atLeast"/>
          <w:jc w:val="center"/>
        </w:trPr>
        <w:tc>
          <w:tcPr>
            <w:tcW w:w="8523" w:type="dxa"/>
            <w:gridSpan w:val="4"/>
            <w:noWrap w:val="0"/>
            <w:vAlign w:val="top"/>
          </w:tcPr>
          <w:p w14:paraId="3F73272E">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受令单位：</w:t>
            </w:r>
          </w:p>
          <w:p w14:paraId="7107206E">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仿宋" w:cs="Times New Roman"/>
                <w:color w:val="auto"/>
                <w:sz w:val="22"/>
                <w:szCs w:val="22"/>
                <w:lang w:val="en-US" w:eastAsia="zh-CN" w:bidi="ar-SA"/>
              </w:rPr>
            </w:pPr>
          </w:p>
          <w:p w14:paraId="5AB1FB5A">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仿宋" w:cs="Times New Roman"/>
                <w:color w:val="auto"/>
                <w:sz w:val="22"/>
                <w:szCs w:val="22"/>
                <w:lang w:val="en-US" w:eastAsia="zh-CN" w:bidi="ar-SA"/>
              </w:rPr>
            </w:pPr>
          </w:p>
          <w:p w14:paraId="1D15CEF6">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仿宋" w:cs="Times New Roman"/>
                <w:color w:val="auto"/>
                <w:sz w:val="22"/>
                <w:szCs w:val="22"/>
                <w:lang w:val="en-US" w:eastAsia="zh-CN" w:bidi="ar-SA"/>
              </w:rPr>
            </w:pPr>
          </w:p>
          <w:p w14:paraId="794A2AAB">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仿宋" w:cs="Times New Roman"/>
                <w:color w:val="auto"/>
                <w:sz w:val="22"/>
                <w:szCs w:val="22"/>
                <w:lang w:val="en-US" w:eastAsia="zh-CN" w:bidi="ar-SA"/>
              </w:rPr>
            </w:pPr>
          </w:p>
          <w:p w14:paraId="2799C5F7">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仿宋" w:cs="Times New Roman"/>
                <w:color w:val="auto"/>
                <w:sz w:val="22"/>
                <w:szCs w:val="22"/>
                <w:lang w:val="en-US" w:eastAsia="zh-CN" w:bidi="ar-SA"/>
              </w:rPr>
            </w:pPr>
          </w:p>
          <w:p w14:paraId="6CEC96F1">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仿宋" w:cs="Times New Roman"/>
                <w:color w:val="auto"/>
                <w:sz w:val="22"/>
                <w:szCs w:val="22"/>
                <w:lang w:val="en-US" w:eastAsia="zh-CN" w:bidi="ar-SA"/>
              </w:rPr>
            </w:pPr>
          </w:p>
          <w:p w14:paraId="5E16F502">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受令人：</w:t>
            </w:r>
          </w:p>
          <w:p w14:paraId="151D2D59">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仿宋" w:cs="Times New Roman"/>
                <w:color w:val="auto"/>
                <w:sz w:val="22"/>
                <w:szCs w:val="22"/>
                <w:lang w:val="en-US" w:eastAsia="zh-CN" w:bidi="ar-SA"/>
              </w:rPr>
            </w:pPr>
          </w:p>
          <w:p w14:paraId="740AD870">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仿宋" w:cs="Times New Roman"/>
                <w:color w:val="auto"/>
                <w:sz w:val="22"/>
                <w:szCs w:val="22"/>
                <w:lang w:val="en-US" w:eastAsia="zh-CN" w:bidi="ar-SA"/>
              </w:rPr>
            </w:pPr>
          </w:p>
          <w:p w14:paraId="420D99CF">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仿宋" w:cs="Times New Roman"/>
                <w:color w:val="auto"/>
                <w:sz w:val="22"/>
                <w:szCs w:val="22"/>
                <w:lang w:val="en-US" w:eastAsia="zh-CN" w:bidi="ar-SA"/>
              </w:rPr>
            </w:pPr>
          </w:p>
          <w:p w14:paraId="2DDD06F0">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仿宋" w:cs="Times New Roman"/>
                <w:color w:val="auto"/>
                <w:sz w:val="22"/>
                <w:szCs w:val="22"/>
                <w:lang w:val="en-US" w:eastAsia="zh-CN" w:bidi="ar-SA"/>
              </w:rPr>
            </w:pPr>
          </w:p>
          <w:p w14:paraId="395492A6">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仿宋" w:cs="Times New Roman"/>
                <w:color w:val="auto"/>
                <w:sz w:val="22"/>
                <w:szCs w:val="22"/>
                <w:lang w:val="en-US" w:eastAsia="zh-CN" w:bidi="ar-SA"/>
              </w:rPr>
            </w:pPr>
          </w:p>
          <w:p w14:paraId="63A65CBC">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仿宋" w:cs="Times New Roman"/>
                <w:color w:val="auto"/>
                <w:sz w:val="22"/>
                <w:szCs w:val="22"/>
                <w:lang w:val="en-US" w:eastAsia="zh-CN" w:bidi="ar-SA"/>
              </w:rPr>
            </w:pPr>
          </w:p>
          <w:p w14:paraId="6A8F972A">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时间：</w:t>
            </w:r>
          </w:p>
        </w:tc>
      </w:tr>
      <w:tr w14:paraId="15063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5" w:hRule="atLeast"/>
          <w:jc w:val="center"/>
        </w:trPr>
        <w:tc>
          <w:tcPr>
            <w:tcW w:w="8523" w:type="dxa"/>
            <w:gridSpan w:val="4"/>
            <w:noWrap w:val="0"/>
            <w:vAlign w:val="top"/>
          </w:tcPr>
          <w:p w14:paraId="1DF6FD72">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备注：</w:t>
            </w:r>
          </w:p>
        </w:tc>
      </w:tr>
    </w:tbl>
    <w:p w14:paraId="5E3ADC1F">
      <w:pPr>
        <w:spacing w:before="101" w:line="228" w:lineRule="auto"/>
        <w:ind w:left="0" w:leftChars="0" w:firstLine="0" w:firstLineChars="0"/>
        <w:rPr>
          <w:rFonts w:hint="eastAsia" w:ascii="黑体" w:hAnsi="黑体" w:eastAsia="黑体" w:cs="黑体"/>
          <w:sz w:val="31"/>
          <w:szCs w:val="31"/>
          <w:lang w:eastAsia="zh-CN"/>
        </w:rPr>
      </w:pPr>
      <w:r>
        <w:rPr>
          <w:rFonts w:ascii="黑体" w:hAnsi="黑体" w:eastAsia="黑体" w:cs="黑体"/>
          <w:spacing w:val="-4"/>
          <w:sz w:val="31"/>
          <w:szCs w:val="31"/>
        </w:rPr>
        <w:t>附表</w:t>
      </w:r>
      <w:r>
        <w:rPr>
          <w:rFonts w:hint="eastAsia" w:ascii="黑体" w:hAnsi="黑体" w:eastAsia="黑体" w:cs="黑体"/>
          <w:spacing w:val="-4"/>
          <w:sz w:val="31"/>
          <w:szCs w:val="31"/>
          <w:lang w:val="en-US" w:eastAsia="zh-CN"/>
        </w:rPr>
        <w:t>5</w:t>
      </w:r>
    </w:p>
    <w:p w14:paraId="4FDB8F2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eastAsia="仿宋" w:cs="Times New Roman"/>
          <w:b/>
          <w:bCs/>
          <w:sz w:val="32"/>
          <w:szCs w:val="32"/>
          <w:lang w:val="en-US" w:eastAsia="zh-CN"/>
        </w:rPr>
      </w:pPr>
    </w:p>
    <w:p w14:paraId="22728EB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仿宋" w:cs="Times New Roman"/>
          <w:b/>
          <w:bCs/>
          <w:sz w:val="32"/>
          <w:szCs w:val="32"/>
        </w:rPr>
      </w:pPr>
      <w:r>
        <w:rPr>
          <w:rFonts w:hint="eastAsia" w:eastAsia="仿宋" w:cs="Times New Roman"/>
          <w:b/>
          <w:bCs/>
          <w:sz w:val="32"/>
          <w:szCs w:val="32"/>
          <w:lang w:val="en-US" w:eastAsia="zh-CN"/>
        </w:rPr>
        <w:t>峨眉山市</w:t>
      </w:r>
      <w:r>
        <w:rPr>
          <w:rFonts w:hint="default" w:ascii="Times New Roman" w:hAnsi="Times New Roman" w:eastAsia="仿宋" w:cs="Times New Roman"/>
          <w:b/>
          <w:bCs/>
          <w:sz w:val="32"/>
          <w:szCs w:val="32"/>
        </w:rPr>
        <w:t>集中式饮用水水源地</w:t>
      </w:r>
    </w:p>
    <w:p w14:paraId="3E43832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仿宋" w:cs="Times New Roman"/>
          <w:b/>
          <w:bCs/>
          <w:sz w:val="32"/>
          <w:szCs w:val="32"/>
          <w:lang w:val="en-US" w:eastAsia="zh-CN"/>
        </w:rPr>
      </w:pPr>
      <w:r>
        <w:rPr>
          <w:rFonts w:hint="default" w:ascii="Times New Roman" w:hAnsi="Times New Roman" w:eastAsia="仿宋" w:cs="Times New Roman"/>
          <w:b/>
          <w:bCs/>
          <w:sz w:val="32"/>
          <w:szCs w:val="32"/>
        </w:rPr>
        <w:t>突发环境事件</w:t>
      </w:r>
      <w:r>
        <w:rPr>
          <w:rFonts w:hint="eastAsia" w:eastAsia="仿宋" w:cs="Times New Roman"/>
          <w:b/>
          <w:bCs/>
          <w:sz w:val="32"/>
          <w:szCs w:val="32"/>
          <w:lang w:val="en-US" w:eastAsia="zh-CN"/>
        </w:rPr>
        <w:t>应急预案终止令</w:t>
      </w:r>
    </w:p>
    <w:p w14:paraId="6D32C0A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仿宋" w:cs="Times New Roman"/>
          <w:b/>
          <w:bCs/>
          <w:sz w:val="32"/>
          <w:szCs w:val="32"/>
        </w:rPr>
      </w:pP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7"/>
        <w:gridCol w:w="2572"/>
        <w:gridCol w:w="2201"/>
        <w:gridCol w:w="1913"/>
      </w:tblGrid>
      <w:tr w14:paraId="7FA1D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837" w:type="dxa"/>
            <w:noWrap w:val="0"/>
            <w:vAlign w:val="center"/>
          </w:tcPr>
          <w:p w14:paraId="0E284961">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签发人</w:t>
            </w:r>
          </w:p>
        </w:tc>
        <w:tc>
          <w:tcPr>
            <w:tcW w:w="2572" w:type="dxa"/>
            <w:noWrap w:val="0"/>
            <w:vAlign w:val="center"/>
          </w:tcPr>
          <w:p w14:paraId="2B96397F">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c>
          <w:tcPr>
            <w:tcW w:w="2201" w:type="dxa"/>
            <w:noWrap w:val="0"/>
            <w:vAlign w:val="center"/>
          </w:tcPr>
          <w:p w14:paraId="3204DA65">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签发时间</w:t>
            </w:r>
          </w:p>
        </w:tc>
        <w:tc>
          <w:tcPr>
            <w:tcW w:w="1913" w:type="dxa"/>
            <w:noWrap w:val="0"/>
            <w:vAlign w:val="center"/>
          </w:tcPr>
          <w:p w14:paraId="794AAC8B">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r>
      <w:tr w14:paraId="4B708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837" w:type="dxa"/>
            <w:noWrap w:val="0"/>
            <w:vAlign w:val="center"/>
          </w:tcPr>
          <w:p w14:paraId="38C353D6">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传令人</w:t>
            </w:r>
          </w:p>
        </w:tc>
        <w:tc>
          <w:tcPr>
            <w:tcW w:w="2572" w:type="dxa"/>
            <w:noWrap w:val="0"/>
            <w:vAlign w:val="center"/>
          </w:tcPr>
          <w:p w14:paraId="3492F1EE">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c>
          <w:tcPr>
            <w:tcW w:w="2201" w:type="dxa"/>
            <w:noWrap w:val="0"/>
            <w:vAlign w:val="center"/>
          </w:tcPr>
          <w:p w14:paraId="31AD8012">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传令时间</w:t>
            </w:r>
          </w:p>
        </w:tc>
        <w:tc>
          <w:tcPr>
            <w:tcW w:w="1913" w:type="dxa"/>
            <w:noWrap w:val="0"/>
            <w:vAlign w:val="center"/>
          </w:tcPr>
          <w:p w14:paraId="3E96FB0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r>
      <w:tr w14:paraId="18C11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8523" w:type="dxa"/>
            <w:gridSpan w:val="4"/>
            <w:noWrap w:val="0"/>
            <w:vAlign w:val="top"/>
          </w:tcPr>
          <w:p w14:paraId="1906CE02">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命令内容：（宣布事件应急救援工作基本结束，现场基本恢复，现场指挥部撤销，相关部门做好善后恢复工作）</w:t>
            </w:r>
          </w:p>
        </w:tc>
      </w:tr>
      <w:tr w14:paraId="5FA9D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8" w:hRule="atLeast"/>
          <w:jc w:val="center"/>
        </w:trPr>
        <w:tc>
          <w:tcPr>
            <w:tcW w:w="8523" w:type="dxa"/>
            <w:gridSpan w:val="4"/>
            <w:noWrap w:val="0"/>
            <w:vAlign w:val="top"/>
          </w:tcPr>
          <w:p w14:paraId="0CB0C77E">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受令单位：</w:t>
            </w:r>
          </w:p>
          <w:p w14:paraId="7BECCADA">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仿宋" w:cs="Times New Roman"/>
                <w:color w:val="auto"/>
                <w:sz w:val="22"/>
                <w:szCs w:val="22"/>
                <w:lang w:val="en-US" w:eastAsia="zh-CN" w:bidi="ar-SA"/>
              </w:rPr>
            </w:pPr>
          </w:p>
          <w:p w14:paraId="7F726A6E">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仿宋" w:cs="Times New Roman"/>
                <w:color w:val="auto"/>
                <w:sz w:val="22"/>
                <w:szCs w:val="22"/>
                <w:lang w:val="en-US" w:eastAsia="zh-CN" w:bidi="ar-SA"/>
              </w:rPr>
            </w:pPr>
          </w:p>
          <w:p w14:paraId="3724BF0E">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仿宋" w:cs="Times New Roman"/>
                <w:color w:val="auto"/>
                <w:sz w:val="22"/>
                <w:szCs w:val="22"/>
                <w:lang w:val="en-US" w:eastAsia="zh-CN" w:bidi="ar-SA"/>
              </w:rPr>
            </w:pPr>
          </w:p>
          <w:p w14:paraId="44B08DF8">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仿宋" w:cs="Times New Roman"/>
                <w:color w:val="auto"/>
                <w:sz w:val="22"/>
                <w:szCs w:val="22"/>
                <w:lang w:val="en-US" w:eastAsia="zh-CN" w:bidi="ar-SA"/>
              </w:rPr>
            </w:pPr>
          </w:p>
          <w:p w14:paraId="3ECFAFE7">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仿宋" w:cs="Times New Roman"/>
                <w:color w:val="auto"/>
                <w:sz w:val="22"/>
                <w:szCs w:val="22"/>
                <w:lang w:val="en-US" w:eastAsia="zh-CN" w:bidi="ar-SA"/>
              </w:rPr>
            </w:pPr>
          </w:p>
          <w:p w14:paraId="14186A35">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仿宋" w:cs="Times New Roman"/>
                <w:color w:val="auto"/>
                <w:sz w:val="22"/>
                <w:szCs w:val="22"/>
                <w:lang w:val="en-US" w:eastAsia="zh-CN" w:bidi="ar-SA"/>
              </w:rPr>
            </w:pPr>
          </w:p>
          <w:p w14:paraId="61D5EBC6">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受令人：</w:t>
            </w:r>
          </w:p>
          <w:p w14:paraId="6AFEC7BB">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仿宋" w:cs="Times New Roman"/>
                <w:color w:val="auto"/>
                <w:sz w:val="22"/>
                <w:szCs w:val="22"/>
                <w:lang w:val="en-US" w:eastAsia="zh-CN" w:bidi="ar-SA"/>
              </w:rPr>
            </w:pPr>
          </w:p>
          <w:p w14:paraId="6C4BA9CF">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仿宋" w:cs="Times New Roman"/>
                <w:color w:val="auto"/>
                <w:sz w:val="22"/>
                <w:szCs w:val="22"/>
                <w:lang w:val="en-US" w:eastAsia="zh-CN" w:bidi="ar-SA"/>
              </w:rPr>
            </w:pPr>
          </w:p>
          <w:p w14:paraId="49E589CF">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仿宋" w:cs="Times New Roman"/>
                <w:color w:val="auto"/>
                <w:sz w:val="22"/>
                <w:szCs w:val="22"/>
                <w:lang w:val="en-US" w:eastAsia="zh-CN" w:bidi="ar-SA"/>
              </w:rPr>
            </w:pPr>
          </w:p>
          <w:p w14:paraId="1C8FA5E2">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仿宋" w:cs="Times New Roman"/>
                <w:color w:val="auto"/>
                <w:sz w:val="22"/>
                <w:szCs w:val="22"/>
                <w:lang w:val="en-US" w:eastAsia="zh-CN" w:bidi="ar-SA"/>
              </w:rPr>
            </w:pPr>
          </w:p>
          <w:p w14:paraId="0966A2B5">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仿宋" w:cs="Times New Roman"/>
                <w:color w:val="auto"/>
                <w:sz w:val="22"/>
                <w:szCs w:val="22"/>
                <w:lang w:val="en-US" w:eastAsia="zh-CN" w:bidi="ar-SA"/>
              </w:rPr>
            </w:pPr>
          </w:p>
          <w:p w14:paraId="3EFA5936">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仿宋" w:cs="Times New Roman"/>
                <w:color w:val="auto"/>
                <w:sz w:val="22"/>
                <w:szCs w:val="22"/>
                <w:lang w:val="en-US" w:eastAsia="zh-CN" w:bidi="ar-SA"/>
              </w:rPr>
            </w:pPr>
          </w:p>
          <w:p w14:paraId="5B2065DD">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时间：</w:t>
            </w:r>
          </w:p>
        </w:tc>
      </w:tr>
      <w:tr w14:paraId="75515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5" w:hRule="atLeast"/>
          <w:jc w:val="center"/>
        </w:trPr>
        <w:tc>
          <w:tcPr>
            <w:tcW w:w="8523" w:type="dxa"/>
            <w:gridSpan w:val="4"/>
            <w:noWrap w:val="0"/>
            <w:vAlign w:val="top"/>
          </w:tcPr>
          <w:p w14:paraId="6DA22438">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备注：</w:t>
            </w:r>
          </w:p>
        </w:tc>
      </w:tr>
    </w:tbl>
    <w:p w14:paraId="59A459FE">
      <w:pPr>
        <w:spacing w:before="101" w:line="228" w:lineRule="auto"/>
        <w:ind w:left="0" w:leftChars="0" w:firstLine="0" w:firstLineChars="0"/>
        <w:rPr>
          <w:rFonts w:hint="eastAsia" w:ascii="黑体" w:hAnsi="黑体" w:eastAsia="黑体" w:cs="黑体"/>
          <w:sz w:val="31"/>
          <w:szCs w:val="31"/>
          <w:lang w:eastAsia="zh-CN"/>
        </w:rPr>
      </w:pPr>
      <w:r>
        <w:rPr>
          <w:rFonts w:ascii="黑体" w:hAnsi="黑体" w:eastAsia="黑体" w:cs="黑体"/>
          <w:spacing w:val="-4"/>
          <w:sz w:val="31"/>
          <w:szCs w:val="31"/>
        </w:rPr>
        <w:t>附表</w:t>
      </w:r>
      <w:r>
        <w:rPr>
          <w:rFonts w:hint="eastAsia" w:ascii="黑体" w:hAnsi="黑体" w:eastAsia="黑体" w:cs="黑体"/>
          <w:spacing w:val="-4"/>
          <w:sz w:val="31"/>
          <w:szCs w:val="31"/>
          <w:lang w:val="en-US" w:eastAsia="zh-CN"/>
        </w:rPr>
        <w:t>6</w:t>
      </w:r>
    </w:p>
    <w:p w14:paraId="38867E5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eastAsia="仿宋" w:cs="Times New Roman"/>
          <w:b/>
          <w:bCs/>
          <w:sz w:val="32"/>
          <w:szCs w:val="32"/>
          <w:lang w:val="en-US" w:eastAsia="zh-CN"/>
        </w:rPr>
      </w:pPr>
    </w:p>
    <w:p w14:paraId="38038AF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仿宋" w:cs="Times New Roman"/>
          <w:b/>
          <w:bCs/>
          <w:sz w:val="32"/>
          <w:szCs w:val="32"/>
        </w:rPr>
      </w:pPr>
      <w:r>
        <w:rPr>
          <w:rFonts w:hint="eastAsia" w:eastAsia="仿宋" w:cs="Times New Roman"/>
          <w:b/>
          <w:bCs/>
          <w:sz w:val="32"/>
          <w:szCs w:val="32"/>
          <w:lang w:val="en-US" w:eastAsia="zh-CN"/>
        </w:rPr>
        <w:t>峨眉山市</w:t>
      </w:r>
      <w:r>
        <w:rPr>
          <w:rFonts w:hint="default" w:ascii="Times New Roman" w:hAnsi="Times New Roman" w:eastAsia="仿宋" w:cs="Times New Roman"/>
          <w:b/>
          <w:bCs/>
          <w:sz w:val="32"/>
          <w:szCs w:val="32"/>
        </w:rPr>
        <w:t>集中式饮用水水源地</w:t>
      </w:r>
    </w:p>
    <w:p w14:paraId="47B9519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仿宋" w:cs="Times New Roman"/>
          <w:b/>
          <w:bCs/>
          <w:sz w:val="32"/>
          <w:szCs w:val="32"/>
          <w:lang w:val="en-US" w:eastAsia="zh-CN"/>
        </w:rPr>
      </w:pPr>
      <w:r>
        <w:rPr>
          <w:rFonts w:hint="default" w:ascii="Times New Roman" w:hAnsi="Times New Roman" w:eastAsia="仿宋" w:cs="Times New Roman"/>
          <w:b/>
          <w:bCs/>
          <w:sz w:val="32"/>
          <w:szCs w:val="32"/>
        </w:rPr>
        <w:t>突发环境事件应急预案演练记录表</w:t>
      </w:r>
    </w:p>
    <w:p w14:paraId="2065D45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仿宋" w:cs="Times New Roman"/>
          <w:b/>
          <w:bCs/>
          <w:sz w:val="32"/>
          <w:szCs w:val="32"/>
        </w:rPr>
      </w:pP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7"/>
        <w:gridCol w:w="2572"/>
        <w:gridCol w:w="2201"/>
        <w:gridCol w:w="1913"/>
      </w:tblGrid>
      <w:tr w14:paraId="32520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837" w:type="dxa"/>
            <w:noWrap w:val="0"/>
            <w:vAlign w:val="center"/>
          </w:tcPr>
          <w:p w14:paraId="35F455B7">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演练预案名称</w:t>
            </w:r>
          </w:p>
        </w:tc>
        <w:tc>
          <w:tcPr>
            <w:tcW w:w="2572" w:type="dxa"/>
            <w:noWrap w:val="0"/>
            <w:vAlign w:val="center"/>
          </w:tcPr>
          <w:p w14:paraId="4C67FD22">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c>
          <w:tcPr>
            <w:tcW w:w="2201" w:type="dxa"/>
            <w:noWrap w:val="0"/>
            <w:vAlign w:val="center"/>
          </w:tcPr>
          <w:p w14:paraId="5844B4D2">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演练总指挥</w:t>
            </w:r>
          </w:p>
        </w:tc>
        <w:tc>
          <w:tcPr>
            <w:tcW w:w="1913" w:type="dxa"/>
            <w:noWrap w:val="0"/>
            <w:vAlign w:val="center"/>
          </w:tcPr>
          <w:p w14:paraId="70ECBB5D">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r>
      <w:tr w14:paraId="193B8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837" w:type="dxa"/>
            <w:noWrap w:val="0"/>
            <w:vAlign w:val="center"/>
          </w:tcPr>
          <w:p w14:paraId="5FC09215">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预案类型</w:t>
            </w:r>
          </w:p>
        </w:tc>
        <w:tc>
          <w:tcPr>
            <w:tcW w:w="2572" w:type="dxa"/>
            <w:noWrap w:val="0"/>
            <w:vAlign w:val="center"/>
          </w:tcPr>
          <w:p w14:paraId="3F4EB68F">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c>
          <w:tcPr>
            <w:tcW w:w="2201" w:type="dxa"/>
            <w:noWrap w:val="0"/>
            <w:vAlign w:val="center"/>
          </w:tcPr>
          <w:p w14:paraId="5A26C5FF">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预案制定时间</w:t>
            </w:r>
          </w:p>
        </w:tc>
        <w:tc>
          <w:tcPr>
            <w:tcW w:w="1913" w:type="dxa"/>
            <w:noWrap w:val="0"/>
            <w:vAlign w:val="center"/>
          </w:tcPr>
          <w:p w14:paraId="65413EF4">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r>
      <w:tr w14:paraId="65ACF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837" w:type="dxa"/>
            <w:noWrap w:val="0"/>
            <w:vAlign w:val="center"/>
          </w:tcPr>
          <w:p w14:paraId="700A80F1">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演练时间</w:t>
            </w:r>
          </w:p>
        </w:tc>
        <w:tc>
          <w:tcPr>
            <w:tcW w:w="2572" w:type="dxa"/>
            <w:noWrap w:val="0"/>
            <w:vAlign w:val="center"/>
          </w:tcPr>
          <w:p w14:paraId="5488AC23">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c>
          <w:tcPr>
            <w:tcW w:w="2201" w:type="dxa"/>
            <w:noWrap w:val="0"/>
            <w:vAlign w:val="center"/>
          </w:tcPr>
          <w:p w14:paraId="3003DB4C">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演练地点</w:t>
            </w:r>
          </w:p>
        </w:tc>
        <w:tc>
          <w:tcPr>
            <w:tcW w:w="1913" w:type="dxa"/>
            <w:noWrap w:val="0"/>
            <w:vAlign w:val="center"/>
          </w:tcPr>
          <w:p w14:paraId="54D4E30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r>
      <w:tr w14:paraId="0B747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837" w:type="dxa"/>
            <w:noWrap w:val="0"/>
            <w:vAlign w:val="center"/>
          </w:tcPr>
          <w:p w14:paraId="2A67A536">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参加人员范围</w:t>
            </w:r>
          </w:p>
        </w:tc>
        <w:tc>
          <w:tcPr>
            <w:tcW w:w="6686" w:type="dxa"/>
            <w:gridSpan w:val="3"/>
            <w:noWrap w:val="0"/>
            <w:vAlign w:val="center"/>
          </w:tcPr>
          <w:p w14:paraId="7B2EE37E">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r>
      <w:tr w14:paraId="2AA46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837" w:type="dxa"/>
            <w:noWrap w:val="0"/>
            <w:vAlign w:val="center"/>
          </w:tcPr>
          <w:p w14:paraId="5347B67A">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参加演练人员</w:t>
            </w:r>
          </w:p>
        </w:tc>
        <w:tc>
          <w:tcPr>
            <w:tcW w:w="6686" w:type="dxa"/>
            <w:gridSpan w:val="3"/>
            <w:noWrap w:val="0"/>
            <w:vAlign w:val="center"/>
          </w:tcPr>
          <w:p w14:paraId="538744EB">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r>
      <w:tr w14:paraId="1613F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837" w:type="dxa"/>
            <w:noWrap w:val="0"/>
            <w:vAlign w:val="center"/>
          </w:tcPr>
          <w:p w14:paraId="7A4AC786">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演练目的</w:t>
            </w:r>
          </w:p>
        </w:tc>
        <w:tc>
          <w:tcPr>
            <w:tcW w:w="6686" w:type="dxa"/>
            <w:gridSpan w:val="3"/>
            <w:noWrap w:val="0"/>
            <w:vAlign w:val="center"/>
          </w:tcPr>
          <w:p w14:paraId="0936A1F6">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r>
      <w:tr w14:paraId="619E2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837" w:type="dxa"/>
            <w:noWrap w:val="0"/>
            <w:vAlign w:val="center"/>
          </w:tcPr>
          <w:p w14:paraId="1D55CABC">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演练主要内容</w:t>
            </w:r>
          </w:p>
        </w:tc>
        <w:tc>
          <w:tcPr>
            <w:tcW w:w="6686" w:type="dxa"/>
            <w:gridSpan w:val="3"/>
            <w:noWrap w:val="0"/>
            <w:vAlign w:val="center"/>
          </w:tcPr>
          <w:p w14:paraId="0C9AC0D1">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r>
      <w:tr w14:paraId="36EB3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837" w:type="dxa"/>
            <w:noWrap w:val="0"/>
            <w:vAlign w:val="center"/>
          </w:tcPr>
          <w:p w14:paraId="0E59C82C">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演练总结</w:t>
            </w:r>
          </w:p>
        </w:tc>
        <w:tc>
          <w:tcPr>
            <w:tcW w:w="6686" w:type="dxa"/>
            <w:gridSpan w:val="3"/>
            <w:noWrap w:val="0"/>
            <w:vAlign w:val="center"/>
          </w:tcPr>
          <w:p w14:paraId="2F897C46">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r>
      <w:tr w14:paraId="06183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837" w:type="dxa"/>
            <w:noWrap w:val="0"/>
            <w:vAlign w:val="center"/>
          </w:tcPr>
          <w:p w14:paraId="6289E984">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说明</w:t>
            </w:r>
          </w:p>
        </w:tc>
        <w:tc>
          <w:tcPr>
            <w:tcW w:w="6686" w:type="dxa"/>
            <w:gridSpan w:val="3"/>
            <w:noWrap w:val="0"/>
            <w:vAlign w:val="top"/>
          </w:tcPr>
          <w:p w14:paraId="6565046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预案类别：专项预案、部门预案、重大活动预案、其他预案</w:t>
            </w:r>
          </w:p>
        </w:tc>
      </w:tr>
      <w:tr w14:paraId="23AD4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8523" w:type="dxa"/>
            <w:gridSpan w:val="4"/>
            <w:noWrap w:val="0"/>
            <w:vAlign w:val="top"/>
          </w:tcPr>
          <w:p w14:paraId="4BA8428A">
            <w:pPr>
              <w:pStyle w:val="8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记录时间：</w:t>
            </w:r>
          </w:p>
        </w:tc>
      </w:tr>
    </w:tbl>
    <w:p w14:paraId="1AB286E5">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仿宋" w:cs="Times New Roman"/>
          <w:b/>
          <w:bCs/>
          <w:sz w:val="32"/>
          <w:szCs w:val="32"/>
          <w:lang w:eastAsia="zh-CN"/>
        </w:rPr>
      </w:pPr>
    </w:p>
    <w:p w14:paraId="4C66C5C7">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仿宋" w:cs="Times New Roman"/>
          <w:b/>
          <w:bCs/>
          <w:sz w:val="32"/>
          <w:szCs w:val="32"/>
          <w:lang w:eastAsia="zh-CN"/>
        </w:rPr>
      </w:pPr>
    </w:p>
    <w:p w14:paraId="196B88DF">
      <w:pPr>
        <w:spacing w:before="101" w:line="228" w:lineRule="auto"/>
        <w:ind w:left="0" w:leftChars="0" w:firstLine="0" w:firstLineChars="0"/>
        <w:rPr>
          <w:rFonts w:hint="eastAsia" w:ascii="黑体" w:hAnsi="黑体" w:eastAsia="黑体" w:cs="黑体"/>
          <w:sz w:val="31"/>
          <w:szCs w:val="31"/>
          <w:lang w:eastAsia="zh-CN"/>
        </w:rPr>
      </w:pPr>
      <w:r>
        <w:rPr>
          <w:rFonts w:ascii="黑体" w:hAnsi="黑体" w:eastAsia="黑体" w:cs="黑体"/>
          <w:spacing w:val="-4"/>
          <w:sz w:val="31"/>
          <w:szCs w:val="31"/>
        </w:rPr>
        <w:t>附表</w:t>
      </w:r>
      <w:r>
        <w:rPr>
          <w:rFonts w:hint="eastAsia" w:ascii="黑体" w:hAnsi="黑体" w:eastAsia="黑体" w:cs="黑体"/>
          <w:spacing w:val="-4"/>
          <w:sz w:val="31"/>
          <w:szCs w:val="31"/>
          <w:lang w:val="en-US" w:eastAsia="zh-CN"/>
        </w:rPr>
        <w:t>7</w:t>
      </w:r>
    </w:p>
    <w:p w14:paraId="1FB38BC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eastAsia="仿宋" w:cs="Times New Roman"/>
          <w:b/>
          <w:bCs/>
          <w:sz w:val="32"/>
          <w:szCs w:val="32"/>
          <w:lang w:val="en-US" w:eastAsia="zh-CN"/>
        </w:rPr>
      </w:pPr>
    </w:p>
    <w:p w14:paraId="3C06B73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仿宋" w:cs="Times New Roman"/>
          <w:b/>
          <w:bCs/>
          <w:sz w:val="32"/>
          <w:szCs w:val="32"/>
        </w:rPr>
      </w:pPr>
      <w:r>
        <w:rPr>
          <w:rFonts w:hint="eastAsia" w:eastAsia="仿宋" w:cs="Times New Roman"/>
          <w:b/>
          <w:bCs/>
          <w:sz w:val="32"/>
          <w:szCs w:val="32"/>
          <w:lang w:val="en-US" w:eastAsia="zh-CN"/>
        </w:rPr>
        <w:t>峨眉山市</w:t>
      </w:r>
      <w:r>
        <w:rPr>
          <w:rFonts w:hint="default" w:ascii="Times New Roman" w:hAnsi="Times New Roman" w:eastAsia="仿宋" w:cs="Times New Roman"/>
          <w:b/>
          <w:bCs/>
          <w:sz w:val="32"/>
          <w:szCs w:val="32"/>
        </w:rPr>
        <w:t>集中式饮用水水源地</w:t>
      </w:r>
    </w:p>
    <w:p w14:paraId="4FC0A5A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仿宋" w:cs="Times New Roman"/>
          <w:b/>
          <w:bCs/>
          <w:sz w:val="32"/>
          <w:szCs w:val="32"/>
          <w:lang w:val="en-US" w:eastAsia="zh-CN"/>
        </w:rPr>
      </w:pPr>
      <w:r>
        <w:rPr>
          <w:rFonts w:hint="default" w:ascii="Times New Roman" w:hAnsi="Times New Roman" w:eastAsia="仿宋" w:cs="Times New Roman"/>
          <w:b/>
          <w:bCs/>
          <w:sz w:val="32"/>
          <w:szCs w:val="32"/>
        </w:rPr>
        <w:t>突发环境事件应急响应培训人员记录表</w:t>
      </w:r>
    </w:p>
    <w:p w14:paraId="31E8279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仿宋" w:cs="Times New Roman"/>
          <w:b/>
          <w:bCs/>
          <w:sz w:val="32"/>
          <w:szCs w:val="32"/>
        </w:rPr>
      </w:pP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605"/>
        <w:gridCol w:w="815"/>
        <w:gridCol w:w="1420"/>
        <w:gridCol w:w="628"/>
        <w:gridCol w:w="792"/>
        <w:gridCol w:w="476"/>
        <w:gridCol w:w="945"/>
        <w:gridCol w:w="1421"/>
      </w:tblGrid>
      <w:tr w14:paraId="3B66F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25" w:type="dxa"/>
            <w:gridSpan w:val="2"/>
            <w:noWrap w:val="0"/>
            <w:vAlign w:val="center"/>
          </w:tcPr>
          <w:p w14:paraId="24F73429">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培训时间</w:t>
            </w:r>
          </w:p>
        </w:tc>
        <w:tc>
          <w:tcPr>
            <w:tcW w:w="2863" w:type="dxa"/>
            <w:gridSpan w:val="3"/>
            <w:noWrap w:val="0"/>
            <w:vAlign w:val="center"/>
          </w:tcPr>
          <w:p w14:paraId="2A395C25">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c>
          <w:tcPr>
            <w:tcW w:w="1268" w:type="dxa"/>
            <w:gridSpan w:val="2"/>
            <w:noWrap w:val="0"/>
            <w:vAlign w:val="center"/>
          </w:tcPr>
          <w:p w14:paraId="6E3B921E">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培训地点</w:t>
            </w:r>
          </w:p>
        </w:tc>
        <w:tc>
          <w:tcPr>
            <w:tcW w:w="2366" w:type="dxa"/>
            <w:gridSpan w:val="2"/>
            <w:noWrap w:val="0"/>
            <w:vAlign w:val="center"/>
          </w:tcPr>
          <w:p w14:paraId="4737ED26">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r>
      <w:tr w14:paraId="51177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25" w:type="dxa"/>
            <w:gridSpan w:val="2"/>
            <w:noWrap w:val="0"/>
            <w:vAlign w:val="center"/>
          </w:tcPr>
          <w:p w14:paraId="4612DE22">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培训老师</w:t>
            </w:r>
          </w:p>
        </w:tc>
        <w:tc>
          <w:tcPr>
            <w:tcW w:w="2863" w:type="dxa"/>
            <w:gridSpan w:val="3"/>
            <w:noWrap w:val="0"/>
            <w:vAlign w:val="center"/>
          </w:tcPr>
          <w:p w14:paraId="4F3F1909">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c>
          <w:tcPr>
            <w:tcW w:w="1268" w:type="dxa"/>
            <w:gridSpan w:val="2"/>
            <w:noWrap w:val="0"/>
            <w:vAlign w:val="center"/>
          </w:tcPr>
          <w:p w14:paraId="1B00AAFD">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组织单位</w:t>
            </w:r>
          </w:p>
        </w:tc>
        <w:tc>
          <w:tcPr>
            <w:tcW w:w="2366" w:type="dxa"/>
            <w:gridSpan w:val="2"/>
            <w:noWrap w:val="0"/>
            <w:vAlign w:val="center"/>
          </w:tcPr>
          <w:p w14:paraId="5D9BC76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r>
      <w:tr w14:paraId="6A2DE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5" w:hRule="atLeast"/>
          <w:jc w:val="center"/>
        </w:trPr>
        <w:tc>
          <w:tcPr>
            <w:tcW w:w="8522" w:type="dxa"/>
            <w:gridSpan w:val="9"/>
            <w:noWrap w:val="0"/>
            <w:vAlign w:val="top"/>
          </w:tcPr>
          <w:p w14:paraId="19EDB099">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lang w:val="en-US" w:eastAsia="zh-CN" w:bidi="ar-SA"/>
              </w:rPr>
            </w:pPr>
            <w:r>
              <w:rPr>
                <w:rFonts w:hint="eastAsia" w:ascii="Times New Roman" w:hAnsi="Times New Roman" w:eastAsia="仿宋" w:cs="Times New Roman"/>
                <w:color w:val="auto"/>
                <w:sz w:val="22"/>
                <w:szCs w:val="22"/>
                <w:lang w:val="en-US" w:eastAsia="zh-CN" w:bidi="ar-SA"/>
              </w:rPr>
              <w:t>培训内容</w:t>
            </w:r>
          </w:p>
        </w:tc>
      </w:tr>
      <w:tr w14:paraId="64F27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0" w:type="dxa"/>
            <w:noWrap w:val="0"/>
            <w:vAlign w:val="center"/>
          </w:tcPr>
          <w:p w14:paraId="05758DD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培训人员</w:t>
            </w:r>
          </w:p>
        </w:tc>
        <w:tc>
          <w:tcPr>
            <w:tcW w:w="1420" w:type="dxa"/>
            <w:gridSpan w:val="2"/>
            <w:noWrap w:val="0"/>
            <w:vAlign w:val="center"/>
          </w:tcPr>
          <w:p w14:paraId="42387CF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单位</w:t>
            </w:r>
          </w:p>
        </w:tc>
        <w:tc>
          <w:tcPr>
            <w:tcW w:w="1420" w:type="dxa"/>
            <w:noWrap w:val="0"/>
            <w:vAlign w:val="center"/>
          </w:tcPr>
          <w:p w14:paraId="74DC22E3">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签到</w:t>
            </w:r>
          </w:p>
        </w:tc>
        <w:tc>
          <w:tcPr>
            <w:tcW w:w="1420" w:type="dxa"/>
            <w:gridSpan w:val="2"/>
            <w:noWrap w:val="0"/>
            <w:vAlign w:val="center"/>
          </w:tcPr>
          <w:p w14:paraId="025C48ED">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培训人员</w:t>
            </w:r>
          </w:p>
        </w:tc>
        <w:tc>
          <w:tcPr>
            <w:tcW w:w="1421" w:type="dxa"/>
            <w:gridSpan w:val="2"/>
            <w:noWrap w:val="0"/>
            <w:vAlign w:val="center"/>
          </w:tcPr>
          <w:p w14:paraId="3F7E84B0">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单位</w:t>
            </w:r>
          </w:p>
        </w:tc>
        <w:tc>
          <w:tcPr>
            <w:tcW w:w="1421" w:type="dxa"/>
            <w:noWrap w:val="0"/>
            <w:vAlign w:val="center"/>
          </w:tcPr>
          <w:p w14:paraId="5D028AC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bidi="ar-SA"/>
              </w:rPr>
              <w:t>签到</w:t>
            </w:r>
          </w:p>
        </w:tc>
      </w:tr>
      <w:tr w14:paraId="6C42F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0" w:type="dxa"/>
            <w:noWrap w:val="0"/>
            <w:vAlign w:val="center"/>
          </w:tcPr>
          <w:p w14:paraId="4EE36337">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c>
          <w:tcPr>
            <w:tcW w:w="1420" w:type="dxa"/>
            <w:gridSpan w:val="2"/>
            <w:noWrap w:val="0"/>
            <w:vAlign w:val="center"/>
          </w:tcPr>
          <w:p w14:paraId="0BE3F6F0">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c>
          <w:tcPr>
            <w:tcW w:w="1420" w:type="dxa"/>
            <w:noWrap w:val="0"/>
            <w:vAlign w:val="center"/>
          </w:tcPr>
          <w:p w14:paraId="766D5F71">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c>
          <w:tcPr>
            <w:tcW w:w="1420" w:type="dxa"/>
            <w:gridSpan w:val="2"/>
            <w:noWrap w:val="0"/>
            <w:vAlign w:val="center"/>
          </w:tcPr>
          <w:p w14:paraId="0A0E5B6C">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c>
          <w:tcPr>
            <w:tcW w:w="1421" w:type="dxa"/>
            <w:gridSpan w:val="2"/>
            <w:noWrap w:val="0"/>
            <w:vAlign w:val="center"/>
          </w:tcPr>
          <w:p w14:paraId="556C8DC4">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c>
          <w:tcPr>
            <w:tcW w:w="1421" w:type="dxa"/>
            <w:noWrap w:val="0"/>
            <w:vAlign w:val="center"/>
          </w:tcPr>
          <w:p w14:paraId="4A89ACA5">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r>
      <w:tr w14:paraId="2A5E0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0" w:type="dxa"/>
            <w:noWrap w:val="0"/>
            <w:vAlign w:val="center"/>
          </w:tcPr>
          <w:p w14:paraId="38B2D7B0">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c>
          <w:tcPr>
            <w:tcW w:w="1420" w:type="dxa"/>
            <w:gridSpan w:val="2"/>
            <w:noWrap w:val="0"/>
            <w:vAlign w:val="center"/>
          </w:tcPr>
          <w:p w14:paraId="53742F61">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c>
          <w:tcPr>
            <w:tcW w:w="1420" w:type="dxa"/>
            <w:noWrap w:val="0"/>
            <w:vAlign w:val="center"/>
          </w:tcPr>
          <w:p w14:paraId="4010E580">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c>
          <w:tcPr>
            <w:tcW w:w="1420" w:type="dxa"/>
            <w:gridSpan w:val="2"/>
            <w:noWrap w:val="0"/>
            <w:vAlign w:val="center"/>
          </w:tcPr>
          <w:p w14:paraId="2DDF41B4">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c>
          <w:tcPr>
            <w:tcW w:w="1421" w:type="dxa"/>
            <w:gridSpan w:val="2"/>
            <w:noWrap w:val="0"/>
            <w:vAlign w:val="center"/>
          </w:tcPr>
          <w:p w14:paraId="1F6681D9">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c>
          <w:tcPr>
            <w:tcW w:w="1421" w:type="dxa"/>
            <w:noWrap w:val="0"/>
            <w:vAlign w:val="center"/>
          </w:tcPr>
          <w:p w14:paraId="5F0EC777">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r>
      <w:tr w14:paraId="0D724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0" w:type="dxa"/>
            <w:noWrap w:val="0"/>
            <w:vAlign w:val="center"/>
          </w:tcPr>
          <w:p w14:paraId="31CF4554">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c>
          <w:tcPr>
            <w:tcW w:w="1420" w:type="dxa"/>
            <w:gridSpan w:val="2"/>
            <w:noWrap w:val="0"/>
            <w:vAlign w:val="center"/>
          </w:tcPr>
          <w:p w14:paraId="2F0306B7">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c>
          <w:tcPr>
            <w:tcW w:w="1420" w:type="dxa"/>
            <w:noWrap w:val="0"/>
            <w:vAlign w:val="center"/>
          </w:tcPr>
          <w:p w14:paraId="7FF94BE6">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c>
          <w:tcPr>
            <w:tcW w:w="1420" w:type="dxa"/>
            <w:gridSpan w:val="2"/>
            <w:noWrap w:val="0"/>
            <w:vAlign w:val="center"/>
          </w:tcPr>
          <w:p w14:paraId="3F4C9C69">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c>
          <w:tcPr>
            <w:tcW w:w="1421" w:type="dxa"/>
            <w:gridSpan w:val="2"/>
            <w:noWrap w:val="0"/>
            <w:vAlign w:val="center"/>
          </w:tcPr>
          <w:p w14:paraId="3B557D8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c>
          <w:tcPr>
            <w:tcW w:w="1421" w:type="dxa"/>
            <w:noWrap w:val="0"/>
            <w:vAlign w:val="center"/>
          </w:tcPr>
          <w:p w14:paraId="2C4CFC14">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r>
      <w:tr w14:paraId="4F7E4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0" w:type="dxa"/>
            <w:noWrap w:val="0"/>
            <w:vAlign w:val="center"/>
          </w:tcPr>
          <w:p w14:paraId="3CFEAE7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c>
          <w:tcPr>
            <w:tcW w:w="1420" w:type="dxa"/>
            <w:gridSpan w:val="2"/>
            <w:noWrap w:val="0"/>
            <w:vAlign w:val="center"/>
          </w:tcPr>
          <w:p w14:paraId="1D42D7F3">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c>
          <w:tcPr>
            <w:tcW w:w="1420" w:type="dxa"/>
            <w:noWrap w:val="0"/>
            <w:vAlign w:val="center"/>
          </w:tcPr>
          <w:p w14:paraId="1E3B30E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c>
          <w:tcPr>
            <w:tcW w:w="1420" w:type="dxa"/>
            <w:gridSpan w:val="2"/>
            <w:noWrap w:val="0"/>
            <w:vAlign w:val="center"/>
          </w:tcPr>
          <w:p w14:paraId="580AA357">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c>
          <w:tcPr>
            <w:tcW w:w="1421" w:type="dxa"/>
            <w:gridSpan w:val="2"/>
            <w:noWrap w:val="0"/>
            <w:vAlign w:val="center"/>
          </w:tcPr>
          <w:p w14:paraId="1A4C6390">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c>
          <w:tcPr>
            <w:tcW w:w="1421" w:type="dxa"/>
            <w:noWrap w:val="0"/>
            <w:vAlign w:val="center"/>
          </w:tcPr>
          <w:p w14:paraId="1BA1E20D">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r>
      <w:tr w14:paraId="35EBC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0" w:type="dxa"/>
            <w:noWrap w:val="0"/>
            <w:vAlign w:val="center"/>
          </w:tcPr>
          <w:p w14:paraId="5FA54BF7">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c>
          <w:tcPr>
            <w:tcW w:w="1420" w:type="dxa"/>
            <w:gridSpan w:val="2"/>
            <w:noWrap w:val="0"/>
            <w:vAlign w:val="center"/>
          </w:tcPr>
          <w:p w14:paraId="093C96A6">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c>
          <w:tcPr>
            <w:tcW w:w="1420" w:type="dxa"/>
            <w:noWrap w:val="0"/>
            <w:vAlign w:val="center"/>
          </w:tcPr>
          <w:p w14:paraId="325E875A">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c>
          <w:tcPr>
            <w:tcW w:w="1420" w:type="dxa"/>
            <w:gridSpan w:val="2"/>
            <w:noWrap w:val="0"/>
            <w:vAlign w:val="center"/>
          </w:tcPr>
          <w:p w14:paraId="0479F7EE">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c>
          <w:tcPr>
            <w:tcW w:w="1421" w:type="dxa"/>
            <w:gridSpan w:val="2"/>
            <w:noWrap w:val="0"/>
            <w:vAlign w:val="center"/>
          </w:tcPr>
          <w:p w14:paraId="09563D46">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c>
          <w:tcPr>
            <w:tcW w:w="1421" w:type="dxa"/>
            <w:noWrap w:val="0"/>
            <w:vAlign w:val="center"/>
          </w:tcPr>
          <w:p w14:paraId="22CEBC68">
            <w:pPr>
              <w:pStyle w:val="8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 w:cs="Times New Roman"/>
                <w:color w:val="auto"/>
                <w:sz w:val="22"/>
                <w:szCs w:val="22"/>
                <w:lang w:val="en-US" w:eastAsia="zh-CN" w:bidi="ar-SA"/>
              </w:rPr>
            </w:pPr>
          </w:p>
        </w:tc>
      </w:tr>
    </w:tbl>
    <w:p w14:paraId="64B7B0AF">
      <w:pPr>
        <w:keepNext w:val="0"/>
        <w:keepLines w:val="0"/>
        <w:pageBreakBefore w:val="0"/>
        <w:kinsoku/>
        <w:wordWrap/>
        <w:overflowPunct/>
        <w:topLinePunct w:val="0"/>
        <w:autoSpaceDE/>
        <w:autoSpaceDN/>
        <w:bidi w:val="0"/>
        <w:spacing w:line="240" w:lineRule="auto"/>
        <w:ind w:left="0" w:leftChars="0" w:right="0" w:rightChars="0" w:firstLine="0" w:firstLineChars="0"/>
        <w:jc w:val="both"/>
        <w:textAlignment w:val="auto"/>
        <w:rPr>
          <w:rFonts w:hint="eastAsia" w:ascii="Times New Roman" w:hAnsi="Times New Roman" w:eastAsia="仿宋" w:cs="Times New Roman"/>
          <w:b/>
          <w:bCs/>
          <w:sz w:val="32"/>
          <w:szCs w:val="32"/>
          <w:lang w:val="en-US" w:eastAsia="zh-CN"/>
        </w:rPr>
      </w:pPr>
    </w:p>
    <w:sectPr>
      <w:pgSz w:w="11906" w:h="16838"/>
      <w:pgMar w:top="1440" w:right="1800" w:bottom="1440" w:left="1800" w:header="850" w:footer="850"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6" w:usb3="00000000" w:csb0="00100001" w:csb1="00000000"/>
  </w:font>
  <w:font w:name="Georgia">
    <w:panose1 w:val="02040502050405020303"/>
    <w:charset w:val="00"/>
    <w:family w:val="roman"/>
    <w:pitch w:val="default"/>
    <w:sig w:usb0="00000287" w:usb1="00000000" w:usb2="00000000" w:usb3="00000000" w:csb0="2000009F" w:csb1="00000000"/>
  </w:font>
  <w:font w:name="等线 Light">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font>
  <w:font w:name="方正仿宋简体">
    <w:panose1 w:val="02000000000000000000"/>
    <w:charset w:val="86"/>
    <w:family w:val="auto"/>
    <w:pitch w:val="default"/>
    <w:sig w:usb0="A00002BF" w:usb1="184F6CFA" w:usb2="00000012" w:usb3="00000000" w:csb0="00040001" w:csb1="00000000"/>
  </w:font>
  <w:font w:name="方正仿宋_GBK">
    <w:altName w:val="微软雅黑"/>
    <w:panose1 w:val="00000000000000000000"/>
    <w:charset w:val="86"/>
    <w:family w:val="script"/>
    <w:pitch w:val="default"/>
    <w:sig w:usb0="00000000" w:usb1="00000000" w:usb2="00000000" w:usb3="00000000" w:csb0="00040000" w:csb1="00000000"/>
  </w:font>
  <w:font w:name="方正楷体简体">
    <w:panose1 w:val="02000000000000000000"/>
    <w:charset w:val="86"/>
    <w:family w:val="auto"/>
    <w:pitch w:val="default"/>
    <w:sig w:usb0="A00002BF" w:usb1="184F6CFA" w:usb2="00000012" w:usb3="00000000" w:csb0="00040001" w:csb1="00000000"/>
  </w:font>
  <w:font w:name="微软雅黑">
    <w:panose1 w:val="020B0503020204020204"/>
    <w:charset w:val="86"/>
    <w:family w:val="auto"/>
    <w:pitch w:val="default"/>
    <w:sig w:usb0="80000287" w:usb1="2ACF3C50" w:usb2="00000016" w:usb3="00000000" w:csb0="0004001F"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E16CE">
    <w:pPr>
      <w:pStyle w:val="2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F149B">
    <w:pPr>
      <w:pStyle w:val="2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56B6C">
    <w:pPr>
      <w:pStyle w:val="2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16224"/>
    </w:sdtPr>
    <w:sdtContent>
      <w:p w14:paraId="338C6A53">
        <w:pPr>
          <w:pStyle w:val="21"/>
          <w:ind w:firstLine="360"/>
          <w:jc w:val="center"/>
        </w:pPr>
        <w:r>
          <w:fldChar w:fldCharType="begin"/>
        </w:r>
        <w:r>
          <w:instrText xml:space="preserve"> PAGE   \* MERGEFORMAT </w:instrText>
        </w:r>
        <w:r>
          <w:fldChar w:fldCharType="separate"/>
        </w:r>
        <w:r>
          <w:rPr>
            <w:lang w:val="zh-CN"/>
          </w:rPr>
          <w:t>II</w:t>
        </w:r>
        <w:r>
          <w:rPr>
            <w:lang w:val="zh-C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08143658"/>
      <w:docPartObj>
        <w:docPartGallery w:val="autotext"/>
      </w:docPartObj>
    </w:sdtPr>
    <w:sdtContent>
      <w:p w14:paraId="1A51A821">
        <w:pPr>
          <w:pStyle w:val="21"/>
          <w:ind w:firstLine="360"/>
          <w:jc w:val="center"/>
        </w:pPr>
        <w:r>
          <w:fldChar w:fldCharType="begin"/>
        </w:r>
        <w:r>
          <w:instrText xml:space="preserve">PAGE   \* MERGEFORMAT</w:instrText>
        </w:r>
        <w:r>
          <w:fldChar w:fldCharType="separate"/>
        </w:r>
        <w:r>
          <w:rPr>
            <w:lang w:val="zh-CN"/>
          </w:rPr>
          <w:t>2</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65A34">
    <w:pPr>
      <w:pStyle w:val="2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ACD8A4A">
                          <w:pPr>
                            <w:pStyle w:val="21"/>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p w14:paraId="3ACD8A4A">
                    <w:pPr>
                      <w:pStyle w:val="21"/>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D7886">
    <w:pPr>
      <w:pStyle w:val="21"/>
      <w:ind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147471720"/>
                            <w:docPartObj>
                              <w:docPartGallery w:val="autotext"/>
                            </w:docPartObj>
                          </w:sdtPr>
                          <w:sdtContent>
                            <w:p w14:paraId="6FEE7A5C">
                              <w:pPr>
                                <w:pStyle w:val="21"/>
                                <w:ind w:firstLine="360"/>
                                <w:jc w:val="center"/>
                              </w:pPr>
                              <w:r>
                                <w:fldChar w:fldCharType="begin"/>
                              </w:r>
                              <w:r>
                                <w:instrText xml:space="preserve">PAGE   \* MERGEFORMAT</w:instrText>
                              </w:r>
                              <w:r>
                                <w:fldChar w:fldCharType="separate"/>
                              </w:r>
                              <w:r>
                                <w:rPr>
                                  <w:lang w:val="zh-CN"/>
                                </w:rPr>
                                <w:t>2</w:t>
                              </w:r>
                              <w:r>
                                <w:fldChar w:fldCharType="end"/>
                              </w:r>
                            </w:p>
                          </w:sdtContent>
                        </w:sdt>
                        <w:p w14:paraId="271B31D4"/>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pr3cAgAAJ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fyKa93AIAACQGAAAOAAAAAAAAAAEAIAAAAB8BAABkcnMvZTJvRG9jLnhtbFBLBQYA&#10;AAAABgAGAFkBAABtBgAAAAA=&#10;">
              <v:fill on="f" focussize="0,0"/>
              <v:stroke on="f" weight="0.5pt"/>
              <v:imagedata o:title=""/>
              <o:lock v:ext="edit" aspectratio="f"/>
              <v:textbox inset="0mm,0mm,0mm,0mm" style="mso-fit-shape-to-text:t;">
                <w:txbxContent>
                  <w:sdt>
                    <w:sdtPr>
                      <w:id w:val="147471720"/>
                      <w:docPartObj>
                        <w:docPartGallery w:val="autotext"/>
                      </w:docPartObj>
                    </w:sdtPr>
                    <w:sdtContent>
                      <w:p w14:paraId="6FEE7A5C">
                        <w:pPr>
                          <w:pStyle w:val="21"/>
                          <w:ind w:firstLine="360"/>
                          <w:jc w:val="center"/>
                        </w:pPr>
                        <w:r>
                          <w:fldChar w:fldCharType="begin"/>
                        </w:r>
                        <w:r>
                          <w:instrText xml:space="preserve">PAGE   \* MERGEFORMAT</w:instrText>
                        </w:r>
                        <w:r>
                          <w:fldChar w:fldCharType="separate"/>
                        </w:r>
                        <w:r>
                          <w:rPr>
                            <w:lang w:val="zh-CN"/>
                          </w:rPr>
                          <w:t>2</w:t>
                        </w:r>
                        <w:r>
                          <w:fldChar w:fldCharType="end"/>
                        </w:r>
                      </w:p>
                    </w:sdtContent>
                  </w:sdt>
                  <w:p w14:paraId="271B31D4"/>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9CF5C">
    <w:pPr>
      <w:pStyle w:val="21"/>
      <w:ind w:left="0" w:leftChars="0" w:firstLine="0" w:firstLineChars="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8D03F7">
                          <w:pPr>
                            <w:pStyle w:val="21"/>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38D03F7">
                    <w:pPr>
                      <w:pStyle w:val="21"/>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15570">
    <w:pPr>
      <w:pStyle w:val="2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A8FB56">
                          <w:pPr>
                            <w:pStyle w:val="21"/>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8A8FB56">
                    <w:pPr>
                      <w:pStyle w:val="21"/>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650B1">
    <w:pPr>
      <w:pStyle w:val="22"/>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66A62">
    <w:pPr>
      <w:pStyle w:val="2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EE6A8">
    <w:pPr>
      <w:pStyle w:val="22"/>
      <w:pBdr>
        <w:bottom w:val="none" w:color="auto" w:sz="0" w:space="1"/>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FDD63">
    <w:pPr>
      <w:pStyle w:val="22"/>
      <w:ind w:firstLine="360"/>
      <w:jc w:val="right"/>
    </w:pPr>
    <w:r>
      <w:rPr>
        <w:rFonts w:hint="eastAsia"/>
        <w:lang w:eastAsia="zh-CN"/>
      </w:rPr>
      <w:t>峨眉山市集中式饮用水水源地</w:t>
    </w:r>
    <w:r>
      <w:rPr>
        <w:rFonts w:hint="eastAsia"/>
      </w:rPr>
      <w:t>突发环境事件应急预案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EEC48">
    <w:pPr>
      <w:pStyle w:val="22"/>
      <w:keepNext w:val="0"/>
      <w:keepLines w:val="0"/>
      <w:pageBreakBefore w:val="0"/>
      <w:widowControl w:val="0"/>
      <w:kinsoku/>
      <w:wordWrap/>
      <w:overflowPunct/>
      <w:topLinePunct w:val="0"/>
      <w:bidi w:val="0"/>
      <w:adjustRightInd/>
      <w:snapToGrid w:val="0"/>
      <w:spacing w:line="240" w:lineRule="auto"/>
      <w:ind w:firstLine="0" w:firstLineChars="0"/>
      <w:jc w:val="right"/>
      <w:textAlignment w:val="auto"/>
    </w:pPr>
    <w:r>
      <w:rPr>
        <w:rFonts w:hint="eastAsia"/>
        <w:lang w:eastAsia="zh-CN"/>
      </w:rPr>
      <w:t>峨眉山市集中式饮用水水源地</w:t>
    </w:r>
    <w:r>
      <w:rPr>
        <w:rFonts w:hint="eastAsia"/>
      </w:rPr>
      <w:t>突发环境事件应急预案</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A3113">
    <w:pPr>
      <w:pStyle w:val="22"/>
      <w:keepNext w:val="0"/>
      <w:keepLines w:val="0"/>
      <w:pageBreakBefore w:val="0"/>
      <w:widowControl w:val="0"/>
      <w:kinsoku/>
      <w:wordWrap/>
      <w:overflowPunct/>
      <w:topLinePunct w:val="0"/>
      <w:bidi w:val="0"/>
      <w:adjustRightInd/>
      <w:snapToGrid w:val="0"/>
      <w:spacing w:line="240" w:lineRule="auto"/>
      <w:ind w:firstLine="0" w:firstLineChars="0"/>
      <w:jc w:val="right"/>
      <w:textAlignment w:val="auto"/>
    </w:pPr>
    <w:r>
      <w:rPr>
        <w:rFonts w:hint="eastAsia"/>
      </w:rPr>
      <w:t>峨眉山市集中式饮用水水源地突发环境事件应急预案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7A9E2E"/>
    <w:multiLevelType w:val="singleLevel"/>
    <w:tmpl w:val="927A9E2E"/>
    <w:lvl w:ilvl="0" w:tentative="0">
      <w:start w:val="1"/>
      <w:numFmt w:val="decimal"/>
      <w:pStyle w:val="7"/>
      <w:lvlText w:val="%1."/>
      <w:lvlJc w:val="left"/>
      <w:pPr>
        <w:tabs>
          <w:tab w:val="left" w:pos="360"/>
        </w:tabs>
        <w:ind w:left="360" w:hanging="360"/>
      </w:pPr>
    </w:lvl>
  </w:abstractNum>
  <w:abstractNum w:abstractNumId="1">
    <w:nsid w:val="BEF12D56"/>
    <w:multiLevelType w:val="singleLevel"/>
    <w:tmpl w:val="BEF12D56"/>
    <w:lvl w:ilvl="0" w:tentative="0">
      <w:start w:val="1"/>
      <w:numFmt w:val="decimal"/>
      <w:suff w:val="nothing"/>
      <w:lvlText w:val="%1．"/>
      <w:lvlJc w:val="left"/>
      <w:pPr>
        <w:ind w:left="0" w:firstLine="400"/>
      </w:pPr>
      <w:rPr>
        <w:rFonts w:hint="default"/>
      </w:rPr>
    </w:lvl>
  </w:abstractNum>
  <w:abstractNum w:abstractNumId="2">
    <w:nsid w:val="C1BF25F2"/>
    <w:multiLevelType w:val="multilevel"/>
    <w:tmpl w:val="C1BF25F2"/>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0BE568AD"/>
    <w:multiLevelType w:val="singleLevel"/>
    <w:tmpl w:val="0BE568AD"/>
    <w:lvl w:ilvl="0" w:tentative="0">
      <w:start w:val="1"/>
      <w:numFmt w:val="decimal"/>
      <w:suff w:val="nothing"/>
      <w:lvlText w:val="（%1）"/>
      <w:lvlJc w:val="left"/>
      <w:pPr>
        <w:tabs>
          <w:tab w:val="left" w:pos="0"/>
        </w:tabs>
        <w:ind w:left="0" w:firstLine="0"/>
      </w:pPr>
    </w:lvl>
  </w:abstractNum>
  <w:abstractNum w:abstractNumId="4">
    <w:nsid w:val="0DFF4F2B"/>
    <w:multiLevelType w:val="singleLevel"/>
    <w:tmpl w:val="0DFF4F2B"/>
    <w:lvl w:ilvl="0" w:tentative="0">
      <w:start w:val="1"/>
      <w:numFmt w:val="decimal"/>
      <w:suff w:val="nothing"/>
      <w:lvlText w:val="（%1）"/>
      <w:lvlJc w:val="left"/>
    </w:lvl>
  </w:abstractNum>
  <w:abstractNum w:abstractNumId="5">
    <w:nsid w:val="1F5DAC75"/>
    <w:multiLevelType w:val="singleLevel"/>
    <w:tmpl w:val="1F5DAC75"/>
    <w:lvl w:ilvl="0" w:tentative="0">
      <w:start w:val="1"/>
      <w:numFmt w:val="decimal"/>
      <w:suff w:val="nothing"/>
      <w:lvlText w:val="（%1）"/>
      <w:lvlJc w:val="left"/>
    </w:lvl>
  </w:abstractNum>
  <w:abstractNum w:abstractNumId="6">
    <w:nsid w:val="636669BC"/>
    <w:multiLevelType w:val="singleLevel"/>
    <w:tmpl w:val="636669BC"/>
    <w:lvl w:ilvl="0" w:tentative="0">
      <w:start w:val="1"/>
      <w:numFmt w:val="decimal"/>
      <w:suff w:val="nothing"/>
      <w:lvlText w:val="（%1）"/>
      <w:lvlJc w:val="left"/>
    </w:lvl>
  </w:abstractNum>
  <w:abstractNum w:abstractNumId="7">
    <w:nsid w:val="6BD0D023"/>
    <w:multiLevelType w:val="singleLevel"/>
    <w:tmpl w:val="6BD0D023"/>
    <w:lvl w:ilvl="0" w:tentative="0">
      <w:start w:val="1"/>
      <w:numFmt w:val="decimal"/>
      <w:suff w:val="nothing"/>
      <w:lvlText w:val="%1．"/>
      <w:lvlJc w:val="left"/>
      <w:pPr>
        <w:ind w:left="0" w:firstLine="400"/>
      </w:pPr>
      <w:rPr>
        <w:rFonts w:hint="default"/>
      </w:rPr>
    </w:lvl>
  </w:abstractNum>
  <w:abstractNum w:abstractNumId="8">
    <w:nsid w:val="7A064A19"/>
    <w:multiLevelType w:val="singleLevel"/>
    <w:tmpl w:val="7A064A19"/>
    <w:lvl w:ilvl="0" w:tentative="0">
      <w:start w:val="1"/>
      <w:numFmt w:val="decimal"/>
      <w:suff w:val="nothing"/>
      <w:lvlText w:val="%1．"/>
      <w:lvlJc w:val="left"/>
      <w:pPr>
        <w:ind w:left="0" w:firstLine="400"/>
      </w:pPr>
      <w:rPr>
        <w:rFonts w:hint="default"/>
      </w:rPr>
    </w:lvl>
  </w:abstractNum>
  <w:num w:numId="1">
    <w:abstractNumId w:val="0"/>
  </w:num>
  <w:num w:numId="2">
    <w:abstractNumId w:val="2"/>
  </w:num>
  <w:num w:numId="3">
    <w:abstractNumId w:val="4"/>
  </w:num>
  <w:num w:numId="4">
    <w:abstractNumId w:val="6"/>
  </w:num>
  <w:num w:numId="5">
    <w:abstractNumId w:val="1"/>
  </w:num>
  <w:num w:numId="6">
    <w:abstractNumId w:val="8"/>
  </w:num>
  <w:num w:numId="7">
    <w:abstractNumId w:val="7"/>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documentProtection w:enforcement="0"/>
  <w:defaultTabStop w:val="420"/>
  <w:drawingGridHorizontalSpacing w:val="3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Q3MzI0Y2MxZGQ1MmNhMGI3Zjc0ODM0YmQ1ZWU1NzIifQ=="/>
  </w:docVars>
  <w:rsids>
    <w:rsidRoot w:val="008D598F"/>
    <w:rsid w:val="000127F0"/>
    <w:rsid w:val="00017F20"/>
    <w:rsid w:val="00021F60"/>
    <w:rsid w:val="000231C1"/>
    <w:rsid w:val="00033EA1"/>
    <w:rsid w:val="000452BE"/>
    <w:rsid w:val="00053679"/>
    <w:rsid w:val="00060418"/>
    <w:rsid w:val="00066236"/>
    <w:rsid w:val="00074E3A"/>
    <w:rsid w:val="000826ED"/>
    <w:rsid w:val="000941B5"/>
    <w:rsid w:val="0009700E"/>
    <w:rsid w:val="0009734E"/>
    <w:rsid w:val="000A086D"/>
    <w:rsid w:val="000A4F85"/>
    <w:rsid w:val="000A5985"/>
    <w:rsid w:val="000A6E49"/>
    <w:rsid w:val="000B0A49"/>
    <w:rsid w:val="000B0A7F"/>
    <w:rsid w:val="000B6934"/>
    <w:rsid w:val="000B6A19"/>
    <w:rsid w:val="000C1F3B"/>
    <w:rsid w:val="000D5C5D"/>
    <w:rsid w:val="000E0905"/>
    <w:rsid w:val="000E28AC"/>
    <w:rsid w:val="000E5BE9"/>
    <w:rsid w:val="000E7B75"/>
    <w:rsid w:val="000F3076"/>
    <w:rsid w:val="000F3D05"/>
    <w:rsid w:val="000F44F7"/>
    <w:rsid w:val="0010076F"/>
    <w:rsid w:val="00122529"/>
    <w:rsid w:val="001249A8"/>
    <w:rsid w:val="00127ECE"/>
    <w:rsid w:val="00134288"/>
    <w:rsid w:val="00150290"/>
    <w:rsid w:val="00150CF0"/>
    <w:rsid w:val="001623E1"/>
    <w:rsid w:val="00164BB3"/>
    <w:rsid w:val="00171811"/>
    <w:rsid w:val="00171C93"/>
    <w:rsid w:val="00171DA9"/>
    <w:rsid w:val="0017551B"/>
    <w:rsid w:val="0018134F"/>
    <w:rsid w:val="001850E8"/>
    <w:rsid w:val="00191E7A"/>
    <w:rsid w:val="00192646"/>
    <w:rsid w:val="0019429E"/>
    <w:rsid w:val="001B157F"/>
    <w:rsid w:val="001B576A"/>
    <w:rsid w:val="001B6669"/>
    <w:rsid w:val="001C51A2"/>
    <w:rsid w:val="001C6746"/>
    <w:rsid w:val="001E13D6"/>
    <w:rsid w:val="001E1F66"/>
    <w:rsid w:val="001E4332"/>
    <w:rsid w:val="001E5499"/>
    <w:rsid w:val="001F045B"/>
    <w:rsid w:val="001F0E26"/>
    <w:rsid w:val="001F0E65"/>
    <w:rsid w:val="001F3A2D"/>
    <w:rsid w:val="001F4561"/>
    <w:rsid w:val="001F5DFF"/>
    <w:rsid w:val="00204F9B"/>
    <w:rsid w:val="00211E6D"/>
    <w:rsid w:val="002132D0"/>
    <w:rsid w:val="002165F6"/>
    <w:rsid w:val="00217A13"/>
    <w:rsid w:val="002229DB"/>
    <w:rsid w:val="00225E4A"/>
    <w:rsid w:val="00230F77"/>
    <w:rsid w:val="0023216A"/>
    <w:rsid w:val="002432F6"/>
    <w:rsid w:val="002451EA"/>
    <w:rsid w:val="002471F8"/>
    <w:rsid w:val="002537A8"/>
    <w:rsid w:val="0027625C"/>
    <w:rsid w:val="00277FAC"/>
    <w:rsid w:val="00285979"/>
    <w:rsid w:val="002862E5"/>
    <w:rsid w:val="0029212A"/>
    <w:rsid w:val="002923FE"/>
    <w:rsid w:val="00294026"/>
    <w:rsid w:val="00296D7C"/>
    <w:rsid w:val="002A0491"/>
    <w:rsid w:val="002D7B73"/>
    <w:rsid w:val="002E088E"/>
    <w:rsid w:val="002E1C58"/>
    <w:rsid w:val="002F3FFE"/>
    <w:rsid w:val="003058E0"/>
    <w:rsid w:val="00307C96"/>
    <w:rsid w:val="0031001F"/>
    <w:rsid w:val="00316EA7"/>
    <w:rsid w:val="00322056"/>
    <w:rsid w:val="003305AE"/>
    <w:rsid w:val="003363A6"/>
    <w:rsid w:val="00341D28"/>
    <w:rsid w:val="00366636"/>
    <w:rsid w:val="00374563"/>
    <w:rsid w:val="00384842"/>
    <w:rsid w:val="00390EF4"/>
    <w:rsid w:val="00391684"/>
    <w:rsid w:val="003A3DCF"/>
    <w:rsid w:val="003B18DA"/>
    <w:rsid w:val="003B6883"/>
    <w:rsid w:val="003C1855"/>
    <w:rsid w:val="003D2B3F"/>
    <w:rsid w:val="003D5B67"/>
    <w:rsid w:val="003E2FD0"/>
    <w:rsid w:val="003E369F"/>
    <w:rsid w:val="003F44AC"/>
    <w:rsid w:val="00402A45"/>
    <w:rsid w:val="00403610"/>
    <w:rsid w:val="004073FF"/>
    <w:rsid w:val="00414C9C"/>
    <w:rsid w:val="004163BE"/>
    <w:rsid w:val="0042057E"/>
    <w:rsid w:val="004366E1"/>
    <w:rsid w:val="00442AC8"/>
    <w:rsid w:val="00443A26"/>
    <w:rsid w:val="004566E9"/>
    <w:rsid w:val="00456C19"/>
    <w:rsid w:val="00457714"/>
    <w:rsid w:val="00457B94"/>
    <w:rsid w:val="00463B10"/>
    <w:rsid w:val="00465C34"/>
    <w:rsid w:val="004744C0"/>
    <w:rsid w:val="00477C39"/>
    <w:rsid w:val="004823B5"/>
    <w:rsid w:val="00485C33"/>
    <w:rsid w:val="004A2DE5"/>
    <w:rsid w:val="004A31B5"/>
    <w:rsid w:val="004B52FD"/>
    <w:rsid w:val="004C491F"/>
    <w:rsid w:val="004D5738"/>
    <w:rsid w:val="004E1058"/>
    <w:rsid w:val="004E1E5E"/>
    <w:rsid w:val="004E6E1B"/>
    <w:rsid w:val="004F61A1"/>
    <w:rsid w:val="004F7C7B"/>
    <w:rsid w:val="005012F7"/>
    <w:rsid w:val="00502C1F"/>
    <w:rsid w:val="00502FCD"/>
    <w:rsid w:val="00503097"/>
    <w:rsid w:val="00510E1A"/>
    <w:rsid w:val="005143E8"/>
    <w:rsid w:val="005225F7"/>
    <w:rsid w:val="0053603A"/>
    <w:rsid w:val="00542727"/>
    <w:rsid w:val="00542B9C"/>
    <w:rsid w:val="005466E9"/>
    <w:rsid w:val="00546E08"/>
    <w:rsid w:val="005669C8"/>
    <w:rsid w:val="00566B04"/>
    <w:rsid w:val="00570715"/>
    <w:rsid w:val="00570ECE"/>
    <w:rsid w:val="005717F0"/>
    <w:rsid w:val="00572650"/>
    <w:rsid w:val="00575D76"/>
    <w:rsid w:val="00585492"/>
    <w:rsid w:val="00590976"/>
    <w:rsid w:val="005A1C4E"/>
    <w:rsid w:val="005A35E9"/>
    <w:rsid w:val="005A4595"/>
    <w:rsid w:val="005A5E0D"/>
    <w:rsid w:val="005B4C88"/>
    <w:rsid w:val="005C1564"/>
    <w:rsid w:val="005C7B95"/>
    <w:rsid w:val="005D1072"/>
    <w:rsid w:val="005E1A23"/>
    <w:rsid w:val="00606046"/>
    <w:rsid w:val="00617EB2"/>
    <w:rsid w:val="006234B4"/>
    <w:rsid w:val="00624C10"/>
    <w:rsid w:val="00643B76"/>
    <w:rsid w:val="0065204D"/>
    <w:rsid w:val="006558F3"/>
    <w:rsid w:val="0066276C"/>
    <w:rsid w:val="00663E2F"/>
    <w:rsid w:val="0066472C"/>
    <w:rsid w:val="00666E76"/>
    <w:rsid w:val="0066728F"/>
    <w:rsid w:val="00667A6B"/>
    <w:rsid w:val="0067273D"/>
    <w:rsid w:val="00675E40"/>
    <w:rsid w:val="00677FDB"/>
    <w:rsid w:val="00682538"/>
    <w:rsid w:val="00683F1E"/>
    <w:rsid w:val="006845B6"/>
    <w:rsid w:val="00690024"/>
    <w:rsid w:val="006A2B37"/>
    <w:rsid w:val="006A3314"/>
    <w:rsid w:val="006A5226"/>
    <w:rsid w:val="006A54DE"/>
    <w:rsid w:val="006B46F7"/>
    <w:rsid w:val="006B7B5C"/>
    <w:rsid w:val="006B7E7D"/>
    <w:rsid w:val="006C0B40"/>
    <w:rsid w:val="006C146E"/>
    <w:rsid w:val="006D667E"/>
    <w:rsid w:val="006E70A2"/>
    <w:rsid w:val="006F0034"/>
    <w:rsid w:val="006F4722"/>
    <w:rsid w:val="006F5041"/>
    <w:rsid w:val="006F53EB"/>
    <w:rsid w:val="00701327"/>
    <w:rsid w:val="00715C13"/>
    <w:rsid w:val="00724426"/>
    <w:rsid w:val="007256EC"/>
    <w:rsid w:val="007320A9"/>
    <w:rsid w:val="007339F3"/>
    <w:rsid w:val="0073433D"/>
    <w:rsid w:val="0073584E"/>
    <w:rsid w:val="00742D60"/>
    <w:rsid w:val="00751AE6"/>
    <w:rsid w:val="00753753"/>
    <w:rsid w:val="00761C96"/>
    <w:rsid w:val="007628C1"/>
    <w:rsid w:val="00762ED5"/>
    <w:rsid w:val="00766B85"/>
    <w:rsid w:val="00775C69"/>
    <w:rsid w:val="00775FF6"/>
    <w:rsid w:val="00781B3F"/>
    <w:rsid w:val="00785D7E"/>
    <w:rsid w:val="007A1F33"/>
    <w:rsid w:val="007B3099"/>
    <w:rsid w:val="007B7AD5"/>
    <w:rsid w:val="007C119C"/>
    <w:rsid w:val="007D2D74"/>
    <w:rsid w:val="007D6CFE"/>
    <w:rsid w:val="007E1E8F"/>
    <w:rsid w:val="007F5EBF"/>
    <w:rsid w:val="007F61D8"/>
    <w:rsid w:val="00805678"/>
    <w:rsid w:val="00823A77"/>
    <w:rsid w:val="00823FFB"/>
    <w:rsid w:val="008252B3"/>
    <w:rsid w:val="0082799D"/>
    <w:rsid w:val="0083130A"/>
    <w:rsid w:val="0083535B"/>
    <w:rsid w:val="008361F7"/>
    <w:rsid w:val="008562C8"/>
    <w:rsid w:val="00862E8F"/>
    <w:rsid w:val="008745F5"/>
    <w:rsid w:val="00875529"/>
    <w:rsid w:val="00880D6B"/>
    <w:rsid w:val="00886099"/>
    <w:rsid w:val="00890DA0"/>
    <w:rsid w:val="008A4A94"/>
    <w:rsid w:val="008A6292"/>
    <w:rsid w:val="008B2FAA"/>
    <w:rsid w:val="008C2C90"/>
    <w:rsid w:val="008C669B"/>
    <w:rsid w:val="008D598F"/>
    <w:rsid w:val="008D6F15"/>
    <w:rsid w:val="008E6194"/>
    <w:rsid w:val="00904868"/>
    <w:rsid w:val="00906C33"/>
    <w:rsid w:val="00912964"/>
    <w:rsid w:val="00915B40"/>
    <w:rsid w:val="00921B38"/>
    <w:rsid w:val="00921EBB"/>
    <w:rsid w:val="009235CD"/>
    <w:rsid w:val="00924F21"/>
    <w:rsid w:val="00925D80"/>
    <w:rsid w:val="00933DFA"/>
    <w:rsid w:val="0093508D"/>
    <w:rsid w:val="0093606B"/>
    <w:rsid w:val="00937891"/>
    <w:rsid w:val="00940558"/>
    <w:rsid w:val="00941374"/>
    <w:rsid w:val="009440B4"/>
    <w:rsid w:val="009538B4"/>
    <w:rsid w:val="00953AD8"/>
    <w:rsid w:val="00961BB1"/>
    <w:rsid w:val="00964C95"/>
    <w:rsid w:val="009657EB"/>
    <w:rsid w:val="00972806"/>
    <w:rsid w:val="00977905"/>
    <w:rsid w:val="00977D40"/>
    <w:rsid w:val="00994FF1"/>
    <w:rsid w:val="009960A7"/>
    <w:rsid w:val="009B29A2"/>
    <w:rsid w:val="009B744B"/>
    <w:rsid w:val="009D5E1D"/>
    <w:rsid w:val="009D7E16"/>
    <w:rsid w:val="009E3CD7"/>
    <w:rsid w:val="009E46C7"/>
    <w:rsid w:val="009E58B1"/>
    <w:rsid w:val="009F3569"/>
    <w:rsid w:val="009F4616"/>
    <w:rsid w:val="009F5DF4"/>
    <w:rsid w:val="00A10A8B"/>
    <w:rsid w:val="00A13181"/>
    <w:rsid w:val="00A2157C"/>
    <w:rsid w:val="00A2602B"/>
    <w:rsid w:val="00A26CFE"/>
    <w:rsid w:val="00A36C49"/>
    <w:rsid w:val="00A536A6"/>
    <w:rsid w:val="00A56772"/>
    <w:rsid w:val="00A56B96"/>
    <w:rsid w:val="00A7697B"/>
    <w:rsid w:val="00A933E3"/>
    <w:rsid w:val="00A93E19"/>
    <w:rsid w:val="00AA0347"/>
    <w:rsid w:val="00AA52D6"/>
    <w:rsid w:val="00AB6B78"/>
    <w:rsid w:val="00AC523A"/>
    <w:rsid w:val="00AD702E"/>
    <w:rsid w:val="00AF0284"/>
    <w:rsid w:val="00AF0700"/>
    <w:rsid w:val="00AF3AB9"/>
    <w:rsid w:val="00AF414F"/>
    <w:rsid w:val="00B05AA3"/>
    <w:rsid w:val="00B12255"/>
    <w:rsid w:val="00B24021"/>
    <w:rsid w:val="00B322E4"/>
    <w:rsid w:val="00B373FD"/>
    <w:rsid w:val="00B5011F"/>
    <w:rsid w:val="00B51EFF"/>
    <w:rsid w:val="00B60E17"/>
    <w:rsid w:val="00B63E97"/>
    <w:rsid w:val="00B6545C"/>
    <w:rsid w:val="00B72FFF"/>
    <w:rsid w:val="00B87205"/>
    <w:rsid w:val="00B9378D"/>
    <w:rsid w:val="00B94399"/>
    <w:rsid w:val="00B948E9"/>
    <w:rsid w:val="00B96573"/>
    <w:rsid w:val="00BA0FBF"/>
    <w:rsid w:val="00BA4063"/>
    <w:rsid w:val="00BB3158"/>
    <w:rsid w:val="00BB36F4"/>
    <w:rsid w:val="00BB44C7"/>
    <w:rsid w:val="00BC3F35"/>
    <w:rsid w:val="00BC7EA7"/>
    <w:rsid w:val="00BD3F53"/>
    <w:rsid w:val="00BE6C69"/>
    <w:rsid w:val="00BE7AE9"/>
    <w:rsid w:val="00C030C1"/>
    <w:rsid w:val="00C05FD7"/>
    <w:rsid w:val="00C076A3"/>
    <w:rsid w:val="00C161C6"/>
    <w:rsid w:val="00C16EB4"/>
    <w:rsid w:val="00C17283"/>
    <w:rsid w:val="00C20D7B"/>
    <w:rsid w:val="00C3122E"/>
    <w:rsid w:val="00C32C00"/>
    <w:rsid w:val="00C36581"/>
    <w:rsid w:val="00C37008"/>
    <w:rsid w:val="00C465AF"/>
    <w:rsid w:val="00C502B3"/>
    <w:rsid w:val="00C5486C"/>
    <w:rsid w:val="00C605C3"/>
    <w:rsid w:val="00C62BE5"/>
    <w:rsid w:val="00C65FD0"/>
    <w:rsid w:val="00C93744"/>
    <w:rsid w:val="00C94948"/>
    <w:rsid w:val="00CB3669"/>
    <w:rsid w:val="00CC0F54"/>
    <w:rsid w:val="00CC580E"/>
    <w:rsid w:val="00CD0556"/>
    <w:rsid w:val="00CD2073"/>
    <w:rsid w:val="00CD726D"/>
    <w:rsid w:val="00CD7D93"/>
    <w:rsid w:val="00CE0057"/>
    <w:rsid w:val="00CE1C98"/>
    <w:rsid w:val="00CE2754"/>
    <w:rsid w:val="00CE31BC"/>
    <w:rsid w:val="00CE6543"/>
    <w:rsid w:val="00CE7085"/>
    <w:rsid w:val="00CF264C"/>
    <w:rsid w:val="00D11785"/>
    <w:rsid w:val="00D14D50"/>
    <w:rsid w:val="00D1689F"/>
    <w:rsid w:val="00D2611B"/>
    <w:rsid w:val="00D31F9B"/>
    <w:rsid w:val="00D3297A"/>
    <w:rsid w:val="00D363EF"/>
    <w:rsid w:val="00D40F53"/>
    <w:rsid w:val="00D43274"/>
    <w:rsid w:val="00D43BB2"/>
    <w:rsid w:val="00D45E8B"/>
    <w:rsid w:val="00D462D5"/>
    <w:rsid w:val="00D4711D"/>
    <w:rsid w:val="00D6129F"/>
    <w:rsid w:val="00D738D8"/>
    <w:rsid w:val="00D7695E"/>
    <w:rsid w:val="00D81D37"/>
    <w:rsid w:val="00D84D72"/>
    <w:rsid w:val="00D94C0F"/>
    <w:rsid w:val="00D97A9E"/>
    <w:rsid w:val="00DA09BA"/>
    <w:rsid w:val="00DB0A7D"/>
    <w:rsid w:val="00DB1A2A"/>
    <w:rsid w:val="00DB1F70"/>
    <w:rsid w:val="00DB56D4"/>
    <w:rsid w:val="00DC3D19"/>
    <w:rsid w:val="00DD1002"/>
    <w:rsid w:val="00DE56DE"/>
    <w:rsid w:val="00DE6E8A"/>
    <w:rsid w:val="00DF3282"/>
    <w:rsid w:val="00DF7138"/>
    <w:rsid w:val="00E0150B"/>
    <w:rsid w:val="00E20B25"/>
    <w:rsid w:val="00E31447"/>
    <w:rsid w:val="00E33EDA"/>
    <w:rsid w:val="00E43861"/>
    <w:rsid w:val="00E572DB"/>
    <w:rsid w:val="00E62A91"/>
    <w:rsid w:val="00E92CE1"/>
    <w:rsid w:val="00E96A8F"/>
    <w:rsid w:val="00EA6869"/>
    <w:rsid w:val="00EB1755"/>
    <w:rsid w:val="00EB7CD7"/>
    <w:rsid w:val="00F005CD"/>
    <w:rsid w:val="00F04B0D"/>
    <w:rsid w:val="00F14F2E"/>
    <w:rsid w:val="00F340D7"/>
    <w:rsid w:val="00F34EF5"/>
    <w:rsid w:val="00F35397"/>
    <w:rsid w:val="00F40B68"/>
    <w:rsid w:val="00F52B28"/>
    <w:rsid w:val="00F5482C"/>
    <w:rsid w:val="00F56202"/>
    <w:rsid w:val="00F5795E"/>
    <w:rsid w:val="00F80C44"/>
    <w:rsid w:val="00F83F91"/>
    <w:rsid w:val="00F929B3"/>
    <w:rsid w:val="00FA4B77"/>
    <w:rsid w:val="00FC094F"/>
    <w:rsid w:val="00FC2112"/>
    <w:rsid w:val="00FC256E"/>
    <w:rsid w:val="00FC376D"/>
    <w:rsid w:val="00FC3E1B"/>
    <w:rsid w:val="00FD2DF9"/>
    <w:rsid w:val="00FD3666"/>
    <w:rsid w:val="00FE0B0A"/>
    <w:rsid w:val="00FE4B86"/>
    <w:rsid w:val="00FE6031"/>
    <w:rsid w:val="00FF1B0E"/>
    <w:rsid w:val="00FF3F91"/>
    <w:rsid w:val="00FF469A"/>
    <w:rsid w:val="00FF7300"/>
    <w:rsid w:val="01CC65E7"/>
    <w:rsid w:val="01E42A7D"/>
    <w:rsid w:val="022375EB"/>
    <w:rsid w:val="02AE7397"/>
    <w:rsid w:val="02BB432E"/>
    <w:rsid w:val="031D225E"/>
    <w:rsid w:val="03227CBD"/>
    <w:rsid w:val="033A0C2B"/>
    <w:rsid w:val="03522419"/>
    <w:rsid w:val="03836A76"/>
    <w:rsid w:val="03D8291E"/>
    <w:rsid w:val="03E77005"/>
    <w:rsid w:val="046917C8"/>
    <w:rsid w:val="047C774D"/>
    <w:rsid w:val="05DD2330"/>
    <w:rsid w:val="07124399"/>
    <w:rsid w:val="07672A7A"/>
    <w:rsid w:val="078D7EC3"/>
    <w:rsid w:val="079528D4"/>
    <w:rsid w:val="08445608"/>
    <w:rsid w:val="085D2473"/>
    <w:rsid w:val="087B3F0B"/>
    <w:rsid w:val="08B2101D"/>
    <w:rsid w:val="08D538D0"/>
    <w:rsid w:val="08E9270A"/>
    <w:rsid w:val="092B34F0"/>
    <w:rsid w:val="09435F88"/>
    <w:rsid w:val="09B01C47"/>
    <w:rsid w:val="09E4388E"/>
    <w:rsid w:val="0A2F7010"/>
    <w:rsid w:val="0ACE6829"/>
    <w:rsid w:val="0C9870EE"/>
    <w:rsid w:val="0C9E3391"/>
    <w:rsid w:val="0CAF4315"/>
    <w:rsid w:val="0CD56232"/>
    <w:rsid w:val="0CDA7707"/>
    <w:rsid w:val="0CDD2B94"/>
    <w:rsid w:val="0CEA5470"/>
    <w:rsid w:val="0CF84031"/>
    <w:rsid w:val="0D31309F"/>
    <w:rsid w:val="0D664DE6"/>
    <w:rsid w:val="0D703BC7"/>
    <w:rsid w:val="0DE3341C"/>
    <w:rsid w:val="0E1E63BC"/>
    <w:rsid w:val="0EB21FBD"/>
    <w:rsid w:val="0FEB1C2B"/>
    <w:rsid w:val="0FFC5BE6"/>
    <w:rsid w:val="10005D5C"/>
    <w:rsid w:val="1011433D"/>
    <w:rsid w:val="106D0892"/>
    <w:rsid w:val="115D4462"/>
    <w:rsid w:val="116457F1"/>
    <w:rsid w:val="11EB4368"/>
    <w:rsid w:val="12283265"/>
    <w:rsid w:val="12493959"/>
    <w:rsid w:val="12847608"/>
    <w:rsid w:val="12D04177"/>
    <w:rsid w:val="130D310F"/>
    <w:rsid w:val="13143247"/>
    <w:rsid w:val="131E2FC6"/>
    <w:rsid w:val="13207E3D"/>
    <w:rsid w:val="13394A5B"/>
    <w:rsid w:val="135B0E75"/>
    <w:rsid w:val="137666E0"/>
    <w:rsid w:val="140C03C2"/>
    <w:rsid w:val="153951E6"/>
    <w:rsid w:val="158521DA"/>
    <w:rsid w:val="15AE34DE"/>
    <w:rsid w:val="15BA052D"/>
    <w:rsid w:val="15D171CD"/>
    <w:rsid w:val="16685D83"/>
    <w:rsid w:val="16A13043"/>
    <w:rsid w:val="16F41B13"/>
    <w:rsid w:val="174B2FAF"/>
    <w:rsid w:val="17D64F6F"/>
    <w:rsid w:val="17FD1FDF"/>
    <w:rsid w:val="18673E19"/>
    <w:rsid w:val="189F35B2"/>
    <w:rsid w:val="18FC6C57"/>
    <w:rsid w:val="19A10856"/>
    <w:rsid w:val="1AEE0B26"/>
    <w:rsid w:val="1B1A0C21"/>
    <w:rsid w:val="1B991BA1"/>
    <w:rsid w:val="1C44694B"/>
    <w:rsid w:val="1C574F32"/>
    <w:rsid w:val="1C6F7740"/>
    <w:rsid w:val="1CB33AD0"/>
    <w:rsid w:val="1CDA105D"/>
    <w:rsid w:val="1CDE797A"/>
    <w:rsid w:val="1E28261B"/>
    <w:rsid w:val="1E4431DD"/>
    <w:rsid w:val="1EAE27A1"/>
    <w:rsid w:val="1F3F789D"/>
    <w:rsid w:val="1F5817D8"/>
    <w:rsid w:val="1FA616CA"/>
    <w:rsid w:val="2046237C"/>
    <w:rsid w:val="20511636"/>
    <w:rsid w:val="214B6B60"/>
    <w:rsid w:val="217645DB"/>
    <w:rsid w:val="22105252"/>
    <w:rsid w:val="224551CB"/>
    <w:rsid w:val="238F7B43"/>
    <w:rsid w:val="23E57B00"/>
    <w:rsid w:val="240C3129"/>
    <w:rsid w:val="24857B00"/>
    <w:rsid w:val="24CC572F"/>
    <w:rsid w:val="24EA2CEA"/>
    <w:rsid w:val="253946AA"/>
    <w:rsid w:val="25663CBD"/>
    <w:rsid w:val="25C4490E"/>
    <w:rsid w:val="2647756E"/>
    <w:rsid w:val="26663961"/>
    <w:rsid w:val="267E51A0"/>
    <w:rsid w:val="26AD1590"/>
    <w:rsid w:val="26C50688"/>
    <w:rsid w:val="27B23302"/>
    <w:rsid w:val="28210439"/>
    <w:rsid w:val="282C4737"/>
    <w:rsid w:val="285F68BA"/>
    <w:rsid w:val="286C3843"/>
    <w:rsid w:val="29047ED1"/>
    <w:rsid w:val="296A19BB"/>
    <w:rsid w:val="29791BFE"/>
    <w:rsid w:val="29CB572B"/>
    <w:rsid w:val="29D15596"/>
    <w:rsid w:val="29DD3C84"/>
    <w:rsid w:val="2A8820F8"/>
    <w:rsid w:val="2A893C1F"/>
    <w:rsid w:val="2AD27817"/>
    <w:rsid w:val="2B8352BC"/>
    <w:rsid w:val="2C5A3F68"/>
    <w:rsid w:val="2CC6038A"/>
    <w:rsid w:val="2CF32F29"/>
    <w:rsid w:val="2CFD2EAC"/>
    <w:rsid w:val="2D236108"/>
    <w:rsid w:val="2D342EBA"/>
    <w:rsid w:val="2D6D0E9D"/>
    <w:rsid w:val="2E314855"/>
    <w:rsid w:val="2EA72D69"/>
    <w:rsid w:val="2EF51D26"/>
    <w:rsid w:val="2F99535B"/>
    <w:rsid w:val="2FFD70E5"/>
    <w:rsid w:val="300B0B8E"/>
    <w:rsid w:val="31216E03"/>
    <w:rsid w:val="32E02BCB"/>
    <w:rsid w:val="338673F1"/>
    <w:rsid w:val="33A47FBA"/>
    <w:rsid w:val="33B73BA0"/>
    <w:rsid w:val="34362BC5"/>
    <w:rsid w:val="347436ED"/>
    <w:rsid w:val="34AB465D"/>
    <w:rsid w:val="34B34216"/>
    <w:rsid w:val="34C84471"/>
    <w:rsid w:val="35553C69"/>
    <w:rsid w:val="357F234A"/>
    <w:rsid w:val="36C17213"/>
    <w:rsid w:val="36E763F9"/>
    <w:rsid w:val="37533A8E"/>
    <w:rsid w:val="37BE182B"/>
    <w:rsid w:val="37CA25F4"/>
    <w:rsid w:val="382F44FB"/>
    <w:rsid w:val="385505E5"/>
    <w:rsid w:val="38B92017"/>
    <w:rsid w:val="38FB618B"/>
    <w:rsid w:val="3971469F"/>
    <w:rsid w:val="39AA62C4"/>
    <w:rsid w:val="3A382A52"/>
    <w:rsid w:val="3AA0523C"/>
    <w:rsid w:val="3AC84793"/>
    <w:rsid w:val="3AEA75F7"/>
    <w:rsid w:val="3C4E2A76"/>
    <w:rsid w:val="3C762FDE"/>
    <w:rsid w:val="3C942B7F"/>
    <w:rsid w:val="3DD07BE6"/>
    <w:rsid w:val="3DE11DF4"/>
    <w:rsid w:val="3E047890"/>
    <w:rsid w:val="3E2B3055"/>
    <w:rsid w:val="40063D93"/>
    <w:rsid w:val="41FE5745"/>
    <w:rsid w:val="42004812"/>
    <w:rsid w:val="42B011D8"/>
    <w:rsid w:val="43573C9E"/>
    <w:rsid w:val="438A44B7"/>
    <w:rsid w:val="44F64EDA"/>
    <w:rsid w:val="451A5BEB"/>
    <w:rsid w:val="46450FC5"/>
    <w:rsid w:val="46FC37FA"/>
    <w:rsid w:val="470E79D1"/>
    <w:rsid w:val="477F61D9"/>
    <w:rsid w:val="47895490"/>
    <w:rsid w:val="47FD1607"/>
    <w:rsid w:val="493F41BC"/>
    <w:rsid w:val="4B173379"/>
    <w:rsid w:val="4BA6642B"/>
    <w:rsid w:val="4BE710D5"/>
    <w:rsid w:val="4CDD6504"/>
    <w:rsid w:val="4D695D62"/>
    <w:rsid w:val="4E040D3C"/>
    <w:rsid w:val="4E086F29"/>
    <w:rsid w:val="4F251D5C"/>
    <w:rsid w:val="4F864F8F"/>
    <w:rsid w:val="50395AF7"/>
    <w:rsid w:val="50C03AEB"/>
    <w:rsid w:val="50F11EF6"/>
    <w:rsid w:val="515A3F96"/>
    <w:rsid w:val="51646B6C"/>
    <w:rsid w:val="51E67581"/>
    <w:rsid w:val="51EC090F"/>
    <w:rsid w:val="521A1920"/>
    <w:rsid w:val="536C018C"/>
    <w:rsid w:val="54352EEE"/>
    <w:rsid w:val="544A2917"/>
    <w:rsid w:val="546E7D01"/>
    <w:rsid w:val="554D5B69"/>
    <w:rsid w:val="5654355E"/>
    <w:rsid w:val="56FA587C"/>
    <w:rsid w:val="570F757A"/>
    <w:rsid w:val="574F7976"/>
    <w:rsid w:val="579A36F4"/>
    <w:rsid w:val="57B1418D"/>
    <w:rsid w:val="57BD0D84"/>
    <w:rsid w:val="57BD6FD6"/>
    <w:rsid w:val="57FF139C"/>
    <w:rsid w:val="58E43968"/>
    <w:rsid w:val="58F72073"/>
    <w:rsid w:val="596449DD"/>
    <w:rsid w:val="5A5E52AF"/>
    <w:rsid w:val="5ADC3C17"/>
    <w:rsid w:val="5B182C8C"/>
    <w:rsid w:val="5BAB490F"/>
    <w:rsid w:val="5BBE2DFC"/>
    <w:rsid w:val="5CC11316"/>
    <w:rsid w:val="5CEB1EEF"/>
    <w:rsid w:val="5DA312B9"/>
    <w:rsid w:val="5DBB30CF"/>
    <w:rsid w:val="5E8C14B0"/>
    <w:rsid w:val="5ED52E57"/>
    <w:rsid w:val="5FC37153"/>
    <w:rsid w:val="60457B68"/>
    <w:rsid w:val="60AC7BE7"/>
    <w:rsid w:val="60D0137C"/>
    <w:rsid w:val="60D158A0"/>
    <w:rsid w:val="614F213B"/>
    <w:rsid w:val="61F86A5F"/>
    <w:rsid w:val="6220263B"/>
    <w:rsid w:val="635A7DCF"/>
    <w:rsid w:val="63C45248"/>
    <w:rsid w:val="643B3383"/>
    <w:rsid w:val="646627A3"/>
    <w:rsid w:val="64C30E1F"/>
    <w:rsid w:val="64E94E7F"/>
    <w:rsid w:val="65253D1C"/>
    <w:rsid w:val="65770A64"/>
    <w:rsid w:val="65871A80"/>
    <w:rsid w:val="65E168ED"/>
    <w:rsid w:val="66541D94"/>
    <w:rsid w:val="667C62AE"/>
    <w:rsid w:val="669D795E"/>
    <w:rsid w:val="676C6322"/>
    <w:rsid w:val="678B49FB"/>
    <w:rsid w:val="67F105D6"/>
    <w:rsid w:val="682E5386"/>
    <w:rsid w:val="692D388F"/>
    <w:rsid w:val="6A165E44"/>
    <w:rsid w:val="6A440D9E"/>
    <w:rsid w:val="6AAE577F"/>
    <w:rsid w:val="6AD93CCF"/>
    <w:rsid w:val="6AEF704E"/>
    <w:rsid w:val="6B13499F"/>
    <w:rsid w:val="6B896A77"/>
    <w:rsid w:val="6BE566A3"/>
    <w:rsid w:val="6C247F7B"/>
    <w:rsid w:val="6C6770B8"/>
    <w:rsid w:val="6C9D2ADA"/>
    <w:rsid w:val="6CF7668E"/>
    <w:rsid w:val="6DD10C8D"/>
    <w:rsid w:val="6EFA4214"/>
    <w:rsid w:val="6F157902"/>
    <w:rsid w:val="6F411E43"/>
    <w:rsid w:val="6FA12264"/>
    <w:rsid w:val="6FFA3D39"/>
    <w:rsid w:val="704D75A6"/>
    <w:rsid w:val="70B87A1D"/>
    <w:rsid w:val="70CE7706"/>
    <w:rsid w:val="70E851F0"/>
    <w:rsid w:val="712D08D1"/>
    <w:rsid w:val="715C71AA"/>
    <w:rsid w:val="717402AD"/>
    <w:rsid w:val="71BC0DE3"/>
    <w:rsid w:val="71FB4990"/>
    <w:rsid w:val="73A91FA1"/>
    <w:rsid w:val="73E07E7C"/>
    <w:rsid w:val="74744A68"/>
    <w:rsid w:val="74F55BA9"/>
    <w:rsid w:val="751610C8"/>
    <w:rsid w:val="762B73A9"/>
    <w:rsid w:val="771147F0"/>
    <w:rsid w:val="77F67F92"/>
    <w:rsid w:val="784A1D68"/>
    <w:rsid w:val="78A376CA"/>
    <w:rsid w:val="78B673FD"/>
    <w:rsid w:val="78BE0C8D"/>
    <w:rsid w:val="79703A50"/>
    <w:rsid w:val="79894B12"/>
    <w:rsid w:val="798C582B"/>
    <w:rsid w:val="79B7759D"/>
    <w:rsid w:val="7A0348C4"/>
    <w:rsid w:val="7A195E96"/>
    <w:rsid w:val="7A7F385A"/>
    <w:rsid w:val="7B92123A"/>
    <w:rsid w:val="7BE03D06"/>
    <w:rsid w:val="7C424AB7"/>
    <w:rsid w:val="7D0A7D18"/>
    <w:rsid w:val="7D3461CD"/>
    <w:rsid w:val="7DAA0122"/>
    <w:rsid w:val="7E0A3FA9"/>
    <w:rsid w:val="7E4D68F6"/>
    <w:rsid w:val="7E6B2A20"/>
    <w:rsid w:val="7E6D055E"/>
    <w:rsid w:val="7E843AFA"/>
    <w:rsid w:val="7F3B240A"/>
    <w:rsid w:val="7F4A08A0"/>
    <w:rsid w:val="7FBA3C77"/>
    <w:rsid w:val="7FD10FC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qFormat="1"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iPriority="99" w:name="Document Map"/>
    <w:lsdException w:qFormat="1"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560" w:lineRule="exact"/>
      <w:ind w:firstLine="859" w:firstLineChars="200"/>
      <w:jc w:val="both"/>
    </w:pPr>
    <w:rPr>
      <w:rFonts w:ascii="Times New Roman" w:hAnsi="Times New Roman" w:eastAsia="仿宋_GB2312" w:cs="Times New Roman"/>
      <w:kern w:val="2"/>
      <w:sz w:val="32"/>
      <w:szCs w:val="32"/>
      <w:lang w:val="en-US" w:eastAsia="zh-CN" w:bidi="ar-SA"/>
    </w:rPr>
  </w:style>
  <w:style w:type="paragraph" w:styleId="2">
    <w:name w:val="heading 1"/>
    <w:basedOn w:val="1"/>
    <w:next w:val="1"/>
    <w:link w:val="44"/>
    <w:autoRedefine/>
    <w:qFormat/>
    <w:uiPriority w:val="0"/>
    <w:pPr>
      <w:keepNext/>
      <w:keepLines/>
      <w:spacing w:before="120"/>
      <w:ind w:firstLine="0" w:firstLineChars="0"/>
      <w:jc w:val="left"/>
      <w:outlineLvl w:val="0"/>
    </w:pPr>
    <w:rPr>
      <w:rFonts w:eastAsia="黑体"/>
      <w:b/>
      <w:bCs/>
      <w:kern w:val="44"/>
      <w:szCs w:val="44"/>
    </w:rPr>
  </w:style>
  <w:style w:type="paragraph" w:styleId="3">
    <w:name w:val="heading 2"/>
    <w:basedOn w:val="1"/>
    <w:next w:val="1"/>
    <w:link w:val="45"/>
    <w:autoRedefine/>
    <w:unhideWhenUsed/>
    <w:qFormat/>
    <w:uiPriority w:val="0"/>
    <w:pPr>
      <w:keepNext/>
      <w:keepLines/>
      <w:ind w:firstLine="0" w:firstLineChars="0"/>
      <w:jc w:val="left"/>
      <w:outlineLvl w:val="1"/>
    </w:pPr>
    <w:rPr>
      <w:rFonts w:eastAsia="楷体" w:cstheme="majorBidi"/>
      <w:b/>
      <w:bCs/>
    </w:rPr>
  </w:style>
  <w:style w:type="paragraph" w:styleId="4">
    <w:name w:val="heading 3"/>
    <w:basedOn w:val="1"/>
    <w:next w:val="1"/>
    <w:link w:val="46"/>
    <w:autoRedefine/>
    <w:unhideWhenUsed/>
    <w:qFormat/>
    <w:uiPriority w:val="0"/>
    <w:pPr>
      <w:keepNext/>
      <w:keepLines/>
      <w:ind w:firstLine="0" w:firstLineChars="0"/>
      <w:jc w:val="left"/>
      <w:outlineLvl w:val="2"/>
    </w:pPr>
    <w:rPr>
      <w:b/>
      <w:bCs/>
    </w:rPr>
  </w:style>
  <w:style w:type="paragraph" w:styleId="5">
    <w:name w:val="heading 4"/>
    <w:basedOn w:val="1"/>
    <w:next w:val="1"/>
    <w:link w:val="47"/>
    <w:autoRedefine/>
    <w:unhideWhenUsed/>
    <w:qFormat/>
    <w:uiPriority w:val="9"/>
    <w:pPr>
      <w:keepNext/>
      <w:keepLines/>
      <w:ind w:firstLine="0" w:firstLineChars="0"/>
      <w:outlineLvl w:val="3"/>
    </w:pPr>
    <w:rPr>
      <w:rFonts w:cstheme="majorBidi"/>
      <w:bCs/>
    </w:rPr>
  </w:style>
  <w:style w:type="character" w:default="1" w:styleId="36">
    <w:name w:val="Default Paragraph Font"/>
    <w:autoRedefine/>
    <w:semiHidden/>
    <w:unhideWhenUsed/>
    <w:qFormat/>
    <w:uiPriority w:val="1"/>
  </w:style>
  <w:style w:type="table" w:default="1" w:styleId="34">
    <w:name w:val="Normal Table"/>
    <w:autoRedefine/>
    <w:semiHidden/>
    <w:unhideWhenUsed/>
    <w:qFormat/>
    <w:uiPriority w:val="99"/>
    <w:tblPr>
      <w:tblCellMar>
        <w:top w:w="0" w:type="dxa"/>
        <w:left w:w="108" w:type="dxa"/>
        <w:bottom w:w="0" w:type="dxa"/>
        <w:right w:w="108" w:type="dxa"/>
      </w:tblCellMar>
    </w:tblPr>
  </w:style>
  <w:style w:type="paragraph" w:styleId="6">
    <w:name w:val="toc 7"/>
    <w:basedOn w:val="1"/>
    <w:next w:val="1"/>
    <w:autoRedefine/>
    <w:unhideWhenUsed/>
    <w:qFormat/>
    <w:uiPriority w:val="39"/>
    <w:pPr>
      <w:ind w:left="1260"/>
      <w:jc w:val="left"/>
    </w:pPr>
    <w:rPr>
      <w:rFonts w:asciiTheme="minorHAnsi" w:eastAsiaTheme="minorHAnsi"/>
      <w:sz w:val="18"/>
      <w:szCs w:val="18"/>
    </w:rPr>
  </w:style>
  <w:style w:type="paragraph" w:styleId="7">
    <w:name w:val="List Number"/>
    <w:basedOn w:val="1"/>
    <w:autoRedefine/>
    <w:semiHidden/>
    <w:unhideWhenUsed/>
    <w:qFormat/>
    <w:uiPriority w:val="99"/>
    <w:pPr>
      <w:numPr>
        <w:ilvl w:val="0"/>
        <w:numId w:val="1"/>
      </w:numPr>
    </w:pPr>
  </w:style>
  <w:style w:type="paragraph" w:styleId="8">
    <w:name w:val="caption"/>
    <w:basedOn w:val="1"/>
    <w:next w:val="1"/>
    <w:link w:val="62"/>
    <w:autoRedefine/>
    <w:qFormat/>
    <w:uiPriority w:val="0"/>
    <w:pPr>
      <w:spacing w:line="500" w:lineRule="exact"/>
      <w:jc w:val="center"/>
    </w:pPr>
    <w:rPr>
      <w:rFonts w:cs="Arial"/>
      <w:b/>
      <w:sz w:val="24"/>
      <w:szCs w:val="20"/>
    </w:rPr>
  </w:style>
  <w:style w:type="paragraph" w:styleId="9">
    <w:name w:val="Document Map"/>
    <w:basedOn w:val="1"/>
    <w:link w:val="77"/>
    <w:autoRedefine/>
    <w:semiHidden/>
    <w:unhideWhenUsed/>
    <w:qFormat/>
    <w:uiPriority w:val="99"/>
    <w:rPr>
      <w:rFonts w:ascii="宋体"/>
      <w:sz w:val="18"/>
      <w:szCs w:val="18"/>
    </w:rPr>
  </w:style>
  <w:style w:type="paragraph" w:styleId="10">
    <w:name w:val="annotation text"/>
    <w:basedOn w:val="1"/>
    <w:link w:val="55"/>
    <w:autoRedefine/>
    <w:semiHidden/>
    <w:unhideWhenUsed/>
    <w:qFormat/>
    <w:uiPriority w:val="99"/>
    <w:pPr>
      <w:jc w:val="left"/>
    </w:pPr>
  </w:style>
  <w:style w:type="paragraph" w:styleId="11">
    <w:name w:val="Body Text 3"/>
    <w:basedOn w:val="1"/>
    <w:link w:val="72"/>
    <w:autoRedefine/>
    <w:semiHidden/>
    <w:unhideWhenUsed/>
    <w:qFormat/>
    <w:uiPriority w:val="99"/>
    <w:pPr>
      <w:spacing w:after="120"/>
    </w:pPr>
    <w:rPr>
      <w:sz w:val="16"/>
      <w:szCs w:val="16"/>
    </w:rPr>
  </w:style>
  <w:style w:type="paragraph" w:styleId="12">
    <w:name w:val="Body Text"/>
    <w:basedOn w:val="1"/>
    <w:link w:val="68"/>
    <w:autoRedefine/>
    <w:unhideWhenUsed/>
    <w:qFormat/>
    <w:uiPriority w:val="0"/>
    <w:pPr>
      <w:spacing w:after="120"/>
    </w:pPr>
  </w:style>
  <w:style w:type="paragraph" w:styleId="13">
    <w:name w:val="Body Text Indent"/>
    <w:basedOn w:val="1"/>
    <w:next w:val="14"/>
    <w:link w:val="64"/>
    <w:autoRedefine/>
    <w:unhideWhenUsed/>
    <w:qFormat/>
    <w:uiPriority w:val="99"/>
    <w:pPr>
      <w:spacing w:after="120"/>
      <w:ind w:left="420" w:leftChars="200"/>
    </w:pPr>
  </w:style>
  <w:style w:type="paragraph" w:styleId="14">
    <w:name w:val="toc 3"/>
    <w:basedOn w:val="1"/>
    <w:next w:val="1"/>
    <w:autoRedefine/>
    <w:qFormat/>
    <w:uiPriority w:val="39"/>
    <w:pPr>
      <w:ind w:left="420"/>
      <w:jc w:val="left"/>
    </w:pPr>
    <w:rPr>
      <w:rFonts w:asciiTheme="minorHAnsi" w:eastAsiaTheme="minorHAnsi"/>
      <w:i/>
      <w:iCs/>
      <w:sz w:val="20"/>
      <w:szCs w:val="20"/>
    </w:rPr>
  </w:style>
  <w:style w:type="paragraph" w:styleId="15">
    <w:name w:val="toc 5"/>
    <w:basedOn w:val="1"/>
    <w:next w:val="1"/>
    <w:autoRedefine/>
    <w:unhideWhenUsed/>
    <w:qFormat/>
    <w:uiPriority w:val="39"/>
    <w:pPr>
      <w:ind w:left="840"/>
      <w:jc w:val="left"/>
    </w:pPr>
    <w:rPr>
      <w:rFonts w:asciiTheme="minorHAnsi" w:eastAsiaTheme="minorHAnsi"/>
      <w:sz w:val="18"/>
      <w:szCs w:val="18"/>
    </w:rPr>
  </w:style>
  <w:style w:type="paragraph" w:styleId="16">
    <w:name w:val="Plain Text"/>
    <w:basedOn w:val="1"/>
    <w:link w:val="76"/>
    <w:autoRedefine/>
    <w:semiHidden/>
    <w:unhideWhenUsed/>
    <w:qFormat/>
    <w:uiPriority w:val="99"/>
    <w:rPr>
      <w:rFonts w:ascii="宋体" w:hAnsi="Courier New" w:cs="Courier New"/>
      <w:szCs w:val="21"/>
    </w:rPr>
  </w:style>
  <w:style w:type="paragraph" w:styleId="17">
    <w:name w:val="toc 8"/>
    <w:basedOn w:val="1"/>
    <w:next w:val="1"/>
    <w:autoRedefine/>
    <w:unhideWhenUsed/>
    <w:qFormat/>
    <w:uiPriority w:val="39"/>
    <w:pPr>
      <w:ind w:left="1470"/>
      <w:jc w:val="left"/>
    </w:pPr>
    <w:rPr>
      <w:rFonts w:asciiTheme="minorHAnsi" w:eastAsiaTheme="minorHAnsi"/>
      <w:sz w:val="18"/>
      <w:szCs w:val="18"/>
    </w:rPr>
  </w:style>
  <w:style w:type="paragraph" w:styleId="18">
    <w:name w:val="Date"/>
    <w:basedOn w:val="1"/>
    <w:next w:val="1"/>
    <w:link w:val="63"/>
    <w:autoRedefine/>
    <w:semiHidden/>
    <w:unhideWhenUsed/>
    <w:qFormat/>
    <w:uiPriority w:val="99"/>
    <w:pPr>
      <w:ind w:left="100" w:leftChars="2500"/>
    </w:pPr>
  </w:style>
  <w:style w:type="paragraph" w:styleId="19">
    <w:name w:val="Body Text Indent 2"/>
    <w:basedOn w:val="1"/>
    <w:next w:val="1"/>
    <w:link w:val="58"/>
    <w:autoRedefine/>
    <w:qFormat/>
    <w:uiPriority w:val="0"/>
    <w:pPr>
      <w:spacing w:after="120" w:line="480" w:lineRule="auto"/>
      <w:ind w:left="420" w:leftChars="200"/>
    </w:pPr>
  </w:style>
  <w:style w:type="paragraph" w:styleId="20">
    <w:name w:val="Balloon Text"/>
    <w:basedOn w:val="1"/>
    <w:link w:val="57"/>
    <w:autoRedefine/>
    <w:semiHidden/>
    <w:unhideWhenUsed/>
    <w:qFormat/>
    <w:uiPriority w:val="99"/>
    <w:rPr>
      <w:sz w:val="18"/>
      <w:szCs w:val="18"/>
    </w:rPr>
  </w:style>
  <w:style w:type="paragraph" w:styleId="21">
    <w:name w:val="footer"/>
    <w:basedOn w:val="1"/>
    <w:link w:val="50"/>
    <w:autoRedefine/>
    <w:unhideWhenUsed/>
    <w:qFormat/>
    <w:uiPriority w:val="99"/>
    <w:pPr>
      <w:tabs>
        <w:tab w:val="center" w:pos="4153"/>
        <w:tab w:val="right" w:pos="8306"/>
      </w:tabs>
      <w:snapToGrid w:val="0"/>
      <w:jc w:val="left"/>
    </w:pPr>
    <w:rPr>
      <w:sz w:val="18"/>
      <w:szCs w:val="18"/>
    </w:rPr>
  </w:style>
  <w:style w:type="paragraph" w:styleId="22">
    <w:name w:val="header"/>
    <w:basedOn w:val="1"/>
    <w:link w:val="49"/>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autoRedefine/>
    <w:unhideWhenUsed/>
    <w:qFormat/>
    <w:uiPriority w:val="39"/>
    <w:pPr>
      <w:spacing w:before="120" w:after="120"/>
      <w:jc w:val="left"/>
    </w:pPr>
    <w:rPr>
      <w:rFonts w:asciiTheme="minorHAnsi" w:eastAsiaTheme="minorHAnsi"/>
      <w:b/>
      <w:bCs/>
      <w:caps/>
      <w:sz w:val="20"/>
      <w:szCs w:val="20"/>
    </w:rPr>
  </w:style>
  <w:style w:type="paragraph" w:styleId="24">
    <w:name w:val="toc 4"/>
    <w:basedOn w:val="1"/>
    <w:next w:val="1"/>
    <w:autoRedefine/>
    <w:unhideWhenUsed/>
    <w:qFormat/>
    <w:uiPriority w:val="39"/>
    <w:pPr>
      <w:ind w:left="630"/>
      <w:jc w:val="left"/>
    </w:pPr>
    <w:rPr>
      <w:rFonts w:asciiTheme="minorHAnsi" w:eastAsiaTheme="minorHAnsi"/>
      <w:sz w:val="18"/>
      <w:szCs w:val="18"/>
    </w:rPr>
  </w:style>
  <w:style w:type="paragraph" w:styleId="25">
    <w:name w:val="toc 6"/>
    <w:basedOn w:val="1"/>
    <w:next w:val="1"/>
    <w:autoRedefine/>
    <w:unhideWhenUsed/>
    <w:qFormat/>
    <w:uiPriority w:val="39"/>
    <w:pPr>
      <w:ind w:left="1050"/>
      <w:jc w:val="left"/>
    </w:pPr>
    <w:rPr>
      <w:rFonts w:asciiTheme="minorHAnsi" w:eastAsiaTheme="minorHAnsi"/>
      <w:sz w:val="18"/>
      <w:szCs w:val="18"/>
    </w:rPr>
  </w:style>
  <w:style w:type="paragraph" w:styleId="26">
    <w:name w:val="toc 2"/>
    <w:basedOn w:val="1"/>
    <w:next w:val="1"/>
    <w:autoRedefine/>
    <w:unhideWhenUsed/>
    <w:qFormat/>
    <w:uiPriority w:val="39"/>
    <w:pPr>
      <w:ind w:left="210"/>
      <w:jc w:val="left"/>
    </w:pPr>
    <w:rPr>
      <w:rFonts w:asciiTheme="minorHAnsi" w:eastAsiaTheme="minorHAnsi"/>
      <w:smallCaps/>
      <w:sz w:val="20"/>
      <w:szCs w:val="20"/>
    </w:rPr>
  </w:style>
  <w:style w:type="paragraph" w:styleId="27">
    <w:name w:val="toc 9"/>
    <w:basedOn w:val="1"/>
    <w:next w:val="1"/>
    <w:autoRedefine/>
    <w:unhideWhenUsed/>
    <w:qFormat/>
    <w:uiPriority w:val="39"/>
    <w:pPr>
      <w:ind w:left="1680"/>
      <w:jc w:val="left"/>
    </w:pPr>
    <w:rPr>
      <w:rFonts w:asciiTheme="minorHAnsi" w:eastAsiaTheme="minorHAnsi"/>
      <w:sz w:val="18"/>
      <w:szCs w:val="18"/>
    </w:rPr>
  </w:style>
  <w:style w:type="paragraph" w:styleId="28">
    <w:name w:val="HTML Preformatted"/>
    <w:basedOn w:val="1"/>
    <w:link w:val="67"/>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jc w:val="left"/>
    </w:pPr>
    <w:rPr>
      <w:rFonts w:hint="eastAsia" w:ascii="宋体" w:hAnsi="宋体"/>
      <w:kern w:val="0"/>
      <w:sz w:val="24"/>
    </w:rPr>
  </w:style>
  <w:style w:type="paragraph" w:styleId="29">
    <w:name w:val="Normal (Web)"/>
    <w:basedOn w:val="1"/>
    <w:next w:val="1"/>
    <w:autoRedefine/>
    <w:qFormat/>
    <w:uiPriority w:val="0"/>
    <w:pPr>
      <w:adjustRightInd w:val="0"/>
      <w:snapToGrid w:val="0"/>
      <w:spacing w:before="100" w:beforeAutospacing="1" w:after="100" w:afterAutospacing="1" w:line="360" w:lineRule="auto"/>
      <w:ind w:firstLine="480"/>
      <w:jc w:val="left"/>
    </w:pPr>
    <w:rPr>
      <w:rFonts w:eastAsia="仿宋"/>
      <w:kern w:val="0"/>
      <w:sz w:val="24"/>
    </w:rPr>
  </w:style>
  <w:style w:type="paragraph" w:styleId="30">
    <w:name w:val="Title"/>
    <w:basedOn w:val="1"/>
    <w:next w:val="1"/>
    <w:link w:val="73"/>
    <w:autoRedefine/>
    <w:qFormat/>
    <w:uiPriority w:val="99"/>
    <w:pPr>
      <w:jc w:val="center"/>
    </w:pPr>
    <w:rPr>
      <w:rFonts w:ascii="Calibri" w:hAnsi="Calibri"/>
      <w:kern w:val="0"/>
      <w:szCs w:val="21"/>
    </w:rPr>
  </w:style>
  <w:style w:type="paragraph" w:styleId="31">
    <w:name w:val="annotation subject"/>
    <w:basedOn w:val="10"/>
    <w:next w:val="10"/>
    <w:link w:val="56"/>
    <w:autoRedefine/>
    <w:semiHidden/>
    <w:unhideWhenUsed/>
    <w:qFormat/>
    <w:uiPriority w:val="99"/>
    <w:rPr>
      <w:b/>
      <w:bCs/>
    </w:rPr>
  </w:style>
  <w:style w:type="paragraph" w:styleId="32">
    <w:name w:val="Body Text First Indent"/>
    <w:basedOn w:val="12"/>
    <w:link w:val="69"/>
    <w:autoRedefine/>
    <w:qFormat/>
    <w:uiPriority w:val="0"/>
    <w:pPr>
      <w:adjustRightInd w:val="0"/>
      <w:snapToGrid w:val="0"/>
      <w:spacing w:after="0" w:line="360" w:lineRule="auto"/>
      <w:ind w:firstLine="420" w:firstLineChars="100"/>
    </w:pPr>
    <w:rPr>
      <w:rFonts w:eastAsia="仿宋"/>
      <w:sz w:val="28"/>
    </w:rPr>
  </w:style>
  <w:style w:type="paragraph" w:styleId="33">
    <w:name w:val="Body Text First Indent 2"/>
    <w:basedOn w:val="13"/>
    <w:next w:val="1"/>
    <w:autoRedefine/>
    <w:qFormat/>
    <w:uiPriority w:val="0"/>
    <w:pPr>
      <w:ind w:firstLine="420"/>
    </w:pPr>
    <w:rPr>
      <w:sz w:val="21"/>
      <w:szCs w:val="24"/>
      <w:lang w:val="zh-CN"/>
    </w:rPr>
  </w:style>
  <w:style w:type="table" w:styleId="35">
    <w:name w:val="Table Grid"/>
    <w:basedOn w:val="3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basedOn w:val="36"/>
    <w:autoRedefine/>
    <w:qFormat/>
    <w:uiPriority w:val="0"/>
    <w:rPr>
      <w:b/>
    </w:rPr>
  </w:style>
  <w:style w:type="character" w:styleId="38">
    <w:name w:val="FollowedHyperlink"/>
    <w:basedOn w:val="36"/>
    <w:autoRedefine/>
    <w:qFormat/>
    <w:uiPriority w:val="0"/>
    <w:rPr>
      <w:color w:val="3C3C3C"/>
      <w:u w:val="none"/>
    </w:rPr>
  </w:style>
  <w:style w:type="character" w:styleId="39">
    <w:name w:val="Emphasis"/>
    <w:basedOn w:val="36"/>
    <w:autoRedefine/>
    <w:qFormat/>
    <w:uiPriority w:val="20"/>
    <w:rPr>
      <w:i/>
    </w:rPr>
  </w:style>
  <w:style w:type="character" w:styleId="40">
    <w:name w:val="Hyperlink"/>
    <w:basedOn w:val="36"/>
    <w:autoRedefine/>
    <w:unhideWhenUsed/>
    <w:qFormat/>
    <w:uiPriority w:val="99"/>
    <w:rPr>
      <w:color w:val="0563C1" w:themeColor="hyperlink"/>
      <w:u w:val="single"/>
      <w14:textFill>
        <w14:solidFill>
          <w14:schemeClr w14:val="hlink"/>
        </w14:solidFill>
      </w14:textFill>
    </w:rPr>
  </w:style>
  <w:style w:type="character" w:styleId="41">
    <w:name w:val="annotation reference"/>
    <w:basedOn w:val="36"/>
    <w:autoRedefine/>
    <w:semiHidden/>
    <w:unhideWhenUsed/>
    <w:qFormat/>
    <w:uiPriority w:val="99"/>
    <w:rPr>
      <w:sz w:val="21"/>
      <w:szCs w:val="21"/>
    </w:rPr>
  </w:style>
  <w:style w:type="paragraph" w:customStyle="1" w:styleId="42">
    <w:name w:val="正文首行缩进 21"/>
    <w:basedOn w:val="43"/>
    <w:next w:val="29"/>
    <w:autoRedefine/>
    <w:qFormat/>
    <w:uiPriority w:val="0"/>
    <w:pPr>
      <w:widowControl/>
      <w:ind w:firstLine="200"/>
      <w:jc w:val="left"/>
    </w:pPr>
    <w:rPr>
      <w:rFonts w:eastAsia="仿宋_GB2312" w:cs="Calibri"/>
      <w:kern w:val="0"/>
      <w:sz w:val="24"/>
      <w:szCs w:val="24"/>
    </w:rPr>
  </w:style>
  <w:style w:type="paragraph" w:customStyle="1" w:styleId="43">
    <w:name w:val="正文文本缩进1"/>
    <w:basedOn w:val="1"/>
    <w:autoRedefine/>
    <w:qFormat/>
    <w:uiPriority w:val="0"/>
    <w:pPr>
      <w:ind w:left="200" w:leftChars="200"/>
    </w:pPr>
    <w:rPr>
      <w:rFonts w:ascii="Calibri" w:hAnsi="Calibri" w:eastAsia="宋体"/>
    </w:rPr>
  </w:style>
  <w:style w:type="character" w:customStyle="1" w:styleId="44">
    <w:name w:val="标题 1 字符"/>
    <w:basedOn w:val="36"/>
    <w:link w:val="2"/>
    <w:autoRedefine/>
    <w:qFormat/>
    <w:uiPriority w:val="0"/>
    <w:rPr>
      <w:rFonts w:ascii="Times New Roman" w:hAnsi="Times New Roman" w:eastAsia="黑体" w:cs="Times New Roman"/>
      <w:b/>
      <w:bCs/>
      <w:kern w:val="44"/>
      <w:sz w:val="32"/>
      <w:szCs w:val="44"/>
    </w:rPr>
  </w:style>
  <w:style w:type="character" w:customStyle="1" w:styleId="45">
    <w:name w:val="标题 2 字符"/>
    <w:basedOn w:val="36"/>
    <w:link w:val="3"/>
    <w:autoRedefine/>
    <w:qFormat/>
    <w:uiPriority w:val="0"/>
    <w:rPr>
      <w:rFonts w:ascii="Times New Roman" w:hAnsi="Times New Roman" w:eastAsia="楷体" w:cstheme="majorBidi"/>
      <w:b/>
      <w:bCs/>
      <w:sz w:val="32"/>
      <w:szCs w:val="32"/>
    </w:rPr>
  </w:style>
  <w:style w:type="character" w:customStyle="1" w:styleId="46">
    <w:name w:val="标题 3 字符"/>
    <w:basedOn w:val="36"/>
    <w:link w:val="4"/>
    <w:autoRedefine/>
    <w:qFormat/>
    <w:uiPriority w:val="0"/>
    <w:rPr>
      <w:rFonts w:ascii="Times New Roman" w:hAnsi="Times New Roman" w:eastAsia="仿宋_GB2312" w:cs="Times New Roman"/>
      <w:b/>
      <w:bCs/>
      <w:sz w:val="32"/>
      <w:szCs w:val="32"/>
    </w:rPr>
  </w:style>
  <w:style w:type="character" w:customStyle="1" w:styleId="47">
    <w:name w:val="标题 4 字符"/>
    <w:basedOn w:val="36"/>
    <w:link w:val="5"/>
    <w:autoRedefine/>
    <w:semiHidden/>
    <w:qFormat/>
    <w:uiPriority w:val="9"/>
    <w:rPr>
      <w:rFonts w:ascii="Times New Roman" w:hAnsi="Times New Roman" w:eastAsia="仿宋_GB2312" w:cstheme="majorBidi"/>
      <w:bCs/>
      <w:sz w:val="32"/>
      <w:szCs w:val="32"/>
    </w:rPr>
  </w:style>
  <w:style w:type="paragraph" w:styleId="48">
    <w:name w:val="List Paragraph"/>
    <w:basedOn w:val="1"/>
    <w:autoRedefine/>
    <w:qFormat/>
    <w:uiPriority w:val="34"/>
    <w:pPr>
      <w:ind w:firstLine="420"/>
    </w:pPr>
  </w:style>
  <w:style w:type="character" w:customStyle="1" w:styleId="49">
    <w:name w:val="页眉 字符"/>
    <w:basedOn w:val="36"/>
    <w:link w:val="22"/>
    <w:autoRedefine/>
    <w:qFormat/>
    <w:uiPriority w:val="99"/>
    <w:rPr>
      <w:sz w:val="18"/>
      <w:szCs w:val="18"/>
    </w:rPr>
  </w:style>
  <w:style w:type="character" w:customStyle="1" w:styleId="50">
    <w:name w:val="页脚 字符"/>
    <w:basedOn w:val="36"/>
    <w:link w:val="21"/>
    <w:autoRedefine/>
    <w:qFormat/>
    <w:uiPriority w:val="99"/>
    <w:rPr>
      <w:sz w:val="18"/>
      <w:szCs w:val="18"/>
    </w:rPr>
  </w:style>
  <w:style w:type="character" w:customStyle="1" w:styleId="51">
    <w:name w:val="正文文本 (2)_"/>
    <w:basedOn w:val="36"/>
    <w:link w:val="52"/>
    <w:autoRedefine/>
    <w:qFormat/>
    <w:uiPriority w:val="0"/>
    <w:rPr>
      <w:rFonts w:ascii="MingLiU" w:hAnsi="MingLiU" w:eastAsia="MingLiU" w:cs="MingLiU"/>
      <w:sz w:val="22"/>
      <w:shd w:val="clear" w:color="auto" w:fill="FFFFFF"/>
    </w:rPr>
  </w:style>
  <w:style w:type="paragraph" w:customStyle="1" w:styleId="52">
    <w:name w:val="正文文本 (2)"/>
    <w:basedOn w:val="1"/>
    <w:link w:val="51"/>
    <w:autoRedefine/>
    <w:qFormat/>
    <w:uiPriority w:val="0"/>
    <w:pPr>
      <w:shd w:val="clear" w:color="auto" w:fill="FFFFFF"/>
      <w:spacing w:line="466" w:lineRule="exact"/>
      <w:jc w:val="left"/>
    </w:pPr>
    <w:rPr>
      <w:rFonts w:ascii="MingLiU" w:hAnsi="MingLiU" w:eastAsia="MingLiU" w:cs="MingLiU"/>
      <w:sz w:val="22"/>
    </w:rPr>
  </w:style>
  <w:style w:type="character" w:customStyle="1" w:styleId="53">
    <w:name w:val="正文文本 (2) + 10 pt"/>
    <w:basedOn w:val="51"/>
    <w:autoRedefine/>
    <w:qFormat/>
    <w:uiPriority w:val="0"/>
    <w:rPr>
      <w:rFonts w:ascii="MingLiU" w:hAnsi="MingLiU" w:eastAsia="MingLiU" w:cs="MingLiU"/>
      <w:color w:val="000000"/>
      <w:spacing w:val="0"/>
      <w:w w:val="100"/>
      <w:position w:val="0"/>
      <w:sz w:val="20"/>
      <w:szCs w:val="20"/>
      <w:shd w:val="clear" w:color="auto" w:fill="FFFFFF"/>
      <w:lang w:val="zh-TW" w:eastAsia="zh-TW" w:bidi="zh-TW"/>
    </w:rPr>
  </w:style>
  <w:style w:type="character" w:customStyle="1" w:styleId="54">
    <w:name w:val="正文文本 (2) + Georgia"/>
    <w:basedOn w:val="51"/>
    <w:autoRedefine/>
    <w:qFormat/>
    <w:uiPriority w:val="0"/>
    <w:rPr>
      <w:rFonts w:ascii="Georgia" w:hAnsi="Georgia" w:eastAsia="Georgia" w:cs="Georgia"/>
      <w:color w:val="000000"/>
      <w:spacing w:val="0"/>
      <w:w w:val="100"/>
      <w:position w:val="0"/>
      <w:sz w:val="20"/>
      <w:szCs w:val="20"/>
      <w:shd w:val="clear" w:color="auto" w:fill="FFFFFF"/>
      <w:lang w:val="en-US" w:eastAsia="en-US" w:bidi="en-US"/>
    </w:rPr>
  </w:style>
  <w:style w:type="character" w:customStyle="1" w:styleId="55">
    <w:name w:val="批注文字 字符"/>
    <w:basedOn w:val="36"/>
    <w:link w:val="10"/>
    <w:autoRedefine/>
    <w:semiHidden/>
    <w:qFormat/>
    <w:uiPriority w:val="99"/>
  </w:style>
  <w:style w:type="character" w:customStyle="1" w:styleId="56">
    <w:name w:val="批注主题 字符"/>
    <w:basedOn w:val="55"/>
    <w:link w:val="31"/>
    <w:autoRedefine/>
    <w:semiHidden/>
    <w:qFormat/>
    <w:uiPriority w:val="99"/>
    <w:rPr>
      <w:b/>
      <w:bCs/>
    </w:rPr>
  </w:style>
  <w:style w:type="character" w:customStyle="1" w:styleId="57">
    <w:name w:val="批注框文本 字符"/>
    <w:basedOn w:val="36"/>
    <w:link w:val="20"/>
    <w:autoRedefine/>
    <w:semiHidden/>
    <w:qFormat/>
    <w:uiPriority w:val="99"/>
    <w:rPr>
      <w:sz w:val="18"/>
      <w:szCs w:val="18"/>
    </w:rPr>
  </w:style>
  <w:style w:type="character" w:customStyle="1" w:styleId="58">
    <w:name w:val="正文文本缩进 2 字符1"/>
    <w:link w:val="19"/>
    <w:autoRedefine/>
    <w:qFormat/>
    <w:uiPriority w:val="99"/>
    <w:rPr>
      <w:rFonts w:ascii="Times New Roman" w:hAnsi="Times New Roman" w:eastAsia="宋体"/>
    </w:rPr>
  </w:style>
  <w:style w:type="character" w:customStyle="1" w:styleId="59">
    <w:name w:val="正文文本缩进 2 字符"/>
    <w:basedOn w:val="36"/>
    <w:autoRedefine/>
    <w:semiHidden/>
    <w:qFormat/>
    <w:uiPriority w:val="99"/>
  </w:style>
  <w:style w:type="paragraph" w:customStyle="1" w:styleId="60">
    <w:name w:val="Table Paragraph"/>
    <w:basedOn w:val="1"/>
    <w:autoRedefine/>
    <w:unhideWhenUsed/>
    <w:qFormat/>
    <w:uiPriority w:val="1"/>
    <w:pPr>
      <w:spacing w:line="360" w:lineRule="auto"/>
    </w:pPr>
    <w:rPr>
      <w:sz w:val="24"/>
    </w:rPr>
  </w:style>
  <w:style w:type="paragraph" w:customStyle="1" w:styleId="61">
    <w:name w:val="Char"/>
    <w:basedOn w:val="1"/>
    <w:autoRedefine/>
    <w:qFormat/>
    <w:uiPriority w:val="0"/>
  </w:style>
  <w:style w:type="character" w:customStyle="1" w:styleId="62">
    <w:name w:val="题注 字符"/>
    <w:link w:val="8"/>
    <w:autoRedefine/>
    <w:qFormat/>
    <w:uiPriority w:val="0"/>
    <w:rPr>
      <w:rFonts w:ascii="Times New Roman" w:hAnsi="Times New Roman" w:eastAsia="宋体" w:cs="Arial"/>
      <w:b/>
      <w:sz w:val="24"/>
      <w:szCs w:val="20"/>
    </w:rPr>
  </w:style>
  <w:style w:type="character" w:customStyle="1" w:styleId="63">
    <w:name w:val="日期 字符"/>
    <w:basedOn w:val="36"/>
    <w:link w:val="18"/>
    <w:autoRedefine/>
    <w:semiHidden/>
    <w:qFormat/>
    <w:uiPriority w:val="99"/>
    <w:rPr>
      <w:rFonts w:ascii="Times New Roman" w:hAnsi="Times New Roman" w:eastAsia="宋体" w:cs="Times New Roman"/>
      <w:szCs w:val="24"/>
    </w:rPr>
  </w:style>
  <w:style w:type="character" w:customStyle="1" w:styleId="64">
    <w:name w:val="正文文本缩进 字符"/>
    <w:basedOn w:val="36"/>
    <w:link w:val="13"/>
    <w:autoRedefine/>
    <w:qFormat/>
    <w:uiPriority w:val="99"/>
    <w:rPr>
      <w:rFonts w:ascii="Times New Roman" w:hAnsi="Times New Roman" w:eastAsia="宋体" w:cs="Times New Roman"/>
      <w:szCs w:val="24"/>
    </w:rPr>
  </w:style>
  <w:style w:type="character" w:customStyle="1" w:styleId="65">
    <w:name w:val="表 Char"/>
    <w:link w:val="66"/>
    <w:autoRedefine/>
    <w:qFormat/>
    <w:uiPriority w:val="0"/>
    <w:rPr>
      <w:sz w:val="24"/>
    </w:rPr>
  </w:style>
  <w:style w:type="paragraph" w:customStyle="1" w:styleId="66">
    <w:name w:val="表"/>
    <w:basedOn w:val="1"/>
    <w:link w:val="65"/>
    <w:autoRedefine/>
    <w:qFormat/>
    <w:uiPriority w:val="0"/>
    <w:pPr>
      <w:adjustRightInd w:val="0"/>
      <w:snapToGrid w:val="0"/>
    </w:pPr>
    <w:rPr>
      <w:rFonts w:asciiTheme="minorHAnsi" w:hAnsiTheme="minorHAnsi" w:eastAsiaTheme="minorEastAsia" w:cstheme="minorBidi"/>
      <w:sz w:val="24"/>
      <w:szCs w:val="22"/>
    </w:rPr>
  </w:style>
  <w:style w:type="character" w:customStyle="1" w:styleId="67">
    <w:name w:val="HTML 预设格式 字符"/>
    <w:basedOn w:val="36"/>
    <w:link w:val="28"/>
    <w:autoRedefine/>
    <w:qFormat/>
    <w:uiPriority w:val="0"/>
    <w:rPr>
      <w:rFonts w:ascii="宋体" w:hAnsi="宋体" w:eastAsia="宋体" w:cs="Times New Roman"/>
      <w:kern w:val="0"/>
      <w:sz w:val="24"/>
      <w:szCs w:val="24"/>
    </w:rPr>
  </w:style>
  <w:style w:type="character" w:customStyle="1" w:styleId="68">
    <w:name w:val="正文文本 字符"/>
    <w:basedOn w:val="36"/>
    <w:link w:val="12"/>
    <w:autoRedefine/>
    <w:semiHidden/>
    <w:qFormat/>
    <w:uiPriority w:val="99"/>
    <w:rPr>
      <w:rFonts w:ascii="Times New Roman" w:hAnsi="Times New Roman" w:eastAsia="宋体" w:cs="Times New Roman"/>
      <w:szCs w:val="24"/>
    </w:rPr>
  </w:style>
  <w:style w:type="character" w:customStyle="1" w:styleId="69">
    <w:name w:val="正文文本首行缩进 字符"/>
    <w:basedOn w:val="68"/>
    <w:link w:val="32"/>
    <w:autoRedefine/>
    <w:qFormat/>
    <w:uiPriority w:val="0"/>
    <w:rPr>
      <w:rFonts w:ascii="Times New Roman" w:hAnsi="Times New Roman" w:eastAsia="仿宋" w:cs="Times New Roman"/>
      <w:sz w:val="28"/>
      <w:szCs w:val="24"/>
    </w:rPr>
  </w:style>
  <w:style w:type="paragraph" w:customStyle="1" w:styleId="70">
    <w:name w:val="0正文"/>
    <w:basedOn w:val="1"/>
    <w:autoRedefine/>
    <w:qFormat/>
    <w:uiPriority w:val="0"/>
    <w:pPr>
      <w:adjustRightInd w:val="0"/>
      <w:snapToGrid w:val="0"/>
      <w:spacing w:line="360" w:lineRule="auto"/>
      <w:ind w:firstLine="200"/>
    </w:pPr>
    <w:rPr>
      <w:rFonts w:eastAsia="仿宋"/>
      <w:color w:val="0000FF"/>
      <w:sz w:val="28"/>
      <w:szCs w:val="22"/>
    </w:rPr>
  </w:style>
  <w:style w:type="paragraph" w:customStyle="1" w:styleId="71">
    <w:name w:val="_Style 4"/>
    <w:basedOn w:val="1"/>
    <w:autoRedefine/>
    <w:qFormat/>
    <w:uiPriority w:val="34"/>
    <w:pPr>
      <w:adjustRightInd w:val="0"/>
      <w:snapToGrid w:val="0"/>
      <w:spacing w:line="360" w:lineRule="auto"/>
      <w:ind w:firstLine="420"/>
    </w:pPr>
    <w:rPr>
      <w:rFonts w:eastAsia="仿宋"/>
      <w:sz w:val="28"/>
    </w:rPr>
  </w:style>
  <w:style w:type="character" w:customStyle="1" w:styleId="72">
    <w:name w:val="正文文本 3 字符"/>
    <w:basedOn w:val="36"/>
    <w:link w:val="11"/>
    <w:autoRedefine/>
    <w:semiHidden/>
    <w:qFormat/>
    <w:uiPriority w:val="99"/>
    <w:rPr>
      <w:rFonts w:ascii="Times New Roman" w:hAnsi="Times New Roman" w:eastAsia="宋体" w:cs="Times New Roman"/>
      <w:sz w:val="16"/>
      <w:szCs w:val="16"/>
    </w:rPr>
  </w:style>
  <w:style w:type="character" w:customStyle="1" w:styleId="73">
    <w:name w:val="标题 字符"/>
    <w:basedOn w:val="36"/>
    <w:link w:val="30"/>
    <w:autoRedefine/>
    <w:qFormat/>
    <w:uiPriority w:val="99"/>
    <w:rPr>
      <w:rFonts w:ascii="Calibri" w:hAnsi="Calibri" w:eastAsia="宋体" w:cs="Times New Roman"/>
      <w:kern w:val="0"/>
      <w:szCs w:val="21"/>
    </w:rPr>
  </w:style>
  <w:style w:type="paragraph" w:customStyle="1" w:styleId="74">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5">
    <w:name w:val="表头图头2"/>
    <w:basedOn w:val="12"/>
    <w:next w:val="16"/>
    <w:autoRedefine/>
    <w:qFormat/>
    <w:uiPriority w:val="0"/>
    <w:pPr>
      <w:spacing w:after="0" w:line="360" w:lineRule="auto"/>
      <w:jc w:val="center"/>
      <w:outlineLvl w:val="5"/>
    </w:pPr>
    <w:rPr>
      <w:rFonts w:eastAsia="黑体"/>
      <w:b/>
      <w:sz w:val="24"/>
    </w:rPr>
  </w:style>
  <w:style w:type="character" w:customStyle="1" w:styleId="76">
    <w:name w:val="纯文本 字符"/>
    <w:basedOn w:val="36"/>
    <w:link w:val="16"/>
    <w:autoRedefine/>
    <w:semiHidden/>
    <w:qFormat/>
    <w:uiPriority w:val="99"/>
    <w:rPr>
      <w:rFonts w:ascii="宋体" w:hAnsi="Courier New" w:eastAsia="宋体" w:cs="Courier New"/>
      <w:szCs w:val="21"/>
    </w:rPr>
  </w:style>
  <w:style w:type="character" w:customStyle="1" w:styleId="77">
    <w:name w:val="文档结构图 字符"/>
    <w:basedOn w:val="36"/>
    <w:link w:val="9"/>
    <w:autoRedefine/>
    <w:semiHidden/>
    <w:qFormat/>
    <w:uiPriority w:val="99"/>
    <w:rPr>
      <w:rFonts w:ascii="宋体" w:hAnsi="Times New Roman" w:eastAsia="宋体" w:cs="Times New Roman"/>
      <w:sz w:val="18"/>
      <w:szCs w:val="18"/>
    </w:rPr>
  </w:style>
  <w:style w:type="paragraph" w:customStyle="1" w:styleId="78">
    <w:name w:val="1、表内字"/>
    <w:basedOn w:val="1"/>
    <w:autoRedefine/>
    <w:qFormat/>
    <w:uiPriority w:val="0"/>
    <w:pPr>
      <w:adjustRightInd w:val="0"/>
      <w:snapToGrid w:val="0"/>
      <w:jc w:val="center"/>
    </w:pPr>
  </w:style>
  <w:style w:type="paragraph" w:customStyle="1" w:styleId="79">
    <w:name w:val="TOC 标题1"/>
    <w:basedOn w:val="2"/>
    <w:next w:val="1"/>
    <w:autoRedefine/>
    <w:semiHidden/>
    <w:unhideWhenUsed/>
    <w:qFormat/>
    <w:uiPriority w:val="39"/>
    <w:pPr>
      <w:widowControl/>
      <w:spacing w:before="480" w:line="276" w:lineRule="auto"/>
      <w:outlineLvl w:val="9"/>
    </w:pPr>
    <w:rPr>
      <w:rFonts w:asciiTheme="majorHAnsi" w:hAnsiTheme="majorHAnsi" w:eastAsiaTheme="majorEastAsia" w:cstheme="majorBidi"/>
      <w:color w:val="2E75B6" w:themeColor="accent1" w:themeShade="BF"/>
      <w:kern w:val="0"/>
      <w:szCs w:val="28"/>
    </w:rPr>
  </w:style>
  <w:style w:type="table" w:customStyle="1" w:styleId="80">
    <w:name w:val="Table Normal"/>
    <w:autoRedefine/>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81">
    <w:name w:val="表格正文"/>
    <w:basedOn w:val="1"/>
    <w:next w:val="7"/>
    <w:autoRedefine/>
    <w:qFormat/>
    <w:uiPriority w:val="0"/>
    <w:pPr>
      <w:spacing w:line="360" w:lineRule="exact"/>
      <w:jc w:val="center"/>
    </w:pPr>
    <w:rPr>
      <w:rFonts w:ascii="Arial" w:hAnsi="Arial"/>
      <w:szCs w:val="24"/>
    </w:rPr>
  </w:style>
  <w:style w:type="paragraph" w:customStyle="1" w:styleId="82">
    <w:name w:val="2级标题"/>
    <w:basedOn w:val="83"/>
    <w:autoRedefine/>
    <w:qFormat/>
    <w:uiPriority w:val="0"/>
    <w:pPr>
      <w:adjustRightInd/>
      <w:snapToGrid/>
    </w:pPr>
    <w:rPr>
      <w:rFonts w:ascii="Times New Roman" w:hAnsi="Times New Roman"/>
    </w:rPr>
  </w:style>
  <w:style w:type="paragraph" w:customStyle="1" w:styleId="83">
    <w:name w:val="2级（节）标题"/>
    <w:basedOn w:val="1"/>
    <w:autoRedefine/>
    <w:qFormat/>
    <w:uiPriority w:val="0"/>
    <w:pPr>
      <w:adjustRightInd w:val="0"/>
      <w:snapToGrid w:val="0"/>
      <w:spacing w:line="360" w:lineRule="auto"/>
      <w:jc w:val="left"/>
      <w:outlineLvl w:val="1"/>
    </w:pPr>
    <w:rPr>
      <w:rFonts w:ascii="宋体" w:hAnsi="宋体"/>
      <w:b/>
      <w:sz w:val="24"/>
      <w:szCs w:val="28"/>
    </w:rPr>
  </w:style>
  <w:style w:type="paragraph" w:customStyle="1" w:styleId="84">
    <w:name w:val="四号"/>
    <w:basedOn w:val="1"/>
    <w:autoRedefine/>
    <w:qFormat/>
    <w:uiPriority w:val="0"/>
    <w:pPr>
      <w:ind w:firstLine="560"/>
    </w:pPr>
    <w:rPr>
      <w:rFonts w:cs="宋体"/>
      <w:szCs w:val="20"/>
    </w:rPr>
  </w:style>
  <w:style w:type="paragraph" w:customStyle="1" w:styleId="85">
    <w:name w:val="样式 四号"/>
    <w:basedOn w:val="1"/>
    <w:autoRedefine/>
    <w:qFormat/>
    <w:uiPriority w:val="0"/>
    <w:pPr>
      <w:ind w:firstLine="200"/>
    </w:pPr>
    <w:rPr>
      <w:rFonts w:cs="宋体"/>
      <w:szCs w:val="28"/>
    </w:rPr>
  </w:style>
  <w:style w:type="paragraph" w:customStyle="1" w:styleId="86">
    <w:name w:val="表格"/>
    <w:autoRedefine/>
    <w:qFormat/>
    <w:uiPriority w:val="0"/>
    <w:pPr>
      <w:jc w:val="both"/>
    </w:pPr>
    <w:rPr>
      <w:rFonts w:ascii="Calibri" w:hAnsi="Calibri" w:eastAsia="宋体" w:cs="Times New Roman"/>
      <w:szCs w:val="21"/>
      <w:lang w:val="en-US" w:eastAsia="zh-CN" w:bidi="ar-SA"/>
    </w:rPr>
  </w:style>
  <w:style w:type="paragraph" w:customStyle="1" w:styleId="87">
    <w:name w:val="1正文"/>
    <w:autoRedefine/>
    <w:qFormat/>
    <w:uiPriority w:val="99"/>
    <w:pPr>
      <w:adjustRightInd w:val="0"/>
      <w:snapToGrid w:val="0"/>
      <w:spacing w:line="360" w:lineRule="auto"/>
      <w:ind w:firstLine="480" w:firstLineChars="200"/>
      <w:jc w:val="both"/>
    </w:pPr>
    <w:rPr>
      <w:rFonts w:ascii="Times New Roman" w:hAnsi="Times New Roman" w:eastAsia="宋体" w:cs="Times New Roman"/>
      <w:color w:val="000000"/>
      <w:sz w:val="24"/>
      <w:szCs w:val="24"/>
      <w:lang w:val="en-US" w:eastAsia="zh-CN" w:bidi="ar-SA"/>
    </w:rPr>
  </w:style>
  <w:style w:type="character" w:customStyle="1" w:styleId="88">
    <w:name w:val="font11"/>
    <w:basedOn w:val="36"/>
    <w:autoRedefine/>
    <w:qFormat/>
    <w:uiPriority w:val="0"/>
    <w:rPr>
      <w:rFonts w:hint="eastAsia" w:ascii="仿宋_GB2312" w:eastAsia="仿宋_GB2312" w:cs="仿宋_GB2312"/>
      <w:color w:val="000000"/>
      <w:sz w:val="24"/>
      <w:szCs w:val="24"/>
      <w:u w:val="none"/>
    </w:rPr>
  </w:style>
  <w:style w:type="character" w:customStyle="1" w:styleId="89">
    <w:name w:val="font01"/>
    <w:basedOn w:val="36"/>
    <w:autoRedefine/>
    <w:qFormat/>
    <w:uiPriority w:val="0"/>
    <w:rPr>
      <w:rFonts w:hint="default" w:ascii="Times New Roman" w:hAnsi="Times New Roman" w:cs="Times New Roman"/>
      <w:color w:val="000000"/>
      <w:sz w:val="20"/>
      <w:szCs w:val="20"/>
      <w:u w:val="none"/>
    </w:rPr>
  </w:style>
  <w:style w:type="paragraph" w:customStyle="1" w:styleId="90">
    <w:name w:val="Other|1"/>
    <w:basedOn w:val="1"/>
    <w:autoRedefine/>
    <w:qFormat/>
    <w:uiPriority w:val="0"/>
    <w:pPr>
      <w:widowControl w:val="0"/>
      <w:shd w:val="clear" w:color="auto" w:fill="auto"/>
      <w:spacing w:line="410" w:lineRule="auto"/>
      <w:ind w:firstLine="400"/>
    </w:pPr>
    <w:rPr>
      <w:rFonts w:ascii="宋体" w:hAnsi="宋体" w:eastAsia="宋体" w:cs="宋体"/>
      <w:u w:val="none"/>
      <w:shd w:val="clear" w:color="auto" w:fill="auto"/>
      <w:lang w:val="zh-TW" w:eastAsia="zh-TW" w:bidi="zh-TW"/>
    </w:rPr>
  </w:style>
  <w:style w:type="paragraph" w:customStyle="1" w:styleId="91">
    <w:name w:val="Table Text"/>
    <w:basedOn w:val="1"/>
    <w:autoRedefine/>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4.png"/><Relationship Id="rId23" Type="http://schemas.openxmlformats.org/officeDocument/2006/relationships/image" Target="media/image3.jpe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413043-6ED5-402F-8E52-801CC02B841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90</Pages>
  <Words>33215</Words>
  <Characters>34744</Characters>
  <Lines>142</Lines>
  <Paragraphs>40</Paragraphs>
  <TotalTime>1</TotalTime>
  <ScaleCrop>false</ScaleCrop>
  <LinksUpToDate>false</LinksUpToDate>
  <CharactersWithSpaces>35042</CharactersWithSpaces>
  <Application>WPS Office_12.1.0.17468_F1E327BC-269C-435d-A152-05C5408002CA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2023-08-22T00:33:00Z</dcterms:created>
  <dc:creator>AutoBVT</dc:creator>
  <cp:lastModifiedBy>on the way</cp:lastModifiedBy>
  <cp:lastPrinted>2019-08-29T01:37:00Z</cp:lastPrinted>
  <dcterms:modified xsi:type="dcterms:W3CDTF">2024-07-18T00:31:33Z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2052-12.1.0.17468</vt:lpwstr>
  </property>
  <property fmtid="{D5CDD505-2E9C-101B-9397-08002B2CF9AE}" pid="3" name="ICV">
    <vt:lpwstr>3FE0E73B093E448D9AB3650459CAB06D</vt:lpwstr>
  </property>
</Properties>
</file>