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6E485">
      <w:pPr>
        <w:spacing w:line="600" w:lineRule="exact"/>
        <w:jc w:val="center"/>
        <w:outlineLvl w:val="0"/>
        <w:rPr>
          <w:rFonts w:ascii="方正小标宋简体" w:hAnsi="宋体" w:eastAsia="方正小标宋简体"/>
          <w:color w:val="000000"/>
          <w:sz w:val="72"/>
          <w:szCs w:val="72"/>
        </w:rPr>
      </w:pPr>
      <w:bookmarkStart w:id="0" w:name="_Toc15306267"/>
    </w:p>
    <w:p w14:paraId="4DB1C637">
      <w:pPr>
        <w:spacing w:line="600" w:lineRule="exact"/>
        <w:jc w:val="center"/>
        <w:outlineLvl w:val="0"/>
        <w:rPr>
          <w:rFonts w:ascii="方正小标宋简体" w:hAnsi="宋体" w:eastAsia="方正小标宋简体"/>
          <w:color w:val="000000"/>
          <w:sz w:val="72"/>
          <w:szCs w:val="72"/>
        </w:rPr>
      </w:pPr>
    </w:p>
    <w:p w14:paraId="56E9DCA2">
      <w:pPr>
        <w:spacing w:line="600" w:lineRule="exact"/>
        <w:jc w:val="center"/>
        <w:outlineLvl w:val="0"/>
        <w:rPr>
          <w:rFonts w:ascii="方正小标宋简体" w:hAnsi="宋体" w:eastAsia="方正小标宋简体"/>
          <w:color w:val="000000"/>
          <w:sz w:val="72"/>
          <w:szCs w:val="72"/>
        </w:rPr>
      </w:pPr>
    </w:p>
    <w:p w14:paraId="7E4E3CAC">
      <w:pPr>
        <w:spacing w:line="600" w:lineRule="exact"/>
        <w:jc w:val="center"/>
        <w:outlineLvl w:val="0"/>
        <w:rPr>
          <w:rFonts w:ascii="方正小标宋简体" w:hAnsi="宋体" w:eastAsia="方正小标宋简体"/>
          <w:color w:val="000000"/>
          <w:sz w:val="72"/>
          <w:szCs w:val="72"/>
        </w:rPr>
      </w:pPr>
    </w:p>
    <w:p w14:paraId="0126847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b w:val="0"/>
          <w:bCs w:val="0"/>
          <w:color w:val="000000"/>
          <w:sz w:val="72"/>
          <w:szCs w:val="72"/>
        </w:rPr>
      </w:pPr>
      <w:bookmarkStart w:id="1" w:name="_Toc15396597"/>
      <w:bookmarkStart w:id="2" w:name="_Toc15378441"/>
      <w:bookmarkStart w:id="3" w:name="_Toc15396475"/>
      <w:bookmarkStart w:id="4" w:name="_Toc15377425"/>
      <w:bookmarkStart w:id="5" w:name="_Toc15377193"/>
      <w:bookmarkStart w:id="6" w:name="_Toc12625"/>
      <w:bookmarkStart w:id="7" w:name="_Toc3444"/>
      <w:bookmarkStart w:id="8" w:name="_Toc27735"/>
      <w:r>
        <w:rPr>
          <w:rFonts w:hint="eastAsia" w:ascii="方正小标宋简体" w:hAnsi="方正小标宋简体" w:eastAsia="方正小标宋简体" w:cs="方正小标宋简体"/>
          <w:b w:val="0"/>
          <w:bCs w:val="0"/>
          <w:color w:val="000000"/>
          <w:sz w:val="72"/>
          <w:szCs w:val="72"/>
        </w:rPr>
        <w:t>202</w:t>
      </w:r>
      <w:r>
        <w:rPr>
          <w:rFonts w:hint="eastAsia" w:ascii="方正小标宋简体" w:hAnsi="方正小标宋简体" w:eastAsia="方正小标宋简体" w:cs="方正小标宋简体"/>
          <w:b w:val="0"/>
          <w:bCs w:val="0"/>
          <w:color w:val="000000"/>
          <w:sz w:val="72"/>
          <w:szCs w:val="72"/>
          <w:lang w:val="en-US" w:eastAsia="zh-CN"/>
        </w:rPr>
        <w:t>4</w:t>
      </w:r>
      <w:r>
        <w:rPr>
          <w:rFonts w:hint="eastAsia" w:ascii="方正小标宋简体" w:hAnsi="方正小标宋简体" w:eastAsia="方正小标宋简体" w:cs="方正小标宋简体"/>
          <w:b w:val="0"/>
          <w:bCs w:val="0"/>
          <w:color w:val="000000"/>
          <w:sz w:val="72"/>
          <w:szCs w:val="72"/>
        </w:rPr>
        <w:t>年度</w:t>
      </w:r>
      <w:bookmarkEnd w:id="1"/>
      <w:bookmarkEnd w:id="2"/>
      <w:bookmarkEnd w:id="3"/>
      <w:bookmarkEnd w:id="4"/>
      <w:bookmarkEnd w:id="5"/>
      <w:bookmarkEnd w:id="6"/>
      <w:bookmarkEnd w:id="7"/>
      <w:bookmarkEnd w:id="8"/>
    </w:p>
    <w:p w14:paraId="4B75CF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方正小标宋简体" w:hAnsi="方正小标宋简体" w:eastAsia="方正小标宋简体" w:cs="方正小标宋简体"/>
          <w:b w:val="0"/>
          <w:bCs w:val="0"/>
          <w:color w:val="000000"/>
          <w:sz w:val="72"/>
          <w:szCs w:val="72"/>
        </w:rPr>
      </w:pPr>
      <w:bookmarkStart w:id="9" w:name="_Toc24001"/>
      <w:bookmarkStart w:id="10" w:name="_Toc28929"/>
      <w:bookmarkStart w:id="11" w:name="_Toc18846"/>
      <w:bookmarkStart w:id="12" w:name="_Toc15378442"/>
      <w:bookmarkStart w:id="13" w:name="_Toc15377426"/>
      <w:bookmarkStart w:id="14" w:name="_Toc15396476"/>
      <w:bookmarkStart w:id="15" w:name="_Toc15377194"/>
      <w:bookmarkStart w:id="16" w:name="_Toc15396598"/>
      <w:r>
        <w:rPr>
          <w:rFonts w:hint="eastAsia" w:ascii="方正小标宋简体" w:hAnsi="方正小标宋简体" w:eastAsia="方正小标宋简体" w:cs="方正小标宋简体"/>
          <w:b w:val="0"/>
          <w:bCs w:val="0"/>
          <w:color w:val="000000"/>
          <w:sz w:val="72"/>
          <w:szCs w:val="72"/>
        </w:rPr>
        <w:t>四川省</w:t>
      </w:r>
      <w:bookmarkEnd w:id="0"/>
      <w:bookmarkStart w:id="17" w:name="_Toc15306268"/>
      <w:r>
        <w:rPr>
          <w:rFonts w:hint="eastAsia" w:ascii="方正小标宋简体" w:hAnsi="方正小标宋简体" w:eastAsia="方正小标宋简体" w:cs="方正小标宋简体"/>
          <w:b w:val="0"/>
          <w:bCs w:val="0"/>
          <w:color w:val="000000"/>
          <w:sz w:val="72"/>
          <w:szCs w:val="72"/>
        </w:rPr>
        <w:t>乐山市峨眉山市</w:t>
      </w:r>
      <w:r>
        <w:rPr>
          <w:rFonts w:hint="eastAsia" w:ascii="方正小标宋简体" w:hAnsi="方正小标宋简体" w:eastAsia="方正小标宋简体" w:cs="方正小标宋简体"/>
          <w:b w:val="0"/>
          <w:bCs w:val="0"/>
          <w:color w:val="000000"/>
          <w:sz w:val="72"/>
          <w:szCs w:val="72"/>
          <w:lang w:eastAsia="zh-CN"/>
        </w:rPr>
        <w:t>水利建设与</w:t>
      </w:r>
      <w:r>
        <w:rPr>
          <w:rFonts w:hint="eastAsia" w:ascii="方正小标宋简体" w:hAnsi="方正小标宋简体" w:eastAsia="方正小标宋简体" w:cs="方正小标宋简体"/>
          <w:b w:val="0"/>
          <w:bCs w:val="0"/>
          <w:color w:val="000000"/>
          <w:sz w:val="72"/>
          <w:szCs w:val="72"/>
        </w:rPr>
        <w:t>河湖保护中心</w:t>
      </w:r>
      <w:bookmarkEnd w:id="9"/>
      <w:bookmarkEnd w:id="10"/>
      <w:bookmarkEnd w:id="11"/>
    </w:p>
    <w:p w14:paraId="33FF4BE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方正小标宋简体" w:hAnsi="宋体" w:eastAsia="方正小标宋简体"/>
          <w:color w:val="000000"/>
          <w:sz w:val="72"/>
          <w:szCs w:val="72"/>
        </w:rPr>
      </w:pPr>
      <w:bookmarkStart w:id="18" w:name="_Toc22823"/>
      <w:bookmarkStart w:id="19" w:name="_Toc17869"/>
      <w:bookmarkStart w:id="20" w:name="_Toc21743"/>
      <w:r>
        <w:rPr>
          <w:rFonts w:hint="eastAsia" w:ascii="方正小标宋简体" w:hAnsi="方正小标宋简体" w:eastAsia="方正小标宋简体" w:cs="方正小标宋简体"/>
          <w:b w:val="0"/>
          <w:bCs w:val="0"/>
          <w:color w:val="000000"/>
          <w:sz w:val="72"/>
          <w:szCs w:val="72"/>
        </w:rPr>
        <w:t>（本级）部门决算</w:t>
      </w:r>
      <w:bookmarkEnd w:id="12"/>
      <w:bookmarkEnd w:id="13"/>
      <w:bookmarkEnd w:id="14"/>
      <w:bookmarkEnd w:id="15"/>
      <w:bookmarkEnd w:id="16"/>
      <w:bookmarkEnd w:id="17"/>
      <w:bookmarkEnd w:id="18"/>
      <w:bookmarkEnd w:id="19"/>
      <w:bookmarkEnd w:id="20"/>
    </w:p>
    <w:p w14:paraId="3ED086A0">
      <w:pPr>
        <w:widowControl/>
        <w:jc w:val="center"/>
        <w:rPr>
          <w:rFonts w:ascii="黑体" w:hAnsi="黑体" w:eastAsia="黑体"/>
          <w:color w:val="000000"/>
          <w:sz w:val="48"/>
          <w:szCs w:val="48"/>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14:paraId="634F689D">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14:paraId="6AE8850D">
      <w:pPr>
        <w:widowControl/>
        <w:jc w:val="center"/>
        <w:rPr>
          <w:rFonts w:ascii="黑体" w:hAnsi="黑体" w:eastAsia="黑体" w:cstheme="minorBidi"/>
          <w:sz w:val="28"/>
          <w:szCs w:val="28"/>
        </w:rPr>
      </w:pPr>
    </w:p>
    <w:p w14:paraId="388FE34F">
      <w:pPr>
        <w:pStyle w:val="14"/>
        <w:pageBreakBefore w:val="0"/>
        <w:kinsoku/>
        <w:wordWrap/>
        <w:overflowPunct/>
        <w:topLinePunct w:val="0"/>
        <w:bidi w:val="0"/>
        <w:spacing w:line="600" w:lineRule="exact"/>
      </w:pPr>
      <w:r>
        <w:rPr>
          <w:rFonts w:hint="eastAsia" w:ascii="仿宋_GB2312" w:hAnsi="仿宋_GB2312" w:eastAsia="仿宋_GB2312" w:cs="仿宋_GB2312"/>
          <w:b w:val="0"/>
          <w:bCs w:val="0"/>
        </w:rPr>
        <w:t>公开时间：202</w:t>
      </w:r>
      <w:r>
        <w:rPr>
          <w:rFonts w:hint="eastAsia" w:ascii="仿宋_GB2312" w:hAnsi="仿宋_GB2312" w:eastAsia="仿宋_GB2312" w:cs="仿宋_GB2312"/>
          <w:b w:val="0"/>
          <w:bCs w:val="0"/>
          <w:lang w:val="en-US" w:eastAsia="zh-CN"/>
        </w:rPr>
        <w:t>5</w:t>
      </w:r>
      <w:r>
        <w:rPr>
          <w:rFonts w:hint="eastAsia" w:ascii="仿宋_GB2312" w:hAnsi="仿宋_GB2312" w:eastAsia="仿宋_GB2312" w:cs="仿宋_GB2312"/>
          <w:b w:val="0"/>
          <w:bCs w:val="0"/>
        </w:rPr>
        <w:t>年</w:t>
      </w:r>
      <w:r>
        <w:rPr>
          <w:rFonts w:hint="eastAsia" w:ascii="仿宋_GB2312" w:hAnsi="仿宋_GB2312" w:eastAsia="仿宋_GB2312" w:cs="仿宋_GB2312"/>
          <w:b w:val="0"/>
          <w:bCs w:val="0"/>
          <w:lang w:val="en-US" w:eastAsia="zh-CN"/>
        </w:rPr>
        <w:t>12</w:t>
      </w:r>
      <w:r>
        <w:rPr>
          <w:rFonts w:hint="eastAsia" w:ascii="仿宋_GB2312" w:hAnsi="仿宋_GB2312" w:eastAsia="仿宋_GB2312" w:cs="仿宋_GB2312"/>
          <w:b w:val="0"/>
          <w:bCs w:val="0"/>
        </w:rPr>
        <w:t>月</w:t>
      </w:r>
      <w:r>
        <w:rPr>
          <w:rFonts w:hint="eastAsia" w:ascii="仿宋_GB2312" w:hAnsi="仿宋_GB2312" w:eastAsia="仿宋_GB2312" w:cs="仿宋_GB2312"/>
          <w:b w:val="0"/>
          <w:bCs w:val="0"/>
          <w:lang w:val="en-US" w:eastAsia="zh-CN"/>
        </w:rPr>
        <w:t>8</w:t>
      </w:r>
      <w:r>
        <w:rPr>
          <w:rFonts w:hint="eastAsia" w:ascii="仿宋_GB2312" w:hAnsi="仿宋_GB2312" w:eastAsia="仿宋_GB2312" w:cs="仿宋_GB2312"/>
          <w:b w:val="0"/>
          <w:bCs w:val="0"/>
        </w:rPr>
        <w:t>日</w:t>
      </w:r>
    </w:p>
    <w:sdt>
      <w:sdtPr>
        <w:rPr>
          <w:rFonts w:ascii="宋体" w:hAnsi="宋体" w:eastAsia="宋体" w:cs="Times New Roman"/>
          <w:kern w:val="2"/>
          <w:sz w:val="21"/>
          <w:szCs w:val="24"/>
          <w:lang w:val="en-US" w:eastAsia="zh-CN" w:bidi="ar-SA"/>
        </w:rPr>
        <w:id w:val="147452437"/>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14:paraId="4524B89F">
          <w:pPr>
            <w:spacing w:before="0" w:beforeLines="0" w:after="0" w:afterLines="0" w:line="240" w:lineRule="auto"/>
            <w:ind w:left="0" w:leftChars="0" w:right="0" w:rightChars="0" w:firstLine="0" w:firstLineChars="0"/>
            <w:jc w:val="center"/>
          </w:pPr>
          <w:r>
            <w:fldChar w:fldCharType="begin"/>
          </w:r>
          <w:r>
            <w:instrText xml:space="preserve">TOC \o "1-2" \h \u </w:instrText>
          </w:r>
          <w:r>
            <w:fldChar w:fldCharType="separate"/>
          </w:r>
        </w:p>
        <w:p w14:paraId="64248CCA">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_Toc30974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第一部分</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 xml:space="preserve"> 部门概况</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_Toc30974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047E17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_Toc27773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一、主要职责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_Toc27773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4CF98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_Toc7655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lang w:val="en-US" w:eastAsia="zh-CN"/>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_Toc7655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30AFF8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_Toc9512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第二部分</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202</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年度部门决算情况说明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_Toc9512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212F3CB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_Toc16220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_Toc16220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17AD94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_Toc6540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123D7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_Toc11057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_Toc11057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6D7563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_Toc26966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_Toc26966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41F9D5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_Toc18258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_Toc18258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9E0CC3E">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_Toc11140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六、一</w:t>
          </w:r>
          <w:r>
            <w:rPr>
              <w:rFonts w:hint="eastAsia" w:ascii="仿宋_GB2312" w:hAnsi="仿宋_GB2312" w:eastAsia="仿宋_GB2312" w:cs="仿宋_GB2312"/>
              <w:sz w:val="32"/>
              <w:szCs w:val="32"/>
            </w:rPr>
            <w:t>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_Toc11140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8B7367C">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_Toc31987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B828E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_Toc25922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_Toc25922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0196E441">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_Toc21099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_Toc21099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4C31B9">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_Toc9442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70CEC4">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_Toc31515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 xml:space="preserve">第三部分  </w:t>
          </w:r>
          <w:r>
            <w:rPr>
              <w:rFonts w:hint="eastAsia" w:ascii="仿宋_GB2312" w:hAnsi="仿宋_GB2312" w:eastAsia="仿宋_GB2312" w:cs="仿宋_GB2312"/>
              <w:b/>
              <w:bCs/>
              <w:sz w:val="32"/>
              <w:szCs w:val="32"/>
            </w:rPr>
            <w:t>名词解释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_Toc31515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9</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17453CD9">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_Toc32066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第四部分  附件</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_Toc32066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12</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45A83076">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_Toc24394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highlight w:val="none"/>
              <w:lang w:val="en-US" w:eastAsia="zh-CN"/>
            </w:rPr>
            <w:t>部门预算项目支出绩效自评表（2024年度）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0B7AEEC">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\l _Toc12622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lang w:val="en-US" w:eastAsia="zh-CN"/>
            </w:rPr>
            <w:t>第五部分  附表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_Toc12622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17</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rPr>
            <w:fldChar w:fldCharType="end"/>
          </w:r>
        </w:p>
        <w:p w14:paraId="00481F5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_Toc1797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D61AE05">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_Toc7472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_Toc7472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A017F9F">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_Toc28396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_Toc28396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21C0BE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_Toc28272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_Toc28272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8FDB78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_Toc15725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4084DD">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_Toc9415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_Toc9415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A2001E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_Toc31480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0AC528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_Toc30747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八、一般公共预算财政拨款基本支出决算表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29BEC6B">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_Toc21571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_Toc21571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E2BE6D3">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_Toc3333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_Toc3333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3BC3156">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_Toc25402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十一、国有资本经营预算</w:t>
          </w:r>
          <w:r>
            <w:rPr>
              <w:rFonts w:hint="eastAsia" w:ascii="仿宋_GB2312" w:hAnsi="仿宋_GB2312" w:eastAsia="仿宋_GB2312" w:cs="仿宋_GB2312"/>
              <w:bCs w:val="0"/>
              <w:sz w:val="32"/>
              <w:szCs w:val="32"/>
              <w:lang w:eastAsia="zh-CN"/>
            </w:rPr>
            <w:t>财政拨款收入</w:t>
          </w:r>
          <w:r>
            <w:rPr>
              <w:rFonts w:hint="eastAsia" w:ascii="仿宋_GB2312" w:hAnsi="仿宋_GB2312" w:eastAsia="仿宋_GB2312" w:cs="仿宋_GB2312"/>
              <w:bCs w:val="0"/>
              <w:sz w:val="32"/>
              <w:szCs w:val="32"/>
            </w:rPr>
            <w:t>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_Toc25402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FF30DBA">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_Toc26268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十二、</w:t>
          </w:r>
          <w:r>
            <w:rPr>
              <w:rFonts w:hint="eastAsia" w:ascii="仿宋_GB2312" w:hAnsi="仿宋_GB2312" w:eastAsia="仿宋_GB2312" w:cs="仿宋_GB2312"/>
              <w:bCs w:val="0"/>
              <w:sz w:val="32"/>
              <w:szCs w:val="32"/>
              <w:lang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_Toc26268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07E9790">
          <w:pPr>
            <w:pStyle w:val="16"/>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_Toc29738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十三、</w:t>
          </w:r>
          <w:r>
            <w:rPr>
              <w:rFonts w:hint="eastAsia" w:ascii="仿宋_GB2312" w:hAnsi="仿宋_GB2312" w:eastAsia="仿宋_GB2312" w:cs="仿宋_GB2312"/>
              <w:bCs w:val="0"/>
              <w:sz w:val="32"/>
              <w:szCs w:val="32"/>
              <w:lang w:eastAsia="zh-CN"/>
            </w:rPr>
            <w:t>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_Toc29738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69E32B8">
          <w:pPr>
            <w:spacing w:before="0" w:beforeLines="0" w:after="0" w:afterLines="0" w:line="240" w:lineRule="auto"/>
            <w:ind w:left="0" w:leftChars="0" w:right="0" w:rightChars="0" w:firstLine="0" w:firstLineChars="0"/>
            <w:jc w:val="center"/>
          </w:pPr>
          <w:r>
            <w:fldChar w:fldCharType="end"/>
          </w:r>
          <w:bookmarkStart w:id="21" w:name="_Toc15377196"/>
          <w:bookmarkStart w:id="22" w:name="_Toc15396599"/>
        </w:p>
      </w:sdtContent>
    </w:sdt>
    <w:p w14:paraId="193E5AA8">
      <w:pPr>
        <w:pStyle w:val="3"/>
        <w:jc w:val="center"/>
        <w:rPr>
          <w:rFonts w:ascii="黑体" w:hAnsi="黑体" w:eastAsia="黑体"/>
          <w:b w:val="0"/>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14:paraId="052D4FEB">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ascii="黑体" w:eastAsia="黑体"/>
          <w:color w:val="000000"/>
          <w:sz w:val="32"/>
          <w:szCs w:val="32"/>
        </w:rPr>
      </w:pPr>
      <w:bookmarkStart w:id="23" w:name="_Toc30974"/>
      <w:r>
        <w:rPr>
          <w:rFonts w:hint="eastAsia" w:ascii="方正小标宋简体" w:hAnsi="方正小标宋简体" w:eastAsia="方正小标宋简体" w:cs="方正小标宋简体"/>
          <w:b w:val="0"/>
          <w:bCs w:val="0"/>
          <w:color w:val="000000"/>
          <w:sz w:val="44"/>
          <w:szCs w:val="44"/>
        </w:rPr>
        <w:t>第一部分</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 xml:space="preserve"> 部门概况</w:t>
      </w:r>
      <w:bookmarkEnd w:id="21"/>
      <w:bookmarkEnd w:id="22"/>
      <w:bookmarkEnd w:id="23"/>
    </w:p>
    <w:p w14:paraId="26A0C6EF">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b w:val="0"/>
          <w:bCs w:val="0"/>
          <w:color w:val="000000"/>
          <w:sz w:val="32"/>
          <w:szCs w:val="32"/>
          <w:lang w:val="en-US" w:eastAsia="zh-CN"/>
        </w:rPr>
      </w:pPr>
      <w:bookmarkStart w:id="24" w:name="_Toc15396600"/>
      <w:bookmarkStart w:id="25" w:name="_Toc15377197"/>
      <w:bookmarkStart w:id="26" w:name="_Toc27773"/>
      <w:r>
        <w:rPr>
          <w:rFonts w:hint="eastAsia" w:ascii="黑体" w:hAnsi="黑体" w:eastAsia="黑体" w:cs="黑体"/>
          <w:b w:val="0"/>
          <w:bCs w:val="0"/>
          <w:color w:val="000000"/>
          <w:sz w:val="32"/>
          <w:szCs w:val="32"/>
          <w:lang w:val="en-US" w:eastAsia="zh-CN"/>
        </w:rPr>
        <w:t>一、</w:t>
      </w:r>
      <w:bookmarkEnd w:id="24"/>
      <w:bookmarkEnd w:id="25"/>
      <w:r>
        <w:rPr>
          <w:rFonts w:hint="eastAsia" w:ascii="黑体" w:hAnsi="黑体" w:eastAsia="黑体" w:cs="黑体"/>
          <w:b w:val="0"/>
          <w:bCs w:val="0"/>
          <w:color w:val="000000"/>
          <w:sz w:val="32"/>
          <w:szCs w:val="32"/>
          <w:lang w:val="en-US" w:eastAsia="zh-CN"/>
        </w:rPr>
        <w:t>主要职责</w:t>
      </w:r>
      <w:bookmarkEnd w:id="26"/>
    </w:p>
    <w:p w14:paraId="6B5ED70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负责全市的市管水利工程正常运行及维护管理</w:t>
      </w:r>
      <w:r>
        <w:rPr>
          <w:rFonts w:hint="eastAsia" w:ascii="仿宋_GB2312" w:hAnsi="仿宋_GB2312" w:eastAsia="仿宋_GB2312" w:cs="仿宋_GB2312"/>
          <w:sz w:val="32"/>
          <w:szCs w:val="32"/>
          <w:lang w:eastAsia="zh-CN"/>
        </w:rPr>
        <w:t>。</w:t>
      </w:r>
    </w:p>
    <w:p w14:paraId="7CC7E08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保证全市灌溉面积10.8万亩农田的春灌和岁修工作。</w:t>
      </w:r>
    </w:p>
    <w:p w14:paraId="194A6E2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保证市管8座水库的正常蓄水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防洪安全工作。</w:t>
      </w:r>
    </w:p>
    <w:p w14:paraId="01D700C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负责编制全市水利行业建设项目；负责全市水利工程质量、运行管理、病险整治、综合利用和安全监督管理工作；加强对水利资金的使用进行调节、管理和监督；负责水利行业国有资产的管理。</w:t>
      </w:r>
    </w:p>
    <w:p w14:paraId="444907A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承办市政府交办的其它事项。</w:t>
      </w:r>
    </w:p>
    <w:p w14:paraId="0B38609F">
      <w:pPr>
        <w:pStyle w:val="4"/>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0" w:firstLine="640" w:firstLineChars="200"/>
        <w:textAlignment w:val="auto"/>
        <w:rPr>
          <w:rFonts w:hint="eastAsia" w:ascii="黑体" w:hAnsi="黑体" w:eastAsia="黑体" w:cs="黑体"/>
          <w:b w:val="0"/>
          <w:bCs w:val="0"/>
          <w:color w:val="000000"/>
          <w:sz w:val="32"/>
          <w:szCs w:val="32"/>
          <w:lang w:val="en-US" w:eastAsia="zh-CN"/>
        </w:rPr>
      </w:pPr>
      <w:bookmarkStart w:id="27" w:name="_Toc15377200"/>
      <w:bookmarkStart w:id="28" w:name="_Toc15396601"/>
      <w:bookmarkStart w:id="29" w:name="_Toc7655"/>
      <w:r>
        <w:rPr>
          <w:rFonts w:hint="eastAsia" w:ascii="黑体" w:hAnsi="黑体" w:eastAsia="黑体" w:cs="黑体"/>
          <w:b w:val="0"/>
          <w:bCs w:val="0"/>
          <w:color w:val="000000"/>
          <w:sz w:val="32"/>
          <w:szCs w:val="32"/>
          <w:lang w:val="en-US" w:eastAsia="zh-CN"/>
        </w:rPr>
        <w:t>二、机构设置</w:t>
      </w:r>
      <w:bookmarkEnd w:id="27"/>
      <w:bookmarkEnd w:id="28"/>
      <w:bookmarkEnd w:id="29"/>
    </w:p>
    <w:p w14:paraId="7CFA87ED">
      <w:pPr>
        <w:keepNext w:val="0"/>
        <w:keepLines w:val="0"/>
        <w:pageBreakBefore w:val="0"/>
        <w:widowControl w:val="0"/>
        <w:kinsoku/>
        <w:wordWrap/>
        <w:overflowPunct/>
        <w:topLinePunct w:val="0"/>
        <w:autoSpaceDE/>
        <w:autoSpaceDN/>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水利建设与</w:t>
      </w:r>
      <w:r>
        <w:rPr>
          <w:rFonts w:hint="eastAsia" w:ascii="仿宋_GB2312" w:hAnsi="仿宋_GB2312" w:eastAsia="仿宋_GB2312" w:cs="仿宋_GB2312"/>
          <w:sz w:val="32"/>
          <w:szCs w:val="32"/>
        </w:rPr>
        <w:t>河湖保护中心下属二级单位0个，其中行政单位0个，参照公务员法管理的事业单位</w:t>
      </w:r>
      <w:r>
        <w:rPr>
          <w:rFonts w:hint="eastAsia" w:ascii="仿宋_GB2312" w:hAnsi="仿宋_GB2312" w:eastAsia="仿宋_GB2312" w:cs="仿宋_GB2312"/>
          <w:bCs/>
          <w:sz w:val="32"/>
          <w:szCs w:val="32"/>
        </w:rPr>
        <w:t>0</w:t>
      </w:r>
      <w:r>
        <w:rPr>
          <w:rFonts w:hint="eastAsia" w:ascii="仿宋_GB2312" w:hAnsi="仿宋_GB2312" w:eastAsia="仿宋_GB2312" w:cs="仿宋_GB2312"/>
          <w:sz w:val="32"/>
          <w:szCs w:val="32"/>
        </w:rPr>
        <w:t>个，其他事业单位1个。</w:t>
      </w:r>
    </w:p>
    <w:p w14:paraId="2D066ADD">
      <w:pPr>
        <w:pStyle w:val="6"/>
        <w:keepNext w:val="0"/>
        <w:keepLines w:val="0"/>
        <w:pageBreakBefore w:val="0"/>
        <w:widowControl w:val="0"/>
        <w:kinsoku/>
        <w:wordWrap/>
        <w:overflowPunct/>
        <w:topLinePunct w:val="0"/>
        <w:autoSpaceDE/>
        <w:autoSpaceDN/>
        <w:bidi w:val="0"/>
        <w:adjustRightInd w:val="0"/>
        <w:snapToGrid w:val="0"/>
        <w:spacing w:beforeLines="0"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w:t>
      </w:r>
      <w:r>
        <w:rPr>
          <w:rFonts w:hint="eastAsia" w:ascii="仿宋_GB2312" w:hAnsi="仿宋_GB2312" w:eastAsia="仿宋_GB2312" w:cs="仿宋_GB2312"/>
          <w:sz w:val="32"/>
          <w:szCs w:val="32"/>
        </w:rPr>
        <w:t>峨眉山市</w:t>
      </w:r>
      <w:r>
        <w:rPr>
          <w:rFonts w:hint="eastAsia" w:ascii="仿宋_GB2312" w:hAnsi="仿宋_GB2312" w:eastAsia="仿宋_GB2312" w:cs="仿宋_GB2312"/>
          <w:sz w:val="32"/>
          <w:szCs w:val="32"/>
          <w:lang w:eastAsia="zh-CN"/>
        </w:rPr>
        <w:t>水利建设与</w:t>
      </w:r>
      <w:r>
        <w:rPr>
          <w:rFonts w:hint="eastAsia" w:ascii="仿宋_GB2312" w:hAnsi="仿宋_GB2312" w:eastAsia="仿宋_GB2312" w:cs="仿宋_GB2312"/>
          <w:color w:val="000000"/>
          <w:sz w:val="32"/>
          <w:szCs w:val="32"/>
        </w:rPr>
        <w:t>河湖保护中心20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年度部门决算编制范围的二级预算单位包括：无。</w:t>
      </w:r>
    </w:p>
    <w:p w14:paraId="56078E92">
      <w:pPr>
        <w:pageBreakBefore w:val="0"/>
        <w:widowControl/>
        <w:kinsoku/>
        <w:wordWrap/>
        <w:overflowPunct/>
        <w:topLinePunct w:val="0"/>
        <w:bidi w:val="0"/>
        <w:spacing w:line="600" w:lineRule="exact"/>
        <w:ind w:left="0" w:firstLine="640" w:firstLineChars="200"/>
        <w:jc w:val="left"/>
        <w:textAlignment w:val="auto"/>
        <w:rPr>
          <w:rFonts w:ascii="仿宋" w:hAnsi="仿宋" w:eastAsia="仿宋"/>
          <w:color w:val="000000"/>
          <w:kern w:val="0"/>
          <w:sz w:val="32"/>
          <w:szCs w:val="32"/>
        </w:rPr>
      </w:pPr>
      <w:r>
        <w:rPr>
          <w:rFonts w:ascii="仿宋" w:hAnsi="仿宋" w:eastAsia="仿宋"/>
          <w:color w:val="000000"/>
          <w:sz w:val="32"/>
          <w:szCs w:val="32"/>
        </w:rPr>
        <w:br w:type="page"/>
      </w:r>
    </w:p>
    <w:p w14:paraId="2AEE249A">
      <w:pPr>
        <w:pStyle w:val="3"/>
        <w:keepNext/>
        <w:keepLines/>
        <w:pageBreakBefore w:val="0"/>
        <w:widowControl w:val="0"/>
        <w:kinsoku/>
        <w:wordWrap/>
        <w:overflowPunct/>
        <w:topLinePunct w:val="0"/>
        <w:autoSpaceDE/>
        <w:autoSpaceDN/>
        <w:bidi w:val="0"/>
        <w:adjustRightInd/>
        <w:snapToGrid/>
        <w:spacing w:before="0" w:after="0" w:line="700" w:lineRule="exact"/>
        <w:ind w:right="0"/>
        <w:jc w:val="center"/>
        <w:textAlignment w:val="auto"/>
        <w:rPr>
          <w:rFonts w:hint="eastAsia" w:ascii="方正小标宋简体" w:hAnsi="方正小标宋简体" w:eastAsia="方正小标宋简体" w:cs="方正小标宋简体"/>
          <w:b w:val="0"/>
          <w:bCs w:val="0"/>
          <w:color w:val="000000"/>
          <w:sz w:val="44"/>
          <w:szCs w:val="44"/>
        </w:rPr>
      </w:pPr>
      <w:bookmarkStart w:id="30" w:name="_Toc15377204"/>
      <w:bookmarkStart w:id="31" w:name="_Toc15396602"/>
      <w:bookmarkStart w:id="32" w:name="_Toc9512"/>
      <w:r>
        <w:rPr>
          <w:rFonts w:hint="eastAsia" w:ascii="方正小标宋简体" w:hAnsi="方正小标宋简体" w:eastAsia="方正小标宋简体" w:cs="方正小标宋简体"/>
          <w:b w:val="0"/>
          <w:bCs w:val="0"/>
          <w:color w:val="000000"/>
          <w:sz w:val="44"/>
          <w:szCs w:val="44"/>
        </w:rPr>
        <w:t>第二部分</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202</w:t>
      </w:r>
      <w:r>
        <w:rPr>
          <w:rFonts w:hint="eastAsia" w:ascii="方正小标宋简体" w:hAnsi="方正小标宋简体" w:eastAsia="方正小标宋简体" w:cs="方正小标宋简体"/>
          <w:b w:val="0"/>
          <w:bCs w:val="0"/>
          <w:color w:val="000000"/>
          <w:sz w:val="44"/>
          <w:szCs w:val="44"/>
          <w:lang w:val="en-US" w:eastAsia="zh-CN"/>
        </w:rPr>
        <w:t>4</w:t>
      </w:r>
      <w:r>
        <w:rPr>
          <w:rFonts w:hint="eastAsia" w:ascii="方正小标宋简体" w:hAnsi="方正小标宋简体" w:eastAsia="方正小标宋简体" w:cs="方正小标宋简体"/>
          <w:b w:val="0"/>
          <w:bCs w:val="0"/>
          <w:color w:val="000000"/>
          <w:sz w:val="44"/>
          <w:szCs w:val="44"/>
        </w:rPr>
        <w:t>年度部门决算情况说明</w:t>
      </w:r>
      <w:bookmarkEnd w:id="30"/>
      <w:bookmarkEnd w:id="31"/>
      <w:bookmarkEnd w:id="32"/>
    </w:p>
    <w:p w14:paraId="070FA4C1">
      <w:pPr>
        <w:pStyle w:val="30"/>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黑体" w:hAnsi="黑体" w:eastAsia="黑体" w:cs="黑体"/>
          <w:b w:val="0"/>
          <w:sz w:val="32"/>
          <w:szCs w:val="32"/>
        </w:rPr>
      </w:pPr>
      <w:bookmarkStart w:id="33" w:name="_Toc15396603"/>
      <w:bookmarkStart w:id="34" w:name="_Toc15377205"/>
      <w:bookmarkStart w:id="35" w:name="_Toc16220"/>
      <w:r>
        <w:rPr>
          <w:rFonts w:hint="eastAsia" w:ascii="黑体" w:hAnsi="黑体" w:eastAsia="黑体" w:cs="黑体"/>
          <w:color w:val="000000"/>
          <w:sz w:val="32"/>
          <w:szCs w:val="32"/>
          <w:lang w:val="en-US" w:eastAsia="zh-CN"/>
        </w:rPr>
        <w:t>一、</w:t>
      </w:r>
      <w:r>
        <w:rPr>
          <w:rFonts w:hint="eastAsia" w:ascii="黑体" w:hAnsi="黑体" w:eastAsia="黑体" w:cs="黑体"/>
          <w:color w:val="000000"/>
          <w:sz w:val="32"/>
          <w:szCs w:val="32"/>
        </w:rPr>
        <w:t>收</w:t>
      </w:r>
      <w:r>
        <w:rPr>
          <w:rStyle w:val="32"/>
          <w:rFonts w:hint="eastAsia" w:ascii="黑体" w:hAnsi="黑体" w:eastAsia="黑体" w:cs="黑体"/>
          <w:b w:val="0"/>
          <w:sz w:val="32"/>
          <w:szCs w:val="32"/>
        </w:rPr>
        <w:t>入支出决算总体情况说明</w:t>
      </w:r>
      <w:bookmarkEnd w:id="33"/>
      <w:bookmarkEnd w:id="34"/>
      <w:bookmarkEnd w:id="35"/>
    </w:p>
    <w:p w14:paraId="2493BBDA">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sz w:val="32"/>
          <w:szCs w:val="32"/>
          <w:lang w:val="en-US" w:eastAsia="zh-CN"/>
        </w:rPr>
        <w:t>1239.63</w:t>
      </w:r>
      <w:r>
        <w:rPr>
          <w:rFonts w:hint="eastAsia" w:ascii="仿宋_GB2312" w:hAnsi="仿宋_GB2312" w:eastAsia="仿宋_GB2312" w:cs="仿宋_GB2312"/>
          <w:color w:val="000000"/>
          <w:sz w:val="32"/>
          <w:szCs w:val="32"/>
        </w:rPr>
        <w:t>万元。与20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lang w:val="en-US" w:eastAsia="zh-CN"/>
        </w:rPr>
        <w:t>851.06</w:t>
      </w:r>
      <w:r>
        <w:rPr>
          <w:rFonts w:hint="eastAsia" w:ascii="仿宋_GB2312" w:hAnsi="仿宋_GB2312" w:eastAsia="仿宋_GB2312" w:cs="仿宋_GB2312"/>
          <w:color w:val="000000"/>
          <w:sz w:val="32"/>
          <w:szCs w:val="32"/>
        </w:rPr>
        <w:t>万元相比，收、支总计</w:t>
      </w:r>
      <w:r>
        <w:rPr>
          <w:rFonts w:hint="eastAsia" w:ascii="仿宋_GB2312" w:hAnsi="仿宋_GB2312" w:eastAsia="仿宋_GB2312" w:cs="仿宋_GB2312"/>
          <w:color w:val="000000"/>
          <w:sz w:val="32"/>
          <w:szCs w:val="32"/>
          <w:lang w:val="en-US" w:eastAsia="zh-CN"/>
        </w:rPr>
        <w:t>增加388.57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增幅45.66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bCs/>
          <w:color w:val="000000"/>
          <w:sz w:val="32"/>
          <w:szCs w:val="32"/>
        </w:rPr>
        <w:t>各项目资金增减变化</w:t>
      </w:r>
      <w:r>
        <w:rPr>
          <w:rFonts w:hint="eastAsia" w:ascii="仿宋_GB2312" w:hAnsi="仿宋_GB2312" w:eastAsia="仿宋_GB2312" w:cs="仿宋_GB2312"/>
          <w:color w:val="000000"/>
          <w:sz w:val="32"/>
          <w:szCs w:val="32"/>
        </w:rPr>
        <w:t>。</w:t>
      </w:r>
    </w:p>
    <w:p w14:paraId="3A0352A6">
      <w:pPr>
        <w:pStyle w:val="30"/>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黑体" w:hAnsi="黑体" w:eastAsia="黑体" w:cs="黑体"/>
          <w:b w:val="0"/>
          <w:sz w:val="32"/>
          <w:szCs w:val="32"/>
        </w:rPr>
      </w:pPr>
      <w:bookmarkStart w:id="36" w:name="_Toc15396604"/>
      <w:bookmarkStart w:id="37" w:name="_Toc15377206"/>
      <w:bookmarkStart w:id="38" w:name="_Toc6540"/>
      <w:r>
        <w:rPr>
          <w:rFonts w:hint="eastAsia" w:ascii="黑体" w:hAnsi="黑体" w:eastAsia="黑体" w:cs="黑体"/>
          <w:color w:val="000000"/>
          <w:sz w:val="32"/>
          <w:szCs w:val="32"/>
          <w:lang w:val="en-US" w:eastAsia="zh-CN"/>
        </w:rPr>
        <w:t>二、</w:t>
      </w:r>
      <w:r>
        <w:rPr>
          <w:rFonts w:hint="eastAsia" w:ascii="黑体" w:hAnsi="黑体" w:eastAsia="黑体" w:cs="黑体"/>
          <w:color w:val="000000"/>
          <w:sz w:val="32"/>
          <w:szCs w:val="32"/>
        </w:rPr>
        <w:t>收</w:t>
      </w:r>
      <w:r>
        <w:rPr>
          <w:rStyle w:val="32"/>
          <w:rFonts w:hint="eastAsia" w:ascii="黑体" w:hAnsi="黑体" w:eastAsia="黑体" w:cs="黑体"/>
          <w:b w:val="0"/>
          <w:sz w:val="32"/>
          <w:szCs w:val="32"/>
        </w:rPr>
        <w:t>入决算情况说明</w:t>
      </w:r>
      <w:bookmarkEnd w:id="36"/>
      <w:bookmarkEnd w:id="37"/>
      <w:bookmarkEnd w:id="38"/>
    </w:p>
    <w:p w14:paraId="14195AB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hint="eastAsia" w:ascii="仿宋_GB2312" w:hAnsi="仿宋_GB2312" w:eastAsia="仿宋_GB2312" w:cs="仿宋_GB2312"/>
          <w:color w:val="000000"/>
          <w:sz w:val="32"/>
          <w:szCs w:val="32"/>
        </w:rPr>
      </w:pPr>
      <w:bookmarkStart w:id="39" w:name="_Toc27636"/>
      <w:bookmarkStart w:id="40" w:name="_Toc20663"/>
      <w:bookmarkStart w:id="41" w:name="_Toc9860"/>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sz w:val="32"/>
          <w:szCs w:val="32"/>
          <w:lang w:val="en-US" w:eastAsia="zh-CN"/>
        </w:rPr>
        <w:t>1239.63</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801.19</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64.63</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438.44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35.37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上级补助收入0</w:t>
      </w:r>
      <w:r>
        <w:rPr>
          <w:rFonts w:hint="eastAsia" w:ascii="仿宋_GB2312" w:hAnsi="仿宋_GB2312" w:eastAsia="仿宋_GB2312" w:cs="仿宋_GB2312"/>
          <w:color w:val="000000"/>
          <w:sz w:val="32"/>
          <w:szCs w:val="32"/>
        </w:rPr>
        <w:t>万元，占0%；事业收入0万元，占0%；经营收入0万元，占0%；附属单位上缴收入0万元，占0%；其他收入0万元，占0%。</w:t>
      </w:r>
      <w:bookmarkEnd w:id="39"/>
      <w:bookmarkEnd w:id="40"/>
      <w:bookmarkEnd w:id="41"/>
    </w:p>
    <w:p w14:paraId="08AB7DDA">
      <w:pPr>
        <w:pStyle w:val="30"/>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黑体" w:hAnsi="黑体" w:eastAsia="黑体" w:cs="黑体"/>
          <w:b w:val="0"/>
          <w:sz w:val="32"/>
          <w:szCs w:val="32"/>
        </w:rPr>
      </w:pPr>
      <w:bookmarkStart w:id="42" w:name="_Toc15396605"/>
      <w:bookmarkStart w:id="43" w:name="_Toc15377207"/>
      <w:bookmarkStart w:id="44" w:name="_Toc11057"/>
      <w:r>
        <w:rPr>
          <w:rStyle w:val="32"/>
          <w:rFonts w:hint="eastAsia" w:ascii="黑体" w:hAnsi="黑体" w:eastAsia="黑体" w:cs="黑体"/>
          <w:b w:val="0"/>
          <w:sz w:val="32"/>
          <w:szCs w:val="32"/>
          <w:lang w:val="en-US" w:eastAsia="zh-CN"/>
        </w:rPr>
        <w:t>三、</w:t>
      </w:r>
      <w:r>
        <w:rPr>
          <w:rStyle w:val="32"/>
          <w:rFonts w:hint="eastAsia" w:ascii="黑体" w:hAnsi="黑体" w:eastAsia="黑体" w:cs="黑体"/>
          <w:b w:val="0"/>
          <w:sz w:val="32"/>
          <w:szCs w:val="32"/>
        </w:rPr>
        <w:t>支出决算情况说明</w:t>
      </w:r>
      <w:bookmarkEnd w:id="42"/>
      <w:bookmarkEnd w:id="43"/>
      <w:bookmarkEnd w:id="44"/>
    </w:p>
    <w:p w14:paraId="685690C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outlineLvl w:val="1"/>
        <w:rPr>
          <w:rFonts w:ascii="仿宋" w:hAnsi="仿宋" w:eastAsia="仿宋"/>
          <w:color w:val="000000"/>
          <w:sz w:val="32"/>
          <w:szCs w:val="32"/>
        </w:rPr>
      </w:pPr>
      <w:bookmarkStart w:id="45" w:name="_Toc2139"/>
      <w:bookmarkStart w:id="46" w:name="_Toc8337"/>
      <w:bookmarkStart w:id="47" w:name="_Toc24546"/>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sz w:val="32"/>
          <w:szCs w:val="32"/>
          <w:lang w:val="en-US" w:eastAsia="zh-CN"/>
        </w:rPr>
        <w:t>1239.63</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643.53</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51.91</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596.1</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48.09</w:t>
      </w:r>
      <w:r>
        <w:rPr>
          <w:rFonts w:hint="eastAsia" w:ascii="仿宋_GB2312" w:hAnsi="仿宋_GB2312" w:eastAsia="仿宋_GB2312" w:cs="仿宋_GB2312"/>
          <w:color w:val="000000"/>
          <w:sz w:val="32"/>
          <w:szCs w:val="32"/>
        </w:rPr>
        <w:t>%；上缴上级支出0万元，占0%；经营支出0万元，占0%；对附属单位补助支出0万元，占0%。</w:t>
      </w:r>
      <w:bookmarkEnd w:id="45"/>
      <w:bookmarkEnd w:id="46"/>
      <w:bookmarkEnd w:id="47"/>
    </w:p>
    <w:p w14:paraId="1A89FBF5">
      <w:pPr>
        <w:pStyle w:val="30"/>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ascii="仿宋" w:hAnsi="仿宋" w:eastAsia="仿宋" w:cs="仿宋"/>
          <w:b w:val="0"/>
          <w:sz w:val="32"/>
          <w:szCs w:val="32"/>
        </w:rPr>
      </w:pPr>
      <w:bookmarkStart w:id="48" w:name="_Toc15377208"/>
      <w:bookmarkStart w:id="49" w:name="_Toc15396606"/>
      <w:bookmarkStart w:id="50" w:name="_Toc26966"/>
      <w:r>
        <w:rPr>
          <w:rStyle w:val="32"/>
          <w:rFonts w:hint="eastAsia" w:ascii="黑体" w:hAnsi="黑体" w:eastAsia="黑体" w:cs="黑体"/>
          <w:b w:val="0"/>
          <w:sz w:val="32"/>
          <w:szCs w:val="32"/>
          <w:lang w:val="en-US" w:eastAsia="zh-CN"/>
        </w:rPr>
        <w:t>四、</w:t>
      </w:r>
      <w:r>
        <w:rPr>
          <w:rStyle w:val="32"/>
          <w:rFonts w:hint="eastAsia" w:ascii="黑体" w:hAnsi="黑体" w:eastAsia="黑体" w:cs="黑体"/>
          <w:b w:val="0"/>
          <w:sz w:val="32"/>
          <w:szCs w:val="32"/>
        </w:rPr>
        <w:t>财政拨款收入支出决算总体情况说明</w:t>
      </w:r>
      <w:bookmarkEnd w:id="48"/>
      <w:bookmarkEnd w:id="49"/>
      <w:bookmarkEnd w:id="50"/>
    </w:p>
    <w:p w14:paraId="2C63583A">
      <w:pPr>
        <w:pageBreakBefore w:val="0"/>
        <w:kinsoku/>
        <w:wordWrap/>
        <w:overflowPunct/>
        <w:topLinePunct w:val="0"/>
        <w:bidi w:val="0"/>
        <w:spacing w:line="600" w:lineRule="exact"/>
        <w:ind w:left="0" w:firstLine="640" w:firstLineChars="200"/>
        <w:textAlignment w:val="auto"/>
        <w:rPr>
          <w:rFonts w:ascii="仿宋" w:hAnsi="仿宋" w:eastAsia="仿宋"/>
          <w:color w:val="000000"/>
          <w:sz w:val="32"/>
          <w:szCs w:val="32"/>
        </w:rPr>
      </w:pPr>
      <w:bookmarkStart w:id="51" w:name="_Toc15377209"/>
      <w:bookmarkStart w:id="52" w:name="_Toc15396607"/>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年度收、支总计</w:t>
      </w:r>
      <w:r>
        <w:rPr>
          <w:rFonts w:hint="eastAsia" w:ascii="仿宋_GB2312" w:hAnsi="仿宋_GB2312" w:eastAsia="仿宋_GB2312" w:cs="仿宋_GB2312"/>
          <w:sz w:val="32"/>
          <w:szCs w:val="32"/>
          <w:lang w:val="en-US" w:eastAsia="zh-CN"/>
        </w:rPr>
        <w:t>1239.63</w:t>
      </w:r>
      <w:r>
        <w:rPr>
          <w:rFonts w:hint="eastAsia" w:ascii="仿宋_GB2312" w:hAnsi="仿宋_GB2312" w:eastAsia="仿宋_GB2312" w:cs="仿宋_GB2312"/>
          <w:color w:val="000000"/>
          <w:sz w:val="32"/>
          <w:szCs w:val="32"/>
        </w:rPr>
        <w:t>万元。与20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lang w:val="en-US" w:eastAsia="zh-CN"/>
        </w:rPr>
        <w:t>851.06</w:t>
      </w:r>
      <w:r>
        <w:rPr>
          <w:rFonts w:hint="eastAsia" w:ascii="仿宋_GB2312" w:hAnsi="仿宋_GB2312" w:eastAsia="仿宋_GB2312" w:cs="仿宋_GB2312"/>
          <w:color w:val="000000"/>
          <w:sz w:val="32"/>
          <w:szCs w:val="32"/>
        </w:rPr>
        <w:t>万元相比，收、支总计</w:t>
      </w:r>
      <w:r>
        <w:rPr>
          <w:rFonts w:hint="eastAsia" w:ascii="仿宋_GB2312" w:hAnsi="仿宋_GB2312" w:eastAsia="仿宋_GB2312" w:cs="仿宋_GB2312"/>
          <w:color w:val="000000"/>
          <w:sz w:val="32"/>
          <w:szCs w:val="32"/>
          <w:lang w:val="en-US" w:eastAsia="zh-CN"/>
        </w:rPr>
        <w:t>增加388.57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增幅45.66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bCs/>
          <w:color w:val="000000"/>
          <w:sz w:val="32"/>
          <w:szCs w:val="32"/>
        </w:rPr>
        <w:t>各项目资金增减变化</w:t>
      </w:r>
      <w:r>
        <w:rPr>
          <w:rFonts w:hint="eastAsia" w:ascii="仿宋_GB2312" w:hAnsi="仿宋_GB2312" w:eastAsia="仿宋_GB2312" w:cs="仿宋_GB2312"/>
          <w:color w:val="000000"/>
          <w:sz w:val="32"/>
          <w:szCs w:val="32"/>
        </w:rPr>
        <w:t>。</w:t>
      </w:r>
    </w:p>
    <w:p w14:paraId="0584C106">
      <w:pPr>
        <w:pStyle w:val="30"/>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2"/>
          <w:rFonts w:hint="eastAsia" w:ascii="黑体" w:hAnsi="黑体" w:eastAsia="黑体" w:cs="黑体"/>
          <w:b w:val="0"/>
          <w:sz w:val="32"/>
          <w:szCs w:val="32"/>
          <w:lang w:val="en-US" w:eastAsia="zh-CN"/>
        </w:rPr>
      </w:pPr>
      <w:bookmarkStart w:id="53" w:name="_Toc18258"/>
      <w:r>
        <w:rPr>
          <w:rStyle w:val="32"/>
          <w:rFonts w:hint="eastAsia" w:ascii="黑体" w:hAnsi="黑体" w:eastAsia="黑体" w:cs="黑体"/>
          <w:b w:val="0"/>
          <w:sz w:val="32"/>
          <w:szCs w:val="32"/>
          <w:lang w:val="en-US" w:eastAsia="zh-CN"/>
        </w:rPr>
        <w:t>五、一般公共预算财政拨款支出决算情况说明</w:t>
      </w:r>
      <w:bookmarkEnd w:id="51"/>
      <w:bookmarkEnd w:id="52"/>
      <w:bookmarkEnd w:id="53"/>
    </w:p>
    <w:p w14:paraId="4490C68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ascii="仿宋" w:hAnsi="仿宋" w:eastAsia="仿宋" w:cs="仿宋"/>
          <w:bCs/>
          <w:color w:val="000000"/>
          <w:sz w:val="32"/>
          <w:szCs w:val="32"/>
        </w:rPr>
      </w:pPr>
      <w:bookmarkStart w:id="54" w:name="_Toc15377210"/>
      <w:r>
        <w:rPr>
          <w:rFonts w:hint="eastAsia" w:ascii="楷体" w:hAnsi="楷体" w:eastAsia="楷体" w:cs="楷体"/>
          <w:b w:val="0"/>
          <w:bCs w:val="0"/>
          <w:color w:val="000000"/>
          <w:kern w:val="0"/>
          <w:sz w:val="32"/>
          <w:szCs w:val="32"/>
          <w:shd w:val="clear" w:color="auto" w:fill="FFFFFF"/>
          <w:lang w:val="zh-CN" w:eastAsia="zh-CN"/>
        </w:rPr>
        <w:t>（一）一般公共预算财政拨款支出决算总体情况</w:t>
      </w:r>
      <w:bookmarkEnd w:id="54"/>
    </w:p>
    <w:p w14:paraId="652BF79B">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年一般公共预算财政拨款支出</w:t>
      </w:r>
      <w:r>
        <w:rPr>
          <w:rFonts w:hint="eastAsia" w:ascii="仿宋_GB2312" w:hAnsi="仿宋_GB2312" w:eastAsia="仿宋_GB2312" w:cs="仿宋_GB2312"/>
          <w:bCs/>
          <w:color w:val="000000"/>
          <w:sz w:val="32"/>
          <w:szCs w:val="32"/>
          <w:lang w:val="en-US" w:eastAsia="zh-CN"/>
        </w:rPr>
        <w:t>801.19</w:t>
      </w:r>
      <w:r>
        <w:rPr>
          <w:rFonts w:hint="eastAsia" w:ascii="仿宋_GB2312" w:hAnsi="仿宋_GB2312" w:eastAsia="仿宋_GB2312" w:cs="仿宋_GB2312"/>
          <w:bCs/>
          <w:color w:val="000000"/>
          <w:sz w:val="32"/>
          <w:szCs w:val="32"/>
        </w:rPr>
        <w:t>万元，占本年支出合计的</w:t>
      </w:r>
      <w:r>
        <w:rPr>
          <w:rFonts w:hint="eastAsia" w:ascii="仿宋_GB2312" w:hAnsi="仿宋_GB2312" w:eastAsia="仿宋_GB2312" w:cs="仿宋_GB2312"/>
          <w:color w:val="000000"/>
          <w:sz w:val="32"/>
          <w:szCs w:val="32"/>
          <w:lang w:val="en-US" w:eastAsia="zh-CN"/>
        </w:rPr>
        <w:t>64.63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。与20</w:t>
      </w:r>
      <w:r>
        <w:rPr>
          <w:rFonts w:hint="eastAsia" w:ascii="仿宋_GB2312" w:hAnsi="仿宋_GB2312" w:eastAsia="仿宋_GB2312" w:cs="仿宋_GB2312"/>
          <w:bCs/>
          <w:color w:val="000000"/>
          <w:sz w:val="32"/>
          <w:szCs w:val="32"/>
          <w:lang w:val="en-US" w:eastAsia="zh-CN"/>
        </w:rPr>
        <w:t>23</w:t>
      </w:r>
      <w:r>
        <w:rPr>
          <w:rFonts w:hint="eastAsia" w:ascii="仿宋_GB2312" w:hAnsi="仿宋_GB2312" w:eastAsia="仿宋_GB2312" w:cs="仿宋_GB2312"/>
          <w:bCs/>
          <w:color w:val="000000"/>
          <w:sz w:val="32"/>
          <w:szCs w:val="32"/>
        </w:rPr>
        <w:t>年相比，一般公共预算财政拨款</w:t>
      </w:r>
      <w:r>
        <w:rPr>
          <w:rFonts w:hint="eastAsia" w:ascii="仿宋_GB2312" w:hAnsi="仿宋_GB2312" w:eastAsia="仿宋_GB2312" w:cs="仿宋_GB2312"/>
          <w:bCs/>
          <w:color w:val="000000"/>
          <w:sz w:val="32"/>
          <w:szCs w:val="32"/>
          <w:lang w:val="en-US" w:eastAsia="zh-CN"/>
        </w:rPr>
        <w:t>增加32.03</w:t>
      </w:r>
      <w:r>
        <w:rPr>
          <w:rFonts w:hint="eastAsia" w:ascii="仿宋_GB2312" w:hAnsi="仿宋_GB2312" w:eastAsia="仿宋_GB2312" w:cs="仿宋_GB2312"/>
          <w:bCs/>
          <w:color w:val="000000"/>
          <w:sz w:val="32"/>
          <w:szCs w:val="32"/>
        </w:rPr>
        <w:t>万元，</w:t>
      </w:r>
      <w:r>
        <w:rPr>
          <w:rFonts w:hint="eastAsia" w:ascii="仿宋_GB2312" w:hAnsi="仿宋_GB2312" w:eastAsia="仿宋_GB2312" w:cs="仿宋_GB2312"/>
          <w:bCs/>
          <w:color w:val="000000"/>
          <w:sz w:val="32"/>
          <w:szCs w:val="32"/>
          <w:lang w:val="en-US" w:eastAsia="zh-CN"/>
        </w:rPr>
        <w:t>增加4.16</w:t>
      </w:r>
      <w:r>
        <w:rPr>
          <w:rFonts w:hint="eastAsia" w:ascii="仿宋_GB2312" w:hAnsi="仿宋_GB2312" w:eastAsia="仿宋_GB2312" w:cs="仿宋_GB2312"/>
          <w:bCs/>
          <w:color w:val="000000"/>
          <w:sz w:val="32"/>
          <w:szCs w:val="32"/>
        </w:rPr>
        <w:t>%。主要变动原因是各项目资金增减变化。</w:t>
      </w:r>
    </w:p>
    <w:p w14:paraId="34FE50D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ascii="仿宋" w:hAnsi="仿宋" w:eastAsia="仿宋" w:cs="仿宋"/>
          <w:bCs/>
          <w:color w:val="000000"/>
          <w:sz w:val="32"/>
          <w:szCs w:val="32"/>
        </w:rPr>
      </w:pPr>
      <w:bookmarkStart w:id="55" w:name="_Toc15377211"/>
      <w:r>
        <w:rPr>
          <w:rFonts w:hint="eastAsia" w:ascii="楷体" w:hAnsi="楷体" w:eastAsia="楷体" w:cs="楷体"/>
          <w:b w:val="0"/>
          <w:bCs w:val="0"/>
          <w:color w:val="000000"/>
          <w:kern w:val="0"/>
          <w:sz w:val="32"/>
          <w:szCs w:val="32"/>
          <w:shd w:val="clear" w:color="auto" w:fill="FFFFFF"/>
          <w:lang w:val="zh-CN" w:eastAsia="zh-CN"/>
        </w:rPr>
        <w:t>（二）一般公共预算财政拨款支出决算结构情况</w:t>
      </w:r>
      <w:bookmarkEnd w:id="55"/>
    </w:p>
    <w:p w14:paraId="446BDE69">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年一般公共预算财</w:t>
      </w:r>
      <w:r>
        <w:rPr>
          <w:rFonts w:hint="eastAsia" w:ascii="仿宋_GB2312" w:hAnsi="仿宋_GB2312" w:eastAsia="仿宋_GB2312" w:cs="仿宋_GB2312"/>
          <w:bCs/>
          <w:color w:val="000000" w:themeColor="text1"/>
          <w:sz w:val="32"/>
          <w:szCs w:val="32"/>
          <w14:textFill>
            <w14:solidFill>
              <w14:schemeClr w14:val="tx1"/>
            </w14:solidFill>
          </w14:textFill>
        </w:rPr>
        <w:t>政拨款支出</w:t>
      </w:r>
      <w:r>
        <w:rPr>
          <w:rFonts w:hint="eastAsia" w:ascii="仿宋_GB2312" w:hAnsi="仿宋_GB2312" w:eastAsia="仿宋_GB2312" w:cs="仿宋_GB2312"/>
          <w:bCs/>
          <w:color w:val="000000"/>
          <w:sz w:val="32"/>
          <w:szCs w:val="32"/>
          <w:lang w:val="en-US" w:eastAsia="zh-CN"/>
        </w:rPr>
        <w:t>801.19</w:t>
      </w:r>
      <w:r>
        <w:rPr>
          <w:rFonts w:hint="eastAsia" w:ascii="仿宋_GB2312" w:hAnsi="仿宋_GB2312" w:eastAsia="仿宋_GB2312" w:cs="仿宋_GB2312"/>
          <w:bCs/>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一般公共服务支出0.00万元，占0.00%；教育支出0.00万元，占0.00%；科学技术支出0.00万元，占0.00%；文化旅游体育与传媒支出0.00万元，占0.00%；社会保障和就业支出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94.48</w:t>
      </w:r>
      <w:r>
        <w:rPr>
          <w:rFonts w:hint="eastAsia" w:ascii="仿宋_GB2312" w:hAnsi="仿宋_GB2312" w:eastAsia="仿宋_GB2312" w:cs="仿宋_GB2312"/>
          <w:bCs/>
          <w:color w:val="000000" w:themeColor="text1"/>
          <w:sz w:val="32"/>
          <w:szCs w:val="32"/>
          <w14:textFill>
            <w14:solidFill>
              <w14:schemeClr w14:val="tx1"/>
            </w14:solidFill>
          </w14:textFill>
        </w:rPr>
        <w:t>万元，占</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11.79</w:t>
      </w:r>
      <w:r>
        <w:rPr>
          <w:rFonts w:hint="eastAsia" w:ascii="仿宋_GB2312" w:hAnsi="仿宋_GB2312" w:eastAsia="仿宋_GB2312" w:cs="仿宋_GB2312"/>
          <w:bCs/>
          <w:color w:val="000000" w:themeColor="text1"/>
          <w:sz w:val="32"/>
          <w:szCs w:val="32"/>
          <w14:textFill>
            <w14:solidFill>
              <w14:schemeClr w14:val="tx1"/>
            </w14:solidFill>
          </w14:textFill>
        </w:rPr>
        <w:t>%；卫生健康支出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20.15</w:t>
      </w:r>
      <w:r>
        <w:rPr>
          <w:rFonts w:hint="eastAsia" w:ascii="仿宋_GB2312" w:hAnsi="仿宋_GB2312" w:eastAsia="仿宋_GB2312" w:cs="仿宋_GB2312"/>
          <w:bCs/>
          <w:color w:val="000000" w:themeColor="text1"/>
          <w:sz w:val="32"/>
          <w:szCs w:val="32"/>
          <w14:textFill>
            <w14:solidFill>
              <w14:schemeClr w14:val="tx1"/>
            </w14:solidFill>
          </w14:textFill>
        </w:rPr>
        <w:t>万元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占</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2.52</w:t>
      </w:r>
      <w:r>
        <w:rPr>
          <w:rFonts w:hint="eastAsia" w:ascii="仿宋_GB2312" w:hAnsi="仿宋_GB2312" w:eastAsia="仿宋_GB2312" w:cs="仿宋_GB2312"/>
          <w:bCs/>
          <w:color w:val="000000" w:themeColor="text1"/>
          <w:sz w:val="32"/>
          <w:szCs w:val="32"/>
          <w14:textFill>
            <w14:solidFill>
              <w14:schemeClr w14:val="tx1"/>
            </w14:solidFill>
          </w14:textFill>
        </w:rPr>
        <w:t>%；节能环保支出0.00万元，占0.00%；城乡社区支出0万元，占0%；农林水支出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642.19</w:t>
      </w:r>
      <w:r>
        <w:rPr>
          <w:rFonts w:hint="eastAsia" w:ascii="仿宋_GB2312" w:hAnsi="仿宋_GB2312" w:eastAsia="仿宋_GB2312" w:cs="仿宋_GB2312"/>
          <w:bCs/>
          <w:color w:val="000000" w:themeColor="text1"/>
          <w:sz w:val="32"/>
          <w:szCs w:val="32"/>
          <w14:textFill>
            <w14:solidFill>
              <w14:schemeClr w14:val="tx1"/>
            </w14:solidFill>
          </w14:textFill>
        </w:rPr>
        <w:t>万元，占</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80.15</w:t>
      </w:r>
      <w:r>
        <w:rPr>
          <w:rFonts w:hint="eastAsia" w:ascii="仿宋_GB2312" w:hAnsi="仿宋_GB2312" w:eastAsia="仿宋_GB2312" w:cs="仿宋_GB2312"/>
          <w:bCs/>
          <w:color w:val="000000" w:themeColor="text1"/>
          <w:sz w:val="32"/>
          <w:szCs w:val="32"/>
          <w14:textFill>
            <w14:solidFill>
              <w14:schemeClr w14:val="tx1"/>
            </w14:solidFill>
          </w14:textFill>
        </w:rPr>
        <w:t>%；交通运输支出0.00万元，占0.00%；资源勘探信息等支出0.00万元，占0.00%；商业服务业等支出0.00万元，占0.00%；金融支出0.00%；国土海洋气象等支出0.00万元，占0.00%；住房保障支出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44.37</w:t>
      </w:r>
      <w:r>
        <w:rPr>
          <w:rFonts w:hint="eastAsia" w:ascii="仿宋_GB2312" w:hAnsi="仿宋_GB2312" w:eastAsia="仿宋_GB2312" w:cs="仿宋_GB2312"/>
          <w:bCs/>
          <w:color w:val="000000" w:themeColor="text1"/>
          <w:sz w:val="32"/>
          <w:szCs w:val="32"/>
          <w14:textFill>
            <w14:solidFill>
              <w14:schemeClr w14:val="tx1"/>
            </w14:solidFill>
          </w14:textFill>
        </w:rPr>
        <w:t>万元，占</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5.54</w:t>
      </w:r>
      <w:r>
        <w:rPr>
          <w:rFonts w:hint="eastAsia" w:ascii="仿宋_GB2312" w:hAnsi="仿宋_GB2312" w:eastAsia="仿宋_GB2312" w:cs="仿宋_GB2312"/>
          <w:bCs/>
          <w:color w:val="000000" w:themeColor="text1"/>
          <w:sz w:val="32"/>
          <w:szCs w:val="32"/>
          <w14:textFill>
            <w14:solidFill>
              <w14:schemeClr w14:val="tx1"/>
            </w14:solidFill>
          </w14:textFill>
        </w:rPr>
        <w:t>%；粮油物资储备支出0.00万元，占0.00%；其他支出0.00万元，占0.00%；债务还本支出）0.00万元，占0.00%；债务付息支出0.00万元，占0.00%；债务付息支出0.00万元，占0.00%。</w:t>
      </w:r>
    </w:p>
    <w:p w14:paraId="6412B0CA">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ascii="仿宋" w:hAnsi="仿宋" w:eastAsia="仿宋" w:cs="仿宋"/>
          <w:bCs/>
          <w:color w:val="000000"/>
          <w:sz w:val="32"/>
          <w:szCs w:val="32"/>
        </w:rPr>
      </w:pPr>
      <w:r>
        <w:rPr>
          <w:rFonts w:hint="eastAsia" w:ascii="楷体" w:hAnsi="楷体" w:eastAsia="楷体" w:cs="楷体"/>
          <w:b w:val="0"/>
          <w:bCs w:val="0"/>
          <w:color w:val="000000"/>
          <w:kern w:val="0"/>
          <w:sz w:val="32"/>
          <w:szCs w:val="32"/>
          <w:shd w:val="clear" w:color="auto" w:fill="FFFFFF"/>
          <w:lang w:val="zh-CN" w:eastAsia="zh-CN"/>
        </w:rPr>
        <w:t>（三）一般公共预算财政拨款支出决算具体情况</w:t>
      </w:r>
    </w:p>
    <w:p w14:paraId="309B92A5">
      <w:pPr>
        <w:pageBreakBefore w:val="0"/>
        <w:kinsoku/>
        <w:wordWrap/>
        <w:overflowPunct/>
        <w:topLinePunct w:val="0"/>
        <w:bidi w:val="0"/>
        <w:spacing w:line="600" w:lineRule="exact"/>
        <w:ind w:left="0" w:firstLine="640" w:firstLineChars="200"/>
        <w:textAlignment w:val="auto"/>
        <w:outlineLvl w:val="2"/>
        <w:rPr>
          <w:rFonts w:hint="eastAsia" w:ascii="仿宋_GB2312" w:hAnsi="仿宋_GB2312" w:eastAsia="仿宋_GB2312" w:cs="仿宋_GB2312"/>
          <w:bCs/>
          <w:color w:val="FF0000"/>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202</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32"/>
          <w14:textFill>
            <w14:solidFill>
              <w14:schemeClr w14:val="tx1"/>
            </w14:solidFill>
          </w14:textFill>
        </w:rPr>
        <w:t>年一般公共预算支出决算数为</w:t>
      </w:r>
      <w:r>
        <w:rPr>
          <w:rFonts w:hint="eastAsia" w:ascii="仿宋_GB2312" w:hAnsi="仿宋_GB2312" w:eastAsia="仿宋_GB2312" w:cs="仿宋_GB2312"/>
          <w:bCs/>
          <w:color w:val="000000"/>
          <w:sz w:val="32"/>
          <w:szCs w:val="32"/>
          <w:lang w:val="en-US" w:eastAsia="zh-CN"/>
        </w:rPr>
        <w:t>801.19</w:t>
      </w:r>
      <w:r>
        <w:rPr>
          <w:rFonts w:hint="eastAsia" w:ascii="仿宋_GB2312" w:hAnsi="仿宋_GB2312" w:eastAsia="仿宋_GB2312" w:cs="仿宋_GB2312"/>
          <w:bCs/>
          <w:color w:val="000000" w:themeColor="text1"/>
          <w:sz w:val="32"/>
          <w:szCs w:val="32"/>
          <w14:textFill>
            <w14:solidFill>
              <w14:schemeClr w14:val="tx1"/>
            </w14:solidFill>
          </w14:textFill>
        </w:rPr>
        <w:t>万元，</w:t>
      </w:r>
      <w:r>
        <w:rPr>
          <w:rStyle w:val="20"/>
          <w:rFonts w:hint="eastAsia" w:ascii="仿宋_GB2312" w:hAnsi="仿宋_GB2312" w:eastAsia="仿宋_GB2312" w:cs="仿宋_GB2312"/>
          <w:b w:val="0"/>
          <w:bCs/>
          <w:color w:val="000000" w:themeColor="text1"/>
          <w:sz w:val="32"/>
          <w:szCs w:val="32"/>
          <w14:textFill>
            <w14:solidFill>
              <w14:schemeClr w14:val="tx1"/>
            </w14:solidFill>
          </w14:textFill>
        </w:rPr>
        <w:t>完成</w:t>
      </w:r>
      <w:r>
        <w:rPr>
          <w:rStyle w:val="20"/>
          <w:rFonts w:hint="eastAsia" w:ascii="仿宋_GB2312" w:hAnsi="仿宋_GB2312" w:eastAsia="仿宋_GB2312" w:cs="仿宋_GB2312"/>
          <w:b w:val="0"/>
          <w:bCs/>
          <w:color w:val="000000"/>
          <w:sz w:val="32"/>
          <w:szCs w:val="32"/>
        </w:rPr>
        <w:t>预算100%</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333333"/>
          <w:sz w:val="32"/>
          <w:szCs w:val="32"/>
        </w:rPr>
        <w:t>与预算数持平。</w:t>
      </w:r>
      <w:r>
        <w:rPr>
          <w:rStyle w:val="20"/>
          <w:rFonts w:hint="eastAsia" w:ascii="仿宋_GB2312" w:hAnsi="仿宋_GB2312" w:eastAsia="仿宋_GB2312" w:cs="仿宋_GB2312"/>
          <w:b w:val="0"/>
          <w:bCs/>
          <w:color w:val="000000"/>
          <w:sz w:val="32"/>
          <w:szCs w:val="32"/>
        </w:rPr>
        <w:t>其中：</w:t>
      </w:r>
    </w:p>
    <w:p w14:paraId="03871B8F">
      <w:pPr>
        <w:pageBreakBefore w:val="0"/>
        <w:kinsoku/>
        <w:wordWrap/>
        <w:overflowPunct/>
        <w:topLinePunct w:val="0"/>
        <w:bidi w:val="0"/>
        <w:spacing w:line="600" w:lineRule="exact"/>
        <w:ind w:left="0" w:firstLine="640" w:firstLineChars="200"/>
        <w:jc w:val="left"/>
        <w:textAlignment w:val="auto"/>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社会保障和就业支出（208）20</w:t>
      </w:r>
      <w:r>
        <w:rPr>
          <w:rFonts w:hint="eastAsia" w:ascii="仿宋_GB2312" w:hAnsi="仿宋_GB2312" w:eastAsia="仿宋_GB2312" w:cs="仿宋_GB2312"/>
          <w:bCs/>
          <w:color w:val="000000"/>
          <w:sz w:val="32"/>
          <w:szCs w:val="32"/>
          <w:lang w:val="en-US" w:eastAsia="zh-CN"/>
        </w:rPr>
        <w:t>24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94.48</w:t>
      </w:r>
      <w:r>
        <w:rPr>
          <w:rFonts w:hint="eastAsia" w:ascii="仿宋_GB2312" w:hAnsi="仿宋_GB2312" w:eastAsia="仿宋_GB2312" w:cs="仿宋_GB2312"/>
          <w:bCs/>
          <w:color w:val="000000"/>
          <w:sz w:val="32"/>
          <w:szCs w:val="32"/>
        </w:rPr>
        <w:t>万元，完成预算100%，</w:t>
      </w:r>
      <w:r>
        <w:rPr>
          <w:rFonts w:hint="eastAsia" w:ascii="仿宋_GB2312" w:hAnsi="仿宋_GB2312" w:eastAsia="仿宋_GB2312" w:cs="仿宋_GB2312"/>
          <w:bCs/>
          <w:color w:val="333333"/>
          <w:sz w:val="32"/>
          <w:szCs w:val="32"/>
        </w:rPr>
        <w:t>与预算数持平。其中：</w:t>
      </w:r>
    </w:p>
    <w:p w14:paraId="4761F80E">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000000"/>
          <w:sz w:val="32"/>
          <w:szCs w:val="32"/>
        </w:rPr>
        <w:t>机关事业单位基本养老保险缴费支出（2080505）202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52.74</w:t>
      </w:r>
      <w:r>
        <w:rPr>
          <w:rFonts w:hint="eastAsia" w:ascii="仿宋_GB2312" w:hAnsi="仿宋_GB2312" w:eastAsia="仿宋_GB2312" w:cs="仿宋_GB2312"/>
          <w:bCs/>
          <w:color w:val="000000"/>
          <w:sz w:val="32"/>
          <w:szCs w:val="32"/>
        </w:rPr>
        <w:t>万元，完成预算100%，</w:t>
      </w:r>
      <w:r>
        <w:rPr>
          <w:rFonts w:hint="eastAsia" w:ascii="仿宋_GB2312" w:hAnsi="仿宋_GB2312" w:eastAsia="仿宋_GB2312" w:cs="仿宋_GB2312"/>
          <w:bCs/>
          <w:color w:val="333333"/>
          <w:sz w:val="32"/>
          <w:szCs w:val="32"/>
        </w:rPr>
        <w:t>与预算数持平。</w:t>
      </w:r>
    </w:p>
    <w:p w14:paraId="10E837ED">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000000"/>
          <w:sz w:val="32"/>
          <w:szCs w:val="32"/>
        </w:rPr>
        <w:t>机关事业单位职业年金缴费支出（2080506</w:t>
      </w:r>
      <w:r>
        <w:rPr>
          <w:rStyle w:val="20"/>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31.39</w:t>
      </w:r>
      <w:r>
        <w:rPr>
          <w:rFonts w:hint="eastAsia" w:ascii="仿宋_GB2312" w:hAnsi="仿宋_GB2312" w:eastAsia="仿宋_GB2312" w:cs="仿宋_GB2312"/>
          <w:bCs/>
          <w:color w:val="000000"/>
          <w:sz w:val="32"/>
          <w:szCs w:val="32"/>
        </w:rPr>
        <w:t>万元，完成预算100%，</w:t>
      </w:r>
      <w:r>
        <w:rPr>
          <w:rFonts w:hint="eastAsia" w:ascii="仿宋_GB2312" w:hAnsi="仿宋_GB2312" w:eastAsia="仿宋_GB2312" w:cs="仿宋_GB2312"/>
          <w:bCs/>
          <w:color w:val="333333"/>
          <w:sz w:val="32"/>
          <w:szCs w:val="32"/>
        </w:rPr>
        <w:t>与预算数持平。</w:t>
      </w:r>
    </w:p>
    <w:p w14:paraId="5F1C5CCD">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000000"/>
          <w:kern w:val="0"/>
          <w:sz w:val="32"/>
          <w:szCs w:val="32"/>
          <w:lang w:eastAsia="zh-CN"/>
        </w:rPr>
      </w:pPr>
      <w:r>
        <w:rPr>
          <w:rFonts w:hint="eastAsia" w:ascii="仿宋_GB2312" w:hAnsi="仿宋_GB2312" w:eastAsia="仿宋_GB2312" w:cs="仿宋_GB2312"/>
          <w:bCs/>
          <w:color w:val="000000"/>
          <w:kern w:val="0"/>
          <w:sz w:val="32"/>
          <w:szCs w:val="32"/>
          <w:lang w:eastAsia="zh-CN"/>
        </w:rPr>
        <w:t>其他优抚支出（</w:t>
      </w:r>
      <w:r>
        <w:rPr>
          <w:rFonts w:hint="eastAsia" w:ascii="仿宋_GB2312" w:hAnsi="仿宋_GB2312" w:eastAsia="仿宋_GB2312" w:cs="仿宋_GB2312"/>
          <w:bCs/>
          <w:color w:val="000000"/>
          <w:kern w:val="0"/>
          <w:sz w:val="32"/>
          <w:szCs w:val="32"/>
          <w:lang w:val="en-US" w:eastAsia="zh-CN"/>
        </w:rPr>
        <w:t>2080899</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0.90</w:t>
      </w:r>
      <w:r>
        <w:rPr>
          <w:rFonts w:hint="eastAsia" w:ascii="仿宋_GB2312" w:hAnsi="仿宋_GB2312" w:eastAsia="仿宋_GB2312" w:cs="仿宋_GB2312"/>
          <w:bCs/>
          <w:color w:val="000000"/>
          <w:sz w:val="32"/>
          <w:szCs w:val="32"/>
        </w:rPr>
        <w:t>万元，完成预算100%，</w:t>
      </w:r>
      <w:r>
        <w:rPr>
          <w:rFonts w:hint="eastAsia" w:ascii="仿宋_GB2312" w:hAnsi="仿宋_GB2312" w:eastAsia="仿宋_GB2312" w:cs="仿宋_GB2312"/>
          <w:bCs/>
          <w:color w:val="333333"/>
          <w:sz w:val="32"/>
          <w:szCs w:val="32"/>
        </w:rPr>
        <w:t>与预算数持平。</w:t>
      </w:r>
    </w:p>
    <w:p w14:paraId="69934AA5">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rPr>
        <w:t>其他</w:t>
      </w:r>
      <w:r>
        <w:rPr>
          <w:rFonts w:hint="eastAsia" w:ascii="仿宋_GB2312" w:hAnsi="仿宋_GB2312" w:eastAsia="仿宋_GB2312" w:cs="仿宋_GB2312"/>
          <w:bCs/>
          <w:color w:val="000000"/>
          <w:kern w:val="0"/>
          <w:sz w:val="32"/>
          <w:szCs w:val="32"/>
          <w:lang w:eastAsia="zh-CN"/>
        </w:rPr>
        <w:t>社会保障和就业</w:t>
      </w:r>
      <w:r>
        <w:rPr>
          <w:rFonts w:hint="eastAsia" w:ascii="仿宋_GB2312" w:hAnsi="仿宋_GB2312" w:eastAsia="仿宋_GB2312" w:cs="仿宋_GB2312"/>
          <w:bCs/>
          <w:color w:val="000000"/>
          <w:kern w:val="0"/>
          <w:sz w:val="32"/>
          <w:szCs w:val="32"/>
        </w:rPr>
        <w:t>支出（208</w:t>
      </w:r>
      <w:r>
        <w:rPr>
          <w:rFonts w:hint="eastAsia" w:ascii="仿宋_GB2312" w:hAnsi="仿宋_GB2312" w:eastAsia="仿宋_GB2312" w:cs="仿宋_GB2312"/>
          <w:bCs/>
          <w:color w:val="000000"/>
          <w:kern w:val="0"/>
          <w:sz w:val="32"/>
          <w:szCs w:val="32"/>
          <w:lang w:val="en-US" w:eastAsia="zh-CN"/>
        </w:rPr>
        <w:t>9999</w:t>
      </w:r>
      <w:r>
        <w:rPr>
          <w:rStyle w:val="20"/>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9.45</w:t>
      </w:r>
      <w:r>
        <w:rPr>
          <w:rFonts w:hint="eastAsia" w:ascii="仿宋_GB2312" w:hAnsi="仿宋_GB2312" w:eastAsia="仿宋_GB2312" w:cs="仿宋_GB2312"/>
          <w:bCs/>
          <w:color w:val="000000"/>
          <w:sz w:val="32"/>
          <w:szCs w:val="32"/>
        </w:rPr>
        <w:t>万元，完成预算100%，</w:t>
      </w:r>
      <w:r>
        <w:rPr>
          <w:rFonts w:hint="eastAsia" w:ascii="仿宋_GB2312" w:hAnsi="仿宋_GB2312" w:eastAsia="仿宋_GB2312" w:cs="仿宋_GB2312"/>
          <w:bCs/>
          <w:color w:val="333333"/>
          <w:sz w:val="32"/>
          <w:szCs w:val="32"/>
        </w:rPr>
        <w:t>与预算数持平。</w:t>
      </w:r>
    </w:p>
    <w:p w14:paraId="009AC554">
      <w:pPr>
        <w:pageBreakBefore w:val="0"/>
        <w:kinsoku/>
        <w:wordWrap/>
        <w:overflowPunct/>
        <w:topLinePunct w:val="0"/>
        <w:bidi w:val="0"/>
        <w:spacing w:line="600" w:lineRule="exact"/>
        <w:ind w:left="0" w:firstLine="640" w:firstLineChars="200"/>
        <w:jc w:val="left"/>
        <w:textAlignment w:val="auto"/>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000000"/>
          <w:sz w:val="32"/>
          <w:szCs w:val="32"/>
        </w:rPr>
        <w:t>2</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卫生健康支出(210)202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20.15</w:t>
      </w:r>
      <w:r>
        <w:rPr>
          <w:rFonts w:hint="eastAsia" w:ascii="仿宋_GB2312" w:hAnsi="仿宋_GB2312" w:eastAsia="仿宋_GB2312" w:cs="仿宋_GB2312"/>
          <w:bCs/>
          <w:color w:val="000000"/>
          <w:sz w:val="32"/>
          <w:szCs w:val="32"/>
        </w:rPr>
        <w:t>万元，完成预算100%，</w:t>
      </w:r>
      <w:r>
        <w:rPr>
          <w:rFonts w:hint="eastAsia" w:ascii="仿宋_GB2312" w:hAnsi="仿宋_GB2312" w:eastAsia="仿宋_GB2312" w:cs="仿宋_GB2312"/>
          <w:bCs/>
          <w:color w:val="333333"/>
          <w:sz w:val="32"/>
          <w:szCs w:val="32"/>
        </w:rPr>
        <w:t>与预算数持平。其中：</w:t>
      </w:r>
    </w:p>
    <w:p w14:paraId="33491A7D">
      <w:pPr>
        <w:pageBreakBefore w:val="0"/>
        <w:kinsoku/>
        <w:wordWrap/>
        <w:overflowPunct/>
        <w:topLinePunct w:val="0"/>
        <w:bidi w:val="0"/>
        <w:spacing w:line="600" w:lineRule="exact"/>
        <w:ind w:left="0" w:firstLine="640" w:firstLineChars="200"/>
        <w:jc w:val="left"/>
        <w:textAlignment w:val="auto"/>
        <w:rPr>
          <w:rStyle w:val="20"/>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Cs/>
          <w:color w:val="000000"/>
          <w:sz w:val="32"/>
          <w:szCs w:val="32"/>
        </w:rPr>
        <w:t>事业单位医疗（2101102）202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20.15</w:t>
      </w:r>
      <w:r>
        <w:rPr>
          <w:rFonts w:hint="eastAsia" w:ascii="仿宋_GB2312" w:hAnsi="仿宋_GB2312" w:eastAsia="仿宋_GB2312" w:cs="仿宋_GB2312"/>
          <w:bCs/>
          <w:color w:val="000000"/>
          <w:sz w:val="32"/>
          <w:szCs w:val="32"/>
        </w:rPr>
        <w:t>万元，完成预算100%，</w:t>
      </w:r>
      <w:r>
        <w:rPr>
          <w:rFonts w:hint="eastAsia" w:ascii="仿宋_GB2312" w:hAnsi="仿宋_GB2312" w:eastAsia="仿宋_GB2312" w:cs="仿宋_GB2312"/>
          <w:bCs/>
          <w:color w:val="333333"/>
          <w:sz w:val="32"/>
          <w:szCs w:val="32"/>
        </w:rPr>
        <w:t>与预算数持平。</w:t>
      </w:r>
    </w:p>
    <w:p w14:paraId="6320A4FA">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农林水支出(213)202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642.19</w:t>
      </w:r>
      <w:r>
        <w:rPr>
          <w:rFonts w:hint="eastAsia" w:ascii="仿宋_GB2312" w:hAnsi="仿宋_GB2312" w:eastAsia="仿宋_GB2312" w:cs="仿宋_GB2312"/>
          <w:bCs/>
          <w:color w:val="000000"/>
          <w:sz w:val="32"/>
          <w:szCs w:val="32"/>
        </w:rPr>
        <w:t>万元，完成预算</w:t>
      </w:r>
      <w:r>
        <w:rPr>
          <w:rFonts w:hint="eastAsia" w:ascii="仿宋_GB2312" w:hAnsi="仿宋_GB2312" w:eastAsia="仿宋_GB2312" w:cs="仿宋_GB2312"/>
          <w:bCs/>
          <w:color w:val="000000"/>
          <w:sz w:val="32"/>
          <w:szCs w:val="32"/>
          <w:lang w:val="en-US" w:eastAsia="zh-CN"/>
        </w:rPr>
        <w:t>100</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333333"/>
          <w:sz w:val="32"/>
          <w:szCs w:val="32"/>
        </w:rPr>
        <w:t>与预算数持平。</w:t>
      </w:r>
      <w:r>
        <w:rPr>
          <w:rFonts w:hint="eastAsia" w:ascii="仿宋_GB2312" w:hAnsi="仿宋_GB2312" w:eastAsia="仿宋_GB2312" w:cs="仿宋_GB2312"/>
          <w:bCs/>
          <w:color w:val="000000"/>
          <w:sz w:val="32"/>
          <w:szCs w:val="32"/>
        </w:rPr>
        <w:t>其中：</w:t>
      </w:r>
    </w:p>
    <w:p w14:paraId="052FFA9C">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000000"/>
          <w:kern w:val="0"/>
          <w:sz w:val="32"/>
          <w:szCs w:val="32"/>
        </w:rPr>
        <w:t>水利行业业务管理（2130304</w:t>
      </w:r>
      <w:r>
        <w:rPr>
          <w:rStyle w:val="20"/>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480.82</w:t>
      </w:r>
      <w:r>
        <w:rPr>
          <w:rFonts w:hint="eastAsia" w:ascii="仿宋_GB2312" w:hAnsi="仿宋_GB2312" w:eastAsia="仿宋_GB2312" w:cs="仿宋_GB2312"/>
          <w:bCs/>
          <w:color w:val="000000"/>
          <w:sz w:val="32"/>
          <w:szCs w:val="32"/>
        </w:rPr>
        <w:t>万元，完成预算</w:t>
      </w:r>
      <w:r>
        <w:rPr>
          <w:rFonts w:hint="eastAsia" w:ascii="仿宋_GB2312" w:hAnsi="仿宋_GB2312" w:eastAsia="仿宋_GB2312" w:cs="仿宋_GB2312"/>
          <w:bCs/>
          <w:color w:val="000000"/>
          <w:sz w:val="32"/>
          <w:szCs w:val="32"/>
          <w:lang w:val="en-US" w:eastAsia="zh-CN"/>
        </w:rPr>
        <w:t>100</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333333"/>
          <w:sz w:val="32"/>
          <w:szCs w:val="32"/>
        </w:rPr>
        <w:t>与预算数持平。</w:t>
      </w:r>
    </w:p>
    <w:p w14:paraId="54B8732E">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000000"/>
          <w:kern w:val="0"/>
          <w:sz w:val="32"/>
          <w:szCs w:val="32"/>
        </w:rPr>
        <w:t>水利</w:t>
      </w:r>
      <w:r>
        <w:rPr>
          <w:rFonts w:hint="eastAsia" w:ascii="仿宋_GB2312" w:hAnsi="仿宋_GB2312" w:eastAsia="仿宋_GB2312" w:cs="仿宋_GB2312"/>
          <w:bCs/>
          <w:color w:val="000000"/>
          <w:kern w:val="0"/>
          <w:sz w:val="32"/>
          <w:szCs w:val="32"/>
          <w:lang w:eastAsia="zh-CN"/>
        </w:rPr>
        <w:t>工程运行与维护</w:t>
      </w:r>
      <w:r>
        <w:rPr>
          <w:rFonts w:hint="eastAsia" w:ascii="仿宋_GB2312" w:hAnsi="仿宋_GB2312" w:eastAsia="仿宋_GB2312" w:cs="仿宋_GB2312"/>
          <w:bCs/>
          <w:color w:val="000000"/>
          <w:kern w:val="0"/>
          <w:sz w:val="32"/>
          <w:szCs w:val="32"/>
        </w:rPr>
        <w:t>（213030</w:t>
      </w:r>
      <w:r>
        <w:rPr>
          <w:rFonts w:hint="eastAsia" w:ascii="仿宋_GB2312" w:hAnsi="仿宋_GB2312" w:eastAsia="仿宋_GB2312" w:cs="仿宋_GB2312"/>
          <w:bCs/>
          <w:color w:val="000000"/>
          <w:kern w:val="0"/>
          <w:sz w:val="32"/>
          <w:szCs w:val="32"/>
          <w:lang w:val="en-US" w:eastAsia="zh-CN"/>
        </w:rPr>
        <w:t>6</w:t>
      </w:r>
      <w:r>
        <w:rPr>
          <w:rStyle w:val="20"/>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123.92</w:t>
      </w:r>
      <w:r>
        <w:rPr>
          <w:rFonts w:hint="eastAsia" w:ascii="仿宋_GB2312" w:hAnsi="仿宋_GB2312" w:eastAsia="仿宋_GB2312" w:cs="仿宋_GB2312"/>
          <w:bCs/>
          <w:color w:val="000000"/>
          <w:sz w:val="32"/>
          <w:szCs w:val="32"/>
        </w:rPr>
        <w:t>万元，完成预算100.00%，</w:t>
      </w:r>
      <w:r>
        <w:rPr>
          <w:rFonts w:hint="eastAsia" w:ascii="仿宋_GB2312" w:hAnsi="仿宋_GB2312" w:eastAsia="仿宋_GB2312" w:cs="仿宋_GB2312"/>
          <w:bCs/>
          <w:color w:val="333333"/>
          <w:sz w:val="32"/>
          <w:szCs w:val="32"/>
        </w:rPr>
        <w:t>与预算数持平。</w:t>
      </w:r>
    </w:p>
    <w:p w14:paraId="26957C6B">
      <w:pPr>
        <w:pageBreakBefore w:val="0"/>
        <w:kinsoku/>
        <w:wordWrap/>
        <w:overflowPunct/>
        <w:topLinePunct w:val="0"/>
        <w:bidi w:val="0"/>
        <w:spacing w:line="600" w:lineRule="exact"/>
        <w:ind w:left="0" w:firstLine="640" w:firstLineChars="200"/>
        <w:textAlignment w:val="auto"/>
        <w:rPr>
          <w:rStyle w:val="20"/>
          <w:rFonts w:hint="eastAsia" w:ascii="仿宋_GB2312" w:hAnsi="仿宋_GB2312" w:eastAsia="仿宋_GB2312" w:cs="仿宋_GB2312"/>
          <w:b w:val="0"/>
          <w:bCs/>
          <w:color w:val="000000"/>
          <w:sz w:val="32"/>
          <w:szCs w:val="32"/>
          <w:lang w:val="en-US" w:eastAsia="zh-CN"/>
        </w:rPr>
      </w:pPr>
      <w:r>
        <w:rPr>
          <w:rStyle w:val="20"/>
          <w:rFonts w:hint="eastAsia" w:ascii="仿宋_GB2312" w:hAnsi="仿宋_GB2312" w:eastAsia="仿宋_GB2312" w:cs="仿宋_GB2312"/>
          <w:b w:val="0"/>
          <w:color w:val="000000"/>
          <w:sz w:val="32"/>
          <w:szCs w:val="32"/>
        </w:rPr>
        <w:t>其他水利支出（2130399）</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年决算数为</w:t>
      </w:r>
      <w:r>
        <w:rPr>
          <w:rFonts w:hint="eastAsia" w:ascii="仿宋_GB2312" w:hAnsi="仿宋_GB2312" w:eastAsia="仿宋_GB2312" w:cs="仿宋_GB2312"/>
          <w:color w:val="000000"/>
          <w:sz w:val="32"/>
          <w:szCs w:val="32"/>
          <w:lang w:val="en-US" w:eastAsia="zh-CN"/>
        </w:rPr>
        <w:t>37.45</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bCs/>
          <w:color w:val="000000"/>
          <w:sz w:val="32"/>
          <w:szCs w:val="32"/>
        </w:rPr>
        <w:t>完成预算</w:t>
      </w:r>
      <w:r>
        <w:rPr>
          <w:rFonts w:hint="eastAsia" w:ascii="仿宋_GB2312" w:hAnsi="仿宋_GB2312" w:eastAsia="仿宋_GB2312" w:cs="仿宋_GB2312"/>
          <w:bCs/>
          <w:color w:val="000000"/>
          <w:sz w:val="32"/>
          <w:szCs w:val="32"/>
          <w:lang w:val="en-US" w:eastAsia="zh-CN"/>
        </w:rPr>
        <w:t>100.00</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333333"/>
          <w:sz w:val="32"/>
          <w:szCs w:val="32"/>
        </w:rPr>
        <w:t>与预算数持平</w:t>
      </w:r>
      <w:r>
        <w:rPr>
          <w:rStyle w:val="20"/>
          <w:rFonts w:hint="eastAsia" w:ascii="仿宋_GB2312" w:hAnsi="仿宋_GB2312" w:eastAsia="仿宋_GB2312" w:cs="仿宋_GB2312"/>
          <w:b w:val="0"/>
          <w:bCs/>
          <w:color w:val="000000"/>
          <w:sz w:val="32"/>
          <w:szCs w:val="32"/>
          <w:lang w:val="en-US" w:eastAsia="zh-CN"/>
        </w:rPr>
        <w:t>。</w:t>
      </w:r>
    </w:p>
    <w:p w14:paraId="08740C2A">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404040"/>
          <w:sz w:val="32"/>
          <w:szCs w:val="32"/>
        </w:rPr>
      </w:pPr>
      <w:r>
        <w:rPr>
          <w:rFonts w:hint="eastAsia" w:ascii="仿宋_GB2312" w:hAnsi="仿宋_GB2312" w:eastAsia="仿宋_GB2312" w:cs="仿宋_GB2312"/>
          <w:bCs/>
          <w:color w:val="000000"/>
          <w:sz w:val="32"/>
          <w:szCs w:val="32"/>
        </w:rPr>
        <w:t>4</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住房保障支出(221)202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44.37</w:t>
      </w:r>
      <w:r>
        <w:rPr>
          <w:rFonts w:hint="eastAsia" w:ascii="仿宋_GB2312" w:hAnsi="仿宋_GB2312" w:eastAsia="仿宋_GB2312" w:cs="仿宋_GB2312"/>
          <w:bCs/>
          <w:color w:val="000000"/>
          <w:sz w:val="32"/>
          <w:szCs w:val="32"/>
        </w:rPr>
        <w:t>万元，完成预算100.00%，</w:t>
      </w:r>
      <w:r>
        <w:rPr>
          <w:rFonts w:hint="eastAsia" w:ascii="仿宋_GB2312" w:hAnsi="仿宋_GB2312" w:eastAsia="仿宋_GB2312" w:cs="仿宋_GB2312"/>
          <w:bCs/>
          <w:color w:val="333333"/>
          <w:sz w:val="32"/>
          <w:szCs w:val="32"/>
        </w:rPr>
        <w:t>与预算数持平。其中：</w:t>
      </w:r>
    </w:p>
    <w:p w14:paraId="73B4F95F">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住房公积金（2210201）20</w:t>
      </w:r>
      <w:r>
        <w:rPr>
          <w:rFonts w:hint="eastAsia" w:ascii="仿宋_GB2312" w:hAnsi="仿宋_GB2312" w:eastAsia="仿宋_GB2312" w:cs="仿宋_GB2312"/>
          <w:bCs/>
          <w:color w:val="000000"/>
          <w:sz w:val="32"/>
          <w:szCs w:val="32"/>
          <w:lang w:val="en-US" w:eastAsia="zh-CN"/>
        </w:rPr>
        <w:t>24</w:t>
      </w:r>
      <w:r>
        <w:rPr>
          <w:rFonts w:hint="eastAsia" w:ascii="仿宋_GB2312" w:hAnsi="仿宋_GB2312" w:eastAsia="仿宋_GB2312" w:cs="仿宋_GB2312"/>
          <w:bCs/>
          <w:color w:val="000000"/>
          <w:sz w:val="32"/>
          <w:szCs w:val="32"/>
        </w:rPr>
        <w:t>年决算数为</w:t>
      </w:r>
      <w:r>
        <w:rPr>
          <w:rFonts w:hint="eastAsia" w:ascii="仿宋_GB2312" w:hAnsi="仿宋_GB2312" w:eastAsia="仿宋_GB2312" w:cs="仿宋_GB2312"/>
          <w:bCs/>
          <w:color w:val="000000"/>
          <w:sz w:val="32"/>
          <w:szCs w:val="32"/>
          <w:lang w:val="en-US" w:eastAsia="zh-CN"/>
        </w:rPr>
        <w:t>44.37万</w:t>
      </w:r>
      <w:r>
        <w:rPr>
          <w:rFonts w:hint="eastAsia" w:ascii="仿宋_GB2312" w:hAnsi="仿宋_GB2312" w:eastAsia="仿宋_GB2312" w:cs="仿宋_GB2312"/>
          <w:bCs/>
          <w:color w:val="000000"/>
          <w:sz w:val="32"/>
          <w:szCs w:val="32"/>
        </w:rPr>
        <w:t>元，完成预算100.00%，</w:t>
      </w:r>
      <w:r>
        <w:rPr>
          <w:rFonts w:hint="eastAsia" w:ascii="仿宋_GB2312" w:hAnsi="仿宋_GB2312" w:eastAsia="仿宋_GB2312" w:cs="仿宋_GB2312"/>
          <w:bCs/>
          <w:color w:val="333333"/>
          <w:sz w:val="32"/>
          <w:szCs w:val="32"/>
        </w:rPr>
        <w:t>与预算数持平。</w:t>
      </w:r>
    </w:p>
    <w:p w14:paraId="43E8A5CD">
      <w:pPr>
        <w:pageBreakBefore w:val="0"/>
        <w:tabs>
          <w:tab w:val="right" w:pos="8306"/>
        </w:tabs>
        <w:kinsoku/>
        <w:wordWrap/>
        <w:overflowPunct/>
        <w:topLinePunct w:val="0"/>
        <w:bidi w:val="0"/>
        <w:spacing w:line="600" w:lineRule="exact"/>
        <w:ind w:left="0" w:firstLine="640" w:firstLineChars="200"/>
        <w:textAlignment w:val="auto"/>
        <w:outlineLvl w:val="1"/>
        <w:rPr>
          <w:rStyle w:val="32"/>
          <w:rFonts w:ascii="仿宋" w:hAnsi="仿宋" w:eastAsia="仿宋" w:cs="仿宋"/>
          <w:b w:val="0"/>
          <w:sz w:val="32"/>
          <w:szCs w:val="32"/>
        </w:rPr>
      </w:pPr>
      <w:bookmarkStart w:id="56" w:name="_Toc15377214"/>
      <w:bookmarkStart w:id="57" w:name="_Toc15396608"/>
      <w:bookmarkStart w:id="58" w:name="_Toc11140"/>
      <w:r>
        <w:rPr>
          <w:rFonts w:hint="eastAsia" w:ascii="黑体" w:hAnsi="黑体" w:eastAsia="黑体" w:cs="黑体"/>
          <w:bCs/>
          <w:color w:val="000000"/>
          <w:sz w:val="32"/>
          <w:szCs w:val="32"/>
        </w:rPr>
        <w:t>六、一</w:t>
      </w:r>
      <w:r>
        <w:rPr>
          <w:rStyle w:val="32"/>
          <w:rFonts w:hint="eastAsia" w:ascii="黑体" w:hAnsi="黑体" w:eastAsia="黑体" w:cs="黑体"/>
          <w:b w:val="0"/>
          <w:sz w:val="32"/>
          <w:szCs w:val="32"/>
        </w:rPr>
        <w:t>般公共预算财政拨款基本支出决算情况说明</w:t>
      </w:r>
      <w:bookmarkEnd w:id="56"/>
      <w:bookmarkEnd w:id="57"/>
      <w:bookmarkEnd w:id="58"/>
      <w:r>
        <w:rPr>
          <w:rStyle w:val="32"/>
          <w:rFonts w:hint="eastAsia" w:ascii="仿宋" w:hAnsi="仿宋" w:eastAsia="仿宋" w:cs="仿宋"/>
          <w:b w:val="0"/>
          <w:sz w:val="32"/>
          <w:szCs w:val="32"/>
        </w:rPr>
        <w:tab/>
      </w:r>
    </w:p>
    <w:p w14:paraId="18DD1869">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年一般公共预算财政拨款基本支出</w:t>
      </w:r>
      <w:r>
        <w:rPr>
          <w:rFonts w:hint="eastAsia" w:ascii="仿宋_GB2312" w:hAnsi="仿宋_GB2312" w:eastAsia="仿宋_GB2312" w:cs="仿宋_GB2312"/>
          <w:bCs/>
          <w:color w:val="000000"/>
          <w:sz w:val="32"/>
          <w:szCs w:val="32"/>
          <w:lang w:val="en-US" w:eastAsia="zh-CN"/>
        </w:rPr>
        <w:t>643.53</w:t>
      </w:r>
      <w:r>
        <w:rPr>
          <w:rFonts w:hint="eastAsia" w:ascii="仿宋_GB2312" w:hAnsi="仿宋_GB2312" w:eastAsia="仿宋_GB2312" w:cs="仿宋_GB2312"/>
          <w:bCs/>
          <w:color w:val="000000"/>
          <w:sz w:val="32"/>
          <w:szCs w:val="32"/>
        </w:rPr>
        <w:t>万元，其中：</w:t>
      </w:r>
    </w:p>
    <w:p w14:paraId="74C2E5BD">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人员经费</w:t>
      </w:r>
      <w:r>
        <w:rPr>
          <w:rFonts w:hint="eastAsia" w:ascii="仿宋_GB2312" w:hAnsi="仿宋_GB2312" w:eastAsia="仿宋_GB2312" w:cs="仿宋_GB2312"/>
          <w:bCs/>
          <w:color w:val="000000"/>
          <w:sz w:val="32"/>
          <w:szCs w:val="32"/>
          <w:lang w:val="en-US" w:eastAsia="zh-CN"/>
        </w:rPr>
        <w:t>590.8</w:t>
      </w:r>
      <w:r>
        <w:rPr>
          <w:rFonts w:hint="eastAsia" w:ascii="仿宋_GB2312" w:hAnsi="仿宋_GB2312" w:eastAsia="仿宋_GB2312" w:cs="仿宋_GB2312"/>
          <w:bCs/>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1F3022F4">
      <w:pPr>
        <w:pageBreakBefore w:val="0"/>
        <w:kinsoku/>
        <w:wordWrap/>
        <w:overflowPunct/>
        <w:topLinePunct w:val="0"/>
        <w:bidi w:val="0"/>
        <w:spacing w:line="600" w:lineRule="exact"/>
        <w:ind w:left="0" w:firstLine="640" w:firstLineChars="200"/>
        <w:textAlignment w:val="auto"/>
        <w:rPr>
          <w:rFonts w:ascii="仿宋" w:hAnsi="仿宋" w:eastAsia="仿宋" w:cs="仿宋"/>
          <w:bCs/>
          <w:color w:val="000000"/>
          <w:sz w:val="32"/>
          <w:szCs w:val="32"/>
        </w:rPr>
      </w:pPr>
      <w:r>
        <w:rPr>
          <w:rFonts w:hint="eastAsia" w:ascii="仿宋_GB2312" w:hAnsi="仿宋_GB2312" w:eastAsia="仿宋_GB2312" w:cs="仿宋_GB2312"/>
          <w:bCs/>
          <w:color w:val="000000"/>
          <w:sz w:val="32"/>
          <w:szCs w:val="32"/>
        </w:rPr>
        <w:t>日常公用</w:t>
      </w:r>
      <w:r>
        <w:rPr>
          <w:rFonts w:hint="eastAsia" w:ascii="仿宋_GB2312" w:hAnsi="仿宋_GB2312" w:eastAsia="仿宋_GB2312" w:cs="仿宋_GB2312"/>
          <w:bCs/>
          <w:color w:val="000000"/>
          <w:sz w:val="32"/>
          <w:szCs w:val="32"/>
          <w:lang w:eastAsia="zh-CN"/>
        </w:rPr>
        <w:t>经费</w:t>
      </w:r>
      <w:r>
        <w:rPr>
          <w:rFonts w:hint="eastAsia" w:ascii="仿宋_GB2312" w:hAnsi="仿宋_GB2312" w:eastAsia="仿宋_GB2312" w:cs="仿宋_GB2312"/>
          <w:bCs/>
          <w:color w:val="000000"/>
          <w:sz w:val="32"/>
          <w:szCs w:val="32"/>
          <w:lang w:val="en-US" w:eastAsia="zh-CN"/>
        </w:rPr>
        <w:t>52.73</w:t>
      </w:r>
      <w:r>
        <w:rPr>
          <w:rFonts w:hint="eastAsia" w:ascii="仿宋_GB2312" w:hAnsi="仿宋_GB2312" w:eastAsia="仿宋_GB2312" w:cs="仿宋_GB2312"/>
          <w:bCs/>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0BB9920">
      <w:pPr>
        <w:pageBreakBefore w:val="0"/>
        <w:kinsoku/>
        <w:wordWrap/>
        <w:overflowPunct/>
        <w:topLinePunct w:val="0"/>
        <w:bidi w:val="0"/>
        <w:spacing w:line="600" w:lineRule="exact"/>
        <w:ind w:left="0" w:firstLine="640" w:firstLineChars="200"/>
        <w:textAlignment w:val="auto"/>
        <w:outlineLvl w:val="1"/>
        <w:rPr>
          <w:rStyle w:val="32"/>
          <w:rFonts w:hint="eastAsia" w:ascii="黑体" w:hAnsi="黑体" w:eastAsia="黑体" w:cs="黑体"/>
          <w:b w:val="0"/>
          <w:sz w:val="32"/>
          <w:szCs w:val="32"/>
        </w:rPr>
      </w:pPr>
      <w:bookmarkStart w:id="59" w:name="_Toc15396609"/>
      <w:bookmarkStart w:id="60" w:name="_Toc15377215"/>
      <w:bookmarkStart w:id="61" w:name="_Toc31987"/>
      <w:r>
        <w:rPr>
          <w:rFonts w:hint="eastAsia" w:ascii="黑体" w:hAnsi="黑体" w:eastAsia="黑体" w:cs="黑体"/>
          <w:color w:val="000000"/>
          <w:sz w:val="32"/>
          <w:szCs w:val="32"/>
        </w:rPr>
        <w:t>七、</w:t>
      </w:r>
      <w:r>
        <w:rPr>
          <w:rStyle w:val="32"/>
          <w:rFonts w:hint="eastAsia" w:ascii="黑体" w:hAnsi="黑体" w:eastAsia="黑体" w:cs="黑体"/>
          <w:sz w:val="32"/>
          <w:szCs w:val="32"/>
        </w:rPr>
        <w:t>“</w:t>
      </w:r>
      <w:r>
        <w:rPr>
          <w:rStyle w:val="32"/>
          <w:rFonts w:hint="eastAsia" w:ascii="黑体" w:hAnsi="黑体" w:eastAsia="黑体" w:cs="黑体"/>
          <w:b w:val="0"/>
          <w:sz w:val="32"/>
          <w:szCs w:val="32"/>
        </w:rPr>
        <w:t>三公”经费财政拨款支出决算情况说明</w:t>
      </w:r>
      <w:bookmarkEnd w:id="59"/>
      <w:bookmarkEnd w:id="60"/>
      <w:bookmarkEnd w:id="61"/>
    </w:p>
    <w:p w14:paraId="4ECD432B">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eastAsia="zh-CN"/>
        </w:rPr>
      </w:pPr>
      <w:bookmarkStart w:id="62" w:name="_Toc15377216"/>
      <w:r>
        <w:rPr>
          <w:rFonts w:hint="eastAsia" w:ascii="楷体" w:hAnsi="楷体" w:eastAsia="楷体" w:cs="楷体"/>
          <w:b w:val="0"/>
          <w:bCs w:val="0"/>
          <w:color w:val="000000"/>
          <w:kern w:val="0"/>
          <w:sz w:val="32"/>
          <w:szCs w:val="32"/>
          <w:shd w:val="clear" w:color="auto" w:fill="FFFFFF"/>
          <w:lang w:val="zh-CN" w:eastAsia="zh-CN"/>
        </w:rPr>
        <w:t>（一）“三公”经费财政拨款支出决算总体情况说明</w:t>
      </w:r>
      <w:bookmarkEnd w:id="62"/>
    </w:p>
    <w:p w14:paraId="48C1E21B">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年“三公”经费财政拨款支出决算为</w:t>
      </w:r>
      <w:r>
        <w:rPr>
          <w:rFonts w:hint="eastAsia" w:ascii="仿宋_GB2312" w:hAnsi="仿宋_GB2312" w:eastAsia="仿宋_GB2312" w:cs="仿宋_GB2312"/>
          <w:bCs/>
          <w:color w:val="000000"/>
          <w:sz w:val="32"/>
          <w:szCs w:val="32"/>
          <w:lang w:val="en-US" w:eastAsia="zh-CN"/>
        </w:rPr>
        <w:t>6.72</w:t>
      </w:r>
      <w:r>
        <w:rPr>
          <w:rFonts w:hint="eastAsia" w:ascii="仿宋_GB2312" w:hAnsi="仿宋_GB2312" w:eastAsia="仿宋_GB2312" w:cs="仿宋_GB2312"/>
          <w:bCs/>
          <w:color w:val="000000"/>
          <w:sz w:val="32"/>
          <w:szCs w:val="32"/>
        </w:rPr>
        <w:t>万元，完成预算</w:t>
      </w:r>
      <w:r>
        <w:rPr>
          <w:rFonts w:hint="eastAsia" w:ascii="仿宋_GB2312" w:hAnsi="仿宋_GB2312" w:eastAsia="仿宋_GB2312" w:cs="仿宋_GB2312"/>
          <w:bCs/>
          <w:color w:val="000000"/>
          <w:sz w:val="32"/>
          <w:szCs w:val="32"/>
          <w:lang w:val="en-US" w:eastAsia="zh-CN"/>
        </w:rPr>
        <w:t>100</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333333"/>
          <w:sz w:val="32"/>
          <w:szCs w:val="32"/>
        </w:rPr>
        <w:t>与预算数持平。</w:t>
      </w:r>
    </w:p>
    <w:p w14:paraId="2A499B70">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ascii="仿宋" w:hAnsi="仿宋" w:eastAsia="仿宋" w:cs="仿宋"/>
          <w:bCs/>
          <w:color w:val="000000"/>
          <w:sz w:val="32"/>
          <w:szCs w:val="32"/>
        </w:rPr>
      </w:pPr>
      <w:bookmarkStart w:id="63" w:name="_Toc15377217"/>
      <w:r>
        <w:rPr>
          <w:rFonts w:hint="eastAsia" w:ascii="楷体" w:hAnsi="楷体" w:eastAsia="楷体" w:cs="楷体"/>
          <w:b w:val="0"/>
          <w:bCs w:val="0"/>
          <w:color w:val="000000"/>
          <w:kern w:val="0"/>
          <w:sz w:val="32"/>
          <w:szCs w:val="32"/>
          <w:shd w:val="clear" w:color="auto" w:fill="FFFFFF"/>
          <w:lang w:val="zh-CN" w:eastAsia="zh-CN"/>
        </w:rPr>
        <w:t>（二）“三公”经费财政拨款支出决算具体情况说明</w:t>
      </w:r>
      <w:bookmarkEnd w:id="63"/>
    </w:p>
    <w:p w14:paraId="70AD04BF">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202</w:t>
      </w: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年“三公”经费财政拨款支出决算</w:t>
      </w:r>
      <w:r>
        <w:rPr>
          <w:rFonts w:hint="eastAsia" w:ascii="仿宋_GB2312" w:hAnsi="仿宋_GB2312" w:eastAsia="仿宋_GB2312" w:cs="仿宋_GB2312"/>
          <w:color w:val="000000"/>
          <w:kern w:val="0"/>
          <w:sz w:val="32"/>
          <w:szCs w:val="32"/>
        </w:rPr>
        <w:t>总数</w:t>
      </w:r>
      <w:r>
        <w:rPr>
          <w:rFonts w:hint="eastAsia" w:ascii="仿宋_GB2312" w:hAnsi="仿宋_GB2312" w:eastAsia="仿宋_GB2312" w:cs="仿宋_GB2312"/>
          <w:color w:val="000000"/>
          <w:kern w:val="0"/>
          <w:sz w:val="32"/>
          <w:szCs w:val="32"/>
          <w:lang w:val="en-US" w:eastAsia="zh-CN"/>
        </w:rPr>
        <w:t>6.72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bCs/>
          <w:color w:val="000000"/>
          <w:sz w:val="32"/>
          <w:szCs w:val="32"/>
        </w:rPr>
        <w:t>因公出国（境）费支出决算0万元，占0%；公务用车购置及运行维护费支出决</w:t>
      </w:r>
      <w:r>
        <w:rPr>
          <w:rFonts w:hint="eastAsia" w:ascii="仿宋_GB2312" w:hAnsi="仿宋_GB2312" w:eastAsia="仿宋_GB2312" w:cs="仿宋_GB2312"/>
          <w:color w:val="000000"/>
          <w:sz w:val="32"/>
          <w:szCs w:val="32"/>
        </w:rPr>
        <w:t>算</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89.29</w:t>
      </w:r>
      <w:r>
        <w:rPr>
          <w:rFonts w:hint="eastAsia" w:ascii="仿宋_GB2312" w:hAnsi="仿宋_GB2312" w:eastAsia="仿宋_GB2312" w:cs="仿宋_GB2312"/>
          <w:color w:val="000000"/>
          <w:sz w:val="32"/>
          <w:szCs w:val="32"/>
        </w:rPr>
        <w:t>%；公务接待费支出决算</w:t>
      </w:r>
      <w:r>
        <w:rPr>
          <w:rFonts w:hint="eastAsia" w:ascii="仿宋_GB2312" w:hAnsi="仿宋_GB2312" w:eastAsia="仿宋_GB2312" w:cs="仿宋_GB2312"/>
          <w:color w:val="000000"/>
          <w:sz w:val="32"/>
          <w:szCs w:val="32"/>
          <w:lang w:val="en-US" w:eastAsia="zh-CN"/>
        </w:rPr>
        <w:t>0.72</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10.71</w:t>
      </w:r>
      <w:r>
        <w:rPr>
          <w:rFonts w:hint="eastAsia" w:ascii="仿宋_GB2312" w:hAnsi="仿宋_GB2312" w:eastAsia="仿宋_GB2312" w:cs="仿宋_GB2312"/>
          <w:color w:val="000000"/>
          <w:sz w:val="32"/>
          <w:szCs w:val="32"/>
        </w:rPr>
        <w:t>%。具体情况如下：</w:t>
      </w:r>
    </w:p>
    <w:p w14:paraId="49BC57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1.因公出国（境）经费支出0万元，完成预算0%。全年安排因公出国（境）团组0次，出国（境）0人。因公出国（境）支出决算比20</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年增加/减少0万元，增长/下降0%。</w:t>
      </w:r>
    </w:p>
    <w:p w14:paraId="159C35EE">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2.公务用车购置及运行维护费支出</w:t>
      </w:r>
      <w:r>
        <w:rPr>
          <w:rFonts w:hint="eastAsia" w:ascii="仿宋_GB2312" w:hAnsi="仿宋_GB2312" w:eastAsia="仿宋_GB2312" w:cs="仿宋_GB2312"/>
          <w:color w:val="000000"/>
          <w:sz w:val="32"/>
          <w:szCs w:val="32"/>
          <w:lang w:val="en-US" w:eastAsia="zh-CN"/>
        </w:rPr>
        <w:t>6.72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%。公务用车购置及运行维护费支出决算比20</w:t>
      </w:r>
      <w:r>
        <w:rPr>
          <w:rFonts w:hint="eastAsia" w:ascii="仿宋_GB2312" w:hAnsi="仿宋_GB2312" w:eastAsia="仿宋_GB2312" w:cs="仿宋_GB2312"/>
          <w:color w:val="000000"/>
          <w:sz w:val="32"/>
          <w:szCs w:val="32"/>
          <w:lang w:val="en-US" w:eastAsia="zh-CN"/>
        </w:rPr>
        <w:t>23年减少0.37</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减少5.22</w:t>
      </w:r>
      <w:r>
        <w:rPr>
          <w:rFonts w:hint="eastAsia" w:ascii="仿宋_GB2312" w:hAnsi="仿宋_GB2312" w:eastAsia="仿宋_GB2312" w:cs="仿宋_GB2312"/>
          <w:color w:val="000000"/>
          <w:sz w:val="32"/>
          <w:szCs w:val="32"/>
        </w:rPr>
        <w:t>%。</w:t>
      </w:r>
    </w:p>
    <w:p w14:paraId="7F85BD81">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其中：公务用车购置支出0万元。全年按规定更新购置公务用车0辆，金额0元。截至202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年12月底，单位共有公务用车2辆，其中：主要领导干部用车0辆、机要通信用车0辆、应急保障用车0辆、</w:t>
      </w:r>
      <w:bookmarkStart w:id="102" w:name="_GoBack"/>
      <w:bookmarkEnd w:id="102"/>
      <w:r>
        <w:rPr>
          <w:rFonts w:hint="eastAsia" w:ascii="仿宋_GB2312" w:hAnsi="仿宋_GB2312" w:eastAsia="仿宋_GB2312" w:cs="仿宋_GB2312"/>
          <w:color w:val="000000"/>
          <w:sz w:val="32"/>
          <w:szCs w:val="32"/>
        </w:rPr>
        <w:t>执法执勤用车0辆、其他用车2辆。</w:t>
      </w:r>
    </w:p>
    <w:p w14:paraId="5D780A69">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公务用车运行维护费支出</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万元。主要用于办公、巡查水库等所需的公务用车燃料费、维修费、过路过桥费、保险费等支出。</w:t>
      </w:r>
    </w:p>
    <w:p w14:paraId="6311A5EC">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公务接待费支出</w:t>
      </w:r>
      <w:r>
        <w:rPr>
          <w:rFonts w:hint="eastAsia" w:ascii="仿宋_GB2312" w:hAnsi="仿宋_GB2312" w:eastAsia="仿宋_GB2312" w:cs="仿宋_GB2312"/>
          <w:color w:val="000000"/>
          <w:sz w:val="32"/>
          <w:szCs w:val="32"/>
          <w:lang w:val="en-US" w:eastAsia="zh-CN"/>
        </w:rPr>
        <w:t>0.72</w:t>
      </w:r>
      <w:r>
        <w:rPr>
          <w:rFonts w:hint="eastAsia" w:ascii="仿宋_GB2312" w:hAnsi="仿宋_GB2312" w:eastAsia="仿宋_GB2312" w:cs="仿宋_GB2312"/>
          <w:color w:val="000000"/>
          <w:sz w:val="32"/>
          <w:szCs w:val="32"/>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公务接待费支出决算比20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增加0.3</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增加71.43</w:t>
      </w:r>
      <w:r>
        <w:rPr>
          <w:rFonts w:hint="eastAsia" w:ascii="仿宋_GB2312" w:hAnsi="仿宋_GB2312" w:eastAsia="仿宋_GB2312" w:cs="仿宋_GB2312"/>
          <w:color w:val="000000"/>
          <w:sz w:val="32"/>
          <w:szCs w:val="32"/>
        </w:rPr>
        <w:t>%。</w:t>
      </w:r>
    </w:p>
    <w:p w14:paraId="1281D172">
      <w:pPr>
        <w:keepNext w:val="0"/>
        <w:keepLines w:val="0"/>
        <w:pageBreakBefore w:val="0"/>
        <w:widowControl w:val="0"/>
        <w:numPr>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国内公务接待支出</w:t>
      </w:r>
      <w:r>
        <w:rPr>
          <w:rFonts w:hint="eastAsia" w:ascii="仿宋_GB2312" w:hAnsi="仿宋_GB2312" w:eastAsia="仿宋_GB2312" w:cs="仿宋_GB2312"/>
          <w:color w:val="000000"/>
          <w:sz w:val="32"/>
          <w:szCs w:val="32"/>
          <w:highlight w:val="none"/>
          <w:lang w:val="en-US" w:eastAsia="zh-CN"/>
        </w:rPr>
        <w:t>0.72</w:t>
      </w:r>
      <w:r>
        <w:rPr>
          <w:rFonts w:hint="eastAsia" w:ascii="仿宋_GB2312" w:hAnsi="仿宋_GB2312" w:eastAsia="仿宋_GB2312" w:cs="仿宋_GB2312"/>
          <w:color w:val="000000"/>
          <w:sz w:val="32"/>
          <w:szCs w:val="32"/>
          <w:highlight w:val="none"/>
        </w:rPr>
        <w:t>万元，主要用于执行公务用餐费等。</w:t>
      </w:r>
      <w:r>
        <w:rPr>
          <w:rFonts w:hint="eastAsia" w:ascii="仿宋_GB2312" w:hAnsi="仿宋_GB2312" w:eastAsia="仿宋_GB2312" w:cs="仿宋_GB2312"/>
          <w:color w:val="000000"/>
          <w:sz w:val="32"/>
          <w:szCs w:val="32"/>
          <w:highlight w:val="none"/>
          <w:lang w:eastAsia="zh-CN"/>
        </w:rPr>
        <w:t>接待</w:t>
      </w:r>
      <w:r>
        <w:rPr>
          <w:rFonts w:hint="eastAsia" w:ascii="仿宋_GB2312" w:hAnsi="仿宋_GB2312" w:eastAsia="仿宋_GB2312" w:cs="仿宋_GB2312"/>
          <w:color w:val="000000"/>
          <w:kern w:val="0"/>
          <w:sz w:val="32"/>
          <w:szCs w:val="32"/>
          <w:highlight w:val="none"/>
        </w:rPr>
        <w:t>批次</w:t>
      </w:r>
      <w:r>
        <w:rPr>
          <w:rFonts w:hint="eastAsia" w:ascii="仿宋_GB2312" w:hAnsi="仿宋_GB2312" w:eastAsia="仿宋_GB2312" w:cs="仿宋_GB2312"/>
          <w:color w:val="000000"/>
          <w:kern w:val="0"/>
          <w:sz w:val="32"/>
          <w:szCs w:val="32"/>
          <w:highlight w:val="none"/>
          <w:lang w:val="en-US" w:eastAsia="zh-CN"/>
        </w:rPr>
        <w:t>7</w:t>
      </w:r>
      <w:r>
        <w:rPr>
          <w:rFonts w:hint="eastAsia" w:ascii="仿宋_GB2312" w:hAnsi="仿宋_GB2312" w:eastAsia="仿宋_GB2312" w:cs="仿宋_GB2312"/>
          <w:color w:val="000000"/>
          <w:kern w:val="0"/>
          <w:sz w:val="32"/>
          <w:szCs w:val="32"/>
          <w:highlight w:val="none"/>
        </w:rPr>
        <w:t>次，接待人次</w:t>
      </w:r>
      <w:r>
        <w:rPr>
          <w:rFonts w:hint="eastAsia" w:ascii="仿宋_GB2312" w:hAnsi="仿宋_GB2312" w:eastAsia="仿宋_GB2312" w:cs="仿宋_GB2312"/>
          <w:color w:val="000000"/>
          <w:kern w:val="0"/>
          <w:sz w:val="32"/>
          <w:szCs w:val="32"/>
          <w:highlight w:val="none"/>
          <w:lang w:val="en-US" w:eastAsia="zh-CN"/>
        </w:rPr>
        <w:t>103</w:t>
      </w:r>
      <w:r>
        <w:rPr>
          <w:rFonts w:hint="eastAsia" w:ascii="仿宋_GB2312" w:hAnsi="仿宋_GB2312" w:eastAsia="仿宋_GB2312" w:cs="仿宋_GB2312"/>
          <w:color w:val="000000"/>
          <w:kern w:val="0"/>
          <w:sz w:val="32"/>
          <w:szCs w:val="32"/>
          <w:highlight w:val="none"/>
        </w:rPr>
        <w:t>人次，无外事接待</w:t>
      </w:r>
      <w:r>
        <w:rPr>
          <w:rFonts w:hint="eastAsia" w:ascii="仿宋_GB2312" w:hAnsi="仿宋_GB2312" w:eastAsia="仿宋_GB2312" w:cs="仿宋_GB2312"/>
          <w:color w:val="000000"/>
          <w:sz w:val="32"/>
          <w:szCs w:val="32"/>
          <w:highlight w:val="none"/>
        </w:rPr>
        <w:t>，共计支出</w:t>
      </w:r>
      <w:r>
        <w:rPr>
          <w:rFonts w:hint="eastAsia" w:ascii="仿宋_GB2312" w:hAnsi="仿宋_GB2312" w:eastAsia="仿宋_GB2312" w:cs="仿宋_GB2312"/>
          <w:color w:val="000000"/>
          <w:sz w:val="32"/>
          <w:szCs w:val="32"/>
          <w:highlight w:val="none"/>
          <w:lang w:val="en-US" w:eastAsia="zh-CN"/>
        </w:rPr>
        <w:t>0.72</w:t>
      </w:r>
      <w:r>
        <w:rPr>
          <w:rFonts w:hint="eastAsia" w:ascii="仿宋_GB2312" w:hAnsi="仿宋_GB2312" w:eastAsia="仿宋_GB2312" w:cs="仿宋_GB2312"/>
          <w:color w:val="000000"/>
          <w:sz w:val="32"/>
          <w:szCs w:val="32"/>
          <w:highlight w:val="none"/>
        </w:rPr>
        <w:t>万元，具体内容包括：</w:t>
      </w:r>
      <w:r>
        <w:rPr>
          <w:rFonts w:hint="eastAsia" w:ascii="仿宋_GB2312" w:hAnsi="仿宋_GB2312" w:eastAsia="仿宋_GB2312" w:cs="仿宋_GB2312"/>
          <w:color w:val="000000"/>
          <w:sz w:val="32"/>
          <w:szCs w:val="32"/>
          <w:highlight w:val="none"/>
          <w:lang w:val="en-US" w:eastAsia="zh-CN"/>
        </w:rPr>
        <w:t>青管中心实地走访调研接待费，乐山水务局来峨观察工农兵水库管理情况接待费，乐山水务局、财政局开展2023年大中型水库移民后扶政策实施情况接待费，协助开展峨眉河三水融合绿色发展路径研究调研任务餐费，接待省水利厅、水科院、青管中心来峨调研水利遗产和水情教育情况工作接待费，宜宾水利局、乐山水务局农业水价综合改革及农村供水标准化管理考核工作接待费，开展2023年大中型水库移民后扶政策实施情况监测评估接待费</w:t>
      </w:r>
      <w:r>
        <w:rPr>
          <w:rFonts w:hint="eastAsia" w:ascii="仿宋_GB2312" w:hAnsi="仿宋_GB2312" w:eastAsia="仿宋_GB2312" w:cs="仿宋_GB2312"/>
          <w:color w:val="000000"/>
          <w:sz w:val="32"/>
          <w:szCs w:val="32"/>
          <w:highlight w:val="none"/>
        </w:rPr>
        <w:t>共计</w:t>
      </w:r>
      <w:r>
        <w:rPr>
          <w:rFonts w:hint="eastAsia" w:ascii="仿宋_GB2312" w:hAnsi="仿宋_GB2312" w:eastAsia="仿宋_GB2312" w:cs="仿宋_GB2312"/>
          <w:color w:val="000000"/>
          <w:sz w:val="32"/>
          <w:szCs w:val="32"/>
          <w:highlight w:val="none"/>
          <w:lang w:val="en-US" w:eastAsia="zh-CN"/>
        </w:rPr>
        <w:t>0.72</w:t>
      </w:r>
      <w:r>
        <w:rPr>
          <w:rFonts w:hint="eastAsia" w:ascii="仿宋_GB2312" w:hAnsi="仿宋_GB2312" w:eastAsia="仿宋_GB2312" w:cs="仿宋_GB2312"/>
          <w:color w:val="000000"/>
          <w:sz w:val="32"/>
          <w:szCs w:val="32"/>
          <w:highlight w:val="none"/>
        </w:rPr>
        <w:t>万元。</w:t>
      </w:r>
    </w:p>
    <w:p w14:paraId="5AFBF5B1">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highlight w:val="none"/>
        </w:rPr>
        <w:t>外事接待支出0万元，外事接待0批次，0</w:t>
      </w:r>
      <w:r>
        <w:rPr>
          <w:rFonts w:hint="eastAsia" w:ascii="仿宋_GB2312" w:hAnsi="仿宋_GB2312" w:eastAsia="仿宋_GB2312" w:cs="仿宋_GB2312"/>
          <w:color w:val="000000"/>
          <w:sz w:val="32"/>
          <w:szCs w:val="32"/>
        </w:rPr>
        <w:t>人，共计支出0万元。</w:t>
      </w:r>
      <w:bookmarkStart w:id="64" w:name="_Toc15377218"/>
      <w:bookmarkStart w:id="65" w:name="_Toc15396610"/>
    </w:p>
    <w:p w14:paraId="004CC792">
      <w:pPr>
        <w:pageBreakBefore w:val="0"/>
        <w:kinsoku/>
        <w:wordWrap/>
        <w:overflowPunct/>
        <w:topLinePunct w:val="0"/>
        <w:bidi w:val="0"/>
        <w:spacing w:line="600" w:lineRule="exact"/>
        <w:ind w:left="0" w:firstLine="640" w:firstLineChars="200"/>
        <w:textAlignment w:val="auto"/>
        <w:outlineLvl w:val="1"/>
        <w:rPr>
          <w:rFonts w:hint="eastAsia" w:ascii="黑体" w:hAnsi="黑体" w:eastAsia="黑体" w:cs="黑体"/>
          <w:b/>
          <w:bCs/>
          <w:color w:val="000000"/>
          <w:sz w:val="32"/>
          <w:szCs w:val="32"/>
        </w:rPr>
      </w:pPr>
      <w:bookmarkStart w:id="66" w:name="_Toc25922"/>
      <w:r>
        <w:rPr>
          <w:rFonts w:hint="eastAsia" w:ascii="黑体" w:hAnsi="黑体" w:eastAsia="黑体" w:cs="黑体"/>
          <w:color w:val="000000"/>
          <w:sz w:val="32"/>
          <w:szCs w:val="32"/>
        </w:rPr>
        <w:t>八、政府性基金预算支出决算情况说明</w:t>
      </w:r>
      <w:bookmarkEnd w:id="64"/>
      <w:bookmarkEnd w:id="65"/>
      <w:bookmarkEnd w:id="66"/>
    </w:p>
    <w:p w14:paraId="64788B98">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年政府性基金预算拨款支出</w:t>
      </w:r>
      <w:r>
        <w:rPr>
          <w:rFonts w:hint="eastAsia" w:ascii="仿宋_GB2312" w:hAnsi="仿宋_GB2312" w:eastAsia="仿宋_GB2312" w:cs="仿宋_GB2312"/>
          <w:color w:val="000000"/>
          <w:sz w:val="32"/>
          <w:szCs w:val="32"/>
          <w:lang w:val="en-US" w:eastAsia="zh-CN"/>
        </w:rPr>
        <w:t>438.44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auto"/>
          <w:kern w:val="2"/>
          <w:sz w:val="32"/>
          <w:szCs w:val="32"/>
          <w:highlight w:val="none"/>
          <w:lang w:val="en-US" w:eastAsia="zh-CN" w:bidi="ar-SA"/>
        </w:rPr>
        <w:t>占本年支出合计的35.37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。与2023年度相比，政府性基金预算财政拨款支出增加356.44万元，增长434.68%。主要变动原因是项目经费的支出。</w:t>
      </w:r>
    </w:p>
    <w:p w14:paraId="4AD3CEAA">
      <w:pPr>
        <w:pageBreakBefore w:val="0"/>
        <w:kinsoku/>
        <w:wordWrap/>
        <w:overflowPunct/>
        <w:topLinePunct w:val="0"/>
        <w:bidi w:val="0"/>
        <w:spacing w:line="600" w:lineRule="exact"/>
        <w:ind w:left="0" w:firstLine="640" w:firstLineChars="200"/>
        <w:textAlignment w:val="auto"/>
        <w:outlineLvl w:val="1"/>
        <w:rPr>
          <w:rFonts w:hint="eastAsia" w:ascii="黑体" w:hAnsi="黑体" w:eastAsia="黑体" w:cs="黑体"/>
          <w:color w:val="000000"/>
          <w:sz w:val="32"/>
          <w:szCs w:val="32"/>
        </w:rPr>
      </w:pPr>
      <w:bookmarkStart w:id="67" w:name="_Toc15377219"/>
      <w:bookmarkStart w:id="68" w:name="_Toc15396611"/>
      <w:bookmarkStart w:id="69" w:name="_Toc21099"/>
      <w:r>
        <w:rPr>
          <w:rFonts w:hint="eastAsia" w:ascii="黑体" w:hAnsi="黑体" w:eastAsia="黑体" w:cs="黑体"/>
          <w:color w:val="000000"/>
          <w:sz w:val="32"/>
          <w:szCs w:val="32"/>
        </w:rPr>
        <w:t>九、国有资本经营预算支出决算情况说明</w:t>
      </w:r>
      <w:bookmarkEnd w:id="67"/>
      <w:bookmarkEnd w:id="68"/>
      <w:bookmarkEnd w:id="69"/>
    </w:p>
    <w:p w14:paraId="000E4C64">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年国有资本经营预算拨款支出0万元。</w:t>
      </w:r>
    </w:p>
    <w:p w14:paraId="2BCE0F49">
      <w:pPr>
        <w:pageBreakBefore w:val="0"/>
        <w:kinsoku/>
        <w:wordWrap/>
        <w:overflowPunct/>
        <w:topLinePunct w:val="0"/>
        <w:bidi w:val="0"/>
        <w:spacing w:line="600" w:lineRule="exact"/>
        <w:ind w:left="0" w:firstLine="640" w:firstLineChars="200"/>
        <w:textAlignment w:val="auto"/>
        <w:outlineLvl w:val="1"/>
        <w:rPr>
          <w:rFonts w:hint="eastAsia" w:ascii="黑体" w:hAnsi="黑体" w:eastAsia="黑体" w:cs="黑体"/>
          <w:color w:val="000000"/>
          <w:sz w:val="32"/>
          <w:szCs w:val="32"/>
        </w:rPr>
      </w:pPr>
      <w:bookmarkStart w:id="70" w:name="_Toc15396612"/>
      <w:bookmarkStart w:id="71" w:name="_Toc15377221"/>
      <w:bookmarkStart w:id="72" w:name="_Toc9442"/>
      <w:r>
        <w:rPr>
          <w:rFonts w:hint="eastAsia" w:ascii="黑体" w:hAnsi="黑体" w:eastAsia="黑体" w:cs="黑体"/>
          <w:color w:val="000000"/>
          <w:sz w:val="32"/>
          <w:szCs w:val="32"/>
        </w:rPr>
        <w:t>十、其他重要事项的情况说明</w:t>
      </w:r>
      <w:bookmarkEnd w:id="70"/>
      <w:bookmarkEnd w:id="71"/>
      <w:bookmarkEnd w:id="72"/>
    </w:p>
    <w:p w14:paraId="73795DA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eastAsia="zh-CN"/>
        </w:rPr>
      </w:pPr>
      <w:bookmarkStart w:id="73" w:name="_Toc15377222"/>
      <w:r>
        <w:rPr>
          <w:rFonts w:hint="eastAsia" w:ascii="楷体" w:hAnsi="楷体" w:eastAsia="楷体" w:cs="楷体"/>
          <w:b w:val="0"/>
          <w:bCs w:val="0"/>
          <w:color w:val="000000"/>
          <w:kern w:val="0"/>
          <w:sz w:val="32"/>
          <w:szCs w:val="32"/>
          <w:shd w:val="clear" w:color="auto" w:fill="FFFFFF"/>
          <w:lang w:val="zh-CN" w:eastAsia="zh-CN"/>
        </w:rPr>
        <w:t>（一）机关运行经费支出情况</w:t>
      </w:r>
      <w:bookmarkEnd w:id="73"/>
    </w:p>
    <w:p w14:paraId="3E7F0E72">
      <w:pPr>
        <w:pageBreakBefore w:val="0"/>
        <w:kinsoku/>
        <w:wordWrap/>
        <w:overflowPunct/>
        <w:topLinePunct w:val="0"/>
        <w:bidi w:val="0"/>
        <w:spacing w:line="600" w:lineRule="exact"/>
        <w:ind w:left="0" w:firstLine="640" w:firstLineChars="200"/>
        <w:textAlignment w:val="auto"/>
        <w:rPr>
          <w:rFonts w:ascii="仿宋" w:hAnsi="仿宋" w:eastAsia="仿宋"/>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峨眉山市</w:t>
      </w:r>
      <w:r>
        <w:rPr>
          <w:rFonts w:hint="eastAsia" w:ascii="仿宋_GB2312" w:hAnsi="仿宋_GB2312" w:eastAsia="仿宋_GB2312" w:cs="仿宋_GB2312"/>
          <w:color w:val="000000"/>
          <w:sz w:val="32"/>
          <w:szCs w:val="32"/>
          <w:lang w:eastAsia="zh-CN"/>
        </w:rPr>
        <w:t>水利建设与</w:t>
      </w:r>
      <w:r>
        <w:rPr>
          <w:rFonts w:hint="eastAsia" w:ascii="仿宋_GB2312" w:hAnsi="仿宋_GB2312" w:eastAsia="仿宋_GB2312" w:cs="仿宋_GB2312"/>
          <w:color w:val="000000"/>
          <w:sz w:val="32"/>
          <w:szCs w:val="32"/>
        </w:rPr>
        <w:t>河湖保护中心运行经费支出</w:t>
      </w:r>
      <w:r>
        <w:rPr>
          <w:rFonts w:hint="eastAsia" w:ascii="仿宋_GB2312" w:hAnsi="仿宋_GB2312" w:eastAsia="仿宋_GB2312" w:cs="仿宋_GB2312"/>
          <w:color w:val="000000"/>
          <w:sz w:val="32"/>
          <w:szCs w:val="32"/>
          <w:lang w:val="en-US" w:eastAsia="zh-CN"/>
        </w:rPr>
        <w:t>643.53</w:t>
      </w:r>
      <w:r>
        <w:rPr>
          <w:rFonts w:hint="eastAsia" w:ascii="仿宋_GB2312" w:hAnsi="仿宋_GB2312" w:eastAsia="仿宋_GB2312" w:cs="仿宋_GB2312"/>
          <w:color w:val="000000"/>
          <w:sz w:val="32"/>
          <w:szCs w:val="32"/>
        </w:rPr>
        <w:t>万元，比20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减少4.66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减少0.72</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val="en-US" w:eastAsia="zh-CN"/>
        </w:rPr>
        <w:t>人员减少3人</w:t>
      </w:r>
      <w:r>
        <w:rPr>
          <w:rFonts w:hint="eastAsia" w:ascii="仿宋_GB2312" w:hAnsi="仿宋_GB2312" w:eastAsia="仿宋_GB2312" w:cs="仿宋_GB2312"/>
          <w:color w:val="000000"/>
          <w:sz w:val="32"/>
          <w:szCs w:val="32"/>
        </w:rPr>
        <w:t>。</w:t>
      </w:r>
    </w:p>
    <w:p w14:paraId="01951016">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ascii="仿宋" w:hAnsi="仿宋" w:eastAsia="仿宋"/>
          <w:color w:val="000000"/>
          <w:sz w:val="32"/>
          <w:szCs w:val="32"/>
        </w:rPr>
      </w:pPr>
      <w:bookmarkStart w:id="74" w:name="_Toc15377223"/>
      <w:r>
        <w:rPr>
          <w:rFonts w:hint="eastAsia" w:ascii="楷体" w:hAnsi="楷体" w:eastAsia="楷体" w:cs="楷体"/>
          <w:b w:val="0"/>
          <w:bCs w:val="0"/>
          <w:color w:val="000000"/>
          <w:kern w:val="0"/>
          <w:sz w:val="32"/>
          <w:szCs w:val="32"/>
          <w:shd w:val="clear" w:color="auto" w:fill="FFFFFF"/>
          <w:lang w:val="zh-CN" w:eastAsia="zh-CN"/>
        </w:rPr>
        <w:t>（二）政府采购支出情况</w:t>
      </w:r>
      <w:bookmarkEnd w:id="74"/>
    </w:p>
    <w:p w14:paraId="414FD7BF">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峨眉山市</w:t>
      </w:r>
      <w:r>
        <w:rPr>
          <w:rFonts w:hint="eastAsia" w:ascii="仿宋_GB2312" w:hAnsi="仿宋_GB2312" w:eastAsia="仿宋_GB2312" w:cs="仿宋_GB2312"/>
          <w:color w:val="000000"/>
          <w:sz w:val="32"/>
          <w:szCs w:val="32"/>
          <w:lang w:eastAsia="zh-CN"/>
        </w:rPr>
        <w:t>水利建设与</w:t>
      </w:r>
      <w:r>
        <w:rPr>
          <w:rFonts w:hint="eastAsia" w:ascii="仿宋_GB2312" w:hAnsi="仿宋_GB2312" w:eastAsia="仿宋_GB2312" w:cs="仿宋_GB2312"/>
          <w:color w:val="000000"/>
          <w:sz w:val="32"/>
          <w:szCs w:val="32"/>
        </w:rPr>
        <w:t>河湖保护中心政府采购支出总额</w:t>
      </w:r>
      <w:r>
        <w:rPr>
          <w:rFonts w:hint="eastAsia" w:ascii="仿宋_GB2312" w:hAnsi="仿宋_GB2312" w:eastAsia="仿宋_GB2312" w:cs="仿宋_GB2312"/>
          <w:color w:val="000000"/>
          <w:sz w:val="32"/>
          <w:szCs w:val="32"/>
          <w:lang w:val="en-US" w:eastAsia="zh-CN"/>
        </w:rPr>
        <w:t>0.3</w:t>
      </w:r>
      <w:r>
        <w:rPr>
          <w:rFonts w:hint="eastAsia" w:ascii="仿宋_GB2312" w:hAnsi="仿宋_GB2312" w:eastAsia="仿宋_GB2312" w:cs="仿宋_GB2312"/>
          <w:color w:val="000000"/>
          <w:sz w:val="32"/>
          <w:szCs w:val="32"/>
        </w:rPr>
        <w:t>万元，其中：政府采购货物支出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万元、政府采购工程支出0.00万元、政府采购服务支出</w:t>
      </w:r>
      <w:r>
        <w:rPr>
          <w:rFonts w:hint="eastAsia" w:ascii="仿宋_GB2312" w:hAnsi="仿宋_GB2312" w:eastAsia="仿宋_GB2312" w:cs="仿宋_GB2312"/>
          <w:color w:val="000000"/>
          <w:sz w:val="32"/>
          <w:szCs w:val="32"/>
          <w:lang w:val="en-US" w:eastAsia="zh-CN"/>
        </w:rPr>
        <w:t>0.3</w:t>
      </w:r>
      <w:r>
        <w:rPr>
          <w:rFonts w:hint="eastAsia" w:ascii="仿宋_GB2312" w:hAnsi="仿宋_GB2312" w:eastAsia="仿宋_GB2312" w:cs="仿宋_GB2312"/>
          <w:color w:val="000000"/>
          <w:sz w:val="32"/>
          <w:szCs w:val="32"/>
        </w:rPr>
        <w:t>万元。</w:t>
      </w:r>
    </w:p>
    <w:p w14:paraId="2146FCD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eastAsia="zh-CN"/>
        </w:rPr>
      </w:pPr>
      <w:bookmarkStart w:id="75" w:name="_Toc15377224"/>
      <w:r>
        <w:rPr>
          <w:rFonts w:hint="eastAsia" w:ascii="楷体" w:hAnsi="楷体" w:eastAsia="楷体" w:cs="楷体"/>
          <w:b w:val="0"/>
          <w:bCs w:val="0"/>
          <w:color w:val="000000"/>
          <w:kern w:val="0"/>
          <w:sz w:val="32"/>
          <w:szCs w:val="32"/>
          <w:shd w:val="clear" w:color="auto" w:fill="FFFFFF"/>
          <w:lang w:val="zh-CN" w:eastAsia="zh-CN"/>
        </w:rPr>
        <w:t>（三）国有资产占有使用情况</w:t>
      </w:r>
      <w:bookmarkEnd w:id="75"/>
    </w:p>
    <w:p w14:paraId="3E50A74A">
      <w:pPr>
        <w:pageBreakBefore w:val="0"/>
        <w:kinsoku/>
        <w:wordWrap/>
        <w:overflowPunct/>
        <w:topLinePunct w:val="0"/>
        <w:bidi w:val="0"/>
        <w:spacing w:line="600" w:lineRule="exact"/>
        <w:ind w:left="0" w:firstLine="640" w:firstLineChars="200"/>
        <w:textAlignment w:val="auto"/>
        <w:rPr>
          <w:rFonts w:ascii="仿宋" w:hAnsi="仿宋" w:eastAsia="仿宋"/>
          <w:color w:val="000000"/>
          <w:sz w:val="32"/>
          <w:szCs w:val="32"/>
        </w:rPr>
      </w:pPr>
      <w:r>
        <w:rPr>
          <w:rFonts w:hint="eastAsia" w:ascii="仿宋_GB2312" w:hAnsi="仿宋_GB2312" w:eastAsia="仿宋_GB2312" w:cs="仿宋_GB2312"/>
          <w:color w:val="000000"/>
          <w:sz w:val="32"/>
          <w:szCs w:val="32"/>
        </w:rPr>
        <w:t>截至202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年12月31日，峨眉山市</w:t>
      </w:r>
      <w:r>
        <w:rPr>
          <w:rFonts w:hint="eastAsia" w:ascii="仿宋_GB2312" w:hAnsi="仿宋_GB2312" w:eastAsia="仿宋_GB2312" w:cs="仿宋_GB2312"/>
          <w:color w:val="000000"/>
          <w:sz w:val="32"/>
          <w:szCs w:val="32"/>
          <w:lang w:eastAsia="zh-CN"/>
        </w:rPr>
        <w:t>水利建设与</w:t>
      </w:r>
      <w:r>
        <w:rPr>
          <w:rFonts w:hint="eastAsia" w:ascii="仿宋_GB2312" w:hAnsi="仿宋_GB2312" w:eastAsia="仿宋_GB2312" w:cs="仿宋_GB2312"/>
          <w:color w:val="000000"/>
          <w:sz w:val="32"/>
          <w:szCs w:val="32"/>
        </w:rPr>
        <w:t>河湖保护中心共有车辆2辆，其中：主要领导干部用车0辆、机要通信用车0辆、应急保障用车0辆、其他用车2辆，其他用车</w:t>
      </w:r>
      <w:r>
        <w:rPr>
          <w:rFonts w:hint="eastAsia" w:ascii="仿宋_GB2312" w:hAnsi="仿宋_GB2312" w:eastAsia="仿宋_GB2312" w:cs="仿宋_GB2312"/>
          <w:color w:val="000000"/>
          <w:sz w:val="32"/>
          <w:szCs w:val="32"/>
          <w:lang w:eastAsia="zh-CN"/>
        </w:rPr>
        <w:t>主要</w:t>
      </w:r>
      <w:r>
        <w:rPr>
          <w:rFonts w:hint="eastAsia" w:ascii="仿宋_GB2312" w:hAnsi="仿宋_GB2312" w:eastAsia="仿宋_GB2312" w:cs="仿宋_GB2312"/>
          <w:color w:val="000000"/>
          <w:sz w:val="32"/>
          <w:szCs w:val="32"/>
        </w:rPr>
        <w:t>用于防汛等日常公务及项目建设。单价50万元以上通用设备0台（套），单价100万元以上专用设备0台（套）。</w:t>
      </w:r>
    </w:p>
    <w:p w14:paraId="5C35F61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leftChars="200"/>
        <w:jc w:val="left"/>
        <w:textAlignment w:val="auto"/>
        <w:rPr>
          <w:rFonts w:hint="eastAsia" w:ascii="楷体" w:hAnsi="楷体" w:eastAsia="楷体" w:cs="楷体"/>
          <w:b w:val="0"/>
          <w:bCs w:val="0"/>
          <w:color w:val="000000"/>
          <w:kern w:val="0"/>
          <w:sz w:val="32"/>
          <w:szCs w:val="32"/>
          <w:shd w:val="clear" w:color="auto" w:fill="FFFFFF"/>
          <w:lang w:val="zh-CN" w:eastAsia="zh-CN"/>
        </w:rPr>
      </w:pPr>
      <w:r>
        <w:rPr>
          <w:rFonts w:hint="eastAsia" w:ascii="楷体" w:hAnsi="楷体" w:eastAsia="楷体" w:cs="楷体"/>
          <w:b w:val="0"/>
          <w:bCs w:val="0"/>
          <w:color w:val="000000"/>
          <w:kern w:val="0"/>
          <w:sz w:val="32"/>
          <w:szCs w:val="32"/>
          <w:shd w:val="clear" w:color="auto" w:fill="FFFFFF"/>
          <w:lang w:val="zh-CN" w:eastAsia="zh-CN"/>
        </w:rPr>
        <w:t>（四）预算绩效管理情况</w:t>
      </w:r>
    </w:p>
    <w:p w14:paraId="19D18269">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根据预算绩效管理要求，本单位在年初预算编制阶段，组织对202</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年观音岩水库船舶运行经费、“引青进峨”河湖库连通工程</w:t>
      </w:r>
      <w:r>
        <w:rPr>
          <w:rFonts w:hint="eastAsia" w:ascii="仿宋_GB2312" w:hAnsi="仿宋_GB2312" w:eastAsia="仿宋_GB2312" w:cs="仿宋_GB2312"/>
          <w:color w:val="000000"/>
          <w:sz w:val="32"/>
          <w:szCs w:val="32"/>
          <w:lang w:val="en-US" w:eastAsia="zh-CN"/>
        </w:rPr>
        <w:t>维护费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峨眉河大坝运行维护费、观音岩水库土地租金</w:t>
      </w:r>
      <w:r>
        <w:rPr>
          <w:rFonts w:hint="eastAsia" w:ascii="仿宋_GB2312" w:hAnsi="仿宋_GB2312" w:eastAsia="仿宋_GB2312" w:cs="仿宋_GB2312"/>
          <w:color w:val="000000"/>
          <w:sz w:val="32"/>
          <w:szCs w:val="32"/>
          <w:lang w:eastAsia="zh-CN"/>
        </w:rPr>
        <w:t>及先正祥行政赔偿费</w:t>
      </w:r>
      <w:r>
        <w:rPr>
          <w:rFonts w:hint="eastAsia" w:ascii="仿宋_GB2312" w:hAnsi="仿宋_GB2312" w:eastAsia="仿宋_GB2312" w:cs="仿宋_GB2312"/>
          <w:color w:val="000000"/>
          <w:sz w:val="32"/>
          <w:szCs w:val="32"/>
        </w:rPr>
        <w:t>、2024年度岁修经费及农业水价改革经费，对</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个项目编制了绩效目标，预算执行过程中，选取</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个项目开展绩效监控，年终执行完毕后，对</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个项目开展了绩效目标完成情况自评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auto"/>
          <w:sz w:val="32"/>
          <w:szCs w:val="32"/>
          <w:highlight w:val="none"/>
          <w:lang w:val="en-US" w:eastAsia="zh-CN"/>
        </w:rPr>
        <w:t>绩效自评表详见第四部分附件</w:t>
      </w:r>
      <w:r>
        <w:rPr>
          <w:rFonts w:hint="eastAsia" w:ascii="仿宋_GB2312" w:hAnsi="仿宋_GB2312" w:eastAsia="仿宋_GB2312" w:cs="仿宋_GB2312"/>
          <w:color w:val="000000"/>
          <w:sz w:val="32"/>
          <w:szCs w:val="32"/>
        </w:rPr>
        <w:t>。</w:t>
      </w:r>
    </w:p>
    <w:p w14:paraId="2EF84AD0">
      <w:pPr>
        <w:pageBreakBefore w:val="0"/>
        <w:kinsoku/>
        <w:wordWrap/>
        <w:overflowPunct/>
        <w:topLinePunct w:val="0"/>
        <w:bidi w:val="0"/>
        <w:spacing w:line="600" w:lineRule="exact"/>
        <w:ind w:left="0" w:firstLine="640" w:firstLineChars="200"/>
        <w:textAlignment w:val="auto"/>
        <w:rPr>
          <w:rFonts w:hint="eastAsia" w:ascii="仿宋" w:hAnsi="仿宋" w:eastAsia="仿宋"/>
          <w:color w:val="000000"/>
          <w:sz w:val="32"/>
          <w:szCs w:val="32"/>
        </w:rPr>
      </w:pPr>
      <w:r>
        <w:rPr>
          <w:rFonts w:hint="eastAsia" w:ascii="仿宋" w:hAnsi="仿宋" w:eastAsia="仿宋"/>
          <w:color w:val="000000"/>
          <w:sz w:val="32"/>
          <w:szCs w:val="32"/>
        </w:rPr>
        <w:br w:type="page"/>
      </w:r>
    </w:p>
    <w:p w14:paraId="06041ABD">
      <w:pPr>
        <w:pStyle w:val="3"/>
        <w:keepNext/>
        <w:keepLines/>
        <w:pageBreakBefore w:val="0"/>
        <w:widowControl w:val="0"/>
        <w:kinsoku/>
        <w:wordWrap/>
        <w:overflowPunct/>
        <w:topLinePunct w:val="0"/>
        <w:autoSpaceDE/>
        <w:autoSpaceDN/>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b w:val="0"/>
          <w:bCs w:val="0"/>
          <w:color w:val="000000"/>
          <w:sz w:val="44"/>
          <w:szCs w:val="44"/>
        </w:rPr>
      </w:pPr>
      <w:bookmarkStart w:id="76" w:name="_Toc15377225"/>
      <w:bookmarkStart w:id="77" w:name="_Toc15396613"/>
      <w:bookmarkStart w:id="78" w:name="_Toc31515"/>
      <w:r>
        <w:rPr>
          <w:rFonts w:hint="eastAsia" w:ascii="方正小标宋简体" w:hAnsi="方正小标宋简体" w:eastAsia="方正小标宋简体" w:cs="方正小标宋简体"/>
          <w:b w:val="0"/>
          <w:bCs w:val="0"/>
          <w:color w:val="000000"/>
          <w:sz w:val="44"/>
          <w:szCs w:val="44"/>
          <w:lang w:val="en-US" w:eastAsia="zh-CN"/>
        </w:rPr>
        <w:t xml:space="preserve">第三部分  </w:t>
      </w:r>
      <w:r>
        <w:rPr>
          <w:rFonts w:hint="eastAsia" w:ascii="方正小标宋简体" w:hAnsi="方正小标宋简体" w:eastAsia="方正小标宋简体" w:cs="方正小标宋简体"/>
          <w:b w:val="0"/>
          <w:bCs w:val="0"/>
          <w:color w:val="000000"/>
          <w:sz w:val="44"/>
          <w:szCs w:val="44"/>
        </w:rPr>
        <w:t>名词解释</w:t>
      </w:r>
      <w:bookmarkEnd w:id="76"/>
      <w:bookmarkEnd w:id="77"/>
      <w:bookmarkEnd w:id="78"/>
    </w:p>
    <w:p w14:paraId="027E8D1F">
      <w:pPr>
        <w:pStyle w:val="29"/>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14:paraId="1B320374">
      <w:pPr>
        <w:pStyle w:val="29"/>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14:paraId="0A2434AA">
      <w:pPr>
        <w:pStyle w:val="29"/>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14:paraId="1B67C41A">
      <w:pPr>
        <w:pStyle w:val="29"/>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14:paraId="76462915">
      <w:pPr>
        <w:pStyle w:val="29"/>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50821174">
      <w:pPr>
        <w:pStyle w:val="29"/>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6.年初结转和结余：指以前年度尚未完成、结转到本年按有关规定继续使用的资金。</w:t>
      </w:r>
    </w:p>
    <w:p w14:paraId="1C403C37">
      <w:pPr>
        <w:pStyle w:val="29"/>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14:paraId="1282D2EF">
      <w:pPr>
        <w:pStyle w:val="29"/>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年末结转和结余：指单位按有关规定结转到下年或以后年度继续使用的资金。</w:t>
      </w:r>
    </w:p>
    <w:p w14:paraId="67FA8FF8">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9</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rPr>
        <w:t>社会保障和就业支出</w:t>
      </w:r>
    </w:p>
    <w:p w14:paraId="2764ED06">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机关事业单位基本养老保险缴费支出2080505：指机关事业单位实施养老保险制度由单位缴纳的基本养老保险费支出。</w:t>
      </w:r>
    </w:p>
    <w:p w14:paraId="0CEAD91D">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kern w:val="0"/>
          <w:sz w:val="32"/>
          <w:szCs w:val="32"/>
          <w:highlight w:val="yellow"/>
        </w:rPr>
      </w:pPr>
      <w:r>
        <w:rPr>
          <w:rFonts w:hint="eastAsia" w:ascii="仿宋_GB2312" w:hAnsi="仿宋_GB2312" w:eastAsia="仿宋_GB2312" w:cs="仿宋_GB2312"/>
          <w:color w:val="000000"/>
          <w:sz w:val="32"/>
          <w:szCs w:val="32"/>
        </w:rPr>
        <w:t>机关事业单位职业年金缴费支出2080506：指机关事业单位实施养老保险制度由单位实际缴纳的职业年金</w:t>
      </w:r>
      <w:r>
        <w:rPr>
          <w:rFonts w:hint="eastAsia" w:ascii="仿宋_GB2312" w:hAnsi="仿宋_GB2312" w:eastAsia="仿宋_GB2312" w:cs="仿宋_GB2312"/>
          <w:color w:val="000000"/>
          <w:sz w:val="32"/>
          <w:szCs w:val="32"/>
          <w:lang w:eastAsia="zh-CN"/>
        </w:rPr>
        <w:t>缴费</w:t>
      </w:r>
      <w:r>
        <w:rPr>
          <w:rFonts w:hint="eastAsia" w:ascii="仿宋_GB2312" w:hAnsi="仿宋_GB2312" w:eastAsia="仿宋_GB2312" w:cs="仿宋_GB2312"/>
          <w:color w:val="000000"/>
          <w:sz w:val="32"/>
          <w:szCs w:val="32"/>
        </w:rPr>
        <w:t>支出。</w:t>
      </w:r>
    </w:p>
    <w:p w14:paraId="1332245C">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卫生健康支出</w:t>
      </w:r>
    </w:p>
    <w:p w14:paraId="666C7E2C">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事业单位医疗2101102：指财政部门集中安排的事业单位基本医疗保险缴费经费。</w:t>
      </w:r>
    </w:p>
    <w:p w14:paraId="31724DD4">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kern w:val="0"/>
          <w:sz w:val="32"/>
          <w:szCs w:val="32"/>
        </w:rPr>
        <w:t>城乡社区支出</w:t>
      </w:r>
    </w:p>
    <w:p w14:paraId="5E065DE3">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土地开发支出2120802：指地方人民政府用于前期土地开发性支出以及与前期土地开发相关的费用等支出。</w:t>
      </w:r>
    </w:p>
    <w:p w14:paraId="242EEDD8">
      <w:pPr>
        <w:pageBreakBefore w:val="0"/>
        <w:widowControl/>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其他国有土地使用权出让收入安排的支出2120899：指土地出让收入用于其他方面的支出。不包括市县级政府当年按规定用于土地出让收入向中央和省级政府缴纳的新增建设用地土地有偿使用费的支出。</w:t>
      </w:r>
    </w:p>
    <w:p w14:paraId="33D5433A">
      <w:pPr>
        <w:pageBreakBefore w:val="0"/>
        <w:widowControl/>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农林水支出</w:t>
      </w:r>
    </w:p>
    <w:p w14:paraId="57F2888D">
      <w:pPr>
        <w:pageBreakBefore w:val="0"/>
        <w:widowControl/>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水利行业业务管理2130304：指用于水利行业业务管理方面的支出。</w:t>
      </w:r>
    </w:p>
    <w:p w14:paraId="225940B3">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水利工程建设2130305：指水利系统用于江、河、湖、滩等水利工程建设支出。</w:t>
      </w:r>
    </w:p>
    <w:p w14:paraId="63DC07CD">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Style w:val="20"/>
          <w:rFonts w:hint="eastAsia" w:ascii="仿宋_GB2312" w:hAnsi="仿宋_GB2312" w:eastAsia="仿宋_GB2312" w:cs="仿宋_GB2312"/>
          <w:b w:val="0"/>
          <w:color w:val="000000"/>
          <w:sz w:val="32"/>
          <w:szCs w:val="32"/>
        </w:rPr>
        <w:t>其他水利支出2130399：指2130301-22、21303031-35类款项以外的用于水利方面的支出。</w:t>
      </w:r>
    </w:p>
    <w:p w14:paraId="719EF9A6">
      <w:pPr>
        <w:pageBreakBefore w:val="0"/>
        <w:kinsoku/>
        <w:wordWrap/>
        <w:overflowPunct/>
        <w:topLinePunct w:val="0"/>
        <w:bidi w:val="0"/>
        <w:spacing w:line="600" w:lineRule="exact"/>
        <w:ind w:left="0" w:firstLine="640" w:firstLineChars="200"/>
        <w:textAlignment w:val="auto"/>
        <w:rPr>
          <w:rStyle w:val="20"/>
          <w:rFonts w:hint="eastAsia" w:ascii="仿宋_GB2312" w:hAnsi="仿宋_GB2312" w:eastAsia="仿宋_GB2312" w:cs="仿宋_GB2312"/>
          <w:b w:val="0"/>
          <w:color w:val="000000"/>
          <w:sz w:val="32"/>
          <w:szCs w:val="32"/>
        </w:rPr>
      </w:pPr>
      <w:r>
        <w:rPr>
          <w:rStyle w:val="20"/>
          <w:rFonts w:hint="eastAsia" w:ascii="仿宋_GB2312" w:hAnsi="仿宋_GB2312" w:eastAsia="仿宋_GB2312" w:cs="仿宋_GB2312"/>
          <w:b w:val="0"/>
          <w:color w:val="000000"/>
          <w:sz w:val="32"/>
          <w:szCs w:val="32"/>
        </w:rPr>
        <w:t>13</w:t>
      </w:r>
      <w:r>
        <w:rPr>
          <w:rStyle w:val="20"/>
          <w:rFonts w:hint="eastAsia" w:ascii="仿宋_GB2312" w:hAnsi="仿宋_GB2312" w:eastAsia="仿宋_GB2312" w:cs="仿宋_GB2312"/>
          <w:b w:val="0"/>
          <w:color w:val="000000"/>
          <w:sz w:val="32"/>
          <w:szCs w:val="32"/>
          <w:lang w:eastAsia="zh-CN"/>
        </w:rPr>
        <w:t>.</w:t>
      </w:r>
      <w:r>
        <w:rPr>
          <w:rStyle w:val="20"/>
          <w:rFonts w:hint="eastAsia" w:ascii="仿宋_GB2312" w:hAnsi="仿宋_GB2312" w:eastAsia="仿宋_GB2312" w:cs="仿宋_GB2312"/>
          <w:b w:val="0"/>
          <w:color w:val="000000"/>
          <w:sz w:val="32"/>
          <w:szCs w:val="32"/>
        </w:rPr>
        <w:t>住房保障支出</w:t>
      </w:r>
    </w:p>
    <w:p w14:paraId="5C645E60">
      <w:pPr>
        <w:pageBreakBefore w:val="0"/>
        <w:kinsoku/>
        <w:wordWrap/>
        <w:overflowPunct/>
        <w:topLinePunct w:val="0"/>
        <w:bidi w:val="0"/>
        <w:spacing w:line="600" w:lineRule="exact"/>
        <w:ind w:left="0" w:firstLine="640" w:firstLineChars="200"/>
        <w:textAlignment w:val="auto"/>
        <w:rPr>
          <w:rStyle w:val="20"/>
          <w:rFonts w:hint="eastAsia"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rPr>
        <w:t>住房公积金2210201</w:t>
      </w:r>
      <w:r>
        <w:rPr>
          <w:rFonts w:hint="eastAsia" w:ascii="仿宋_GB2312" w:hAnsi="仿宋_GB2312" w:eastAsia="仿宋_GB2312" w:cs="仿宋_GB2312"/>
          <w:color w:val="000000"/>
          <w:sz w:val="32"/>
          <w:szCs w:val="32"/>
          <w:lang w:eastAsia="zh-CN"/>
        </w:rPr>
        <w:t>：</w:t>
      </w:r>
      <w:r>
        <w:rPr>
          <w:rStyle w:val="20"/>
          <w:rFonts w:hint="eastAsia" w:ascii="仿宋_GB2312" w:hAnsi="仿宋_GB2312" w:eastAsia="仿宋_GB2312" w:cs="仿宋_GB2312"/>
          <w:b w:val="0"/>
          <w:color w:val="000000"/>
          <w:sz w:val="32"/>
          <w:szCs w:val="32"/>
        </w:rPr>
        <w:t>指行政事业单位按人社部、财政部规定的基本工资、津贴补贴以及规定比例为职工缴纳的住房公积金。</w:t>
      </w:r>
    </w:p>
    <w:p w14:paraId="3EE20355">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14.基本支出：指为保障机构正常运转、完成日常工作任务而发生的人员支出和公用支出。</w:t>
      </w:r>
    </w:p>
    <w:p w14:paraId="741AB103">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15.项目支出：指在基本支出之外为完成特定行政任务和事业发展目标所发生的支出。 </w:t>
      </w:r>
    </w:p>
    <w:p w14:paraId="3ED852EF">
      <w:pPr>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16.经营支出：指事业单位在专业业务活动及其辅助活动之外开展非独立核算经营活动发生的支出。</w:t>
      </w:r>
    </w:p>
    <w:p w14:paraId="6E5B8E95">
      <w:pPr>
        <w:pStyle w:val="29"/>
        <w:pageBreakBefore w:val="0"/>
        <w:kinsoku/>
        <w:wordWrap/>
        <w:overflowPunct/>
        <w:topLinePunct w:val="0"/>
        <w:bidi w:val="0"/>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4D39F5E">
      <w:pPr>
        <w:pStyle w:val="29"/>
        <w:pageBreakBefore w:val="0"/>
        <w:kinsoku/>
        <w:wordWrap/>
        <w:overflowPunct/>
        <w:topLinePunct w:val="0"/>
        <w:bidi w:val="0"/>
        <w:spacing w:line="600" w:lineRule="exact"/>
        <w:ind w:left="0"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2C15C44">
      <w:pPr>
        <w:pageBreakBefore w:val="0"/>
        <w:kinsoku/>
        <w:wordWrap/>
        <w:overflowPunct/>
        <w:topLinePunct w:val="0"/>
        <w:bidi w:val="0"/>
        <w:spacing w:line="600" w:lineRule="exact"/>
        <w:textAlignment w:val="auto"/>
        <w:rPr>
          <w:rFonts w:ascii="仿宋" w:hAnsi="仿宋" w:eastAsia="仿宋"/>
          <w:b/>
          <w:color w:val="000000"/>
          <w:sz w:val="32"/>
          <w:szCs w:val="32"/>
        </w:rPr>
      </w:pPr>
    </w:p>
    <w:p w14:paraId="105BBBFC">
      <w:pPr>
        <w:pageBreakBefore w:val="0"/>
        <w:kinsoku/>
        <w:wordWrap/>
        <w:overflowPunct/>
        <w:topLinePunct w:val="0"/>
        <w:bidi w:val="0"/>
        <w:spacing w:line="600" w:lineRule="exact"/>
        <w:ind w:left="0" w:firstLine="883" w:firstLineChars="200"/>
        <w:jc w:val="center"/>
        <w:textAlignment w:val="auto"/>
        <w:outlineLvl w:val="0"/>
        <w:rPr>
          <w:rFonts w:ascii="宋体"/>
          <w:b/>
          <w:color w:val="000000"/>
          <w:sz w:val="44"/>
          <w:szCs w:val="44"/>
        </w:rPr>
      </w:pPr>
      <w:bookmarkStart w:id="79" w:name="_Toc15377226"/>
      <w:r>
        <w:rPr>
          <w:rFonts w:ascii="宋体"/>
          <w:b/>
          <w:color w:val="000000"/>
          <w:sz w:val="44"/>
          <w:szCs w:val="44"/>
        </w:rPr>
        <w:br w:type="page"/>
      </w:r>
      <w:bookmarkStart w:id="80" w:name="_Toc15396614"/>
    </w:p>
    <w:p w14:paraId="0DBD264A">
      <w:pPr>
        <w:pStyle w:val="3"/>
        <w:keepNext/>
        <w:keepLines/>
        <w:pageBreakBefore w:val="0"/>
        <w:widowControl w:val="0"/>
        <w:kinsoku/>
        <w:wordWrap/>
        <w:overflowPunct/>
        <w:topLinePunct w:val="0"/>
        <w:autoSpaceDE/>
        <w:autoSpaceDN/>
        <w:bidi w:val="0"/>
        <w:adjustRightInd/>
        <w:snapToGrid/>
        <w:spacing w:before="0" w:after="0" w:line="480" w:lineRule="auto"/>
        <w:ind w:right="0"/>
        <w:jc w:val="center"/>
        <w:textAlignment w:val="auto"/>
        <w:rPr>
          <w:rFonts w:ascii="仿宋_GB2312" w:hAnsi="仿宋_GB2312" w:eastAsia="仿宋_GB2312" w:cs="仿宋_GB2312"/>
          <w:color w:val="auto"/>
          <w:sz w:val="32"/>
          <w:szCs w:val="32"/>
          <w:highlight w:val="none"/>
        </w:rPr>
      </w:pPr>
      <w:bookmarkStart w:id="81" w:name="_Toc32066"/>
      <w:r>
        <w:rPr>
          <w:rFonts w:hint="eastAsia" w:ascii="方正小标宋简体" w:hAnsi="方正小标宋简体" w:eastAsia="方正小标宋简体" w:cs="方正小标宋简体"/>
          <w:b w:val="0"/>
          <w:bCs w:val="0"/>
          <w:color w:val="000000"/>
          <w:sz w:val="44"/>
          <w:szCs w:val="44"/>
          <w:lang w:val="en-US" w:eastAsia="zh-CN"/>
        </w:rPr>
        <w:t>第四部分  附件</w:t>
      </w:r>
      <w:bookmarkEnd w:id="81"/>
    </w:p>
    <w:p w14:paraId="0BC134A2">
      <w:pPr>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hAnsi="Times New Roman" w:cs="Times New Roman"/>
          <w:sz w:val="32"/>
          <w:szCs w:val="32"/>
          <w:highlight w:val="none"/>
          <w:lang w:val="en-US" w:eastAsia="zh-CN"/>
        </w:rPr>
      </w:pPr>
      <w:bookmarkStart w:id="82" w:name="_Toc24377"/>
      <w:bookmarkStart w:id="83" w:name="_Toc24394"/>
      <w:r>
        <w:rPr>
          <w:rFonts w:hint="eastAsia" w:hAnsi="Times New Roman" w:cs="Times New Roman"/>
          <w:sz w:val="32"/>
          <w:szCs w:val="32"/>
          <w:highlight w:val="none"/>
          <w:lang w:val="en-US" w:eastAsia="zh-CN"/>
        </w:rPr>
        <w:t>部门预算项目支出绩效自评表（2024年度）</w:t>
      </w:r>
      <w:bookmarkEnd w:id="82"/>
      <w:bookmarkEnd w:id="83"/>
    </w:p>
    <w:p w14:paraId="6D2C06CA">
      <w:pPr>
        <w:pStyle w:val="17"/>
        <w:pageBreakBefore w:val="0"/>
        <w:widowControl w:val="0"/>
        <w:kinsoku/>
        <w:wordWrap/>
        <w:overflowPunct/>
        <w:topLinePunct w:val="0"/>
        <w:autoSpaceDE/>
        <w:autoSpaceDN/>
        <w:bidi w:val="0"/>
        <w:adjustRightInd/>
        <w:snapToGrid/>
        <w:spacing w:before="0" w:line="480" w:lineRule="auto"/>
        <w:jc w:val="both"/>
        <w:textAlignment w:val="auto"/>
        <w:rPr>
          <w:rFonts w:hint="eastAsia" w:ascii="仿宋_GB2312" w:hAnsi="仿宋_GB2312" w:eastAsia="仿宋_GB2312" w:cs="仿宋_GB2312"/>
          <w:lang w:eastAsia="zh-CN"/>
        </w:rPr>
      </w:pPr>
      <w:bookmarkStart w:id="84" w:name="_Toc319"/>
      <w:bookmarkStart w:id="85" w:name="_Toc23275"/>
      <w:r>
        <w:rPr>
          <w:rFonts w:hint="eastAsia" w:ascii="仿宋_GB2312" w:hAnsi="仿宋_GB2312" w:eastAsia="仿宋_GB2312" w:cs="仿宋_GB2312"/>
          <w:lang w:eastAsia="zh-CN"/>
        </w:rPr>
        <w:drawing>
          <wp:inline distT="0" distB="0" distL="114300" distR="114300">
            <wp:extent cx="5269230" cy="6224270"/>
            <wp:effectExtent l="0" t="0" r="7620" b="5080"/>
            <wp:docPr id="1" name="图片 1" descr="805bcb051e30d8338f5bbaf40b40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05bcb051e30d8338f5bbaf40b40def"/>
                    <pic:cNvPicPr>
                      <a:picLocks noChangeAspect="1"/>
                    </pic:cNvPicPr>
                  </pic:nvPicPr>
                  <pic:blipFill>
                    <a:blip r:embed="rId10"/>
                    <a:stretch>
                      <a:fillRect/>
                    </a:stretch>
                  </pic:blipFill>
                  <pic:spPr>
                    <a:xfrm>
                      <a:off x="0" y="0"/>
                      <a:ext cx="5269230" cy="6224270"/>
                    </a:xfrm>
                    <a:prstGeom prst="rect">
                      <a:avLst/>
                    </a:prstGeom>
                  </pic:spPr>
                </pic:pic>
              </a:graphicData>
            </a:graphic>
          </wp:inline>
        </w:drawing>
      </w:r>
      <w:bookmarkEnd w:id="84"/>
      <w:bookmarkEnd w:id="85"/>
    </w:p>
    <w:p w14:paraId="400B86F5">
      <w:pPr>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69E59418">
      <w:pPr>
        <w:pStyle w:val="22"/>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655B8313">
      <w:pPr>
        <w:pageBreakBefore w:val="0"/>
        <w:widowControl w:val="0"/>
        <w:kinsoku/>
        <w:wordWrap/>
        <w:overflowPunct/>
        <w:topLinePunct w:val="0"/>
        <w:autoSpaceDE/>
        <w:autoSpaceDN/>
        <w:bidi w:val="0"/>
        <w:adjustRightInd/>
        <w:snapToGrid/>
        <w:spacing w:line="480" w:lineRule="auto"/>
        <w:jc w:val="both"/>
        <w:textAlignment w:val="auto"/>
        <w:rPr>
          <w:rFonts w:hint="eastAsia" w:hAnsi="Times New Roman" w:cs="Times New Roman"/>
          <w:sz w:val="32"/>
          <w:szCs w:val="32"/>
          <w:highlight w:val="none"/>
          <w:lang w:val="en-US" w:eastAsia="zh-CN"/>
        </w:rPr>
      </w:pPr>
    </w:p>
    <w:p w14:paraId="69A3DF9C">
      <w:pPr>
        <w:pageBreakBefore w:val="0"/>
        <w:widowControl w:val="0"/>
        <w:kinsoku/>
        <w:wordWrap/>
        <w:overflowPunct/>
        <w:topLinePunct w:val="0"/>
        <w:autoSpaceDE/>
        <w:autoSpaceDN/>
        <w:bidi w:val="0"/>
        <w:adjustRightInd/>
        <w:snapToGrid/>
        <w:spacing w:line="480" w:lineRule="auto"/>
        <w:textAlignment w:val="auto"/>
        <w:rPr>
          <w:rFonts w:hint="eastAsia" w:ascii="楷体_GB2312" w:hAnsi="楷体_GB2312" w:eastAsia="楷体_GB2312" w:cs="楷体_GB2312"/>
          <w:sz w:val="28"/>
          <w:szCs w:val="28"/>
        </w:rPr>
      </w:pPr>
      <w:r>
        <w:rPr>
          <w:rFonts w:hint="eastAsia" w:ascii="楷体_GB2312" w:hAnsi="楷体_GB2312" w:eastAsia="楷体_GB2312" w:cs="楷体_GB2312"/>
          <w:sz w:val="28"/>
          <w:szCs w:val="28"/>
          <w:lang w:eastAsia="zh-CN"/>
        </w:rPr>
        <w:drawing>
          <wp:inline distT="0" distB="0" distL="114300" distR="114300">
            <wp:extent cx="5270500" cy="6258560"/>
            <wp:effectExtent l="0" t="0" r="6350" b="8890"/>
            <wp:docPr id="2" name="图片 2" descr="010d01a1fc7aeabead6b0206924ab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0d01a1fc7aeabead6b0206924ab58"/>
                    <pic:cNvPicPr>
                      <a:picLocks noChangeAspect="1"/>
                    </pic:cNvPicPr>
                  </pic:nvPicPr>
                  <pic:blipFill>
                    <a:blip r:embed="rId11"/>
                    <a:stretch>
                      <a:fillRect/>
                    </a:stretch>
                  </pic:blipFill>
                  <pic:spPr>
                    <a:xfrm>
                      <a:off x="0" y="0"/>
                      <a:ext cx="5270500" cy="6258560"/>
                    </a:xfrm>
                    <a:prstGeom prst="rect">
                      <a:avLst/>
                    </a:prstGeom>
                  </pic:spPr>
                </pic:pic>
              </a:graphicData>
            </a:graphic>
          </wp:inline>
        </w:drawing>
      </w:r>
    </w:p>
    <w:p w14:paraId="16BEEAE6">
      <w:pPr>
        <w:pStyle w:val="22"/>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lang w:eastAsia="zh-CN"/>
        </w:rPr>
      </w:pPr>
    </w:p>
    <w:p w14:paraId="75852D81">
      <w:pPr>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6524D764">
      <w:pPr>
        <w:pStyle w:val="22"/>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楷体_GB2312" w:hAnsi="楷体_GB2312" w:eastAsia="楷体_GB2312" w:cs="楷体_GB2312"/>
          <w:sz w:val="28"/>
          <w:szCs w:val="28"/>
        </w:rPr>
      </w:pPr>
    </w:p>
    <w:p w14:paraId="062FDF40">
      <w:pPr>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02B511DD">
      <w:pPr>
        <w:pStyle w:val="22"/>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44C6AD2B">
      <w:pPr>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0BE12C9F">
      <w:pPr>
        <w:pStyle w:val="22"/>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drawing>
          <wp:inline distT="0" distB="0" distL="114300" distR="114300">
            <wp:extent cx="5260975" cy="6654165"/>
            <wp:effectExtent l="0" t="0" r="15875" b="13335"/>
            <wp:docPr id="3" name="图片 3" descr="cb9193edc4428dd9f64fd957b8f0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b9193edc4428dd9f64fd957b8f0420"/>
                    <pic:cNvPicPr>
                      <a:picLocks noChangeAspect="1"/>
                    </pic:cNvPicPr>
                  </pic:nvPicPr>
                  <pic:blipFill>
                    <a:blip r:embed="rId12"/>
                    <a:stretch>
                      <a:fillRect/>
                    </a:stretch>
                  </pic:blipFill>
                  <pic:spPr>
                    <a:xfrm>
                      <a:off x="0" y="0"/>
                      <a:ext cx="5260975" cy="6654165"/>
                    </a:xfrm>
                    <a:prstGeom prst="rect">
                      <a:avLst/>
                    </a:prstGeom>
                  </pic:spPr>
                </pic:pic>
              </a:graphicData>
            </a:graphic>
          </wp:inline>
        </w:drawing>
      </w:r>
    </w:p>
    <w:p w14:paraId="547F18CB">
      <w:pPr>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53567702">
      <w:pPr>
        <w:pStyle w:val="22"/>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0A43A2F2">
      <w:pPr>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0A5CD396">
      <w:pPr>
        <w:pStyle w:val="22"/>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7B8C12B0">
      <w:pPr>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149AC408">
      <w:pPr>
        <w:pStyle w:val="22"/>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drawing>
          <wp:inline distT="0" distB="0" distL="114300" distR="114300">
            <wp:extent cx="5269230" cy="6478905"/>
            <wp:effectExtent l="0" t="0" r="7620" b="17145"/>
            <wp:docPr id="4" name="图片 4" descr="5c06db1643bdb3c4a5c95a30d4ac4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c06db1643bdb3c4a5c95a30d4ac4ed"/>
                    <pic:cNvPicPr>
                      <a:picLocks noChangeAspect="1"/>
                    </pic:cNvPicPr>
                  </pic:nvPicPr>
                  <pic:blipFill>
                    <a:blip r:embed="rId13"/>
                    <a:stretch>
                      <a:fillRect/>
                    </a:stretch>
                  </pic:blipFill>
                  <pic:spPr>
                    <a:xfrm>
                      <a:off x="0" y="0"/>
                      <a:ext cx="5269230" cy="6478905"/>
                    </a:xfrm>
                    <a:prstGeom prst="rect">
                      <a:avLst/>
                    </a:prstGeom>
                  </pic:spPr>
                </pic:pic>
              </a:graphicData>
            </a:graphic>
          </wp:inline>
        </w:drawing>
      </w:r>
    </w:p>
    <w:p w14:paraId="5AB408DD">
      <w:pPr>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53A78D09">
      <w:pPr>
        <w:pStyle w:val="22"/>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1510B90A">
      <w:pPr>
        <w:pageBreakBefore w:val="0"/>
        <w:widowControl w:val="0"/>
        <w:kinsoku/>
        <w:wordWrap/>
        <w:overflowPunct/>
        <w:topLinePunct w:val="0"/>
        <w:autoSpaceDE/>
        <w:autoSpaceDN/>
        <w:bidi w:val="0"/>
        <w:adjustRightInd/>
        <w:snapToGrid/>
        <w:spacing w:line="480" w:lineRule="auto"/>
        <w:ind w:left="0" w:firstLine="560" w:firstLineChars="200"/>
        <w:textAlignment w:val="auto"/>
        <w:rPr>
          <w:rFonts w:hint="eastAsia" w:ascii="楷体_GB2312" w:hAnsi="楷体_GB2312" w:eastAsia="楷体_GB2312" w:cs="楷体_GB2312"/>
          <w:sz w:val="28"/>
          <w:szCs w:val="28"/>
        </w:rPr>
      </w:pPr>
    </w:p>
    <w:p w14:paraId="48B8EF5D">
      <w:pPr>
        <w:pStyle w:val="22"/>
        <w:pageBreakBefore w:val="0"/>
        <w:widowControl w:val="0"/>
        <w:kinsoku/>
        <w:wordWrap/>
        <w:overflowPunct/>
        <w:topLinePunct w:val="0"/>
        <w:autoSpaceDE/>
        <w:autoSpaceDN/>
        <w:bidi w:val="0"/>
        <w:adjustRightInd/>
        <w:snapToGrid/>
        <w:spacing w:line="480" w:lineRule="auto"/>
        <w:ind w:left="0" w:leftChars="0" w:firstLine="560" w:firstLineChars="200"/>
        <w:textAlignment w:val="auto"/>
        <w:rPr>
          <w:rFonts w:hint="eastAsia" w:ascii="楷体_GB2312" w:hAnsi="楷体_GB2312" w:eastAsia="楷体_GB2312" w:cs="楷体_GB2312"/>
          <w:sz w:val="28"/>
          <w:szCs w:val="28"/>
        </w:rPr>
      </w:pPr>
    </w:p>
    <w:p w14:paraId="09C41627">
      <w:pPr>
        <w:pStyle w:val="22"/>
        <w:pageBreakBefore w:val="0"/>
        <w:widowControl w:val="0"/>
        <w:kinsoku/>
        <w:wordWrap/>
        <w:overflowPunct/>
        <w:topLinePunct w:val="0"/>
        <w:autoSpaceDE/>
        <w:autoSpaceDN/>
        <w:bidi w:val="0"/>
        <w:adjustRightInd/>
        <w:snapToGrid/>
        <w:spacing w:line="480" w:lineRule="auto"/>
        <w:ind w:left="0" w:leftChars="0" w:firstLine="0" w:firstLineChars="0"/>
        <w:textAlignment w:val="auto"/>
        <w:rPr>
          <w:rFonts w:hint="eastAsia" w:ascii="楷体_GB2312" w:hAnsi="楷体_GB2312" w:eastAsia="楷体_GB2312" w:cs="楷体_GB2312"/>
          <w:sz w:val="28"/>
          <w:szCs w:val="28"/>
          <w:lang w:eastAsia="zh-CN"/>
        </w:rPr>
      </w:pPr>
      <w:r>
        <w:rPr>
          <w:rFonts w:hint="eastAsia" w:ascii="楷体_GB2312" w:hAnsi="楷体_GB2312" w:eastAsia="楷体_GB2312" w:cs="楷体_GB2312"/>
          <w:sz w:val="28"/>
          <w:szCs w:val="28"/>
          <w:lang w:eastAsia="zh-CN"/>
        </w:rPr>
        <w:drawing>
          <wp:inline distT="0" distB="0" distL="114300" distR="114300">
            <wp:extent cx="5268595" cy="6173470"/>
            <wp:effectExtent l="0" t="0" r="8255" b="17780"/>
            <wp:docPr id="5" name="图片 5" descr="07b1a57a85639cb95db17f99a562d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7b1a57a85639cb95db17f99a562d22"/>
                    <pic:cNvPicPr>
                      <a:picLocks noChangeAspect="1"/>
                    </pic:cNvPicPr>
                  </pic:nvPicPr>
                  <pic:blipFill>
                    <a:blip r:embed="rId14"/>
                    <a:stretch>
                      <a:fillRect/>
                    </a:stretch>
                  </pic:blipFill>
                  <pic:spPr>
                    <a:xfrm>
                      <a:off x="0" y="0"/>
                      <a:ext cx="5268595" cy="6173470"/>
                    </a:xfrm>
                    <a:prstGeom prst="rect">
                      <a:avLst/>
                    </a:prstGeom>
                  </pic:spPr>
                </pic:pic>
              </a:graphicData>
            </a:graphic>
          </wp:inline>
        </w:drawing>
      </w:r>
    </w:p>
    <w:bookmarkEnd w:id="80"/>
    <w:p w14:paraId="244292CC">
      <w:pPr>
        <w:pageBreakBefore w:val="0"/>
        <w:kinsoku/>
        <w:wordWrap/>
        <w:overflowPunct/>
        <w:topLinePunct w:val="0"/>
        <w:bidi w:val="0"/>
        <w:spacing w:line="600" w:lineRule="exact"/>
        <w:ind w:left="0" w:firstLine="880" w:firstLineChars="200"/>
        <w:jc w:val="both"/>
        <w:textAlignment w:val="auto"/>
        <w:outlineLvl w:val="0"/>
        <w:rPr>
          <w:rFonts w:ascii="黑体" w:hAnsi="黑体" w:eastAsia="黑体"/>
          <w:color w:val="000000"/>
          <w:sz w:val="44"/>
          <w:szCs w:val="44"/>
        </w:rPr>
      </w:pPr>
      <w:bookmarkStart w:id="86" w:name="_Toc15396618"/>
    </w:p>
    <w:p w14:paraId="0929BFD6">
      <w:pPr>
        <w:pStyle w:val="3"/>
        <w:keepNext/>
        <w:keepLines/>
        <w:pageBreakBefore w:val="0"/>
        <w:widowControl w:val="0"/>
        <w:kinsoku/>
        <w:wordWrap/>
        <w:overflowPunct/>
        <w:topLinePunct w:val="0"/>
        <w:autoSpaceDE/>
        <w:autoSpaceDN/>
        <w:bidi w:val="0"/>
        <w:adjustRightInd/>
        <w:snapToGrid/>
        <w:spacing w:before="0" w:after="0" w:line="600" w:lineRule="exact"/>
        <w:ind w:right="0"/>
        <w:jc w:val="center"/>
        <w:textAlignment w:val="auto"/>
        <w:rPr>
          <w:rStyle w:val="31"/>
          <w:rFonts w:ascii="黑体" w:hAnsi="黑体" w:eastAsia="黑体"/>
          <w:b w:val="0"/>
          <w:bCs/>
        </w:rPr>
      </w:pPr>
      <w:bookmarkStart w:id="87" w:name="_Toc12622"/>
      <w:r>
        <w:rPr>
          <w:rFonts w:hint="eastAsia" w:ascii="方正小标宋简体" w:hAnsi="方正小标宋简体" w:eastAsia="方正小标宋简体" w:cs="方正小标宋简体"/>
          <w:b w:val="0"/>
          <w:bCs w:val="0"/>
          <w:color w:val="000000"/>
          <w:sz w:val="44"/>
          <w:szCs w:val="44"/>
          <w:lang w:val="en-US" w:eastAsia="zh-CN"/>
        </w:rPr>
        <w:t>第五部分  附表</w:t>
      </w:r>
      <w:bookmarkEnd w:id="79"/>
      <w:bookmarkEnd w:id="86"/>
      <w:bookmarkEnd w:id="87"/>
    </w:p>
    <w:p w14:paraId="21960525">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88" w:name="_Toc1797"/>
      <w:bookmarkStart w:id="89" w:name="_Toc15396619"/>
      <w:r>
        <w:rPr>
          <w:rFonts w:hint="eastAsia" w:ascii="仿宋_GB2312" w:hAnsi="仿宋_GB2312" w:eastAsia="仿宋_GB2312" w:cs="仿宋_GB2312"/>
          <w:b w:val="0"/>
          <w:bCs w:val="0"/>
          <w:color w:val="000000"/>
        </w:rPr>
        <w:t>一、收入支出决算总表</w:t>
      </w:r>
      <w:bookmarkEnd w:id="88"/>
    </w:p>
    <w:p w14:paraId="6DC1EC24">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0" w:name="_Toc7472"/>
      <w:r>
        <w:rPr>
          <w:rFonts w:hint="eastAsia" w:ascii="仿宋_GB2312" w:hAnsi="仿宋_GB2312" w:eastAsia="仿宋_GB2312" w:cs="仿宋_GB2312"/>
          <w:b w:val="0"/>
          <w:bCs w:val="0"/>
          <w:color w:val="000000"/>
        </w:rPr>
        <w:t>二、收入决算表</w:t>
      </w:r>
      <w:bookmarkEnd w:id="90"/>
    </w:p>
    <w:p w14:paraId="670C8057">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1" w:name="_Toc28396"/>
      <w:r>
        <w:rPr>
          <w:rFonts w:hint="eastAsia" w:ascii="仿宋_GB2312" w:hAnsi="仿宋_GB2312" w:eastAsia="仿宋_GB2312" w:cs="仿宋_GB2312"/>
          <w:b w:val="0"/>
          <w:bCs w:val="0"/>
          <w:color w:val="000000"/>
        </w:rPr>
        <w:t>三、支出决算表</w:t>
      </w:r>
      <w:bookmarkEnd w:id="91"/>
    </w:p>
    <w:p w14:paraId="21D1CC9B">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2" w:name="_Toc28272"/>
      <w:r>
        <w:rPr>
          <w:rFonts w:hint="eastAsia" w:ascii="仿宋_GB2312" w:hAnsi="仿宋_GB2312" w:eastAsia="仿宋_GB2312" w:cs="仿宋_GB2312"/>
          <w:b w:val="0"/>
          <w:bCs w:val="0"/>
          <w:color w:val="000000"/>
        </w:rPr>
        <w:t>四、财政拨款收入支出决算总表</w:t>
      </w:r>
      <w:bookmarkEnd w:id="92"/>
    </w:p>
    <w:p w14:paraId="703061FA">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3" w:name="_Toc15725"/>
      <w:r>
        <w:rPr>
          <w:rFonts w:hint="eastAsia" w:ascii="仿宋_GB2312" w:hAnsi="仿宋_GB2312" w:eastAsia="仿宋_GB2312" w:cs="仿宋_GB2312"/>
          <w:b w:val="0"/>
          <w:bCs w:val="0"/>
          <w:color w:val="000000"/>
        </w:rPr>
        <w:t>五、财政拨款支出决算明细表</w:t>
      </w:r>
      <w:bookmarkEnd w:id="93"/>
    </w:p>
    <w:p w14:paraId="75F4F51A">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4" w:name="_Toc9415"/>
      <w:r>
        <w:rPr>
          <w:rFonts w:hint="eastAsia" w:ascii="仿宋_GB2312" w:hAnsi="仿宋_GB2312" w:eastAsia="仿宋_GB2312" w:cs="仿宋_GB2312"/>
          <w:b w:val="0"/>
          <w:bCs w:val="0"/>
          <w:color w:val="000000"/>
        </w:rPr>
        <w:t>六、一般公共预算财政拨款支出决算表</w:t>
      </w:r>
      <w:bookmarkEnd w:id="94"/>
    </w:p>
    <w:p w14:paraId="5BF351F5">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5" w:name="_Toc31480"/>
      <w:r>
        <w:rPr>
          <w:rFonts w:hint="eastAsia" w:ascii="仿宋_GB2312" w:hAnsi="仿宋_GB2312" w:eastAsia="仿宋_GB2312" w:cs="仿宋_GB2312"/>
          <w:b w:val="0"/>
          <w:bCs w:val="0"/>
          <w:color w:val="000000"/>
        </w:rPr>
        <w:t>七、一般公共预算财政拨款支出决算明细表</w:t>
      </w:r>
      <w:bookmarkEnd w:id="95"/>
    </w:p>
    <w:p w14:paraId="0DD4A323">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6" w:name="_Toc30747"/>
      <w:r>
        <w:rPr>
          <w:rFonts w:hint="eastAsia" w:ascii="仿宋_GB2312" w:hAnsi="仿宋_GB2312" w:eastAsia="仿宋_GB2312" w:cs="仿宋_GB2312"/>
          <w:b w:val="0"/>
          <w:bCs w:val="0"/>
          <w:color w:val="000000"/>
        </w:rPr>
        <w:t>八、一般公共预算财政拨款基本支出决算表</w:t>
      </w:r>
      <w:bookmarkEnd w:id="96"/>
    </w:p>
    <w:p w14:paraId="020C9607">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7" w:name="_Toc21571"/>
      <w:r>
        <w:rPr>
          <w:rFonts w:hint="eastAsia" w:ascii="仿宋_GB2312" w:hAnsi="仿宋_GB2312" w:eastAsia="仿宋_GB2312" w:cs="仿宋_GB2312"/>
          <w:b w:val="0"/>
          <w:bCs w:val="0"/>
          <w:color w:val="000000"/>
        </w:rPr>
        <w:t>九、一般公共预算财政拨款项目支出决算表</w:t>
      </w:r>
      <w:bookmarkEnd w:id="97"/>
    </w:p>
    <w:p w14:paraId="3570B464">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8" w:name="_Toc3333"/>
      <w:r>
        <w:rPr>
          <w:rFonts w:hint="eastAsia" w:ascii="仿宋_GB2312" w:hAnsi="仿宋_GB2312" w:eastAsia="仿宋_GB2312" w:cs="仿宋_GB2312"/>
          <w:b w:val="0"/>
          <w:bCs w:val="0"/>
          <w:color w:val="000000"/>
        </w:rPr>
        <w:t>十、政府性基金预算财政拨款收入支出决算表</w:t>
      </w:r>
      <w:bookmarkEnd w:id="98"/>
    </w:p>
    <w:p w14:paraId="054197B0">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99" w:name="_Toc25402"/>
      <w:r>
        <w:rPr>
          <w:rFonts w:hint="eastAsia" w:ascii="仿宋_GB2312" w:hAnsi="仿宋_GB2312" w:eastAsia="仿宋_GB2312" w:cs="仿宋_GB2312"/>
          <w:b w:val="0"/>
          <w:bCs w:val="0"/>
          <w:color w:val="000000"/>
        </w:rPr>
        <w:t>十一、国有资本经营预算</w:t>
      </w:r>
      <w:r>
        <w:rPr>
          <w:rFonts w:hint="eastAsia" w:ascii="仿宋_GB2312" w:hAnsi="仿宋_GB2312" w:eastAsia="仿宋_GB2312" w:cs="仿宋_GB2312"/>
          <w:b w:val="0"/>
          <w:bCs w:val="0"/>
          <w:color w:val="000000"/>
          <w:lang w:eastAsia="zh-CN"/>
        </w:rPr>
        <w:t>财政拨款收入</w:t>
      </w:r>
      <w:r>
        <w:rPr>
          <w:rFonts w:hint="eastAsia" w:ascii="仿宋_GB2312" w:hAnsi="仿宋_GB2312" w:eastAsia="仿宋_GB2312" w:cs="仿宋_GB2312"/>
          <w:b w:val="0"/>
          <w:bCs w:val="0"/>
          <w:color w:val="000000"/>
        </w:rPr>
        <w:t>支出决算表</w:t>
      </w:r>
      <w:bookmarkEnd w:id="99"/>
    </w:p>
    <w:p w14:paraId="6CB57FC7">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rPr>
      </w:pPr>
      <w:bookmarkStart w:id="100" w:name="_Toc26268"/>
      <w:r>
        <w:rPr>
          <w:rFonts w:hint="eastAsia" w:ascii="仿宋_GB2312" w:hAnsi="仿宋_GB2312" w:eastAsia="仿宋_GB2312" w:cs="仿宋_GB2312"/>
          <w:b w:val="0"/>
          <w:bCs w:val="0"/>
          <w:color w:val="000000"/>
        </w:rPr>
        <w:t>十二、</w:t>
      </w:r>
      <w:r>
        <w:rPr>
          <w:rFonts w:hint="eastAsia" w:ascii="仿宋_GB2312" w:hAnsi="仿宋_GB2312" w:eastAsia="仿宋_GB2312" w:cs="仿宋_GB2312"/>
          <w:b w:val="0"/>
          <w:bCs w:val="0"/>
          <w:color w:val="000000"/>
          <w:lang w:eastAsia="zh-CN"/>
        </w:rPr>
        <w:t>国有资本经营预算财政拨款支出决算表</w:t>
      </w:r>
      <w:bookmarkEnd w:id="100"/>
    </w:p>
    <w:p w14:paraId="7E65374C">
      <w:pPr>
        <w:pStyle w:val="4"/>
        <w:keepNext/>
        <w:keepLines/>
        <w:pageBreakBefore w:val="0"/>
        <w:widowControl w:val="0"/>
        <w:kinsoku/>
        <w:wordWrap/>
        <w:overflowPunct/>
        <w:topLinePunct w:val="0"/>
        <w:autoSpaceDE/>
        <w:autoSpaceDN/>
        <w:bidi w:val="0"/>
        <w:adjustRightInd/>
        <w:snapToGrid/>
        <w:spacing w:before="0" w:after="0" w:line="600" w:lineRule="exact"/>
        <w:ind w:left="0" w:firstLine="640" w:firstLineChars="200"/>
        <w:textAlignment w:val="auto"/>
        <w:rPr>
          <w:rFonts w:hint="eastAsia" w:ascii="仿宋_GB2312" w:hAnsi="仿宋_GB2312" w:eastAsia="仿宋_GB2312" w:cs="仿宋_GB2312"/>
          <w:b w:val="0"/>
          <w:bCs w:val="0"/>
          <w:color w:val="000000"/>
          <w:lang w:eastAsia="zh-CN"/>
        </w:rPr>
      </w:pPr>
      <w:bookmarkStart w:id="101" w:name="_Toc29738"/>
      <w:r>
        <w:rPr>
          <w:rFonts w:hint="eastAsia" w:ascii="仿宋_GB2312" w:hAnsi="仿宋_GB2312" w:eastAsia="仿宋_GB2312" w:cs="仿宋_GB2312"/>
          <w:b w:val="0"/>
          <w:bCs w:val="0"/>
          <w:color w:val="000000"/>
        </w:rPr>
        <w:t>十三、</w:t>
      </w:r>
      <w:r>
        <w:rPr>
          <w:rFonts w:hint="eastAsia" w:ascii="仿宋_GB2312" w:hAnsi="仿宋_GB2312" w:eastAsia="仿宋_GB2312" w:cs="仿宋_GB2312"/>
          <w:b w:val="0"/>
          <w:bCs w:val="0"/>
          <w:color w:val="000000"/>
          <w:lang w:eastAsia="zh-CN"/>
        </w:rPr>
        <w:t>财政拨款“三公”经费支出决算表</w:t>
      </w:r>
      <w:bookmarkEnd w:id="89"/>
      <w:bookmarkEnd w:id="101"/>
    </w:p>
    <w:sectPr>
      <w:headerReference r:id="rId7" w:type="default"/>
      <w:footerReference r:id="rId8"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5383">
    <w:pPr>
      <w:pStyle w:val="12"/>
      <w:jc w:val="center"/>
    </w:pPr>
    <w:r>
      <w:fldChar w:fldCharType="begin"/>
    </w:r>
    <w:r>
      <w:instrText xml:space="preserve">PAGE   \* MERGEFORMAT</w:instrText>
    </w:r>
    <w:r>
      <w:fldChar w:fldCharType="separate"/>
    </w:r>
    <w:r>
      <w:rPr>
        <w:lang w:val="zh-CN"/>
      </w:rPr>
      <w:t>23</w:t>
    </w:r>
    <w:r>
      <w:rPr>
        <w:lang w:val="zh-CN"/>
      </w:rPr>
      <w:fldChar w:fldCharType="end"/>
    </w:r>
  </w:p>
  <w:p w14:paraId="5FE1631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FE309">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90A1">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EndPr>
      <w:rPr>
        <w:rFonts w:hint="eastAsia" w:ascii="宋体" w:hAnsi="宋体" w:eastAsia="宋体" w:cs="宋体"/>
        <w:sz w:val="28"/>
        <w:szCs w:val="28"/>
      </w:rPr>
    </w:sdtEndPr>
    <w:sdtContent>
      <w:p w14:paraId="7DE1E7D9">
        <w:pPr>
          <w:pStyle w:val="1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17</w:t>
        </w:r>
        <w:r>
          <w:rPr>
            <w:rFonts w:hint="eastAsia" w:ascii="宋体" w:hAnsi="宋体" w:eastAsia="宋体" w:cs="宋体"/>
            <w:sz w:val="28"/>
            <w:szCs w:val="28"/>
            <w:lang w:val="zh-CN"/>
          </w:rPr>
          <w:fldChar w:fldCharType="end"/>
        </w:r>
      </w:p>
    </w:sdtContent>
  </w:sdt>
  <w:p w14:paraId="4262C5A6">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F099C">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8F2C2">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2YmEzNGUxODFlZWIyNDMxODdmMjdmY2QyMjg2ODcifQ=="/>
  </w:docVars>
  <w:rsids>
    <w:rsidRoot w:val="00F1361C"/>
    <w:rsid w:val="00000CD2"/>
    <w:rsid w:val="00020D3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2066"/>
    <w:rsid w:val="001C0962"/>
    <w:rsid w:val="001D7531"/>
    <w:rsid w:val="001E67F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E05DC"/>
    <w:rsid w:val="002F1818"/>
    <w:rsid w:val="002F567B"/>
    <w:rsid w:val="003216A9"/>
    <w:rsid w:val="00335A74"/>
    <w:rsid w:val="00337D6F"/>
    <w:rsid w:val="003527DD"/>
    <w:rsid w:val="0036561B"/>
    <w:rsid w:val="00366D82"/>
    <w:rsid w:val="0037013F"/>
    <w:rsid w:val="0037644D"/>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26C5"/>
    <w:rsid w:val="004046C2"/>
    <w:rsid w:val="00406254"/>
    <w:rsid w:val="00416CD4"/>
    <w:rsid w:val="004223DE"/>
    <w:rsid w:val="00434489"/>
    <w:rsid w:val="00437085"/>
    <w:rsid w:val="00443880"/>
    <w:rsid w:val="004464F4"/>
    <w:rsid w:val="004709B6"/>
    <w:rsid w:val="00471401"/>
    <w:rsid w:val="00473F31"/>
    <w:rsid w:val="0048263A"/>
    <w:rsid w:val="00487E5D"/>
    <w:rsid w:val="00494766"/>
    <w:rsid w:val="004A0BCF"/>
    <w:rsid w:val="004A711F"/>
    <w:rsid w:val="004B199D"/>
    <w:rsid w:val="004B4690"/>
    <w:rsid w:val="004B77CB"/>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9337E"/>
    <w:rsid w:val="005B5C64"/>
    <w:rsid w:val="005C1FC0"/>
    <w:rsid w:val="005C6BD0"/>
    <w:rsid w:val="005C6C4C"/>
    <w:rsid w:val="005D1C8B"/>
    <w:rsid w:val="005D468D"/>
    <w:rsid w:val="005D5CED"/>
    <w:rsid w:val="005F1A4C"/>
    <w:rsid w:val="00602E2F"/>
    <w:rsid w:val="0060495E"/>
    <w:rsid w:val="00605688"/>
    <w:rsid w:val="006070AF"/>
    <w:rsid w:val="00607E6C"/>
    <w:rsid w:val="006101B1"/>
    <w:rsid w:val="00614E44"/>
    <w:rsid w:val="0062270A"/>
    <w:rsid w:val="00622830"/>
    <w:rsid w:val="00623DA0"/>
    <w:rsid w:val="00627034"/>
    <w:rsid w:val="00630AEF"/>
    <w:rsid w:val="006325F8"/>
    <w:rsid w:val="00633463"/>
    <w:rsid w:val="00634C9A"/>
    <w:rsid w:val="00640B98"/>
    <w:rsid w:val="006440E4"/>
    <w:rsid w:val="0066343B"/>
    <w:rsid w:val="00664777"/>
    <w:rsid w:val="006748A4"/>
    <w:rsid w:val="00681A31"/>
    <w:rsid w:val="00683E73"/>
    <w:rsid w:val="006A3141"/>
    <w:rsid w:val="006A5E34"/>
    <w:rsid w:val="006B2422"/>
    <w:rsid w:val="006B2B9A"/>
    <w:rsid w:val="006C1937"/>
    <w:rsid w:val="006F020C"/>
    <w:rsid w:val="007127B7"/>
    <w:rsid w:val="00716E90"/>
    <w:rsid w:val="0071798E"/>
    <w:rsid w:val="00727533"/>
    <w:rsid w:val="007416B6"/>
    <w:rsid w:val="00746F48"/>
    <w:rsid w:val="0075404D"/>
    <w:rsid w:val="0076182A"/>
    <w:rsid w:val="00767B7E"/>
    <w:rsid w:val="007770C3"/>
    <w:rsid w:val="00782CBA"/>
    <w:rsid w:val="00784D24"/>
    <w:rsid w:val="00785FBA"/>
    <w:rsid w:val="00786E4A"/>
    <w:rsid w:val="00787259"/>
    <w:rsid w:val="007875EB"/>
    <w:rsid w:val="00793E6D"/>
    <w:rsid w:val="0079426B"/>
    <w:rsid w:val="007D1682"/>
    <w:rsid w:val="007D312A"/>
    <w:rsid w:val="007D3F19"/>
    <w:rsid w:val="007E23B0"/>
    <w:rsid w:val="007F1991"/>
    <w:rsid w:val="007F2C2F"/>
    <w:rsid w:val="007F55FC"/>
    <w:rsid w:val="007F5665"/>
    <w:rsid w:val="00800112"/>
    <w:rsid w:val="00813348"/>
    <w:rsid w:val="00821628"/>
    <w:rsid w:val="008253BB"/>
    <w:rsid w:val="00826B35"/>
    <w:rsid w:val="00833962"/>
    <w:rsid w:val="0083706E"/>
    <w:rsid w:val="008408F6"/>
    <w:rsid w:val="008423A5"/>
    <w:rsid w:val="00850625"/>
    <w:rsid w:val="00853718"/>
    <w:rsid w:val="00855221"/>
    <w:rsid w:val="00860645"/>
    <w:rsid w:val="00871F71"/>
    <w:rsid w:val="00872FD8"/>
    <w:rsid w:val="00885AF4"/>
    <w:rsid w:val="008939CD"/>
    <w:rsid w:val="008A7701"/>
    <w:rsid w:val="008B768C"/>
    <w:rsid w:val="008C4DB1"/>
    <w:rsid w:val="008C4EAF"/>
    <w:rsid w:val="008C5176"/>
    <w:rsid w:val="008C7FD0"/>
    <w:rsid w:val="008E1DE7"/>
    <w:rsid w:val="008E707C"/>
    <w:rsid w:val="008F0C32"/>
    <w:rsid w:val="00900B08"/>
    <w:rsid w:val="00902155"/>
    <w:rsid w:val="00902FA3"/>
    <w:rsid w:val="009046E7"/>
    <w:rsid w:val="00913491"/>
    <w:rsid w:val="00923011"/>
    <w:rsid w:val="00923564"/>
    <w:rsid w:val="0092392E"/>
    <w:rsid w:val="009315F9"/>
    <w:rsid w:val="00933499"/>
    <w:rsid w:val="00934B40"/>
    <w:rsid w:val="00935C98"/>
    <w:rsid w:val="00946945"/>
    <w:rsid w:val="009508BD"/>
    <w:rsid w:val="00951248"/>
    <w:rsid w:val="0095152F"/>
    <w:rsid w:val="00954C49"/>
    <w:rsid w:val="00955E37"/>
    <w:rsid w:val="00956442"/>
    <w:rsid w:val="00964A3A"/>
    <w:rsid w:val="0097099F"/>
    <w:rsid w:val="009715CC"/>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5345"/>
    <w:rsid w:val="009F7527"/>
    <w:rsid w:val="00A039ED"/>
    <w:rsid w:val="00A04EB0"/>
    <w:rsid w:val="00A13CC1"/>
    <w:rsid w:val="00A16847"/>
    <w:rsid w:val="00A2111A"/>
    <w:rsid w:val="00A216E9"/>
    <w:rsid w:val="00A237D8"/>
    <w:rsid w:val="00A268C4"/>
    <w:rsid w:val="00A307CD"/>
    <w:rsid w:val="00A331C8"/>
    <w:rsid w:val="00A35117"/>
    <w:rsid w:val="00A36E4A"/>
    <w:rsid w:val="00A40A00"/>
    <w:rsid w:val="00A4142F"/>
    <w:rsid w:val="00A422EB"/>
    <w:rsid w:val="00A45BB7"/>
    <w:rsid w:val="00A56DF2"/>
    <w:rsid w:val="00A56E6E"/>
    <w:rsid w:val="00A67AB5"/>
    <w:rsid w:val="00A733B2"/>
    <w:rsid w:val="00A741C2"/>
    <w:rsid w:val="00A74D80"/>
    <w:rsid w:val="00A91760"/>
    <w:rsid w:val="00A93B00"/>
    <w:rsid w:val="00A93C21"/>
    <w:rsid w:val="00AB64C9"/>
    <w:rsid w:val="00AC3C6A"/>
    <w:rsid w:val="00AD0F83"/>
    <w:rsid w:val="00AD5620"/>
    <w:rsid w:val="00AD656B"/>
    <w:rsid w:val="00AD7C1B"/>
    <w:rsid w:val="00AE16BA"/>
    <w:rsid w:val="00AE1EBE"/>
    <w:rsid w:val="00AF6A06"/>
    <w:rsid w:val="00B03C9D"/>
    <w:rsid w:val="00B060AE"/>
    <w:rsid w:val="00B10517"/>
    <w:rsid w:val="00B14E76"/>
    <w:rsid w:val="00B161B8"/>
    <w:rsid w:val="00B2048C"/>
    <w:rsid w:val="00B20A20"/>
    <w:rsid w:val="00B229AF"/>
    <w:rsid w:val="00B310B9"/>
    <w:rsid w:val="00B35F3F"/>
    <w:rsid w:val="00B36753"/>
    <w:rsid w:val="00B36CBB"/>
    <w:rsid w:val="00B425E0"/>
    <w:rsid w:val="00B440AA"/>
    <w:rsid w:val="00B44B70"/>
    <w:rsid w:val="00B53C56"/>
    <w:rsid w:val="00B57DAF"/>
    <w:rsid w:val="00B77EA6"/>
    <w:rsid w:val="00B81598"/>
    <w:rsid w:val="00B8270B"/>
    <w:rsid w:val="00B841F1"/>
    <w:rsid w:val="00B944D6"/>
    <w:rsid w:val="00B952C4"/>
    <w:rsid w:val="00BA624A"/>
    <w:rsid w:val="00BB0A54"/>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07D4"/>
    <w:rsid w:val="00C533CC"/>
    <w:rsid w:val="00C5751C"/>
    <w:rsid w:val="00C61BFC"/>
    <w:rsid w:val="00C62B85"/>
    <w:rsid w:val="00C65438"/>
    <w:rsid w:val="00C72A80"/>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6134"/>
    <w:rsid w:val="00D51276"/>
    <w:rsid w:val="00D7035F"/>
    <w:rsid w:val="00DA634F"/>
    <w:rsid w:val="00DA65AC"/>
    <w:rsid w:val="00DB1913"/>
    <w:rsid w:val="00DC410D"/>
    <w:rsid w:val="00DC5A81"/>
    <w:rsid w:val="00DC68CA"/>
    <w:rsid w:val="00DC7CBA"/>
    <w:rsid w:val="00DD38BB"/>
    <w:rsid w:val="00DD73B7"/>
    <w:rsid w:val="00DF28BC"/>
    <w:rsid w:val="00DF34B9"/>
    <w:rsid w:val="00E01053"/>
    <w:rsid w:val="00E07ACF"/>
    <w:rsid w:val="00E331A1"/>
    <w:rsid w:val="00E33202"/>
    <w:rsid w:val="00E336A9"/>
    <w:rsid w:val="00E472B1"/>
    <w:rsid w:val="00E50624"/>
    <w:rsid w:val="00E568DF"/>
    <w:rsid w:val="00E64269"/>
    <w:rsid w:val="00E66797"/>
    <w:rsid w:val="00E678C2"/>
    <w:rsid w:val="00E82267"/>
    <w:rsid w:val="00E853CE"/>
    <w:rsid w:val="00E867B6"/>
    <w:rsid w:val="00E87F08"/>
    <w:rsid w:val="00E96F1E"/>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274E5"/>
    <w:rsid w:val="00F36D8F"/>
    <w:rsid w:val="00F417B1"/>
    <w:rsid w:val="00F45853"/>
    <w:rsid w:val="00F602DF"/>
    <w:rsid w:val="00F73B20"/>
    <w:rsid w:val="00F754A1"/>
    <w:rsid w:val="00F81FD9"/>
    <w:rsid w:val="00F841AA"/>
    <w:rsid w:val="00F84A94"/>
    <w:rsid w:val="00F87E96"/>
    <w:rsid w:val="00FA23E8"/>
    <w:rsid w:val="00FB4FF9"/>
    <w:rsid w:val="00FD3CC1"/>
    <w:rsid w:val="00FE047F"/>
    <w:rsid w:val="00FF1E02"/>
    <w:rsid w:val="00FF30B4"/>
    <w:rsid w:val="05117F2B"/>
    <w:rsid w:val="054C2543"/>
    <w:rsid w:val="074E128B"/>
    <w:rsid w:val="0C3923C8"/>
    <w:rsid w:val="0C41302A"/>
    <w:rsid w:val="0D366907"/>
    <w:rsid w:val="0EBC0B6F"/>
    <w:rsid w:val="10C055FF"/>
    <w:rsid w:val="11A958FA"/>
    <w:rsid w:val="126D291D"/>
    <w:rsid w:val="134D0507"/>
    <w:rsid w:val="15033573"/>
    <w:rsid w:val="1663724C"/>
    <w:rsid w:val="16BB723D"/>
    <w:rsid w:val="17BE19D3"/>
    <w:rsid w:val="181810E3"/>
    <w:rsid w:val="183808DB"/>
    <w:rsid w:val="18E461B2"/>
    <w:rsid w:val="1A163D48"/>
    <w:rsid w:val="1B6D7C53"/>
    <w:rsid w:val="1BB05AD7"/>
    <w:rsid w:val="1D1638FE"/>
    <w:rsid w:val="1F014240"/>
    <w:rsid w:val="211A5432"/>
    <w:rsid w:val="21AC58B9"/>
    <w:rsid w:val="221F7512"/>
    <w:rsid w:val="222B5EB7"/>
    <w:rsid w:val="2298179E"/>
    <w:rsid w:val="22C5630B"/>
    <w:rsid w:val="22C72F87"/>
    <w:rsid w:val="240371BF"/>
    <w:rsid w:val="24BE74B6"/>
    <w:rsid w:val="27DC13F0"/>
    <w:rsid w:val="284101E2"/>
    <w:rsid w:val="29A924E3"/>
    <w:rsid w:val="29FD04D3"/>
    <w:rsid w:val="2A68414C"/>
    <w:rsid w:val="2CED26E7"/>
    <w:rsid w:val="2EA17C2D"/>
    <w:rsid w:val="2F8F62D1"/>
    <w:rsid w:val="319F7F4E"/>
    <w:rsid w:val="320A4C3E"/>
    <w:rsid w:val="35A818A1"/>
    <w:rsid w:val="35CA6BBE"/>
    <w:rsid w:val="36024A57"/>
    <w:rsid w:val="36B74B2C"/>
    <w:rsid w:val="372F4662"/>
    <w:rsid w:val="373638E3"/>
    <w:rsid w:val="37A75B88"/>
    <w:rsid w:val="38E066F9"/>
    <w:rsid w:val="39F95ACD"/>
    <w:rsid w:val="3C1B4120"/>
    <w:rsid w:val="400C3435"/>
    <w:rsid w:val="400C6ED0"/>
    <w:rsid w:val="438423EA"/>
    <w:rsid w:val="43A713E9"/>
    <w:rsid w:val="46366A55"/>
    <w:rsid w:val="4653511C"/>
    <w:rsid w:val="47376F28"/>
    <w:rsid w:val="47DA3EE8"/>
    <w:rsid w:val="497A30FC"/>
    <w:rsid w:val="4B2556C2"/>
    <w:rsid w:val="4B725F5C"/>
    <w:rsid w:val="4CE74FBF"/>
    <w:rsid w:val="4EAD6C25"/>
    <w:rsid w:val="4ECE2238"/>
    <w:rsid w:val="4EDB63EB"/>
    <w:rsid w:val="4F5A0CD3"/>
    <w:rsid w:val="4F6860D9"/>
    <w:rsid w:val="4FD858A9"/>
    <w:rsid w:val="51246450"/>
    <w:rsid w:val="52550769"/>
    <w:rsid w:val="535B4EA2"/>
    <w:rsid w:val="553C1B05"/>
    <w:rsid w:val="56A80E28"/>
    <w:rsid w:val="58ED7E39"/>
    <w:rsid w:val="594C6863"/>
    <w:rsid w:val="5B995664"/>
    <w:rsid w:val="5C3435DF"/>
    <w:rsid w:val="5D4D6706"/>
    <w:rsid w:val="5E125D86"/>
    <w:rsid w:val="5EB01642"/>
    <w:rsid w:val="602D6CC3"/>
    <w:rsid w:val="6076331B"/>
    <w:rsid w:val="6184208A"/>
    <w:rsid w:val="61AE115F"/>
    <w:rsid w:val="62891CB7"/>
    <w:rsid w:val="62E978DC"/>
    <w:rsid w:val="647D214B"/>
    <w:rsid w:val="65B21C6C"/>
    <w:rsid w:val="66EB0348"/>
    <w:rsid w:val="674C7F5B"/>
    <w:rsid w:val="6762114B"/>
    <w:rsid w:val="677B0314"/>
    <w:rsid w:val="694E3F32"/>
    <w:rsid w:val="696E7285"/>
    <w:rsid w:val="6A324C64"/>
    <w:rsid w:val="6A4439F1"/>
    <w:rsid w:val="6AAB7162"/>
    <w:rsid w:val="6C9D2ADA"/>
    <w:rsid w:val="6CB57E24"/>
    <w:rsid w:val="6CF713C4"/>
    <w:rsid w:val="6D6248AD"/>
    <w:rsid w:val="6D9B526C"/>
    <w:rsid w:val="6EB365E5"/>
    <w:rsid w:val="70DD1A03"/>
    <w:rsid w:val="71330988"/>
    <w:rsid w:val="72734D90"/>
    <w:rsid w:val="72FC3ECF"/>
    <w:rsid w:val="736F63C6"/>
    <w:rsid w:val="747B71FB"/>
    <w:rsid w:val="747B7BA5"/>
    <w:rsid w:val="753A35BC"/>
    <w:rsid w:val="76053BCA"/>
    <w:rsid w:val="76ED69CE"/>
    <w:rsid w:val="77047A43"/>
    <w:rsid w:val="77C74EAF"/>
    <w:rsid w:val="794B3FEA"/>
    <w:rsid w:val="79AB4269"/>
    <w:rsid w:val="79AD6A52"/>
    <w:rsid w:val="7A2C376D"/>
    <w:rsid w:val="7A410F49"/>
    <w:rsid w:val="7B0A66F5"/>
    <w:rsid w:val="7BCC0CE6"/>
    <w:rsid w:val="7DFE2FAC"/>
    <w:rsid w:val="7F3B065C"/>
    <w:rsid w:val="7FB977D3"/>
    <w:rsid w:val="7FDD1714"/>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next w:val="1"/>
    <w:qFormat/>
    <w:uiPriority w:val="0"/>
    <w:rPr>
      <w:rFonts w:ascii="宋体"/>
      <w:szCs w:val="20"/>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8"/>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paragraph" w:styleId="17">
    <w:name w:val="Title"/>
    <w:basedOn w:val="1"/>
    <w:qFormat/>
    <w:uiPriority w:val="0"/>
    <w:pPr>
      <w:spacing w:before="240" w:after="60"/>
      <w:jc w:val="center"/>
      <w:outlineLvl w:val="0"/>
    </w:pPr>
    <w:rPr>
      <w:rFonts w:ascii="Arial" w:hAnsi="Arial" w:cs="Arial"/>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Normal Indent1"/>
    <w:basedOn w:val="1"/>
    <w:next w:val="1"/>
    <w:qFormat/>
    <w:uiPriority w:val="99"/>
    <w:pPr>
      <w:ind w:firstLine="420" w:firstLineChars="200"/>
    </w:p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3"/>
    <w:qFormat/>
    <w:uiPriority w:val="9"/>
    <w:rPr>
      <w:rFonts w:ascii="Times New Roman" w:hAnsi="Times New Roman"/>
      <w:b/>
      <w:bCs/>
      <w:kern w:val="44"/>
      <w:sz w:val="44"/>
      <w:szCs w:val="44"/>
    </w:rPr>
  </w:style>
  <w:style w:type="character" w:customStyle="1" w:styleId="32">
    <w:name w:val="标题 2 Char"/>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_Style 4"/>
    <w:next w:val="1"/>
    <w:qFormat/>
    <w:uiPriority w:val="0"/>
    <w:pPr>
      <w:ind w:firstLine="200" w:firstLineChars="200"/>
    </w:pPr>
    <w:rPr>
      <w:rFonts w:ascii="Times New Roman" w:hAnsi="Times New Roman" w:eastAsia="楷体_GB2312" w:cs="Times New Roman"/>
      <w:lang w:val="en-US" w:eastAsia="zh-CN" w:bidi="ar-SA"/>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ca9a69dd-5924-4dff-a486-8e799d5889ea</errorID>
      <errorWord>其它事项</errorWord>
      <group>L1_Word</group>
      <groupName>字词问题</groupName>
      <ability>L2_Typo</ability>
      <abilityName>字词错误</abilityName>
      <candidateList>
        <item>其他事项</item>
      </candidateList>
      <explain/>
      <paraID>444907A2</paraID>
      <start>10</start>
      <end>14</end>
      <status>unmodified</status>
      <modifiedWord/>
      <trackRevisions>false</trackRevisions>
    </reviewItem>
    <reviewItem>
      <errorID>d719e5f1-05e3-4671-ac73-0caaf2f26a12</errorID>
      <errorWord>:</errorWord>
      <group>L1_Format</group>
      <groupName>格式问题</groupName>
      <ability>L2_HalfPunc</ability>
      <abilityName>全半角检查</abilityName>
      <candidateList>
        <item>：</item>
      </candidateList>
      <explain>文本全半角错误。</explain>
      <paraID>446BDE69</paraID>
      <start>34</start>
      <end>35</end>
      <status>modified</status>
      <modifiedWord>：</modifiedWord>
      <trackRevisions>false</trackRevisions>
    </reviewItem>
    <reviewItem>
      <errorID>46c5ffcf-bf15-4df5-8ac9-6dc399d1446b</errorID>
      <errorWord>,</errorWord>
      <group>L1_Format</group>
      <groupName>格式问题</groupName>
      <ability>L2_HalfPunc</ability>
      <abilityName>全半角检查</abilityName>
      <candidateList>
        <item>，</item>
      </candidateList>
      <explain>文本全半角错误。</explain>
      <paraID>446BDE69</paraID>
      <start>158</start>
      <end>159</end>
      <status>modified</status>
      <modifiedWord>，</modifiedWord>
      <trackRevisions>false</trackRevisions>
    </reviewItem>
    <reviewItem>
      <errorID>f1a80bee-9a4b-4705-94ff-cb28eb0c753a</errorID>
      <errorWord>)</errorWord>
      <group>L1_Format</group>
      <groupName>格式问题</groupName>
      <ability>L2_HalfPunc</ability>
      <abilityName>全半角检查</abilityName>
      <candidateList>
        <item>）</item>
      </candidateList>
      <explain>文本全半角错误。</explain>
      <paraID>  9AC554</paraID>
      <start>12</start>
      <end>13</end>
      <status>unmodified</status>
      <modifiedWord/>
      <trackRevisions>false</trackRevisions>
    </reviewItem>
    <reviewItem>
      <errorID>4eb5a564-c16b-4a2f-89c5-f82548776a3d</errorID>
      <errorWord>)</errorWord>
      <group>L1_Format</group>
      <groupName>格式问题</groupName>
      <ability>L2_HalfPunc</ability>
      <abilityName>全半角检查</abilityName>
      <candidateList>
        <item>）</item>
      </candidateList>
      <explain>文本全半角错误。</explain>
      <paraID>6320A4FA</paraID>
      <start>11</start>
      <end>12</end>
      <status>unmodified</status>
      <modifiedWord/>
      <trackRevisions>false</trackRevisions>
    </reviewItem>
    <reviewItem>
      <errorID>a68694e8-aea5-4433-ba86-b663bd12a3ad</errorID>
      <errorWord>)</errorWord>
      <group>L1_Format</group>
      <groupName>格式问题</groupName>
      <ability>L2_HalfPunc</ability>
      <abilityName>全半角检查</abilityName>
      <candidateList>
        <item>）</item>
      </candidateList>
      <explain>文本全半角错误。</explain>
      <paraID> 8740C2A</paraID>
      <start>12</start>
      <end>13</end>
      <status>unmodified</status>
      <modifiedWord/>
      <trackRevisions>false</trackRevisions>
    </reviewItem>
    <reviewItem>
      <errorID>68d276ac-8176-415e-9d94-a31bc5be3ebe</errorID>
      <errorWord>经</errorWord>
      <group>L1_Word</group>
      <groupName>字词问题</groupName>
      <ability>L2_Typo</ability>
      <abilityName>字词错误</abilityName>
      <candidateList>
        <item>经费</item>
      </candidateList>
      <explain/>
      <paraID>1F3022F4</paraID>
      <start>4</start>
      <end>6</end>
      <status>modified</status>
      <modifiedWord>经费</modifiedWord>
      <trackRevisions>false</trackRevisions>
    </reviewItem>
    <reviewItem>
      <errorID>c8752b82-b920-4bb6-8f6f-74c57734b534</errorID>
      <errorWord>,</errorWord>
      <group>L1_Format</group>
      <groupName>格式问题</groupName>
      <ability>L2_HalfPunc</ability>
      <abilityName>全半角检查</abilityName>
      <candidateList>
        <item>，</item>
      </candidateList>
      <explain>文本全半角错误。</explain>
      <paraID>159C35EE</paraID>
      <start>22</start>
      <end>23</end>
      <status>modified</status>
      <modifiedWord>，</modifiedWord>
      <trackRevisions>false</trackRevisions>
    </reviewItem>
    <reviewItem>
      <errorID>3049e25b-7c67-47f7-b988-0e0286c8f7d6</errorID>
      <errorWord>接待接待</errorWord>
      <group>L1_Word</group>
      <groupName>字词问题</groupName>
      <ability>L2_Typo</ability>
      <abilityName>字词错误</abilityName>
      <candidateList>
        <item>接待</item>
      </candidateList>
      <explain/>
      <paraID>1281D172</paraID>
      <start>30</start>
      <end>32</end>
      <status>modified</status>
      <modifiedWord>接待</modifiedWord>
      <trackRevisions>false</trackRevisions>
    </reviewItem>
    <reviewItem>
      <errorID>e8ec773d-4d8b-4dc4-bb97-aa4b4ce785c2</errorID>
      <errorWord>餐费</errorWord>
      <group>L1_Word</group>
      <groupName>字词问题</groupName>
      <ability>L2_Typo</ability>
      <abilityName>字词错误</abilityName>
      <candidateList>
        <item>费</item>
      </candidateList>
      <explain/>
      <paraID>1281D172</paraID>
      <start>165</start>
      <end>167</end>
      <status>unmodified</status>
      <modifiedWord/>
      <trackRevisions>false</trackRevisions>
    </reviewItem>
    <reviewItem>
      <errorID>fb54fd83-32b9-4ac7-ad19-20ddee7cfe87</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3E50A74A</paraID>
      <start>79</start>
      <end>81</end>
      <status>modified</status>
      <modifiedWord>主要</modifiedWord>
      <trackRevisions>false</trackRevisions>
    </reviewItem>
    <reviewItem>
      <errorID>071bda05-4e86-4c42-ba85-10a2dcc4b22c</errorID>
      <errorWord>缴</errorWord>
      <group>L1_Word</group>
      <groupName>字词问题</groupName>
      <ability>L2_Typo</ability>
      <abilityName>字词错误</abilityName>
      <candidateList>
        <item>缴费</item>
      </candidateList>
      <explain/>
      <paraID> CEAD91D</paraID>
      <start>49</start>
      <end>51</end>
      <status>modified</status>
      <modifiedWord>缴费</modifiedWord>
      <trackRevisions>false</trackRevisions>
    </reviewItem>
    <reviewItem>
      <errorID>aadee60f-dcfd-4b4f-8bf6-16ce2688af1f</errorID>
      <errorWord>:</errorWord>
      <group>L1_Format</group>
      <groupName>格式问题</groupName>
      <ability>L2_HalfPunc</ability>
      <abilityName>全半角检查</abilityName>
      <candidateList>
        <item>：</item>
      </candidateList>
      <explain>文本全半角错误。</explain>
      <paraID>5C645E60</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c11cc1ea-4f0e-4bf6-b2c0-7770c905cb85}">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20</Pages>
  <Words>5689</Words>
  <Characters>6499</Characters>
  <Lines>91</Lines>
  <Paragraphs>25</Paragraphs>
  <TotalTime>1</TotalTime>
  <ScaleCrop>false</ScaleCrop>
  <LinksUpToDate>false</LinksUpToDate>
  <CharactersWithSpaces>6513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2021-10-15T02:35:00Z</dcterms:created>
  <dc:creator>曹颖</dc:creator>
  <cp:lastModifiedBy>MR沈</cp:lastModifiedBy>
  <cp:lastPrinted>2020-07-23T02:58:00Z</cp:lastPrinted>
  <dcterms:modified xsi:type="dcterms:W3CDTF">2025-12-08T03:35:01Z</dcterms:modified>
  <dc:title>四川省***</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B00D5756326E47E785BBF7C8E2B9C41B_13</vt:lpwstr>
  </property>
  <property fmtid="{D5CDD505-2E9C-101B-9397-08002B2CF9AE}" pid="4" name="KSOTemplateDocerSaveRecord">
    <vt:lpwstr>eyJoZGlkIjoiY2MzYjM4YjcwMjM3Mjc0N2I0ZmQ2MDI1MmRmYWU3ZWQiLCJ1c2VySWQiOiIzMDE0NzY2NDcifQ==</vt:lpwstr>
  </property>
</Properties>
</file>