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8441"/>
      <w:bookmarkStart w:id="1" w:name="_Toc15377425"/>
      <w:bookmarkStart w:id="2" w:name="_Toc15306267"/>
      <w:bookmarkStart w:id="3" w:name="_Toc15396475"/>
      <w:bookmarkStart w:id="4" w:name="_Toc15396597"/>
      <w:bookmarkStart w:id="5" w:name="_Toc15377193"/>
    </w:p>
    <w:bookmarkEnd w:id="0"/>
    <w:bookmarkEnd w:id="1"/>
    <w:bookmarkEnd w:id="2"/>
    <w:bookmarkEnd w:id="3"/>
    <w:bookmarkEnd w:id="4"/>
    <w:bookmarkEnd w:id="5"/>
    <w:p>
      <w:pPr>
        <w:pStyle w:val="6"/>
        <w:jc w:val="both"/>
        <w:rPr>
          <w:rFonts w:hint="eastAsia" w:ascii="方正小标宋简体" w:hAnsi="宋体" w:eastAsia="方正小标宋简体" w:cs="Times New Roman"/>
          <w:color w:val="auto"/>
          <w:kern w:val="2"/>
          <w:sz w:val="44"/>
          <w:szCs w:val="44"/>
          <w:highlight w:val="none"/>
          <w:lang w:val="en-US" w:eastAsia="zh-CN" w:bidi="ar-SA"/>
        </w:rPr>
      </w:pP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7426"/>
      <w:bookmarkStart w:id="7" w:name="_Toc15396476"/>
      <w:bookmarkStart w:id="8" w:name="_Toc15377194"/>
      <w:bookmarkStart w:id="9" w:name="_Toc15396598"/>
      <w:bookmarkStart w:id="10" w:name="_Toc15378442"/>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峨眉山市</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残疾人联合会</w:t>
      </w: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rPr>
          <w:rFonts w:hint="eastAsia"/>
          <w:lang w:val="en-US" w:eastAsia="zh-CN"/>
        </w:rPr>
      </w:pPr>
    </w:p>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8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sz w:val="32"/>
          <w:szCs w:val="32"/>
        </w:rPr>
        <w:tab/>
      </w:r>
      <w:r>
        <w:rPr>
          <w:rFonts w:hint="eastAsia"/>
          <w:sz w:val="32"/>
          <w:szCs w:val="32"/>
          <w:lang w:val="en-US" w:eastAsia="zh-CN"/>
        </w:rPr>
        <w:t>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......................................................................1</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.......8</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................8</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.........................................10</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仿宋_GB2312" w:cs="仿宋_GB2312"/>
          <w:color w:val="auto"/>
          <w:kern w:val="2"/>
          <w:sz w:val="32"/>
          <w:szCs w:val="32"/>
          <w:highlight w:val="none"/>
          <w:lang w:val="en-US" w:eastAsia="zh-CN" w:bidi="ar-SA"/>
        </w:rPr>
        <w:t>.................................................................12</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15</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仿宋_GB2312" w:cs="仿宋_GB2312"/>
          <w:color w:val="auto"/>
          <w:kern w:val="2"/>
          <w:sz w:val="32"/>
          <w:szCs w:val="32"/>
          <w:highlight w:val="none"/>
          <w:lang w:val="en-US" w:eastAsia="zh-CN" w:bidi="ar-SA"/>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....................50</w:t>
      </w:r>
      <w:bookmarkStart w:id="70" w:name="_GoBack"/>
      <w:bookmarkEnd w:id="70"/>
    </w:p>
    <w:p>
      <w:pPr>
        <w:pStyle w:val="2"/>
        <w:rPr>
          <w:rFonts w:hint="eastAsia" w:ascii="Times New Roman" w:hAnsi="Times New Roman" w:eastAsia="仿宋_GB2312" w:cs="仿宋_GB2312"/>
          <w:b/>
          <w:color w:val="auto"/>
          <w:sz w:val="32"/>
          <w:szCs w:val="32"/>
          <w:highlight w:val="none"/>
        </w:rPr>
        <w:sectPr>
          <w:footerReference r:id="rId5" w:type="default"/>
          <w:pgSz w:w="11906" w:h="16838"/>
          <w:pgMar w:top="1440" w:right="1800" w:bottom="1440" w:left="1800" w:header="851" w:footer="992" w:gutter="0"/>
          <w:pgNumType w:fmt="numberInDash" w:start="1"/>
          <w:cols w:space="425" w:num="1"/>
          <w:docGrid w:type="lines" w:linePitch="312" w:charSpace="0"/>
        </w:sectPr>
      </w:pPr>
      <w:bookmarkStart w:id="12" w:name="_Toc15396599"/>
      <w:bookmarkStart w:id="13" w:name="_Toc15377196"/>
    </w:p>
    <w:p>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pPr>
        <w:pStyle w:val="4"/>
        <w:keepNext/>
        <w:keepLines/>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imes New Roman" w:hAnsi="Times New Roman" w:eastAsia="黑体"/>
          <w:b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pPr>
        <w:pStyle w:val="4"/>
        <w:keepNext/>
        <w:keepLines/>
        <w:pageBreakBefore w:val="0"/>
        <w:widowControl w:val="0"/>
        <w:kinsoku/>
        <w:wordWrap/>
        <w:overflowPunct/>
        <w:topLinePunct w:val="0"/>
        <w:autoSpaceDE/>
        <w:autoSpaceDN/>
        <w:bidi w:val="0"/>
        <w:adjustRightInd/>
        <w:snapToGrid/>
        <w:spacing w:line="600" w:lineRule="exact"/>
        <w:ind w:left="283" w:right="225" w:rightChars="107" w:firstLine="640" w:firstLineChars="200"/>
        <w:textAlignment w:val="auto"/>
      </w:pPr>
      <w:bookmarkStart w:id="16" w:name="_Toc15377200"/>
      <w:bookmarkStart w:id="17" w:name="_Toc15396601"/>
      <w:r>
        <w:rPr>
          <w:rFonts w:hint="eastAsia" w:ascii="仿宋_GB2312" w:hAnsi="仿宋" w:eastAsia="仿宋_GB2312" w:cs="Times New Roman"/>
          <w:b w:val="0"/>
          <w:bCs w:val="0"/>
          <w:color w:val="000000"/>
          <w:shd w:val="clear" w:color="auto" w:fill="FFFFFF"/>
        </w:rPr>
        <w:t>峨眉山市残疾人联合会主要职能是代表、服务、管理三种职能：代表广大残疾人的共同利益，维护残疾人的合法权益；团结教育残疾人，为残疾人服务，履行法律赋予的职责；承担政府委托的任务，管理和发展残疾人事业。工作重点是：坚持以服务残疾人为宗旨，以“量体裁衣”式个性化服务为抓手，全面提升“基础量服”，全面普及“智慧量服”，全面实施“开发量服”和“机构量服”为突破点，着力提升“量服”四个精准深入，不断健全残疾人社会保障体系和服务体系，以扶贫解围民生工程为重点，积极推进残疾人“两个体系”建设，切实改善残疾人生活状况，促进我市残疾人事业与经济社会协调发展。</w:t>
      </w:r>
    </w:p>
    <w:p>
      <w:pPr>
        <w:pStyle w:val="4"/>
        <w:keepNext/>
        <w:keepLines/>
        <w:pageBreakBefore w:val="0"/>
        <w:widowControl w:val="0"/>
        <w:kinsoku/>
        <w:wordWrap/>
        <w:overflowPunct/>
        <w:topLinePunct w:val="0"/>
        <w:autoSpaceDE/>
        <w:autoSpaceDN/>
        <w:bidi w:val="0"/>
        <w:adjustRightInd/>
        <w:snapToGrid/>
        <w:spacing w:line="600" w:lineRule="exact"/>
        <w:ind w:firstLine="960" w:firstLineChars="300"/>
        <w:textAlignment w:val="auto"/>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p>
    <w:p>
      <w:pPr>
        <w:pStyle w:val="4"/>
        <w:keepNext/>
        <w:keepLines/>
        <w:pageBreakBefore w:val="0"/>
        <w:widowControl w:val="0"/>
        <w:kinsoku/>
        <w:wordWrap/>
        <w:overflowPunct/>
        <w:topLinePunct w:val="0"/>
        <w:autoSpaceDE/>
        <w:autoSpaceDN/>
        <w:bidi w:val="0"/>
        <w:adjustRightInd/>
        <w:snapToGrid/>
        <w:spacing w:line="600" w:lineRule="exact"/>
        <w:ind w:left="283" w:right="225" w:rightChars="107" w:firstLine="640" w:firstLineChars="200"/>
        <w:textAlignment w:val="auto"/>
        <w:rPr>
          <w:rFonts w:hint="eastAsia" w:ascii="仿宋_GB2312" w:hAnsi="仿宋" w:eastAsia="仿宋_GB2312" w:cs="Times New Roman"/>
          <w:b w:val="0"/>
          <w:bCs w:val="0"/>
          <w:color w:val="000000"/>
          <w:shd w:val="clear" w:color="auto" w:fill="FFFFFF"/>
        </w:rPr>
      </w:pPr>
      <w:bookmarkStart w:id="18" w:name="_Toc15377204"/>
      <w:bookmarkStart w:id="19" w:name="_Toc15396602"/>
      <w:r>
        <w:rPr>
          <w:rFonts w:hint="eastAsia" w:ascii="仿宋_GB2312" w:hAnsi="仿宋" w:eastAsia="仿宋_GB2312" w:cs="Times New Roman"/>
          <w:b w:val="0"/>
          <w:bCs w:val="0"/>
          <w:color w:val="000000"/>
          <w:shd w:val="clear" w:color="auto" w:fill="FFFFFF"/>
        </w:rPr>
        <w:t>峨眉山市残疾人联合会下属二级预算单位1个，其中行政单位0个，参照公务员法管理的事业单位1个，其他事业单位0个。</w:t>
      </w:r>
    </w:p>
    <w:p>
      <w:pPr>
        <w:pStyle w:val="4"/>
        <w:keepNext/>
        <w:keepLines/>
        <w:pageBreakBefore w:val="0"/>
        <w:widowControl w:val="0"/>
        <w:kinsoku/>
        <w:wordWrap/>
        <w:overflowPunct/>
        <w:topLinePunct w:val="0"/>
        <w:autoSpaceDE/>
        <w:autoSpaceDN/>
        <w:bidi w:val="0"/>
        <w:adjustRightInd/>
        <w:snapToGrid/>
        <w:spacing w:line="600" w:lineRule="exact"/>
        <w:ind w:left="283" w:right="225" w:rightChars="107" w:firstLine="640" w:firstLineChars="200"/>
        <w:textAlignment w:val="auto"/>
        <w:rPr>
          <w:rFonts w:hint="eastAsia" w:ascii="仿宋_GB2312" w:hAnsi="仿宋" w:eastAsia="仿宋_GB2312" w:cs="Times New Roman"/>
          <w:b w:val="0"/>
          <w:bCs w:val="0"/>
          <w:color w:val="000000"/>
          <w:shd w:val="clear" w:color="auto" w:fill="FFFFFF"/>
        </w:rPr>
      </w:pPr>
      <w:r>
        <w:rPr>
          <w:rFonts w:hint="eastAsia" w:ascii="仿宋_GB2312" w:hAnsi="仿宋" w:eastAsia="仿宋_GB2312" w:cs="Times New Roman"/>
          <w:b w:val="0"/>
          <w:bCs w:val="0"/>
          <w:color w:val="000000"/>
          <w:shd w:val="clear" w:color="auto" w:fill="FFFFFF"/>
        </w:rPr>
        <w:t>纳入峨眉山市残疾人联合会202</w:t>
      </w:r>
      <w:r>
        <w:rPr>
          <w:rFonts w:hint="eastAsia" w:ascii="仿宋_GB2312" w:hAnsi="仿宋" w:eastAsia="仿宋_GB2312" w:cs="Times New Roman"/>
          <w:b w:val="0"/>
          <w:bCs w:val="0"/>
          <w:color w:val="000000"/>
          <w:shd w:val="clear" w:color="auto" w:fill="FFFFFF"/>
          <w:lang w:val="en-US" w:eastAsia="zh-CN"/>
        </w:rPr>
        <w:t>4</w:t>
      </w:r>
      <w:r>
        <w:rPr>
          <w:rFonts w:hint="eastAsia" w:ascii="仿宋_GB2312" w:hAnsi="仿宋" w:eastAsia="仿宋_GB2312" w:cs="Times New Roman"/>
          <w:b w:val="0"/>
          <w:bCs w:val="0"/>
          <w:color w:val="000000"/>
          <w:shd w:val="clear" w:color="auto" w:fill="FFFFFF"/>
        </w:rPr>
        <w:t>年度部门决算编制范围的二级预算单位包括：无</w:t>
      </w:r>
    </w:p>
    <w:p>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993.87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184.77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18.59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项目减少，收支减少。</w:t>
      </w:r>
    </w:p>
    <w:p>
      <w:pPr>
        <w:pStyle w:val="2"/>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990.77</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798.4</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96.01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192.37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3.84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p>
    <w:p>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1120" w:firstLineChars="3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p>
    <w:p>
      <w:pPr>
        <w:spacing w:line="240" w:lineRule="auto"/>
        <w:ind w:firstLine="640" w:firstLineChars="20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990.77</w:t>
      </w:r>
      <w:r>
        <w:rPr>
          <w:rFonts w:hint="eastAsia" w:ascii="仿宋_GB2312" w:hAnsi="仿宋_GB2312"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214.48</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36.65</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776.30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63.35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6"/>
      <w:bookmarkEnd w:id="27"/>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993.87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184.77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18.59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项目减少，资金减少。</w:t>
      </w:r>
    </w:p>
    <w:p>
      <w:pPr>
        <w:pStyle w:val="8"/>
        <w:rPr>
          <w:rFonts w:hint="eastAsia"/>
          <w:lang w:val="en-US" w:eastAsia="zh-CN"/>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firstLineChars="200"/>
        <w:outlineLvl w:val="1"/>
        <w:rPr>
          <w:rStyle w:val="29"/>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2024年度一般公共预算财政拨款支出798.40万元，占本年支出合计的80.32%。与2023年度相比，一般公共预算财政拨款支出减少377.14万元，下降32.08%。主要变动原因是项目减少，资金减少。</w:t>
      </w:r>
    </w:p>
    <w:p>
      <w:pPr>
        <w:pStyle w:val="2"/>
        <w:rPr>
          <w:rFonts w:hint="eastAsia"/>
          <w:lang w:val="en-US" w:eastAsia="zh-CN"/>
        </w:rPr>
      </w:pPr>
      <w:r>
        <w:drawing>
          <wp:inline distT="0" distB="0" distL="114300" distR="114300">
            <wp:extent cx="4771390" cy="3190875"/>
            <wp:effectExtent l="4445" t="5080" r="5715" b="444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24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240" w:lineRule="auto"/>
        <w:ind w:firstLine="640" w:firstLineChars="200"/>
        <w:rPr>
          <w:rFonts w:hint="eastAsia" w:ascii="仿宋" w:hAnsi="仿宋" w:eastAsia="仿宋" w:cs="Times New Roman"/>
          <w:b/>
          <w:color w:val="auto"/>
          <w:sz w:val="28"/>
          <w:szCs w:val="28"/>
          <w:highlight w:val="yellow"/>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798.40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776.02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97.2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lang w:val="en-US" w:eastAsia="zh-CN"/>
        </w:rPr>
      </w:pPr>
      <w:r>
        <w:drawing>
          <wp:inline distT="0" distB="0" distL="114300" distR="114300">
            <wp:extent cx="4572000" cy="2743200"/>
            <wp:effectExtent l="12700" t="12700" r="25400" b="2540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yellow"/>
          <w:lang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8460"/>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798.4</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1．社会保障和就业（类）行政事业单位养老（款）机关事业单位基本养老保险缴费支出（项）: 支出决算为16.74万元，完成预算100%，决算数与预算数持平。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2．社会保障和就业（类）行政事业单位养老（款）机关事业单位职业年金缴费支出（项）: 支出决算为9.59万元，完成预算100%，决算数与预算数持平。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3．社会保障和就业（类）残疾人事业（款）行政运行（项）: 支出决算为102.44万元，完成预算100%，决算数与预算数持平。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4．社会保障和就业（类）残疾人事业（款）残疾人康复（项）: 支出决算为68.20万元，完成预算100%，决算数与预算数持平。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5．社会保障和就业（类）残疾人事业（款）残疾人就业（项）: 支出决算为128.44万元，完成预算100%，决算数与预算数持平。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社会保障和就业（类）残疾人事业（款）残疾人生活和护理补贴（项）: 支出决算为6.10万元，完成预算100%，决算数与预算数持平。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.社会保障和就业（类）残疾人事业（款）其他残疾人事业支出（项）: 支出决算为442.6万元，完成预算100%，决算数与预算数持平。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 支出决算为1.91万元，完成预算100%，决算数与预算数持平。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．卫生健康（类）行政事业单位医疗（款）行政单位医疗（项）:支出决算为4.16万元，完成预算100%，决算数与预算数持平。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卫生健康（类）行政事业单位医疗（款）事业单位医疗（项）:支出决算为2.23万元，完成预算100%，决算数与预算数持平。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卫生健康（类）行政事业单位医疗（款）公务员医疗补助（项）:支出决算为1.87万元，完成预算100%，决算数与预算数持平。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.住房保障支出（类）住房改革支出（款）住房公积金（项）:支出决算为14.12万元，完成预算100%，决算数与预算数持平。</w:t>
      </w:r>
    </w:p>
    <w:p>
      <w:pPr>
        <w:tabs>
          <w:tab w:val="right" w:pos="8306"/>
        </w:tabs>
        <w:spacing w:line="600" w:lineRule="exact"/>
        <w:ind w:firstLine="640"/>
        <w:outlineLvl w:val="1"/>
        <w:rPr>
          <w:rStyle w:val="29"/>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6"/>
      <w:bookmarkEnd w:id="37"/>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798.40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default"/>
          <w:lang w:val="en-US" w:eastAsia="zh-CN"/>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178.49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35.98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元，主要包括：办公费、水费、电费、邮电费、差旅费、、劳务费、委托业务费、工会经费、公务用车运行维护费、其他交通费、其他商品和服务支出等。</w:t>
      </w:r>
    </w:p>
    <w:p>
      <w:pPr>
        <w:pStyle w:val="14"/>
        <w:rPr>
          <w:rFonts w:hint="eastAsia"/>
          <w:lang w:val="en-US" w:eastAsia="zh-CN"/>
        </w:rPr>
      </w:pPr>
    </w:p>
    <w:p>
      <w:pPr>
        <w:spacing w:line="600" w:lineRule="exact"/>
        <w:ind w:firstLine="640"/>
        <w:outlineLvl w:val="1"/>
        <w:rPr>
          <w:rStyle w:val="29"/>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2.88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 w:hAnsi="仿宋" w:eastAsia="仿宋" w:cs="Times New Roman"/>
          <w:b/>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1.74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车辆老化维修成本增加、油费上涨等。</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2024年度“三公”经费财政拨款支出决算中，公务用车购置及运行维护费支出决算</w:t>
      </w:r>
      <w:r>
        <w:rPr>
          <w:rFonts w:hint="eastAsia" w:eastAsia="仿宋_GB2312" w:cs="仿宋_GB2312"/>
          <w:color w:val="auto"/>
          <w:sz w:val="32"/>
          <w:szCs w:val="32"/>
          <w:highlight w:val="none"/>
          <w:lang w:val="en-US" w:eastAsia="zh-CN"/>
        </w:rPr>
        <w:t>2.88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2"/>
        <w:rPr>
          <w:rFonts w:hint="eastAsia"/>
          <w:lang w:val="en-US" w:eastAsia="zh-CN"/>
        </w:rPr>
      </w:pPr>
      <w:r>
        <w:drawing>
          <wp:inline distT="0" distB="0" distL="114300" distR="114300">
            <wp:extent cx="4638675" cy="2914650"/>
            <wp:effectExtent l="4445" t="4445" r="508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numPr>
          <w:ilvl w:val="0"/>
          <w:numId w:val="0"/>
        </w:numPr>
        <w:spacing w:line="600" w:lineRule="exact"/>
        <w:ind w:firstLine="643" w:firstLineChars="200"/>
        <w:rPr>
          <w:rFonts w:hint="eastAsia" w:ascii="仿宋_GB2312" w:eastAsia="仿宋_GB2312"/>
          <w:sz w:val="32"/>
          <w:szCs w:val="32"/>
          <w:lang w:val="en-US" w:eastAsia="zh-CN"/>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lang w:val="en-US" w:eastAsia="zh-CN"/>
        </w:rPr>
        <w:t>全年安排因公出国（境）团组</w:t>
      </w:r>
      <w:r>
        <w:rPr>
          <w:rFonts w:hint="eastAsia" w:ascii="仿宋_GB2312" w:eastAsia="仿宋_GB2312"/>
          <w:sz w:val="32"/>
          <w:szCs w:val="32"/>
        </w:rPr>
        <w:t>0</w:t>
      </w:r>
      <w:r>
        <w:rPr>
          <w:rFonts w:hint="eastAsia" w:ascii="仿宋_GB2312" w:eastAsia="仿宋_GB2312"/>
          <w:sz w:val="32"/>
          <w:szCs w:val="32"/>
          <w:lang w:val="en-US" w:eastAsia="zh-CN"/>
        </w:rPr>
        <w:t>次，出国（境）</w:t>
      </w:r>
      <w:r>
        <w:rPr>
          <w:rFonts w:hint="eastAsia" w:ascii="仿宋_GB2312" w:eastAsia="仿宋_GB2312"/>
          <w:sz w:val="32"/>
          <w:szCs w:val="32"/>
        </w:rPr>
        <w:t>0</w:t>
      </w:r>
      <w:r>
        <w:rPr>
          <w:rFonts w:hint="eastAsia" w:ascii="仿宋_GB2312" w:eastAsia="仿宋_GB2312"/>
          <w:sz w:val="32"/>
          <w:szCs w:val="32"/>
          <w:lang w:val="en-US" w:eastAsia="zh-CN"/>
        </w:rPr>
        <w:t>人。</w:t>
      </w:r>
      <w:r>
        <w:rPr>
          <w:rFonts w:hint="eastAsia" w:ascii="仿宋_GB2312" w:eastAsia="仿宋_GB2312"/>
          <w:sz w:val="32"/>
          <w:szCs w:val="32"/>
        </w:rPr>
        <w:t>本年无此项业务发生。</w:t>
      </w:r>
    </w:p>
    <w:p>
      <w:pPr>
        <w:spacing w:line="600" w:lineRule="exact"/>
        <w:ind w:firstLine="640"/>
        <w:rPr>
          <w:rFonts w:ascii="仿宋_GB2312" w:eastAsia="仿宋_GB2312"/>
          <w:b/>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2.88</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增加0.05</w:t>
      </w:r>
      <w:r>
        <w:rPr>
          <w:rFonts w:hint="eastAsia" w:ascii="仿宋_GB2312" w:eastAsia="仿宋_GB2312"/>
          <w:sz w:val="32"/>
          <w:szCs w:val="32"/>
        </w:rPr>
        <w:t>万元，</w:t>
      </w:r>
      <w:r>
        <w:rPr>
          <w:rFonts w:hint="eastAsia" w:ascii="仿宋_GB2312" w:eastAsia="仿宋_GB2312"/>
          <w:sz w:val="32"/>
          <w:szCs w:val="32"/>
          <w:lang w:val="en-US" w:eastAsia="zh-CN"/>
        </w:rPr>
        <w:t>增加17.36</w:t>
      </w:r>
      <w:r>
        <w:rPr>
          <w:rFonts w:ascii="仿宋_GB2312" w:eastAsia="仿宋_GB2312"/>
          <w:sz w:val="32"/>
          <w:szCs w:val="32"/>
        </w:rPr>
        <w:t>%</w:t>
      </w:r>
      <w:r>
        <w:rPr>
          <w:rFonts w:hint="eastAsia" w:ascii="仿宋_GB2312" w:eastAsia="仿宋_GB2312"/>
          <w:sz w:val="32"/>
          <w:szCs w:val="32"/>
        </w:rPr>
        <w:t>。主要原因是本年公车维修费</w:t>
      </w:r>
      <w:r>
        <w:rPr>
          <w:rFonts w:hint="eastAsia" w:ascii="仿宋_GB2312" w:eastAsia="仿宋_GB2312"/>
          <w:sz w:val="32"/>
          <w:szCs w:val="32"/>
          <w:lang w:val="en-US" w:eastAsia="zh-CN"/>
        </w:rPr>
        <w:t>增加</w:t>
      </w:r>
      <w:r>
        <w:rPr>
          <w:rFonts w:hint="eastAsia" w:ascii="仿宋_GB2312" w:eastAsia="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2.88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入户走访残疾人等所需的公务用车燃料费、维修费、过路过桥费、保险费等支出。</w:t>
      </w:r>
    </w:p>
    <w:p>
      <w:pPr>
        <w:numPr>
          <w:ilvl w:val="0"/>
          <w:numId w:val="0"/>
        </w:numPr>
        <w:spacing w:line="600" w:lineRule="exact"/>
        <w:ind w:firstLine="643" w:firstLineChars="200"/>
        <w:rPr>
          <w:rFonts w:hint="eastAsia" w:ascii="仿宋_GB2312" w:eastAsia="仿宋_GB2312"/>
          <w:sz w:val="32"/>
          <w:szCs w:val="32"/>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本年无此项业务发生。</w:t>
      </w:r>
    </w:p>
    <w:p>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批次，0人次（不包括陪同人员），共计支出0万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29"/>
          <w:rFonts w:ascii="Times New Roman" w:hAnsi="Times New Roman" w:eastAsia="黑体"/>
          <w:color w:val="auto"/>
          <w:highlight w:val="none"/>
        </w:rPr>
      </w:pPr>
      <w:bookmarkStart w:id="42" w:name="_Toc15396610"/>
      <w:bookmarkStart w:id="43"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192.37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19.36</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51.51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21.12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项目减少，政府基金减少。</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4" w:name="_Toc15396611"/>
      <w:bookmarkStart w:id="45"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 w:hAnsi="仿宋" w:eastAsia="仿宋" w:cs="Times New Roman"/>
          <w:b/>
          <w:color w:val="auto"/>
          <w:sz w:val="32"/>
          <w:szCs w:val="32"/>
          <w:highlight w:val="none"/>
          <w:lang w:val="en-US" w:eastAsia="zh-CN"/>
        </w:rPr>
        <w:t>0</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6" w:name="_Toc15377221"/>
      <w:bookmarkStart w:id="47"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35.98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4.46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13.71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人员增加，费用增加。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146.76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146.76</w:t>
      </w:r>
      <w:r>
        <w:rPr>
          <w:rFonts w:hint="eastAsia" w:ascii="仿宋_GB2312" w:hAnsi="仿宋_GB2312" w:eastAsia="仿宋_GB2312" w:cs="仿宋_GB2312"/>
          <w:color w:val="auto"/>
          <w:kern w:val="2"/>
          <w:sz w:val="32"/>
          <w:szCs w:val="32"/>
          <w:highlight w:val="none"/>
          <w:lang w:val="en-US" w:eastAsia="zh-CN" w:bidi="ar-SA"/>
        </w:rPr>
        <w:t>万元。主要用于公务用车保险、燃油、维修、扶持农村残疾人发展生产仔猪、饲料和残疾人意外保险等。</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，我会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扶持农村残疾人发展生产</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ascii="仿宋_GB2312" w:hAnsi="仿宋_GB2312" w:eastAsia="仿宋_GB2312" w:cs="仿宋_GB2312"/>
          <w:b w:val="0"/>
          <w:bCs w:val="0"/>
          <w:color w:val="000000"/>
          <w:sz w:val="31"/>
          <w:szCs w:val="31"/>
        </w:rPr>
        <w:t xml:space="preserve">组织对 </w:t>
      </w:r>
      <w:r>
        <w:rPr>
          <w:rFonts w:ascii="TimesNewRomanPSMT" w:hAnsi="TimesNewRomanPSMT" w:eastAsia="TimesNewRomanPSMT" w:cs="TimesNewRomanPSMT"/>
          <w:b w:val="0"/>
          <w:bCs w:val="0"/>
          <w:color w:val="000000"/>
          <w:sz w:val="31"/>
          <w:szCs w:val="31"/>
        </w:rPr>
        <w:t>2024</w:t>
      </w:r>
      <w:r>
        <w:rPr>
          <w:rFonts w:ascii="仿宋_GB2312" w:hAnsi="仿宋_GB2312" w:eastAsia="仿宋_GB2312" w:cs="仿宋_GB2312"/>
          <w:b w:val="0"/>
          <w:bCs w:val="0"/>
          <w:color w:val="000000"/>
          <w:sz w:val="31"/>
          <w:szCs w:val="31"/>
        </w:rPr>
        <w:t>年度一般公共预算、政府性基金预算、国有资本经营预算、社会保险基金预算以及资本资产、债券资金等全面开展绩效自评，形成峨眉山市</w:t>
      </w:r>
      <w:r>
        <w:rPr>
          <w:rFonts w:hint="eastAsia" w:ascii="仿宋_GB2312" w:hAnsi="仿宋_GB2312" w:eastAsia="仿宋_GB2312" w:cs="仿宋_GB2312"/>
          <w:b w:val="0"/>
          <w:bCs w:val="0"/>
          <w:color w:val="000000"/>
          <w:sz w:val="31"/>
          <w:szCs w:val="31"/>
          <w:lang w:val="en-US" w:eastAsia="zh-CN"/>
        </w:rPr>
        <w:t>残疾人联合</w:t>
      </w:r>
      <w:r>
        <w:rPr>
          <w:rFonts w:ascii="仿宋_GB2312" w:hAnsi="仿宋_GB2312" w:eastAsia="仿宋_GB2312" w:cs="仿宋_GB2312"/>
          <w:b w:val="0"/>
          <w:bCs w:val="0"/>
          <w:color w:val="000000"/>
          <w:sz w:val="31"/>
          <w:szCs w:val="31"/>
        </w:rPr>
        <w:t>部门整体绩效自评报告，峨眉山市</w:t>
      </w:r>
      <w:r>
        <w:rPr>
          <w:rFonts w:hint="eastAsia" w:ascii="仿宋_GB2312" w:hAnsi="仿宋_GB2312" w:eastAsia="仿宋_GB2312" w:cs="仿宋_GB2312"/>
          <w:b w:val="0"/>
          <w:bCs w:val="0"/>
          <w:color w:val="000000"/>
          <w:sz w:val="31"/>
          <w:szCs w:val="31"/>
          <w:lang w:val="en-US" w:eastAsia="zh-CN"/>
        </w:rPr>
        <w:t>残疾人联合</w:t>
      </w:r>
      <w:r>
        <w:rPr>
          <w:rFonts w:ascii="仿宋_GB2312" w:hAnsi="仿宋_GB2312" w:eastAsia="仿宋_GB2312" w:cs="仿宋_GB2312"/>
          <w:b w:val="0"/>
          <w:bCs w:val="0"/>
          <w:color w:val="000000"/>
          <w:sz w:val="31"/>
          <w:szCs w:val="31"/>
        </w:rPr>
        <w:t xml:space="preserve">部门整体绩效自评得分为 </w:t>
      </w:r>
      <w:r>
        <w:rPr>
          <w:rFonts w:hint="default" w:ascii="TimesNewRomanPSMT" w:hAnsi="TimesNewRomanPSMT" w:eastAsia="TimesNewRomanPSMT" w:cs="TimesNewRomanPSMT"/>
          <w:b w:val="0"/>
          <w:bCs w:val="0"/>
          <w:color w:val="000000"/>
          <w:sz w:val="31"/>
          <w:szCs w:val="31"/>
        </w:rPr>
        <w:t xml:space="preserve">96 </w:t>
      </w:r>
      <w:r>
        <w:rPr>
          <w:rFonts w:ascii="仿宋_GB2312" w:hAnsi="仿宋_GB2312" w:eastAsia="仿宋_GB2312" w:cs="仿宋_GB2312"/>
          <w:b w:val="0"/>
          <w:bCs w:val="0"/>
          <w:color w:val="000000"/>
          <w:sz w:val="31"/>
          <w:szCs w:val="31"/>
        </w:rPr>
        <w:t xml:space="preserve">分，绩效自评综述 </w:t>
      </w:r>
      <w:r>
        <w:rPr>
          <w:rFonts w:hint="default" w:ascii="TimesNewRomanPSMT" w:hAnsi="TimesNewRomanPSMT" w:eastAsia="TimesNewRomanPSMT" w:cs="TimesNewRomanPSMT"/>
          <w:b w:val="0"/>
          <w:bCs w:val="0"/>
          <w:color w:val="000000"/>
          <w:sz w:val="31"/>
          <w:szCs w:val="31"/>
        </w:rPr>
        <w:t>2024</w:t>
      </w:r>
      <w:r>
        <w:rPr>
          <w:rFonts w:ascii="仿宋_GB2312" w:hAnsi="仿宋_GB2312" w:eastAsia="仿宋_GB2312" w:cs="仿宋_GB2312"/>
          <w:b w:val="0"/>
          <w:bCs w:val="0"/>
          <w:color w:val="000000"/>
          <w:sz w:val="31"/>
          <w:szCs w:val="31"/>
        </w:rPr>
        <w:t>年项目完成情况总体较好绩效自评报告详见附件。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ascii="仿宋_GB2312" w:hAnsi="仿宋_GB2312" w:eastAsia="仿宋_GB2312" w:cs="仿宋_GB2312"/>
          <w:b w:val="0"/>
          <w:bCs w:val="0"/>
          <w:color w:val="000000"/>
          <w:sz w:val="31"/>
          <w:szCs w:val="31"/>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hint="eastAsia" w:ascii="仿宋_GB2312" w:hAnsi="仿宋_GB2312" w:eastAsia="仿宋_GB2312" w:cs="仿宋_GB2312"/>
          <w:b w:val="0"/>
          <w:bCs w:val="0"/>
          <w:color w:val="000000"/>
          <w:sz w:val="31"/>
          <w:szCs w:val="31"/>
          <w:lang w:val="en-US" w:eastAsia="zh-CN"/>
        </w:rPr>
        <w:t>9</w:t>
      </w:r>
      <w:r>
        <w:rPr>
          <w:rFonts w:ascii="仿宋_GB2312" w:hAnsi="仿宋_GB2312" w:eastAsia="仿宋_GB2312" w:cs="仿宋_GB2312"/>
          <w:b w:val="0"/>
          <w:bCs w:val="0"/>
          <w:color w:val="000000"/>
          <w:sz w:val="31"/>
          <w:szCs w:val="31"/>
        </w:rPr>
        <w:t>.社会保障和就业（类）行政事业单位养老（款）机 关事业单位基本养老保险缴费（项）：指机关事业单位实施养老保险制度由单位缴纳的养老保险费支出。</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0</w:t>
      </w:r>
      <w:r>
        <w:rPr>
          <w:rFonts w:ascii="仿宋_GB2312" w:hAnsi="仿宋_GB2312" w:eastAsia="仿宋_GB2312" w:cs="仿宋_GB2312"/>
          <w:b w:val="0"/>
          <w:bCs w:val="0"/>
          <w:color w:val="000000"/>
          <w:sz w:val="31"/>
          <w:szCs w:val="31"/>
        </w:rPr>
        <w:t>.社会保障和就业（类）行政事业单位养老（款）机 关事业单位职业年金缴费（项）：指机关事业单位实施养老保险制度由单位实际缴纳的职业年金支出。</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.社会保障和就业（类）其他社会保障和就业（款） 其他社会保障和就业（项）：指除上述项目以外其他用于社会保障和就业方面的支出。</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.卫生健康（类）行政事业单位医疗（款）行政单位 医疗（项）：指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.卫生健康（类）行政事业单位医疗（款）事业单位 医疗（项）：指反映财政部门安排的事业单位基本医疗保险缴费经费，未参加医疗保险的事业单位的公费医疗经费，按照国家规定享受离休人员待遇的医疗经费。</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hint="eastAsia" w:ascii="仿宋_GB2312" w:hAnsi="仿宋_GB2312" w:eastAsia="仿宋_GB2312" w:cs="仿宋_GB2312"/>
          <w:b w:val="0"/>
          <w:bCs w:val="0"/>
          <w:color w:val="000000"/>
          <w:sz w:val="31"/>
          <w:szCs w:val="31"/>
          <w:lang w:val="en-US" w:eastAsia="zh-CN"/>
        </w:rPr>
        <w:t>14</w:t>
      </w:r>
      <w:r>
        <w:rPr>
          <w:rFonts w:ascii="仿宋_GB2312" w:hAnsi="仿宋_GB2312" w:eastAsia="仿宋_GB2312" w:cs="仿宋_GB2312"/>
          <w:b w:val="0"/>
          <w:bCs w:val="0"/>
          <w:color w:val="000000"/>
          <w:sz w:val="31"/>
          <w:szCs w:val="31"/>
        </w:rPr>
        <w:t xml:space="preserve">.卫生健康（类）行政事业单位医疗（款）公务员医疗补助（项）：指财政部门安排的公务员医疗补助经费。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bookmarkStart w:id="53" w:name="_Toc15396614"/>
      <w:bookmarkStart w:id="54" w:name="_Toc15377226"/>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楷体_GB2312"/>
          <w:b/>
          <w:color w:val="auto"/>
          <w:sz w:val="32"/>
          <w:szCs w:val="32"/>
          <w:highlight w:val="none"/>
          <w:lang w:val="zh-CN"/>
        </w:rPr>
        <w:t>(一)机构组成。</w:t>
      </w:r>
      <w:r>
        <w:rPr>
          <w:rFonts w:hint="default" w:ascii="Times New Roman" w:hAnsi="Times New Roman" w:eastAsia="仿宋_GB2312" w:cs="Times New Roman"/>
          <w:sz w:val="32"/>
          <w:szCs w:val="32"/>
          <w:lang w:val="zh-CN" w:eastAsia="zh-CN"/>
        </w:rPr>
        <w:t>峨眉山市残疾人联合会内设2个职能股(室)，下属单位</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峨眉山市残疾人就业和康复服务中心。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楷体_GB2312"/>
          <w:b/>
          <w:color w:val="auto"/>
          <w:sz w:val="32"/>
          <w:szCs w:val="32"/>
          <w:highlight w:val="none"/>
          <w:lang w:val="zh-CN"/>
        </w:rPr>
        <w:t>(二)机构职能</w:t>
      </w:r>
      <w:r>
        <w:rPr>
          <w:rFonts w:hint="eastAsia" w:eastAsia="楷体_GB2312" w:cs="楷体_GB2312"/>
          <w:b/>
          <w:color w:val="auto"/>
          <w:sz w:val="32"/>
          <w:szCs w:val="32"/>
          <w:highlight w:val="none"/>
          <w:lang w:val="zh-CN"/>
        </w:rPr>
        <w:t>。</w:t>
      </w:r>
      <w:r>
        <w:rPr>
          <w:rFonts w:hint="default" w:ascii="Times New Roman" w:hAnsi="Times New Roman" w:eastAsia="仿宋_GB2312" w:cs="Times New Roman"/>
          <w:sz w:val="32"/>
          <w:szCs w:val="32"/>
          <w:lang w:val="zh-CN" w:eastAsia="zh-CN"/>
        </w:rPr>
        <w:t>听取残疾人意见，反映残疾人需求，维护残疾人权益，为残疾热，自尊、自信、自强、自立，为社会主义建设贡献力量</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弘扬人道主义，宣传残疾人事业，沟通政府、社会与残疾人之间的联系，动员社会理解、尊重、关心、帮助残疾人</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开展残疾人康复、扶贫、教育、劳动就业、文化、体育、科研、用品用具、无障碍设施和残疾预防工作，创造良好的环境和条件，扶助残疾人平等参与社会生活</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协助政府研究、制定和实施残疾人事业政策、规划和计划，起草有关保障残疾人权益的法规草案并组织开展执法检查，调查和掌握残疾人状况，向政府提出决策建议，对有关业务领域进行指导和管理</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协助镇乡党委考察残联班子和做好残联干部的管理工作，对全市镇乡残联和专门协会组织以及企事业单位残联负责人进行培训</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承担市政府残疾人工作协调委员会的日常工作，搞好综合、组织、协调和服务</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组织实施残疾人集中和分散按比例安置就业工作，指导和监督残联系统残疾人福利企业，会同有关部门制定并监督实施残疾人社会福利生产的扶持保护政策</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组织实施残疾人各类职业培训，努力为残疾人提供就业机会</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指导和管理各类残疾人专门协会;统筹开展残疾人事业募捐活动</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开展残疾人事业的对外交流与合作</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加强机关思想、整治、组织、作风建设，搞好各级残联组织的自身建设和党务工作，确保各项任务的完成</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承办市委、市政府和乐山市残联加交办的其他工作。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zh-CN" w:eastAsia="zh-CN"/>
        </w:rPr>
        <w:t>(三)人员概况。</w:t>
      </w:r>
      <w:r>
        <w:rPr>
          <w:rFonts w:hint="default" w:ascii="Times New Roman" w:hAnsi="Times New Roman" w:eastAsia="仿宋_GB2312" w:cs="Times New Roman"/>
          <w:sz w:val="32"/>
          <w:szCs w:val="32"/>
          <w:lang w:val="zh-CN" w:eastAsia="zh-CN"/>
        </w:rPr>
        <w:t>峨眉山市残疾人联合会核定参公编制5人，机关工勤1名，设理事长1名，副理事长1名，在职公务员5人，机关工勤1人</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事业编制4人，事业工勤1人，现在职事业</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人，事业工勤1人，临聘人员4人。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cs="Times New Roman"/>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zh-CN"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年我</w:t>
      </w:r>
      <w:r>
        <w:rPr>
          <w:rFonts w:hint="eastAsia" w:eastAsia="仿宋_GB2312" w:cs="Times New Roman"/>
          <w:sz w:val="32"/>
          <w:szCs w:val="32"/>
          <w:lang w:val="en-US" w:eastAsia="zh-CN"/>
        </w:rPr>
        <w:t>会</w:t>
      </w:r>
      <w:r>
        <w:rPr>
          <w:rFonts w:hint="default" w:ascii="Times New Roman" w:hAnsi="Times New Roman" w:eastAsia="仿宋_GB2312" w:cs="Times New Roman"/>
          <w:sz w:val="32"/>
          <w:szCs w:val="32"/>
          <w:lang w:val="zh-CN" w:eastAsia="zh-CN"/>
        </w:rPr>
        <w:t>财政资</w:t>
      </w:r>
      <w:r>
        <w:rPr>
          <w:rFonts w:hint="eastAsia" w:eastAsia="仿宋_GB2312" w:cs="Times New Roman"/>
          <w:sz w:val="32"/>
          <w:szCs w:val="32"/>
          <w:lang w:val="en-US" w:eastAsia="zh-CN"/>
        </w:rPr>
        <w:t>金</w:t>
      </w:r>
      <w:r>
        <w:rPr>
          <w:rFonts w:hint="default" w:ascii="Times New Roman" w:hAnsi="Times New Roman" w:eastAsia="仿宋_GB2312" w:cs="Times New Roman"/>
          <w:sz w:val="32"/>
          <w:szCs w:val="32"/>
          <w:lang w:val="zh-CN" w:eastAsia="zh-CN"/>
        </w:rPr>
        <w:t>收入</w:t>
      </w:r>
      <w:r>
        <w:rPr>
          <w:rFonts w:hint="eastAsia" w:eastAsia="仿宋_GB2312" w:cs="Times New Roman"/>
          <w:sz w:val="32"/>
          <w:szCs w:val="32"/>
          <w:lang w:val="en-US" w:eastAsia="zh-CN"/>
        </w:rPr>
        <w:t>990.77</w:t>
      </w:r>
      <w:r>
        <w:rPr>
          <w:rFonts w:hint="default" w:ascii="Times New Roman" w:hAnsi="Times New Roman" w:eastAsia="仿宋_GB2312" w:cs="Times New Roman"/>
          <w:sz w:val="32"/>
          <w:szCs w:val="32"/>
          <w:lang w:val="zh-CN" w:eastAsia="zh-CN"/>
        </w:rPr>
        <w:t>万元</w:t>
      </w:r>
      <w:r>
        <w:rPr>
          <w:rFonts w:hint="eastAsia" w:eastAsia="仿宋_GB2312" w:cs="Times New Roman"/>
          <w:sz w:val="32"/>
          <w:szCs w:val="32"/>
          <w:lang w:val="zh-CN" w:eastAsia="zh-CN"/>
        </w:rPr>
        <w:t>，</w:t>
      </w:r>
      <w:r>
        <w:rPr>
          <w:rFonts w:hint="eastAsia" w:eastAsia="仿宋_GB2312" w:cs="Times New Roman"/>
          <w:sz w:val="32"/>
          <w:szCs w:val="32"/>
          <w:lang w:val="en-US" w:eastAsia="zh-CN"/>
        </w:rPr>
        <w:t>其中</w:t>
      </w:r>
      <w:r>
        <w:rPr>
          <w:rFonts w:hint="default" w:ascii="Times New Roman" w:hAnsi="Times New Roman" w:eastAsia="仿宋_GB2312" w:cs="Times New Roman"/>
          <w:sz w:val="32"/>
          <w:szCs w:val="32"/>
          <w:lang w:val="zh-CN" w:eastAsia="zh-CN"/>
        </w:rPr>
        <w:t>一</w:t>
      </w:r>
      <w:r>
        <w:rPr>
          <w:rFonts w:hint="eastAsia" w:eastAsia="仿宋_GB2312" w:cs="Times New Roman"/>
          <w:sz w:val="32"/>
          <w:szCs w:val="32"/>
          <w:lang w:val="en-US" w:eastAsia="zh-CN"/>
        </w:rPr>
        <w:t>般</w:t>
      </w:r>
      <w:r>
        <w:rPr>
          <w:rFonts w:hint="default" w:ascii="Times New Roman" w:hAnsi="Times New Roman" w:eastAsia="仿宋_GB2312" w:cs="Times New Roman"/>
          <w:sz w:val="32"/>
          <w:szCs w:val="32"/>
          <w:lang w:val="zh-CN" w:eastAsia="zh-CN"/>
        </w:rPr>
        <w:t>公</w:t>
      </w:r>
      <w:r>
        <w:rPr>
          <w:rFonts w:hint="eastAsia" w:eastAsia="仿宋_GB2312" w:cs="Times New Roman"/>
          <w:sz w:val="32"/>
          <w:szCs w:val="32"/>
          <w:lang w:val="en-US" w:eastAsia="zh-CN"/>
        </w:rPr>
        <w:t>共预算财政拨款</w:t>
      </w:r>
      <w:r>
        <w:rPr>
          <w:rFonts w:hint="eastAsia" w:eastAsia="仿宋_GB2312" w:cs="Times New Roman"/>
          <w:sz w:val="32"/>
          <w:szCs w:val="32"/>
          <w:highlight w:val="none"/>
          <w:lang w:val="en-US" w:eastAsia="zh-CN"/>
        </w:rPr>
        <w:t>798.4万元，政府性基金预算192.37万元。</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年全年支出</w:t>
      </w:r>
      <w:r>
        <w:rPr>
          <w:rFonts w:hint="eastAsia" w:eastAsia="仿宋_GB2312" w:cs="仿宋_GB2312"/>
          <w:color w:val="auto"/>
          <w:kern w:val="2"/>
          <w:sz w:val="32"/>
          <w:szCs w:val="32"/>
          <w:highlight w:val="none"/>
          <w:lang w:val="en-US" w:eastAsia="zh-CN" w:bidi="ar-SA"/>
        </w:rPr>
        <w:t>990.77</w:t>
      </w:r>
      <w:r>
        <w:rPr>
          <w:rFonts w:hint="eastAsia" w:ascii="Times New Roman" w:hAnsi="Times New Roman" w:eastAsia="仿宋_GB2312" w:cs="仿宋_GB2312"/>
          <w:color w:val="auto"/>
          <w:kern w:val="2"/>
          <w:sz w:val="32"/>
          <w:szCs w:val="32"/>
          <w:highlight w:val="none"/>
          <w:lang w:val="en-US" w:eastAsia="zh-CN" w:bidi="ar-SA"/>
        </w:rPr>
        <w:t>万元，主要有以下方面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1.社会保障和就业支出</w:t>
      </w:r>
      <w:r>
        <w:rPr>
          <w:rFonts w:hint="eastAsia" w:eastAsia="仿宋_GB2312" w:cs="仿宋_GB2312"/>
          <w:color w:val="auto"/>
          <w:kern w:val="2"/>
          <w:sz w:val="32"/>
          <w:szCs w:val="32"/>
          <w:highlight w:val="none"/>
          <w:lang w:val="en-US" w:eastAsia="zh-CN" w:bidi="ar-SA"/>
        </w:rPr>
        <w:t>1.91</w:t>
      </w:r>
      <w:r>
        <w:rPr>
          <w:rFonts w:hint="eastAsia" w:ascii="Times New Roman" w:hAnsi="Times New Roman" w:eastAsia="仿宋_GB2312" w:cs="仿宋_GB2312"/>
          <w:color w:val="auto"/>
          <w:kern w:val="2"/>
          <w:sz w:val="32"/>
          <w:szCs w:val="32"/>
          <w:highlight w:val="none"/>
          <w:lang w:val="en-US" w:eastAsia="zh-CN" w:bidi="ar-SA"/>
        </w:rPr>
        <w:t>万元，占总收入</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2.卫生健康支出 </w:t>
      </w:r>
      <w:r>
        <w:rPr>
          <w:rFonts w:hint="eastAsia" w:eastAsia="仿宋_GB2312" w:cs="仿宋_GB2312"/>
          <w:color w:val="auto"/>
          <w:kern w:val="2"/>
          <w:sz w:val="32"/>
          <w:szCs w:val="32"/>
          <w:highlight w:val="none"/>
          <w:lang w:val="en-US" w:eastAsia="zh-CN" w:bidi="ar-SA"/>
        </w:rPr>
        <w:t>8.26</w:t>
      </w:r>
      <w:r>
        <w:rPr>
          <w:rFonts w:hint="eastAsia" w:ascii="Times New Roman" w:hAnsi="Times New Roman" w:eastAsia="仿宋_GB2312" w:cs="仿宋_GB2312"/>
          <w:color w:val="auto"/>
          <w:kern w:val="2"/>
          <w:sz w:val="32"/>
          <w:szCs w:val="32"/>
          <w:highlight w:val="none"/>
          <w:lang w:val="en-US" w:eastAsia="zh-CN" w:bidi="ar-SA"/>
        </w:rPr>
        <w:t>万元，占总收入</w:t>
      </w:r>
      <w:r>
        <w:rPr>
          <w:rFonts w:hint="eastAsia" w:eastAsia="仿宋_GB2312" w:cs="仿宋_GB2312"/>
          <w:color w:val="auto"/>
          <w:kern w:val="2"/>
          <w:sz w:val="32"/>
          <w:szCs w:val="32"/>
          <w:highlight w:val="none"/>
          <w:lang w:val="en-US" w:eastAsia="zh-CN" w:bidi="ar-SA"/>
        </w:rPr>
        <w:t>0.83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3住房保障支出</w:t>
      </w:r>
      <w:r>
        <w:rPr>
          <w:rFonts w:hint="eastAsia" w:eastAsia="仿宋_GB2312" w:cs="仿宋_GB2312"/>
          <w:color w:val="auto"/>
          <w:kern w:val="2"/>
          <w:sz w:val="32"/>
          <w:szCs w:val="32"/>
          <w:highlight w:val="none"/>
          <w:lang w:val="en-US" w:eastAsia="zh-CN" w:bidi="ar-SA"/>
        </w:rPr>
        <w:t>14.12</w:t>
      </w:r>
      <w:r>
        <w:rPr>
          <w:rFonts w:hint="eastAsia" w:ascii="Times New Roman" w:hAnsi="Times New Roman" w:eastAsia="仿宋_GB2312" w:cs="仿宋_GB2312"/>
          <w:color w:val="auto"/>
          <w:kern w:val="2"/>
          <w:sz w:val="32"/>
          <w:szCs w:val="32"/>
          <w:highlight w:val="none"/>
          <w:lang w:val="en-US" w:eastAsia="zh-CN" w:bidi="ar-SA"/>
        </w:rPr>
        <w:t>万元，占总收入</w:t>
      </w:r>
      <w:r>
        <w:rPr>
          <w:rFonts w:hint="eastAsia" w:eastAsia="仿宋_GB2312" w:cs="仿宋_GB2312"/>
          <w:color w:val="auto"/>
          <w:kern w:val="2"/>
          <w:sz w:val="32"/>
          <w:szCs w:val="32"/>
          <w:highlight w:val="none"/>
          <w:lang w:val="en-US" w:eastAsia="zh-CN" w:bidi="ar-SA"/>
        </w:rPr>
        <w:t>1.43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.其他支出 </w:t>
      </w:r>
      <w:r>
        <w:rPr>
          <w:rFonts w:hint="eastAsia" w:eastAsia="仿宋_GB2312" w:cs="仿宋_GB2312"/>
          <w:color w:val="auto"/>
          <w:kern w:val="2"/>
          <w:sz w:val="32"/>
          <w:szCs w:val="32"/>
          <w:highlight w:val="none"/>
          <w:lang w:val="en-US" w:eastAsia="zh-CN" w:bidi="ar-SA"/>
        </w:rPr>
        <w:t>966.48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占总收入</w:t>
      </w:r>
      <w:r>
        <w:rPr>
          <w:rFonts w:hint="eastAsia" w:eastAsia="仿宋_GB2312" w:cs="仿宋_GB2312"/>
          <w:color w:val="auto"/>
          <w:kern w:val="2"/>
          <w:sz w:val="32"/>
          <w:szCs w:val="32"/>
          <w:highlight w:val="none"/>
          <w:lang w:val="en-US" w:eastAsia="zh-CN" w:bidi="ar-SA"/>
        </w:rPr>
        <w:t>97.55</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2024年决算报表</w:t>
      </w:r>
      <w:r>
        <w:rPr>
          <w:rFonts w:hint="default" w:eastAsia="仿宋_GB2312" w:cs="Times New Roman"/>
          <w:sz w:val="32"/>
          <w:szCs w:val="32"/>
          <w:lang w:val="en-US" w:eastAsia="zh-CN"/>
        </w:rPr>
        <w:t>结转结余</w:t>
      </w:r>
      <w:r>
        <w:rPr>
          <w:rFonts w:hint="eastAsia" w:eastAsia="仿宋_GB2312" w:cs="Times New Roman"/>
          <w:sz w:val="32"/>
          <w:szCs w:val="32"/>
          <w:lang w:val="en-US" w:eastAsia="zh-CN"/>
        </w:rPr>
        <w:t>情况</w:t>
      </w:r>
      <w:r>
        <w:rPr>
          <w:rFonts w:hint="default"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2024年结转结余3.1万元。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残疾人居家灵活就业履职效果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帮助残疾人居家灵活就业，补助残疾人1600人，500元/人/年，共计80万元，帮助残疾人改善生活，提高残疾人社会参与度。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扶持农村残疾人发展生产履职效果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为504户残疾人发放仔猪504头和猪食料，</w:t>
      </w:r>
      <w:r>
        <w:rPr>
          <w:rFonts w:hint="eastAsia" w:eastAsia="仿宋_GB2312" w:cs="仿宋_GB2312"/>
          <w:color w:val="auto"/>
          <w:kern w:val="2"/>
          <w:sz w:val="32"/>
          <w:szCs w:val="32"/>
          <w:highlight w:val="none"/>
          <w:lang w:val="en-US" w:eastAsia="zh-CN" w:bidi="ar-SA"/>
        </w:rPr>
        <w:t>共计54.4316万元，</w:t>
      </w:r>
      <w:r>
        <w:rPr>
          <w:rFonts w:hint="eastAsia" w:ascii="Times New Roman" w:hAnsi="Times New Roman" w:eastAsia="仿宋_GB2312" w:cs="仿宋_GB2312"/>
          <w:color w:val="auto"/>
          <w:kern w:val="2"/>
          <w:sz w:val="32"/>
          <w:szCs w:val="32"/>
          <w:highlight w:val="none"/>
          <w:lang w:val="en-US" w:eastAsia="zh-CN" w:bidi="ar-SA"/>
        </w:rPr>
        <w:t>帮助农村残疾人发展生产，改善残疾人生活，提高残疾人发展生产积极性。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代缴重度残疾及精神智力三、四级残疾人医疗保险履职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为全市重度残疾及精神智力三、四级残疾人代缴城乡居民医疗保险</w:t>
      </w:r>
      <w:r>
        <w:rPr>
          <w:rFonts w:hint="eastAsia" w:eastAsia="仿宋_GB2312" w:cs="仿宋_GB2312"/>
          <w:color w:val="auto"/>
          <w:kern w:val="2"/>
          <w:sz w:val="32"/>
          <w:szCs w:val="32"/>
          <w:highlight w:val="none"/>
          <w:lang w:val="en-US" w:eastAsia="zh-CN" w:bidi="ar-SA"/>
        </w:rPr>
        <w:t>5598</w:t>
      </w:r>
      <w:r>
        <w:rPr>
          <w:rFonts w:hint="eastAsia" w:ascii="Times New Roman" w:hAnsi="Times New Roman" w:eastAsia="仿宋_GB2312" w:cs="仿宋_GB2312"/>
          <w:color w:val="auto"/>
          <w:kern w:val="2"/>
          <w:sz w:val="32"/>
          <w:szCs w:val="32"/>
          <w:highlight w:val="none"/>
          <w:lang w:val="en-US" w:eastAsia="zh-CN" w:bidi="ar-SA"/>
        </w:rPr>
        <w:t>人</w:t>
      </w:r>
      <w:r>
        <w:rPr>
          <w:rFonts w:hint="eastAsia" w:eastAsia="仿宋_GB2312" w:cs="仿宋_GB2312"/>
          <w:color w:val="auto"/>
          <w:kern w:val="2"/>
          <w:sz w:val="32"/>
          <w:szCs w:val="32"/>
          <w:highlight w:val="none"/>
          <w:lang w:val="en-US" w:eastAsia="zh-CN" w:bidi="ar-SA"/>
        </w:rPr>
        <w:t>，157.81</w:t>
      </w:r>
      <w:r>
        <w:rPr>
          <w:rFonts w:hint="eastAsia" w:ascii="Times New Roman" w:hAnsi="Times New Roman" w:eastAsia="仿宋_GB2312" w:cs="仿宋_GB2312"/>
          <w:color w:val="auto"/>
          <w:kern w:val="2"/>
          <w:sz w:val="32"/>
          <w:szCs w:val="32"/>
          <w:highlight w:val="none"/>
          <w:lang w:val="en-US" w:eastAsia="zh-CN" w:bidi="ar-SA"/>
        </w:rPr>
        <w:t>万元，解决残疾人缴纳城乡居民医疗保险的压力，改善生活。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提高预算编制质量。严格按要求编制年初部门预算，保证年初预算编制的科学性和准确性。2024年预算编制时，</w:t>
      </w:r>
      <w:r>
        <w:rPr>
          <w:rFonts w:hint="eastAsia" w:ascii="Times New Roman" w:hAnsi="Times New Roman" w:eastAsia="仿宋_GB2312" w:cs="仿宋_GB2312"/>
          <w:color w:val="auto"/>
          <w:kern w:val="2"/>
          <w:sz w:val="32"/>
          <w:szCs w:val="32"/>
          <w:highlight w:val="none"/>
          <w:lang w:val="en-US" w:eastAsia="zh-CN" w:bidi="ar-SA"/>
        </w:rPr>
        <w:t>市残联</w:t>
      </w:r>
      <w:r>
        <w:rPr>
          <w:rFonts w:hint="default" w:ascii="Times New Roman" w:hAnsi="Times New Roman" w:eastAsia="仿宋_GB2312" w:cs="仿宋_GB2312"/>
          <w:color w:val="auto"/>
          <w:kern w:val="2"/>
          <w:sz w:val="32"/>
          <w:szCs w:val="32"/>
          <w:highlight w:val="none"/>
          <w:lang w:val="zh-CN" w:eastAsia="zh-CN" w:bidi="ar-SA"/>
        </w:rPr>
        <w:t>按照峨眉山市财政局预算通知要求，制定了部门绩效目标，按时完成预算基础库、项目库报送工作,并按时完成预算编制工作，提交部门预算草案，对各项目绩效目标进行细化、明确，结合 2023 年预算执行情况以及 2024 年工作需求进行目标及需求确定，按规定进行事前绩效评估。预算编制审核过程中，不存在不合规定被财政退回预算项目的情况。根据实际情况，我</w:t>
      </w:r>
      <w:r>
        <w:rPr>
          <w:rFonts w:hint="eastAsia" w:ascii="Times New Roman" w:hAnsi="Times New Roman"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按照政府购买服务指导性目录编制预算；符合政府采购规定的，我</w:t>
      </w:r>
      <w:r>
        <w:rPr>
          <w:rFonts w:hint="eastAsia" w:ascii="Times New Roman" w:hAnsi="Times New Roman"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按政府采购相关程序实施；我</w:t>
      </w:r>
      <w:r>
        <w:rPr>
          <w:rFonts w:hint="eastAsia" w:ascii="Times New Roman" w:hAnsi="Times New Roman"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政府购买服务项目实行全过程绩效管理。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严格单位收入统筹。以制度为框架、以监督为抓手、以绩效为导向，实现资金从收入到使用的全链条管控。根据单位工作开展情况，及时报送资金需求，预算项目收入到达零余额账户后，不挪用项目资金，确保专款专用、及时支付。自评得分</w:t>
      </w: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及时跟进支出执行进度。依托制度规范、动态监控、部门协作等多维度管理，实时跟进预算支出执行。2024年完成 2 次绩效运行监督自评，及时掌握预算项目支出情况，并提出执行意见，从而优化后续执行，保障预算执行，推动工作开展。预算执行过程中，严格控制预警情况，非必要不产生预警金额（一般预警出现情况为垫付保险等费用归垫基本户，同一预算单位不同账户间转账会出现预警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 202</w:t>
      </w: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 xml:space="preserve">年无结余结转情况。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严控一般性支出。2024 年“三公”经费总额为 </w:t>
      </w:r>
      <w:r>
        <w:rPr>
          <w:rFonts w:hint="eastAsia" w:eastAsia="仿宋_GB2312" w:cs="仿宋_GB2312"/>
          <w:color w:val="auto"/>
          <w:kern w:val="2"/>
          <w:sz w:val="32"/>
          <w:szCs w:val="32"/>
          <w:highlight w:val="none"/>
          <w:lang w:val="en-US" w:eastAsia="zh-CN" w:bidi="ar-SA"/>
        </w:rPr>
        <w:t>2.88</w:t>
      </w:r>
      <w:r>
        <w:rPr>
          <w:rFonts w:hint="default" w:ascii="Times New Roman" w:hAnsi="Times New Roman" w:eastAsia="仿宋_GB2312" w:cs="仿宋_GB2312"/>
          <w:color w:val="auto"/>
          <w:kern w:val="2"/>
          <w:sz w:val="32"/>
          <w:szCs w:val="32"/>
          <w:highlight w:val="none"/>
          <w:lang w:val="zh-CN" w:eastAsia="zh-CN" w:bidi="ar-SA"/>
        </w:rPr>
        <w:t>万元，其中：公务接待费</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元、因公出国（境）费</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元、公务用车运维护费</w:t>
      </w:r>
      <w:r>
        <w:rPr>
          <w:rFonts w:hint="eastAsia" w:eastAsia="仿宋_GB2312" w:cs="仿宋_GB2312"/>
          <w:color w:val="auto"/>
          <w:kern w:val="2"/>
          <w:sz w:val="32"/>
          <w:szCs w:val="32"/>
          <w:highlight w:val="none"/>
          <w:lang w:val="en-US" w:eastAsia="zh-CN" w:bidi="ar-SA"/>
        </w:rPr>
        <w:t>2.88</w:t>
      </w:r>
      <w:r>
        <w:rPr>
          <w:rFonts w:hint="default" w:ascii="Times New Roman" w:hAnsi="Times New Roman" w:eastAsia="仿宋_GB2312" w:cs="仿宋_GB2312"/>
          <w:color w:val="auto"/>
          <w:kern w:val="2"/>
          <w:sz w:val="32"/>
          <w:szCs w:val="32"/>
          <w:highlight w:val="none"/>
          <w:lang w:val="zh-CN" w:eastAsia="zh-CN" w:bidi="ar-SA"/>
        </w:rPr>
        <w:t>万元，公务用车运维护费比上年增加</w:t>
      </w:r>
      <w:r>
        <w:rPr>
          <w:rFonts w:hint="eastAsia" w:eastAsia="仿宋_GB2312" w:cs="仿宋_GB2312"/>
          <w:color w:val="auto"/>
          <w:kern w:val="2"/>
          <w:sz w:val="32"/>
          <w:szCs w:val="32"/>
          <w:highlight w:val="none"/>
          <w:lang w:val="en-US" w:eastAsia="zh-CN" w:bidi="ar-SA"/>
        </w:rPr>
        <w:t>0.05</w:t>
      </w:r>
      <w:r>
        <w:rPr>
          <w:rFonts w:hint="default" w:ascii="Times New Roman" w:hAnsi="Times New Roman" w:eastAsia="仿宋_GB2312" w:cs="仿宋_GB2312"/>
          <w:color w:val="auto"/>
          <w:kern w:val="2"/>
          <w:sz w:val="32"/>
          <w:szCs w:val="32"/>
          <w:highlight w:val="none"/>
          <w:lang w:val="zh-CN" w:eastAsia="zh-CN" w:bidi="ar-SA"/>
        </w:rPr>
        <w:t>万元，增长</w:t>
      </w:r>
      <w:r>
        <w:rPr>
          <w:rFonts w:hint="eastAsia" w:eastAsia="仿宋_GB2312" w:cs="仿宋_GB2312"/>
          <w:color w:val="auto"/>
          <w:kern w:val="2"/>
          <w:sz w:val="32"/>
          <w:szCs w:val="32"/>
          <w:highlight w:val="none"/>
          <w:lang w:val="en-US" w:eastAsia="zh-CN" w:bidi="ar-SA"/>
        </w:rPr>
        <w:t>1.74</w:t>
      </w:r>
      <w:r>
        <w:rPr>
          <w:rFonts w:hint="default"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增加原因为车辆老化维修成本增加、油费上涨等。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2024年会议费支出 0 元，与 2023年</w:t>
      </w:r>
      <w:r>
        <w:rPr>
          <w:rFonts w:hint="eastAsia" w:eastAsia="仿宋_GB2312" w:cs="仿宋_GB2312"/>
          <w:color w:val="auto"/>
          <w:kern w:val="2"/>
          <w:sz w:val="32"/>
          <w:szCs w:val="32"/>
          <w:highlight w:val="none"/>
          <w:lang w:val="en-US" w:eastAsia="zh-CN" w:bidi="ar-SA"/>
        </w:rPr>
        <w:t>持平</w:t>
      </w:r>
      <w:r>
        <w:rPr>
          <w:rFonts w:hint="default" w:ascii="Times New Roman" w:hAnsi="Times New Roman" w:eastAsia="仿宋_GB2312" w:cs="仿宋_GB2312"/>
          <w:color w:val="auto"/>
          <w:kern w:val="2"/>
          <w:sz w:val="32"/>
          <w:szCs w:val="32"/>
          <w:highlight w:val="none"/>
          <w:lang w:val="zh-CN" w:eastAsia="zh-CN" w:bidi="ar-SA"/>
        </w:rPr>
        <w:t>。2024年培训费支出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万元，与 2023 年</w:t>
      </w:r>
      <w:r>
        <w:rPr>
          <w:rFonts w:hint="eastAsia" w:eastAsia="仿宋_GB2312" w:cs="仿宋_GB2312"/>
          <w:color w:val="auto"/>
          <w:kern w:val="2"/>
          <w:sz w:val="32"/>
          <w:szCs w:val="32"/>
          <w:highlight w:val="none"/>
          <w:lang w:val="en-US" w:eastAsia="zh-CN" w:bidi="ar-SA"/>
        </w:rPr>
        <w:t>持平</w:t>
      </w:r>
      <w:r>
        <w:rPr>
          <w:rFonts w:hint="default" w:ascii="Times New Roman" w:hAnsi="Times New Roman" w:eastAsia="仿宋_GB2312" w:cs="仿宋_GB2312"/>
          <w:color w:val="auto"/>
          <w:kern w:val="2"/>
          <w:sz w:val="32"/>
          <w:szCs w:val="32"/>
          <w:highlight w:val="none"/>
          <w:lang w:val="zh-CN"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2024年差旅费支出 </w:t>
      </w:r>
      <w:r>
        <w:rPr>
          <w:rFonts w:hint="eastAsia" w:eastAsia="仿宋_GB2312" w:cs="仿宋_GB2312"/>
          <w:color w:val="auto"/>
          <w:kern w:val="2"/>
          <w:sz w:val="32"/>
          <w:szCs w:val="32"/>
          <w:highlight w:val="none"/>
          <w:lang w:val="en-US" w:eastAsia="zh-CN" w:bidi="ar-SA"/>
        </w:rPr>
        <w:t>7.3</w:t>
      </w:r>
      <w:r>
        <w:rPr>
          <w:rFonts w:hint="default" w:ascii="Times New Roman" w:hAnsi="Times New Roman" w:eastAsia="仿宋_GB2312" w:cs="仿宋_GB2312"/>
          <w:color w:val="auto"/>
          <w:kern w:val="2"/>
          <w:sz w:val="32"/>
          <w:szCs w:val="32"/>
          <w:highlight w:val="none"/>
          <w:lang w:val="zh-CN" w:eastAsia="zh-CN" w:bidi="ar-SA"/>
        </w:rPr>
        <w:t xml:space="preserve"> 万元，人均支出</w:t>
      </w:r>
      <w:r>
        <w:rPr>
          <w:rFonts w:hint="eastAsia" w:eastAsia="仿宋_GB2312" w:cs="仿宋_GB2312"/>
          <w:color w:val="auto"/>
          <w:kern w:val="2"/>
          <w:sz w:val="32"/>
          <w:szCs w:val="32"/>
          <w:highlight w:val="none"/>
          <w:lang w:val="en-US" w:eastAsia="zh-CN" w:bidi="ar-SA"/>
        </w:rPr>
        <w:t>0.73</w:t>
      </w:r>
      <w:r>
        <w:rPr>
          <w:rFonts w:hint="default" w:ascii="Times New Roman" w:hAnsi="Times New Roman" w:eastAsia="仿宋_GB2312" w:cs="仿宋_GB2312"/>
          <w:color w:val="auto"/>
          <w:kern w:val="2"/>
          <w:sz w:val="32"/>
          <w:szCs w:val="32"/>
          <w:highlight w:val="none"/>
          <w:lang w:val="zh-CN" w:eastAsia="zh-CN" w:bidi="ar-SA"/>
        </w:rPr>
        <w:t>万元，与上年相比支出数</w:t>
      </w:r>
      <w:r>
        <w:rPr>
          <w:rFonts w:hint="eastAsia" w:eastAsia="仿宋_GB2312" w:cs="仿宋_GB2312"/>
          <w:color w:val="auto"/>
          <w:kern w:val="2"/>
          <w:sz w:val="32"/>
          <w:szCs w:val="32"/>
          <w:highlight w:val="none"/>
          <w:lang w:val="en-US" w:eastAsia="zh-CN" w:bidi="ar-SA"/>
        </w:rPr>
        <w:t>减少</w:t>
      </w:r>
      <w:r>
        <w:rPr>
          <w:rFonts w:hint="default" w:ascii="Times New Roman" w:hAnsi="Times New Roman" w:eastAsia="仿宋_GB2312" w:cs="仿宋_GB2312"/>
          <w:color w:val="auto"/>
          <w:kern w:val="2"/>
          <w:sz w:val="32"/>
          <w:szCs w:val="32"/>
          <w:highlight w:val="none"/>
          <w:lang w:val="zh-CN" w:eastAsia="zh-CN" w:bidi="ar-SA"/>
        </w:rPr>
        <w:t xml:space="preserve"> </w:t>
      </w:r>
      <w:r>
        <w:rPr>
          <w:rFonts w:hint="eastAsia" w:eastAsia="仿宋_GB2312" w:cs="仿宋_GB2312"/>
          <w:color w:val="auto"/>
          <w:kern w:val="2"/>
          <w:sz w:val="32"/>
          <w:szCs w:val="32"/>
          <w:highlight w:val="none"/>
          <w:lang w:val="en-US" w:eastAsia="zh-CN" w:bidi="ar-SA"/>
        </w:rPr>
        <w:t>4.25</w:t>
      </w:r>
      <w:r>
        <w:rPr>
          <w:rFonts w:hint="default" w:ascii="Times New Roman" w:hAnsi="Times New Roman" w:eastAsia="仿宋_GB2312" w:cs="仿宋_GB2312"/>
          <w:color w:val="auto"/>
          <w:kern w:val="2"/>
          <w:sz w:val="32"/>
          <w:szCs w:val="32"/>
          <w:highlight w:val="none"/>
          <w:lang w:val="zh-CN" w:eastAsia="zh-CN" w:bidi="ar-SA"/>
        </w:rPr>
        <w:t xml:space="preserve"> 万元，主要原因是较上年工作任 务</w:t>
      </w:r>
      <w:r>
        <w:rPr>
          <w:rFonts w:hint="eastAsia" w:eastAsia="仿宋_GB2312" w:cs="仿宋_GB2312"/>
          <w:color w:val="auto"/>
          <w:kern w:val="2"/>
          <w:sz w:val="32"/>
          <w:szCs w:val="32"/>
          <w:highlight w:val="none"/>
          <w:lang w:val="en-US" w:eastAsia="zh-CN" w:bidi="ar-SA"/>
        </w:rPr>
        <w:t>减少</w:t>
      </w:r>
      <w:r>
        <w:rPr>
          <w:rFonts w:hint="default" w:ascii="Times New Roman" w:hAnsi="Times New Roman" w:eastAsia="仿宋_GB2312" w:cs="仿宋_GB2312"/>
          <w:color w:val="auto"/>
          <w:kern w:val="2"/>
          <w:sz w:val="32"/>
          <w:szCs w:val="32"/>
          <w:highlight w:val="none"/>
          <w:lang w:val="zh-CN" w:eastAsia="zh-CN" w:bidi="ar-SA"/>
        </w:rPr>
        <w:t>，出差次数</w:t>
      </w:r>
      <w:r>
        <w:rPr>
          <w:rFonts w:hint="eastAsia" w:eastAsia="仿宋_GB2312" w:cs="仿宋_GB2312"/>
          <w:color w:val="auto"/>
          <w:kern w:val="2"/>
          <w:sz w:val="32"/>
          <w:szCs w:val="32"/>
          <w:highlight w:val="none"/>
          <w:lang w:val="en-US" w:eastAsia="zh-CN" w:bidi="ar-SA"/>
        </w:rPr>
        <w:t>减少</w:t>
      </w:r>
      <w:r>
        <w:rPr>
          <w:rFonts w:hint="default"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2024年办公设备购置费用支出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 xml:space="preserve">万元。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2024年我单位不存在课题经费支出、办节办展支出。 预算管理自评得分 23 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财务管理。制定《</w:t>
      </w:r>
      <w:r>
        <w:rPr>
          <w:rFonts w:hint="eastAsia" w:ascii="Times New Roman" w:hAnsi="Times New Roman" w:eastAsia="仿宋_GB2312" w:cs="仿宋_GB2312"/>
          <w:color w:val="auto"/>
          <w:kern w:val="2"/>
          <w:sz w:val="32"/>
          <w:szCs w:val="32"/>
          <w:highlight w:val="none"/>
          <w:lang w:val="en-US" w:eastAsia="zh-CN" w:bidi="ar-SA"/>
        </w:rPr>
        <w:t>市残联</w:t>
      </w:r>
      <w:r>
        <w:rPr>
          <w:rFonts w:hint="default" w:ascii="Times New Roman" w:hAnsi="Times New Roman" w:eastAsia="仿宋_GB2312" w:cs="仿宋_GB2312"/>
          <w:color w:val="auto"/>
          <w:kern w:val="2"/>
          <w:sz w:val="32"/>
          <w:szCs w:val="32"/>
          <w:highlight w:val="none"/>
          <w:lang w:val="zh-CN" w:eastAsia="zh-CN" w:bidi="ar-SA"/>
        </w:rPr>
        <w:t>财务管理制度》，对预算管理、预算执行、收入及支出管理等作出规定。合理设置财务工作岗位，我单位设有</w:t>
      </w:r>
      <w:r>
        <w:rPr>
          <w:rFonts w:hint="eastAsia"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名出纳岗位，</w:t>
      </w:r>
      <w:r>
        <w:rPr>
          <w:rFonts w:hint="eastAsia" w:ascii="Times New Roman" w:hAnsi="Times New Roman" w:eastAsia="仿宋_GB2312" w:cs="仿宋_GB2312"/>
          <w:color w:val="auto"/>
          <w:kern w:val="2"/>
          <w:sz w:val="32"/>
          <w:szCs w:val="32"/>
          <w:highlight w:val="none"/>
          <w:lang w:val="en-US" w:eastAsia="zh-CN" w:bidi="ar-SA"/>
        </w:rPr>
        <w:t>办公室主任监督，</w:t>
      </w:r>
      <w:r>
        <w:rPr>
          <w:rFonts w:hint="default" w:ascii="Times New Roman" w:hAnsi="Times New Roman" w:eastAsia="仿宋_GB2312" w:cs="仿宋_GB2312"/>
          <w:color w:val="auto"/>
          <w:kern w:val="2"/>
          <w:sz w:val="32"/>
          <w:szCs w:val="32"/>
          <w:highlight w:val="none"/>
          <w:lang w:val="zh-CN" w:eastAsia="zh-CN" w:bidi="ar-SA"/>
        </w:rPr>
        <w:t>明确职责权限，实行不相容岗位分离，符合相关财务管理制度要求。财务管理自评得分</w:t>
      </w:r>
      <w:r>
        <w:rPr>
          <w:rFonts w:hint="eastAsia"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资产管理。 2024年人均资产变化率为：-7.9%,资产利用率为：100%, 资产盘活率为</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 2024 年人均资产变化率为负数，主要原因为2023年、 2024年单位人数总体没有变化，而部分固定资产因不能继续使用而减少，为了节约开支，做到在日常工作中提升资产配 置效率、延长资产使用寿命、减少闲置浪费，最终实现“过 紧日子”政策目标与治理效能提升的统一。每年对资产进行 盘点，做到资产账账相符，账实相符，账表相符。资产管理自评得分</w:t>
      </w:r>
      <w:r>
        <w:rPr>
          <w:rFonts w:hint="eastAsia" w:eastAsia="仿宋_GB2312" w:cs="仿宋_GB2312"/>
          <w:color w:val="auto"/>
          <w:kern w:val="2"/>
          <w:sz w:val="32"/>
          <w:szCs w:val="32"/>
          <w:highlight w:val="none"/>
          <w:lang w:val="en-US" w:eastAsia="zh-CN" w:bidi="ar-SA"/>
        </w:rPr>
        <w:t>8</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 5.采购管理。在采购过程中，对适宜由中小企业提供的采购项目，优先面向中小企业采购。严格按照政府采购目录及标准，针对工程类、服务类、货物类等开展政府采购工作，2024年我单位完成政府采购项目主要涉及公车加油、公车保险、公车定点维修、</w:t>
      </w:r>
      <w:r>
        <w:rPr>
          <w:rFonts w:hint="eastAsia" w:eastAsia="仿宋_GB2312" w:cs="仿宋_GB2312"/>
          <w:color w:val="auto"/>
          <w:kern w:val="2"/>
          <w:sz w:val="32"/>
          <w:szCs w:val="32"/>
          <w:highlight w:val="none"/>
          <w:lang w:val="en-US" w:eastAsia="zh-CN" w:bidi="ar-SA"/>
        </w:rPr>
        <w:t>扶持农村残疾人发展生产、残疾人意外保险购买等</w:t>
      </w:r>
      <w:r>
        <w:rPr>
          <w:rFonts w:hint="default" w:ascii="Times New Roman" w:hAnsi="Times New Roman" w:eastAsia="仿宋_GB2312" w:cs="仿宋_GB2312"/>
          <w:color w:val="auto"/>
          <w:kern w:val="2"/>
          <w:sz w:val="32"/>
          <w:szCs w:val="32"/>
          <w:highlight w:val="none"/>
          <w:lang w:val="zh-CN" w:eastAsia="zh-CN" w:bidi="ar-SA"/>
        </w:rPr>
        <w:t>，均严格按照政府采购流程开展采购工作以及相关系统操作。采购管理自评得分</w:t>
      </w:r>
      <w:r>
        <w:rPr>
          <w:rFonts w:hint="eastAsia"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911.12</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项目决策。</w:t>
      </w:r>
      <w:r>
        <w:rPr>
          <w:rFonts w:hint="default" w:ascii="Times New Roman" w:hAnsi="Times New Roman" w:eastAsia="仿宋_GB2312" w:cs="仿宋_GB2312"/>
          <w:color w:val="auto"/>
          <w:kern w:val="2"/>
          <w:sz w:val="32"/>
          <w:szCs w:val="32"/>
          <w:highlight w:val="none"/>
          <w:lang w:val="zh-CN" w:eastAsia="zh-CN" w:bidi="ar-SA"/>
        </w:rPr>
        <w:t>我单位预算项目设立按规定履行评估论证、申报程序，项目绩效目标与计划期内的任务量、预算安排的资金量相匹配，绩效目标设置科学合理、规范完整、量化细化、预算匹配，部门预算项目在规定时间完成项目入库。项目决策评分</w:t>
      </w:r>
      <w:r>
        <w:rPr>
          <w:rFonts w:hint="eastAsia"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项目执行</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我单位预算项目在执行中，与绩效目标设置方向相符，以达到绩效目标为任务；对在执行过程中出现变化的预算项目，我</w:t>
      </w:r>
      <w:r>
        <w:rPr>
          <w:rFonts w:hint="eastAsia"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积极采取对应调整措施，确保绩效目标圆满完成； 预算项目预算执行情况完成 100%。项目执行自评得分</w:t>
      </w:r>
      <w:r>
        <w:rPr>
          <w:rFonts w:hint="eastAsia"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我单位预算阶段项目（含一次性项目）数</w:t>
      </w:r>
      <w:r>
        <w:rPr>
          <w:rFonts w:hint="eastAsia" w:eastAsia="仿宋_GB2312" w:cs="仿宋_GB2312"/>
          <w:color w:val="auto"/>
          <w:kern w:val="2"/>
          <w:sz w:val="32"/>
          <w:szCs w:val="32"/>
          <w:highlight w:val="none"/>
          <w:lang w:val="en-US" w:eastAsia="zh-CN" w:bidi="ar-SA"/>
        </w:rPr>
        <w:t>19</w:t>
      </w:r>
      <w:r>
        <w:rPr>
          <w:rFonts w:hint="default" w:ascii="Times New Roman" w:hAnsi="Times New Roman" w:eastAsia="仿宋_GB2312" w:cs="仿宋_GB2312"/>
          <w:color w:val="auto"/>
          <w:kern w:val="2"/>
          <w:sz w:val="32"/>
          <w:szCs w:val="32"/>
          <w:highlight w:val="none"/>
          <w:lang w:val="zh-CN" w:eastAsia="zh-CN" w:bidi="ar-SA"/>
        </w:rPr>
        <w:t xml:space="preserve"> 个，完成 绩效目标数量指标的部门预算阶段项目（含一次性项目）数 </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个，数量指标完成率 100%；已完成预期指标值的数量指标中偏离度在 30%内的指标个数</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 xml:space="preserve"> 个，偏离度在正常范围内；完成绩效目标效益指标的部门预算阶段项目（含一次性 项目）数 </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个，效益指标完成率 100%，目标实现自评得分 11 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部门对2024年度一般公共预算、政府性基金预算、国有资本经营预算安排的常年项目、阶段项目绩效目标完成情况，以及债券资金、政府购买服务有关情况进行梳理阐述</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其中100万以上项目：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项目1：</w:t>
      </w:r>
      <w:r>
        <w:rPr>
          <w:rFonts w:hint="eastAsia" w:eastAsia="仿宋_GB2312" w:cs="仿宋_GB2312"/>
          <w:color w:val="auto"/>
          <w:kern w:val="2"/>
          <w:sz w:val="32"/>
          <w:szCs w:val="32"/>
          <w:highlight w:val="none"/>
          <w:lang w:val="en-US" w:eastAsia="zh-CN" w:bidi="ar-SA"/>
        </w:rPr>
        <w:t>代缴重度残疾及精神智力三、四级残疾人医疗保险</w:t>
      </w:r>
      <w:r>
        <w:rPr>
          <w:rFonts w:hint="default" w:ascii="Times New Roman" w:hAnsi="Times New Roman" w:eastAsia="仿宋_GB2312" w:cs="仿宋_GB2312"/>
          <w:color w:val="auto"/>
          <w:kern w:val="2"/>
          <w:sz w:val="32"/>
          <w:szCs w:val="32"/>
          <w:highlight w:val="none"/>
          <w:lang w:val="zh-CN" w:eastAsia="zh-CN" w:bidi="ar-SA"/>
        </w:rPr>
        <w:t>经费项目，预算执行数为</w:t>
      </w:r>
      <w:r>
        <w:rPr>
          <w:rFonts w:hint="eastAsia" w:eastAsia="仿宋_GB2312" w:cs="仿宋_GB2312"/>
          <w:color w:val="auto"/>
          <w:kern w:val="2"/>
          <w:sz w:val="32"/>
          <w:szCs w:val="32"/>
          <w:highlight w:val="none"/>
          <w:lang w:val="en-US" w:eastAsia="zh-CN" w:bidi="ar-SA"/>
        </w:rPr>
        <w:t>157.81</w:t>
      </w:r>
      <w:r>
        <w:rPr>
          <w:rFonts w:hint="default" w:ascii="Times New Roman" w:hAnsi="Times New Roman" w:eastAsia="仿宋_GB2312" w:cs="仿宋_GB2312"/>
          <w:color w:val="auto"/>
          <w:kern w:val="2"/>
          <w:sz w:val="32"/>
          <w:szCs w:val="32"/>
          <w:highlight w:val="none"/>
          <w:lang w:val="zh-CN" w:eastAsia="zh-CN" w:bidi="ar-SA"/>
        </w:rPr>
        <w:t>万元。用于支付</w:t>
      </w:r>
      <w:r>
        <w:rPr>
          <w:rFonts w:hint="eastAsia" w:eastAsia="仿宋_GB2312" w:cs="仿宋_GB2312"/>
          <w:color w:val="auto"/>
          <w:kern w:val="2"/>
          <w:sz w:val="32"/>
          <w:szCs w:val="32"/>
          <w:highlight w:val="none"/>
          <w:lang w:val="en-US" w:eastAsia="zh-CN" w:bidi="ar-SA"/>
        </w:rPr>
        <w:t>重度残疾及精神智力三、四级残疾人城乡居民医疗保险资助费。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绩效结果应用情况</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在预算执行中，对计划按时支付，切实保障单位正常运转。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项目资金按照管理要求，做到资金下达后及时支付，不挪用项目资金，确保专款专用</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资金支付后，及时跟进资金划拨进度，做到出现问题立即操作整改</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严格按照年初预算执行，不超预算。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自评质量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根据项目绩效目标制定情况，我会各项目严格完成数量、质量等目标，及时完成资金支付，确保项目完成。因特殊原因未能纳入当年预算，且必须实施的，及时报财政追加。各项目完成情况良好。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四、评价结论及建议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（一）评价结论。我单位2024年项目完成情况总体较好，整体支出绩效自评得分96分</w:t>
      </w:r>
      <w:r>
        <w:rPr>
          <w:rFonts w:hint="eastAsia"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（二）存在问题。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1.预算绩效目标设置还需进一步细化和量化。各科室对预算绩效管理工作的重视程度不够，财务部门和业务科室未建立一体化运行机制</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内部预算绩效职责不清，对文件的理解不透，业务不精，设置绩效目标时存在简单化、片面化、形式化等问题</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预算绩效管理不到位，财务部门指导、督促不够。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2.预算绩效管理业务工作水平有待提高。开展的预算绩效管理的业务培训较少，预算绩效管理专业人员缺乏。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（三）改进建议。</w:t>
      </w:r>
      <w:bookmarkStart w:id="55" w:name="_Hlk110546638"/>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1.开展全过程绩效管理。增强绩效评价意识，组织召开年度预算绩效管理工作会议，明确预算绩效管理工作职责。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color w:val="auto"/>
          <w:kern w:val="2"/>
          <w:sz w:val="32"/>
          <w:szCs w:val="32"/>
          <w:highlight w:val="none"/>
          <w:lang w:val="en-US" w:eastAsia="zh-CN" w:bidi="ar-SA"/>
        </w:rPr>
        <w:t>2.加强预算绩效管理工作的培训，培训范围涵盖各业务部门，并对绩效目标的制定进行专门的培训与辅导，促进对绩效管理专业知识的学习，提高绩效管理业务工作能力。</w:t>
      </w:r>
    </w:p>
    <w:bookmarkEnd w:id="55"/>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附表：</w:t>
      </w:r>
      <w:r>
        <w:rPr>
          <w:rFonts w:hint="eastAsia" w:ascii="Times New Roman" w:hAnsi="Times New Roman" w:eastAsia="仿宋_GB2312" w:cs="仿宋_GB2312"/>
          <w:color w:val="auto"/>
          <w:kern w:val="2"/>
          <w:sz w:val="32"/>
          <w:szCs w:val="32"/>
          <w:highlight w:val="none"/>
          <w:lang w:val="en-US" w:eastAsia="zh-CN" w:bidi="ar-SA"/>
        </w:rPr>
        <w:t>部门预算项目支出绩效自评表（2024年度）</w:t>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655"/>
        <w:gridCol w:w="914"/>
        <w:gridCol w:w="1158"/>
        <w:gridCol w:w="476"/>
        <w:gridCol w:w="734"/>
        <w:gridCol w:w="476"/>
        <w:gridCol w:w="894"/>
        <w:gridCol w:w="493"/>
        <w:gridCol w:w="494"/>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51118122T000000390743-残疾人协会经费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残疾人协会经费帮助残疾人残疾人参与社会活动。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残疾人协会经费帮助残疾人残疾人参与社会活动。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协助残疾人开展活动，增加残疾人社会参与度。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参加协会活动人数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参与活动的协会个数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协会组织活动次数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残疾人协会活动有序进行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参加协会活动残疾人满意度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项目负责人：刘江壕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51118122T000000390779-代缴重度残疾及精神智力三、四级残疾人医疗保险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为重度残疾和智力、精神三、四级残疾人代缴城乡居民医疗保险一档费用，减轻残疾人家庭负担，平等享受社会发展医疗服务。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为重度残疾和智力、精神三、四级残疾人代缴城乡居民医疗保险一档费用，减轻残疾人家庭负担，平等享受社会发展医疗服务。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为重度残疾和智力、精神三、四级残疾人代缴城乡居民医疗保险一档费用，减轻残疾人家庭负担，平等享受社会发展医疗服务。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市残联代缴残疾人城乡居民医疗保险人数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残疾人享受社会医疗服务成果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残疾人享受医疗服务覆盖率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残疾人及亲友对残疾人享受医保代缴服务满意度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51118122T000000390810-残疾人事业发展配套经费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用于开展残疾儿童康复救助、残疾人基本康复、残疾人实用技术培训、残疾忍大学生助学、残疾人建设示范点等项目上级资金配套费用，用于精神病患者服药、残疾人临时紧急救助、残疾人温暖万家行等项目开展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用于开展残疾儿童康复救助、残疾人基本康复、残疾人实用技术培训、残疾忍大学生助学、残疾人建设示范点等项目上级资金配套费用，用于精神病患者服药、残疾人临时紧急救助、残疾人温暖万家行等项目开展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用于开展残疾儿童康复救助、残疾人基本康复、残疾人实用技术培训、残疾忍大学生助学、残疾人建设示范点等项目上级资金配套费用，用于精神病患者服药、残疾人临时紧急救助、残疾人温暖万家行等项目开展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帮助残疾人基本康复人数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得到基本康复的残疾儿童的数量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精神病患者服药救助人数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参加盲人定向行走培训人数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服务残疾人情况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残疾人及亲友对残疾人享有服务满意度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项目负责人：刘雨婷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51118123T000009094505-残疾人意外保险经费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为我市持证残疾人购买意外保险。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为我市持证残疾人购买意外保险。）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为我市持证残疾人购买意外保险。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为残疾人购买意外保险人数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为残疾人购买意外保险标准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项目负责人：雷霞</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51118123T000009094563-残疾人居家灵活就业创业直补经费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帮助残疾人居家灵活就业创业，提高残疾人居家灵活就业积极性。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帮助残疾人居家灵活就业创业，提高残疾人居家灵活就业积极性。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帮助残疾人居家灵活就业创业，提高残疾人居家灵活就业积极性。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帮助残疾人就业创业人数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提高残疾人就业积极性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享受补助残疾人及其家属满意度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每户补贴标准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项目负责人：周欣</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51118123T000009094607-扶持农村残疾人发展生产经费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帮助农村残疾人发展生产，提高收入。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帮助农村残疾人发展生产，提高收入。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帮助农村残疾人发展生产，提高收入。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实物扶助帮助残疾人数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接受实物扶助残疾人及其家属满意度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实物扶助残疾人标准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项目负责人：蔡林彬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51118123T000009094653-残疾人智慧量服终端机费用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加强残疾人动态管理，及时了解残疾人需求及变化，通过残疾人智慧量服平台修改；残联量服培训视频会议通讯费。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加强残疾人动态管理，及时了解残疾人需求及变化，通过残疾人智慧量服平台修改；残联量服培训视频会议通讯费。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加强残疾人动态管理，及时了解残疾人需求及变化，通过残疾人智慧量服平台修改；残联量服培训视频会议通讯费。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补贴残疾人专职委员人次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享受通讯补贴村（社区）数量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残疾人专职委员及其家属满意度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残疾人专职委员终端机费用补贴标准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项目负责人：雷霞</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51118123T000009094680-残疾人村（社区）专委补贴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加强残疾人基层组织建设，配齐乡镇（街道）残联专干和村（社区）残协专委，专干补贴不低于全市月工资最低标准，专委补贴每月不低于300元。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加强残疾人基层组织建设，配齐乡镇（街道）残联专干和村（社区）残协专委，专干补贴不低于全市月工资最低标准，专委补贴每月不低于300元。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加强残疾人基层组织建设，配齐乡镇（街道）残联专干和村（社区）残协专委，专干补贴不低于全市月工资最低标准，专委补贴每月不低于300元。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补贴村（社区）专委人数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及时发放专委补贴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残疾日恩专委及其家属满意度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残疾人专职委员补贴标准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51118123T000009133828-残疾人事业发展补助资金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支持落实残疾人就业、医疗康复、社会保障等扶持政策，健全残疾人权益保障制度和扶残助残服务体系，提升残疾人基本公共服务保障水平；为残疾人配置辅助器具，提供实用技术培训，进行家庭无障碍改造等项目，提高残疾人生活自理和社会参与能力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支持落实残疾人就业、医疗康复、社会保障等扶持政策，健全残疾人权益保障制度和扶残助残服务体系，提升残疾人基本公共服务保障水平；为残疾人配置辅助器具，提供实用技术培训，进行家庭无障碍改造等项目，提高残疾人生活自理和社会参与能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支持落实残疾人就业、医疗康复、社会保障等扶持政策，健全残疾人权益保障制度和扶残助残服务体系，提升残疾人基本公共服务保障水平；为残疾人配置辅助器具，提供实用技术培训，进行家庭无障碍改造等项目，提高残疾人生活自理和社会参与能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324.96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324.96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得到基本康复的残疾儿童人数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接受农村实用技术培训人数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接受基本康复服务的残疾人数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困难重度残疾人家庭无障碍改造惠及户数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辅助器具配发人数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接受农村实用技术培训残疾人掌握的生产技能数量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残疾人康复服务水平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接受服务残疾人满意度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项目负责人：刘雨婷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bl>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jc w:val="center"/>
        <w:rPr>
          <w:rFonts w:ascii="宋体" w:hAnsi="宋体" w:eastAsia="宋体" w:cs="宋体"/>
          <w:b/>
          <w:bCs/>
          <w:color w:val="000000"/>
          <w:sz w:val="43"/>
          <w:szCs w:val="43"/>
        </w:rPr>
      </w:pPr>
      <w:bookmarkStart w:id="56" w:name="_Toc15396618"/>
      <w:r>
        <w:rPr>
          <w:rFonts w:ascii="宋体" w:hAnsi="宋体" w:eastAsia="宋体" w:cs="宋体"/>
          <w:b/>
          <w:bCs/>
          <w:color w:val="000000"/>
          <w:sz w:val="43"/>
          <w:szCs w:val="43"/>
        </w:rPr>
        <w:t>专项预算项目绩效评价报告</w:t>
      </w:r>
    </w:p>
    <w:p>
      <w:pPr>
        <w:jc w:val="center"/>
        <w:rPr>
          <w:rFonts w:ascii="宋体" w:hAnsi="宋体" w:eastAsia="宋体" w:cs="宋体"/>
          <w:b/>
          <w:bCs/>
          <w:color w:val="000000"/>
          <w:sz w:val="43"/>
          <w:szCs w:val="43"/>
        </w:rPr>
      </w:pPr>
      <w:r>
        <w:rPr>
          <w:rFonts w:ascii="宋体" w:hAnsi="宋体" w:eastAsia="宋体" w:cs="宋体"/>
          <w:b/>
          <w:bCs/>
          <w:color w:val="000000"/>
          <w:sz w:val="43"/>
          <w:szCs w:val="43"/>
        </w:rPr>
        <w:t>（</w:t>
      </w:r>
      <w:r>
        <w:rPr>
          <w:rFonts w:hint="eastAsia" w:ascii="宋体" w:hAnsi="宋体" w:cs="宋体"/>
          <w:b/>
          <w:bCs/>
          <w:color w:val="000000"/>
          <w:sz w:val="43"/>
          <w:szCs w:val="43"/>
          <w:lang w:val="en-US" w:eastAsia="zh-CN"/>
        </w:rPr>
        <w:t>残疾人居家灵活就业创业直补</w:t>
      </w:r>
      <w:r>
        <w:rPr>
          <w:rFonts w:ascii="宋体" w:hAnsi="宋体" w:eastAsia="宋体" w:cs="宋体"/>
          <w:b/>
          <w:bCs/>
          <w:color w:val="000000"/>
          <w:sz w:val="43"/>
          <w:szCs w:val="43"/>
        </w:rPr>
        <w:t>经费项目）</w:t>
      </w:r>
    </w:p>
    <w:p>
      <w:pPr>
        <w:pStyle w:val="2"/>
      </w:pP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黑体" w:hAnsi="宋体" w:eastAsia="黑体" w:cs="黑体"/>
          <w:b w:val="0"/>
          <w:bCs w:val="0"/>
          <w:color w:val="000000"/>
          <w:sz w:val="31"/>
          <w:szCs w:val="31"/>
          <w:lang w:eastAsia="zh-CN"/>
        </w:rPr>
        <w:t>一、</w:t>
      </w:r>
      <w:r>
        <w:rPr>
          <w:rFonts w:ascii="黑体" w:hAnsi="宋体" w:eastAsia="黑体" w:cs="黑体"/>
          <w:b w:val="0"/>
          <w:bCs w:val="0"/>
          <w:color w:val="000000"/>
          <w:sz w:val="31"/>
          <w:szCs w:val="31"/>
        </w:rPr>
        <w:t xml:space="preserve">项目概况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（一）项目基本情况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 xml:space="preserve">项目主管部门（单位）在该项目管理中的职能。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峨眉山市</w:t>
      </w:r>
      <w:r>
        <w:rPr>
          <w:rFonts w:hint="eastAsia" w:ascii="仿宋_GB2312" w:hAnsi="仿宋_GB2312" w:eastAsia="仿宋_GB2312" w:cs="仿宋_GB2312"/>
          <w:b w:val="0"/>
          <w:bCs w:val="0"/>
          <w:color w:val="000000"/>
          <w:sz w:val="31"/>
          <w:szCs w:val="31"/>
          <w:lang w:val="en-US" w:eastAsia="zh-CN"/>
        </w:rPr>
        <w:t>残疾人联合会</w:t>
      </w:r>
      <w:r>
        <w:rPr>
          <w:rFonts w:ascii="仿宋_GB2312" w:hAnsi="仿宋_GB2312" w:eastAsia="仿宋_GB2312" w:cs="仿宋_GB2312"/>
          <w:b w:val="0"/>
          <w:bCs w:val="0"/>
          <w:color w:val="000000"/>
          <w:sz w:val="31"/>
          <w:szCs w:val="31"/>
        </w:rPr>
        <w:t>是</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经费项目主管部门，主要职责包括：负责组织项目申报、科学合理编制预算、做好资金审核并及时拨付到位、确保资金专款 专用。</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项目立项、资金申报的依据。</w:t>
      </w:r>
    </w:p>
    <w:p>
      <w:pPr>
        <w:numPr>
          <w:ilvl w:val="0"/>
          <w:numId w:val="0"/>
        </w:numPr>
        <w:ind w:firstLine="620" w:firstLineChars="200"/>
        <w:rPr>
          <w:rFonts w:ascii="仿宋_GB2312" w:hAnsi="仿宋_GB2312" w:eastAsia="仿宋_GB2312" w:cs="仿宋_GB2312"/>
          <w:b w:val="0"/>
          <w:bCs w:val="0"/>
          <w:color w:val="000000"/>
          <w:sz w:val="31"/>
          <w:szCs w:val="31"/>
          <w:highlight w:val="cyan"/>
        </w:rPr>
      </w:pPr>
      <w:r>
        <w:rPr>
          <w:rFonts w:ascii="仿宋_GB2312" w:hAnsi="仿宋_GB2312" w:eastAsia="仿宋_GB2312" w:cs="仿宋_GB2312"/>
          <w:b w:val="0"/>
          <w:bCs w:val="0"/>
          <w:color w:val="000000"/>
          <w:sz w:val="31"/>
          <w:szCs w:val="31"/>
        </w:rPr>
        <w:t>该项目立项、资金申报的依据：</w:t>
      </w:r>
      <w:r>
        <w:rPr>
          <w:rFonts w:hint="eastAsia" w:ascii="仿宋_GB2312" w:hAnsi="仿宋_GB2312" w:eastAsia="仿宋_GB2312" w:cs="仿宋_GB2312"/>
          <w:b w:val="0"/>
          <w:bCs w:val="0"/>
          <w:color w:val="000000"/>
          <w:sz w:val="31"/>
          <w:szCs w:val="31"/>
          <w:lang w:val="en-US" w:eastAsia="zh-CN"/>
        </w:rPr>
        <w:t>峨眉山市人民政府办公室关于印发《峨眉山市惠残助残行动计划实施方案（2023-2025年）》的通知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资金或项目管理情况。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对该项目的组织申报、需求论证、项目入库、项目资金支付实施监管，规范化管理。资金的使用范围为：</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4.</w:t>
      </w:r>
      <w:r>
        <w:rPr>
          <w:rFonts w:ascii="仿宋_GB2312" w:hAnsi="仿宋_GB2312" w:eastAsia="仿宋_GB2312" w:cs="仿宋_GB2312"/>
          <w:b w:val="0"/>
          <w:bCs w:val="0"/>
          <w:color w:val="000000"/>
          <w:sz w:val="31"/>
          <w:szCs w:val="31"/>
        </w:rPr>
        <w:t>资金分配的原则及考虑因素。</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该项目资金为专项资金，专款专用，</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坚持公平公正原则。</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（二）项目绩效目标。</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 </w:t>
      </w:r>
      <w:r>
        <w:rPr>
          <w:rFonts w:ascii="仿宋_GB2312" w:hAnsi="仿宋_GB2312" w:eastAsia="仿宋_GB2312" w:cs="仿宋_GB2312"/>
          <w:b w:val="0"/>
          <w:bCs w:val="0"/>
          <w:color w:val="000000"/>
          <w:sz w:val="31"/>
          <w:szCs w:val="31"/>
        </w:rPr>
        <w:t>1.项目主要内容。 该项目主要内容是</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 xml:space="preserve">。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2.项目应实现的具体绩效目标。</w:t>
      </w:r>
      <w:r>
        <w:rPr>
          <w:rFonts w:hint="eastAsia" w:ascii="仿宋_GB2312" w:hAnsi="仿宋_GB2312" w:eastAsia="仿宋_GB2312" w:cs="仿宋_GB2312"/>
          <w:b w:val="0"/>
          <w:bCs w:val="0"/>
          <w:color w:val="000000"/>
          <w:sz w:val="31"/>
          <w:szCs w:val="31"/>
          <w:lang w:val="en-US" w:eastAsia="zh-CN"/>
        </w:rPr>
        <w:t>补助符合条件的在进行居家灵活就业的残疾人，提高残疾人社会参与度</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3.目标相符性。 该项目绩效目标是</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结合我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工作实际进行制定，申报内容与实际相符</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申报目标合理可行。</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（三）项目自评步骤及方法。 </w:t>
      </w:r>
      <w:r>
        <w:rPr>
          <w:rFonts w:ascii="仿宋_GB2312" w:hAnsi="仿宋_GB2312" w:eastAsia="仿宋_GB2312" w:cs="仿宋_GB2312"/>
          <w:b w:val="0"/>
          <w:bCs w:val="0"/>
          <w:color w:val="000000"/>
          <w:sz w:val="31"/>
          <w:szCs w:val="31"/>
        </w:rPr>
        <w:t>自评工作采用定量和定性相结合的方法，对于可量化指标进行细化、量化，对于无法量化的指标根据客观依据评判。结合项目实施过程中的督导检查情况，综合自评。</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二、项目资金申报及使用情况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（一）项目资金申报及批复情况。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2024年年初我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按</w:t>
      </w:r>
      <w:r>
        <w:rPr>
          <w:rFonts w:hint="eastAsia" w:ascii="仿宋_GB2312" w:hAnsi="仿宋_GB2312" w:eastAsia="仿宋_GB2312" w:cs="仿宋_GB2312"/>
          <w:b w:val="0"/>
          <w:bCs w:val="0"/>
          <w:color w:val="000000"/>
          <w:sz w:val="31"/>
          <w:szCs w:val="31"/>
          <w:lang w:val="en-US" w:eastAsia="zh-CN"/>
        </w:rPr>
        <w:t>乐山市目标任务数、</w:t>
      </w:r>
      <w:r>
        <w:rPr>
          <w:rFonts w:ascii="仿宋_GB2312" w:hAnsi="仿宋_GB2312" w:eastAsia="仿宋_GB2312" w:cs="仿宋_GB2312"/>
          <w:b w:val="0"/>
          <w:bCs w:val="0"/>
          <w:color w:val="000000"/>
          <w:sz w:val="31"/>
          <w:szCs w:val="31"/>
        </w:rPr>
        <w:t>市级资金分配方案进行预算编制，经市政府同意，报峨眉山市人民代表大会会议批准通过。</w:t>
      </w: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eastAsia="zh-CN"/>
        </w:rPr>
        <w:t>（</w:t>
      </w:r>
      <w:r>
        <w:rPr>
          <w:rFonts w:hint="eastAsia" w:ascii="楷体_GB2312" w:hAnsi="楷体_GB2312" w:eastAsia="楷体_GB2312" w:cs="楷体_GB2312"/>
          <w:b w:val="0"/>
          <w:bCs w:val="0"/>
          <w:color w:val="000000"/>
          <w:sz w:val="31"/>
          <w:szCs w:val="31"/>
          <w:lang w:val="en-US" w:eastAsia="zh-CN"/>
        </w:rPr>
        <w:t>二</w:t>
      </w:r>
      <w:r>
        <w:rPr>
          <w:rFonts w:hint="eastAsia" w:ascii="楷体_GB2312" w:hAnsi="楷体_GB2312" w:eastAsia="楷体_GB2312" w:cs="楷体_GB2312"/>
          <w:b w:val="0"/>
          <w:bCs w:val="0"/>
          <w:color w:val="000000"/>
          <w:sz w:val="31"/>
          <w:szCs w:val="31"/>
          <w:lang w:eastAsia="zh-CN"/>
        </w:rPr>
        <w:t>）</w:t>
      </w:r>
      <w:r>
        <w:rPr>
          <w:rFonts w:ascii="楷体_GB2312" w:hAnsi="楷体_GB2312" w:eastAsia="楷体_GB2312" w:cs="楷体_GB2312"/>
          <w:b w:val="0"/>
          <w:bCs w:val="0"/>
          <w:color w:val="000000"/>
          <w:sz w:val="31"/>
          <w:szCs w:val="31"/>
        </w:rPr>
        <w:t>资金计划、到位及使用情况。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资金计划。</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 2024年预算</w:t>
      </w:r>
      <w:r>
        <w:rPr>
          <w:rFonts w:hint="eastAsia" w:ascii="仿宋_GB2312" w:hAnsi="仿宋_GB2312" w:eastAsia="仿宋_GB2312" w:cs="仿宋_GB2312"/>
          <w:b w:val="0"/>
          <w:bCs w:val="0"/>
          <w:color w:val="000000"/>
          <w:sz w:val="31"/>
          <w:szCs w:val="31"/>
          <w:lang w:val="en-US" w:eastAsia="zh-CN"/>
        </w:rPr>
        <w:t>80</w:t>
      </w:r>
      <w:r>
        <w:rPr>
          <w:rFonts w:ascii="仿宋_GB2312" w:hAnsi="仿宋_GB2312" w:eastAsia="仿宋_GB2312" w:cs="仿宋_GB2312"/>
          <w:b w:val="0"/>
          <w:bCs w:val="0"/>
          <w:color w:val="000000"/>
          <w:sz w:val="31"/>
          <w:szCs w:val="31"/>
        </w:rPr>
        <w:t>万元，属专项资金。</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资金到位。</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 xml:space="preserve">经费项目预算 </w:t>
      </w:r>
      <w:r>
        <w:rPr>
          <w:rFonts w:hint="eastAsia" w:ascii="仿宋_GB2312" w:hAnsi="仿宋_GB2312" w:eastAsia="仿宋_GB2312" w:cs="仿宋_GB2312"/>
          <w:b w:val="0"/>
          <w:bCs w:val="0"/>
          <w:color w:val="000000"/>
          <w:sz w:val="31"/>
          <w:szCs w:val="31"/>
          <w:lang w:val="en-US" w:eastAsia="zh-CN"/>
        </w:rPr>
        <w:t>80</w:t>
      </w:r>
      <w:r>
        <w:rPr>
          <w:rFonts w:ascii="仿宋_GB2312" w:hAnsi="仿宋_GB2312" w:eastAsia="仿宋_GB2312" w:cs="仿宋_GB2312"/>
          <w:b w:val="0"/>
          <w:bCs w:val="0"/>
          <w:color w:val="000000"/>
          <w:sz w:val="31"/>
          <w:szCs w:val="31"/>
        </w:rPr>
        <w:t>万元，</w:t>
      </w:r>
      <w:r>
        <w:rPr>
          <w:rFonts w:hint="eastAsia" w:ascii="仿宋_GB2312" w:hAnsi="仿宋_GB2312" w:eastAsia="仿宋_GB2312" w:cs="仿宋_GB2312"/>
          <w:b w:val="0"/>
          <w:bCs w:val="0"/>
          <w:color w:val="000000"/>
          <w:sz w:val="31"/>
          <w:szCs w:val="31"/>
          <w:lang w:val="en-US" w:eastAsia="zh-CN"/>
        </w:rPr>
        <w:t>2024</w:t>
      </w:r>
      <w:r>
        <w:rPr>
          <w:rFonts w:ascii="仿宋_GB2312" w:hAnsi="仿宋_GB2312" w:eastAsia="仿宋_GB2312" w:cs="仿宋_GB2312"/>
          <w:b w:val="0"/>
          <w:bCs w:val="0"/>
          <w:color w:val="000000"/>
          <w:sz w:val="31"/>
          <w:szCs w:val="31"/>
        </w:rPr>
        <w:t>年已全部到位，资金到位率 100%。</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资金使用。</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经费项目实际支出</w:t>
      </w:r>
      <w:r>
        <w:rPr>
          <w:rFonts w:hint="eastAsia" w:ascii="仿宋_GB2312" w:hAnsi="仿宋_GB2312" w:eastAsia="仿宋_GB2312" w:cs="仿宋_GB2312"/>
          <w:b w:val="0"/>
          <w:bCs w:val="0"/>
          <w:color w:val="000000"/>
          <w:sz w:val="31"/>
          <w:szCs w:val="31"/>
          <w:lang w:val="en-US" w:eastAsia="zh-CN"/>
        </w:rPr>
        <w:t>80</w:t>
      </w:r>
      <w:r>
        <w:rPr>
          <w:rFonts w:ascii="仿宋_GB2312" w:hAnsi="仿宋_GB2312" w:eastAsia="仿宋_GB2312" w:cs="仿宋_GB2312"/>
          <w:b w:val="0"/>
          <w:bCs w:val="0"/>
          <w:color w:val="000000"/>
          <w:sz w:val="31"/>
          <w:szCs w:val="31"/>
        </w:rPr>
        <w:t>万元，已全部足额支付。资金支付与预算项目实施方案相符，支付范围、支付标准、支付依据合规合法。</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（三）项目财务管理情况。</w:t>
      </w:r>
      <w:r>
        <w:rPr>
          <w:rFonts w:ascii="仿宋_GB2312" w:hAnsi="仿宋_GB2312" w:eastAsia="仿宋_GB2312" w:cs="仿宋_GB2312"/>
          <w:b w:val="0"/>
          <w:bCs w:val="0"/>
          <w:color w:val="000000"/>
          <w:sz w:val="31"/>
          <w:szCs w:val="31"/>
        </w:rPr>
        <w:t>该项目资金实行专款专用，从日常监管情况来看，项目实施单位财务管理制度健全，严格执行财务管理制度，账务处理及时，会计核算规范。</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三、项目实施及管理情况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（一）项目组织架构及实施流程。</w:t>
      </w:r>
      <w:r>
        <w:rPr>
          <w:rFonts w:ascii="仿宋_GB2312" w:hAnsi="仿宋_GB2312" w:eastAsia="仿宋_GB2312" w:cs="仿宋_GB2312"/>
          <w:b w:val="0"/>
          <w:bCs w:val="0"/>
          <w:color w:val="000000"/>
          <w:sz w:val="31"/>
          <w:szCs w:val="31"/>
        </w:rPr>
        <w:t>该项目管理由</w:t>
      </w:r>
      <w:r>
        <w:rPr>
          <w:rFonts w:hint="eastAsia" w:ascii="仿宋_GB2312" w:hAnsi="仿宋_GB2312" w:eastAsia="仿宋_GB2312" w:cs="仿宋_GB2312"/>
          <w:b w:val="0"/>
          <w:bCs w:val="0"/>
          <w:color w:val="000000"/>
          <w:sz w:val="31"/>
          <w:szCs w:val="31"/>
          <w:lang w:val="en-US" w:eastAsia="zh-CN"/>
        </w:rPr>
        <w:t>峨眉山市残疾人联合会</w:t>
      </w:r>
      <w:r>
        <w:rPr>
          <w:rFonts w:ascii="仿宋_GB2312" w:hAnsi="仿宋_GB2312" w:eastAsia="仿宋_GB2312" w:cs="仿宋_GB2312"/>
          <w:b w:val="0"/>
          <w:bCs w:val="0"/>
          <w:color w:val="000000"/>
          <w:sz w:val="31"/>
          <w:szCs w:val="31"/>
        </w:rPr>
        <w:t>进行决策管理，工作部门根据上级</w:t>
      </w:r>
      <w:r>
        <w:rPr>
          <w:rFonts w:hint="eastAsia" w:ascii="仿宋_GB2312" w:hAnsi="仿宋_GB2312" w:eastAsia="仿宋_GB2312" w:cs="仿宋_GB2312"/>
          <w:b w:val="0"/>
          <w:bCs w:val="0"/>
          <w:color w:val="000000"/>
          <w:sz w:val="31"/>
          <w:szCs w:val="31"/>
          <w:lang w:val="en-US" w:eastAsia="zh-CN"/>
        </w:rPr>
        <w:t>要求</w:t>
      </w:r>
      <w:r>
        <w:rPr>
          <w:rFonts w:ascii="仿宋_GB2312" w:hAnsi="仿宋_GB2312" w:eastAsia="仿宋_GB2312" w:cs="仿宋_GB2312"/>
          <w:b w:val="0"/>
          <w:bCs w:val="0"/>
          <w:color w:val="000000"/>
          <w:sz w:val="31"/>
          <w:szCs w:val="31"/>
        </w:rPr>
        <w:t>使用范围、绩效目标工作任务，提出资金使用申报</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审核支付。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（二）项目管理情况。</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经费项目由</w:t>
      </w:r>
      <w:r>
        <w:rPr>
          <w:rFonts w:hint="eastAsia" w:ascii="仿宋_GB2312" w:hAnsi="仿宋_GB2312" w:eastAsia="仿宋_GB2312" w:cs="仿宋_GB2312"/>
          <w:b w:val="0"/>
          <w:bCs w:val="0"/>
          <w:color w:val="000000"/>
          <w:sz w:val="31"/>
          <w:szCs w:val="31"/>
          <w:lang w:val="en-US" w:eastAsia="zh-CN"/>
        </w:rPr>
        <w:t>残疾人就业和康复服务中心</w:t>
      </w:r>
      <w:r>
        <w:rPr>
          <w:rFonts w:ascii="仿宋_GB2312" w:hAnsi="仿宋_GB2312" w:eastAsia="仿宋_GB2312" w:cs="仿宋_GB2312"/>
          <w:b w:val="0"/>
          <w:bCs w:val="0"/>
          <w:color w:val="000000"/>
          <w:sz w:val="31"/>
          <w:szCs w:val="31"/>
        </w:rPr>
        <w:t xml:space="preserve">负责， 保证项目顺利实施达到预期效果，完成项目绩效目标。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（三）项目监管情况。 </w:t>
      </w:r>
      <w:r>
        <w:rPr>
          <w:rFonts w:ascii="仿宋_GB2312" w:hAnsi="仿宋_GB2312" w:eastAsia="仿宋_GB2312" w:cs="仿宋_GB2312"/>
          <w:b w:val="0"/>
          <w:bCs w:val="0"/>
          <w:color w:val="000000"/>
          <w:sz w:val="31"/>
          <w:szCs w:val="31"/>
        </w:rPr>
        <w:t>该项目采用常态化监控+动态化监督检查+绩效评价监督的联动机制从严从实的对项目绩效监督管理。确保资金安全，</w:t>
      </w:r>
      <w:r>
        <w:rPr>
          <w:rFonts w:hint="eastAsia" w:ascii="仿宋_GB2312" w:hAnsi="仿宋_GB2312" w:eastAsia="仿宋_GB2312" w:cs="仿宋_GB2312"/>
          <w:b w:val="0"/>
          <w:bCs w:val="0"/>
          <w:color w:val="000000"/>
          <w:sz w:val="31"/>
          <w:szCs w:val="31"/>
          <w:lang w:eastAsia="zh-CN"/>
        </w:rPr>
        <w:t>专款</w:t>
      </w:r>
      <w:r>
        <w:rPr>
          <w:rFonts w:ascii="仿宋_GB2312" w:hAnsi="仿宋_GB2312" w:eastAsia="仿宋_GB2312" w:cs="仿宋_GB2312"/>
          <w:b w:val="0"/>
          <w:bCs w:val="0"/>
          <w:color w:val="000000"/>
          <w:sz w:val="31"/>
          <w:szCs w:val="31"/>
        </w:rPr>
        <w:t xml:space="preserve">专用。目前未发现有违规行为。 </w:t>
      </w:r>
    </w:p>
    <w:p>
      <w:pPr>
        <w:numPr>
          <w:ilvl w:val="0"/>
          <w:numId w:val="0"/>
        </w:numPr>
        <w:ind w:firstLine="620" w:firstLineChars="200"/>
        <w:rPr>
          <w:rFonts w:ascii="黑体" w:hAnsi="宋体" w:eastAsia="黑体" w:cs="黑体"/>
          <w:b w:val="0"/>
          <w:bCs w:val="0"/>
          <w:color w:val="000000"/>
          <w:sz w:val="31"/>
          <w:szCs w:val="31"/>
        </w:rPr>
      </w:pPr>
      <w:r>
        <w:rPr>
          <w:rFonts w:ascii="黑体" w:hAnsi="宋体" w:eastAsia="黑体" w:cs="黑体"/>
          <w:b w:val="0"/>
          <w:bCs w:val="0"/>
          <w:color w:val="000000"/>
          <w:sz w:val="31"/>
          <w:szCs w:val="31"/>
        </w:rPr>
        <w:t xml:space="preserve">四、项目绩效情况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（一）项目完成情况。 </w:t>
      </w:r>
      <w:r>
        <w:rPr>
          <w:rFonts w:hint="eastAsia" w:ascii="仿宋_GB2312" w:hAnsi="仿宋_GB2312" w:eastAsia="仿宋_GB2312" w:cs="仿宋_GB2312"/>
          <w:b w:val="0"/>
          <w:bCs w:val="0"/>
          <w:color w:val="000000"/>
          <w:sz w:val="31"/>
          <w:szCs w:val="31"/>
          <w:lang w:val="en-US" w:eastAsia="zh-CN"/>
        </w:rPr>
        <w:t>补助符合条件的在进行居家灵活就业的残疾人，提高残疾人社会参与度</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（二）项目效益情况。 </w:t>
      </w:r>
      <w:r>
        <w:rPr>
          <w:rFonts w:ascii="仿宋_GB2312" w:hAnsi="仿宋_GB2312" w:eastAsia="仿宋_GB2312" w:cs="仿宋_GB2312"/>
          <w:b w:val="0"/>
          <w:bCs w:val="0"/>
          <w:color w:val="000000"/>
          <w:sz w:val="31"/>
          <w:szCs w:val="31"/>
        </w:rPr>
        <w:t>该项目实施以来，</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。得到</w:t>
      </w:r>
      <w:r>
        <w:rPr>
          <w:rFonts w:hint="eastAsia" w:ascii="仿宋_GB2312" w:hAnsi="仿宋_GB2312" w:eastAsia="仿宋_GB2312" w:cs="仿宋_GB2312"/>
          <w:b w:val="0"/>
          <w:bCs w:val="0"/>
          <w:color w:val="000000"/>
          <w:sz w:val="31"/>
          <w:szCs w:val="31"/>
          <w:lang w:val="en-US" w:eastAsia="zh-CN"/>
        </w:rPr>
        <w:t>残疾人朋友的</w:t>
      </w:r>
      <w:r>
        <w:rPr>
          <w:rFonts w:ascii="仿宋_GB2312" w:hAnsi="仿宋_GB2312" w:eastAsia="仿宋_GB2312" w:cs="仿宋_GB2312"/>
          <w:b w:val="0"/>
          <w:bCs w:val="0"/>
          <w:color w:val="000000"/>
          <w:sz w:val="31"/>
          <w:szCs w:val="31"/>
        </w:rPr>
        <w:t>认可，取得了良好的社会</w:t>
      </w:r>
      <w:r>
        <w:rPr>
          <w:rFonts w:hint="eastAsia" w:ascii="仿宋_GB2312" w:hAnsi="仿宋_GB2312" w:eastAsia="仿宋_GB2312" w:cs="仿宋_GB2312"/>
          <w:b w:val="0"/>
          <w:bCs w:val="0"/>
          <w:color w:val="000000"/>
          <w:sz w:val="31"/>
          <w:szCs w:val="31"/>
          <w:lang w:val="en-US" w:eastAsia="zh-CN"/>
        </w:rPr>
        <w:t>评价</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五、评价结论及建议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（一）评价结论。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总体上看，该项目决策依据充分，绩效目标明确，管理制度健全，组织实施有序，资金使用规范结。通过项目实施</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。受到</w:t>
      </w:r>
      <w:r>
        <w:rPr>
          <w:rFonts w:hint="eastAsia" w:ascii="仿宋_GB2312" w:hAnsi="仿宋_GB2312" w:eastAsia="仿宋_GB2312" w:cs="仿宋_GB2312"/>
          <w:b w:val="0"/>
          <w:bCs w:val="0"/>
          <w:color w:val="000000"/>
          <w:sz w:val="31"/>
          <w:szCs w:val="31"/>
          <w:lang w:val="en-US" w:eastAsia="zh-CN"/>
        </w:rPr>
        <w:t>残疾人群体</w:t>
      </w:r>
      <w:r>
        <w:rPr>
          <w:rFonts w:ascii="仿宋_GB2312" w:hAnsi="仿宋_GB2312" w:eastAsia="仿宋_GB2312" w:cs="仿宋_GB2312"/>
          <w:b w:val="0"/>
          <w:bCs w:val="0"/>
          <w:color w:val="000000"/>
          <w:sz w:val="31"/>
          <w:szCs w:val="31"/>
        </w:rPr>
        <w:t>的赞许，群众满意率高。得到认可取得了良好的社会效益，是应该长期实施的项目。</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（二）存在的问题。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项目绩效目标申报仍存在不完整、细化量化不够的问题。</w:t>
      </w:r>
    </w:p>
    <w:p>
      <w:pPr>
        <w:numPr>
          <w:ilvl w:val="0"/>
          <w:numId w:val="1"/>
        </w:numPr>
        <w:ind w:left="700" w:leftChars="0" w:firstLine="0" w:firstLineChars="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相关建议。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绩效目标制定是预算绩效管理的基础，也是编制项目预算、实施绩效监控、开展绩效评价的重要基础和依据。</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下一步，采取更有力的措施，落实绩效管理主体责任，认真编制绩效目标。</w:t>
      </w:r>
    </w:p>
    <w:p>
      <w:pPr>
        <w:pStyle w:val="2"/>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pStyle w:val="2"/>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pStyle w:val="2"/>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pStyle w:val="2"/>
      </w:pPr>
    </w:p>
    <w:p>
      <w:pPr>
        <w:jc w:val="center"/>
        <w:rPr>
          <w:rFonts w:ascii="宋体" w:hAnsi="宋体" w:eastAsia="宋体" w:cs="宋体"/>
          <w:b/>
          <w:bCs/>
          <w:color w:val="000000"/>
          <w:sz w:val="43"/>
          <w:szCs w:val="43"/>
        </w:rPr>
      </w:pPr>
      <w:r>
        <w:rPr>
          <w:rFonts w:ascii="宋体" w:hAnsi="宋体" w:eastAsia="宋体" w:cs="宋体"/>
          <w:b/>
          <w:bCs/>
          <w:color w:val="000000"/>
          <w:sz w:val="43"/>
          <w:szCs w:val="43"/>
        </w:rPr>
        <w:t>专项预算项目绩效评价报告</w:t>
      </w:r>
    </w:p>
    <w:p>
      <w:pPr>
        <w:jc w:val="center"/>
        <w:rPr>
          <w:rFonts w:ascii="宋体" w:hAnsi="宋体" w:eastAsia="宋体" w:cs="宋体"/>
          <w:b/>
          <w:bCs/>
          <w:color w:val="000000"/>
          <w:sz w:val="43"/>
          <w:szCs w:val="43"/>
        </w:rPr>
      </w:pPr>
      <w:r>
        <w:rPr>
          <w:rFonts w:ascii="宋体" w:hAnsi="宋体" w:eastAsia="宋体" w:cs="宋体"/>
          <w:b/>
          <w:bCs/>
          <w:color w:val="000000"/>
          <w:sz w:val="43"/>
          <w:szCs w:val="43"/>
        </w:rPr>
        <w:t>（</w:t>
      </w:r>
      <w:r>
        <w:rPr>
          <w:rFonts w:hint="eastAsia" w:ascii="宋体" w:hAnsi="宋体" w:cs="宋体"/>
          <w:b/>
          <w:bCs/>
          <w:color w:val="000000"/>
          <w:sz w:val="43"/>
          <w:szCs w:val="43"/>
          <w:lang w:val="en-US" w:eastAsia="zh-CN"/>
        </w:rPr>
        <w:t>扶持农村残疾人发展生产</w:t>
      </w:r>
      <w:r>
        <w:rPr>
          <w:rFonts w:ascii="宋体" w:hAnsi="宋体" w:eastAsia="宋体" w:cs="宋体"/>
          <w:b/>
          <w:bCs/>
          <w:color w:val="000000"/>
          <w:sz w:val="43"/>
          <w:szCs w:val="43"/>
        </w:rPr>
        <w:t>经费项目）</w:t>
      </w:r>
    </w:p>
    <w:p>
      <w:pPr>
        <w:numPr>
          <w:ilvl w:val="0"/>
          <w:numId w:val="0"/>
        </w:numPr>
        <w:rPr>
          <w:rFonts w:ascii="楷体_GB2312" w:hAnsi="楷体_GB2312" w:eastAsia="楷体_GB2312" w:cs="楷体_GB2312"/>
          <w:b w:val="0"/>
          <w:bCs w:val="0"/>
          <w:color w:val="000000"/>
          <w:sz w:val="31"/>
          <w:szCs w:val="31"/>
        </w:rPr>
      </w:pP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黑体" w:hAnsi="宋体" w:eastAsia="黑体" w:cs="黑体"/>
          <w:b w:val="0"/>
          <w:bCs w:val="0"/>
          <w:color w:val="000000"/>
          <w:sz w:val="31"/>
          <w:szCs w:val="31"/>
          <w:lang w:eastAsia="zh-CN"/>
        </w:rPr>
        <w:t>一、</w:t>
      </w:r>
      <w:r>
        <w:rPr>
          <w:rFonts w:ascii="黑体" w:hAnsi="宋体" w:eastAsia="黑体" w:cs="黑体"/>
          <w:b w:val="0"/>
          <w:bCs w:val="0"/>
          <w:color w:val="000000"/>
          <w:sz w:val="31"/>
          <w:szCs w:val="31"/>
        </w:rPr>
        <w:t>项目概况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（一）项目基本情况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 xml:space="preserve">项目主管部门（单位）在该项目管理中的职能。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峨眉山市</w:t>
      </w:r>
      <w:r>
        <w:rPr>
          <w:rFonts w:hint="eastAsia" w:ascii="仿宋_GB2312" w:hAnsi="仿宋_GB2312" w:eastAsia="仿宋_GB2312" w:cs="仿宋_GB2312"/>
          <w:b w:val="0"/>
          <w:bCs w:val="0"/>
          <w:color w:val="000000"/>
          <w:sz w:val="31"/>
          <w:szCs w:val="31"/>
          <w:lang w:val="en-US" w:eastAsia="zh-CN"/>
        </w:rPr>
        <w:t>残疾人联合会</w:t>
      </w:r>
      <w:r>
        <w:rPr>
          <w:rFonts w:ascii="仿宋_GB2312" w:hAnsi="仿宋_GB2312" w:eastAsia="仿宋_GB2312" w:cs="仿宋_GB2312"/>
          <w:b w:val="0"/>
          <w:bCs w:val="0"/>
          <w:color w:val="000000"/>
          <w:sz w:val="31"/>
          <w:szCs w:val="31"/>
        </w:rPr>
        <w:t>是</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经费项目主管部门，主要职责包括：负责组织项目申报、科学合理编制预算、做好资金审核并及时拨付到位、确保资金专款 专用。</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项目立项、资金申报的依据。</w:t>
      </w:r>
    </w:p>
    <w:p>
      <w:pPr>
        <w:numPr>
          <w:ilvl w:val="0"/>
          <w:numId w:val="0"/>
        </w:numPr>
        <w:ind w:left="309" w:leftChars="147" w:firstLine="310" w:firstLineChars="100"/>
        <w:rPr>
          <w:rFonts w:ascii="仿宋_GB2312" w:hAnsi="仿宋_GB2312" w:eastAsia="仿宋_GB2312" w:cs="仿宋_GB2312"/>
          <w:b w:val="0"/>
          <w:bCs w:val="0"/>
          <w:color w:val="000000"/>
          <w:sz w:val="31"/>
          <w:szCs w:val="31"/>
          <w:highlight w:val="cyan"/>
        </w:rPr>
      </w:pPr>
      <w:r>
        <w:rPr>
          <w:rFonts w:ascii="仿宋_GB2312" w:hAnsi="仿宋_GB2312" w:eastAsia="仿宋_GB2312" w:cs="仿宋_GB2312"/>
          <w:b w:val="0"/>
          <w:bCs w:val="0"/>
          <w:color w:val="000000"/>
          <w:sz w:val="31"/>
          <w:szCs w:val="31"/>
        </w:rPr>
        <w:t>该项目立项、资金申报的依据：</w:t>
      </w:r>
      <w:r>
        <w:rPr>
          <w:rFonts w:hint="eastAsia" w:ascii="仿宋_GB2312" w:hAnsi="仿宋_GB2312" w:eastAsia="仿宋_GB2312" w:cs="仿宋_GB2312"/>
          <w:b w:val="0"/>
          <w:bCs w:val="0"/>
          <w:color w:val="000000"/>
          <w:sz w:val="31"/>
          <w:szCs w:val="31"/>
          <w:lang w:val="en-US" w:eastAsia="zh-CN"/>
        </w:rPr>
        <w:t>峨眉山市人民政府办公室关于印发《峨眉山市惠残助残行动计划实施方案（2023-2025年）》的通知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资金或项目管理情况。</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仿宋_GB2312" w:hAnsi="仿宋_GB2312" w:eastAsia="仿宋_GB2312" w:cs="仿宋_GB2312"/>
          <w:b w:val="0"/>
          <w:bCs w:val="0"/>
          <w:color w:val="000000"/>
          <w:sz w:val="31"/>
          <w:szCs w:val="31"/>
        </w:rPr>
        <w:t>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对该项目的组织申报、需求论证、项目入库、项目资金支付实施监管，规范化管理。资金的使用范围为：</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4.</w:t>
      </w:r>
      <w:r>
        <w:rPr>
          <w:rFonts w:ascii="仿宋_GB2312" w:hAnsi="仿宋_GB2312" w:eastAsia="仿宋_GB2312" w:cs="仿宋_GB2312"/>
          <w:b w:val="0"/>
          <w:bCs w:val="0"/>
          <w:color w:val="000000"/>
          <w:sz w:val="31"/>
          <w:szCs w:val="31"/>
        </w:rPr>
        <w:t>资金分配的原则及考虑因素。</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该项目资金为专项资金，专款专用，</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坚持公平公正原则。</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（二）项目绩效目标。</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楷体_GB2312" w:hAnsi="楷体_GB2312" w:eastAsia="楷体_GB2312" w:cs="楷体_GB2312"/>
          <w:b w:val="0"/>
          <w:bCs w:val="0"/>
          <w:color w:val="000000"/>
          <w:sz w:val="31"/>
          <w:szCs w:val="31"/>
        </w:rPr>
        <w:t xml:space="preserve"> </w:t>
      </w:r>
      <w:r>
        <w:rPr>
          <w:rFonts w:ascii="仿宋_GB2312" w:hAnsi="仿宋_GB2312" w:eastAsia="仿宋_GB2312" w:cs="仿宋_GB2312"/>
          <w:b w:val="0"/>
          <w:bCs w:val="0"/>
          <w:color w:val="000000"/>
          <w:sz w:val="31"/>
          <w:szCs w:val="31"/>
        </w:rPr>
        <w:t>1.项目主要内容。 该项目主要内容是</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2.项目应实现的具体绩效目标。</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3.目标相符性。 该项目绩效目标是</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结合我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工作实际进行制定，申报内容与实际相符</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申报目标合理可行。</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（三）项目自评步骤及方法。 </w:t>
      </w:r>
      <w:r>
        <w:rPr>
          <w:rFonts w:ascii="仿宋_GB2312" w:hAnsi="仿宋_GB2312" w:eastAsia="仿宋_GB2312" w:cs="仿宋_GB2312"/>
          <w:b w:val="0"/>
          <w:bCs w:val="0"/>
          <w:color w:val="000000"/>
          <w:sz w:val="31"/>
          <w:szCs w:val="31"/>
        </w:rPr>
        <w:t>自评工作采用定量和定性相结合的方法，对于可量化指 标进行细化、量化，对于无法量化的指标根据客观依据评判。结合项目实施过程中的督导检查情况，综合自评。</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二、项目资金申报及使用情况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（一）项目资金申报及批复情况。</w:t>
      </w:r>
    </w:p>
    <w:p>
      <w:pPr>
        <w:numPr>
          <w:ilvl w:val="0"/>
          <w:numId w:val="0"/>
        </w:numPr>
        <w:ind w:firstLine="840" w:firstLineChars="300"/>
        <w:rPr>
          <w:rFonts w:ascii="仿宋_GB2312" w:hAnsi="仿宋_GB2312" w:eastAsia="仿宋_GB2312" w:cs="仿宋_GB2312"/>
          <w:b w:val="0"/>
          <w:bCs w:val="0"/>
          <w:color w:val="000000"/>
          <w:sz w:val="31"/>
          <w:szCs w:val="31"/>
        </w:rPr>
      </w:pPr>
      <w:r>
        <w:rPr>
          <w:rFonts w:hint="default" w:ascii="Calibri" w:hAnsi="Calibri" w:eastAsia="宋体" w:cs="Calibri"/>
          <w:b w:val="0"/>
          <w:bCs w:val="0"/>
          <w:color w:val="000000"/>
          <w:sz w:val="28"/>
          <w:szCs w:val="28"/>
        </w:rPr>
        <w:t xml:space="preserve"> </w:t>
      </w:r>
      <w:r>
        <w:rPr>
          <w:rFonts w:ascii="仿宋_GB2312" w:hAnsi="仿宋_GB2312" w:eastAsia="仿宋_GB2312" w:cs="仿宋_GB2312"/>
          <w:b w:val="0"/>
          <w:bCs w:val="0"/>
          <w:color w:val="000000"/>
          <w:sz w:val="31"/>
          <w:szCs w:val="31"/>
        </w:rPr>
        <w:t>2024年年初我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按</w:t>
      </w:r>
      <w:r>
        <w:rPr>
          <w:rFonts w:hint="eastAsia" w:ascii="仿宋_GB2312" w:hAnsi="仿宋_GB2312" w:eastAsia="仿宋_GB2312" w:cs="仿宋_GB2312"/>
          <w:b w:val="0"/>
          <w:bCs w:val="0"/>
          <w:color w:val="000000"/>
          <w:sz w:val="31"/>
          <w:szCs w:val="31"/>
          <w:lang w:val="en-US" w:eastAsia="zh-CN"/>
        </w:rPr>
        <w:t>乐山市目标任务数、</w:t>
      </w:r>
      <w:r>
        <w:rPr>
          <w:rFonts w:ascii="仿宋_GB2312" w:hAnsi="仿宋_GB2312" w:eastAsia="仿宋_GB2312" w:cs="仿宋_GB2312"/>
          <w:b w:val="0"/>
          <w:bCs w:val="0"/>
          <w:color w:val="000000"/>
          <w:sz w:val="31"/>
          <w:szCs w:val="31"/>
        </w:rPr>
        <w:t>市级资金分配方 案进行预算编制，经市政府同意，报峨眉山市人民代表大会会议批准通过。</w:t>
      </w: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eastAsia="zh-CN"/>
        </w:rPr>
        <w:t>（</w:t>
      </w:r>
      <w:r>
        <w:rPr>
          <w:rFonts w:hint="eastAsia" w:ascii="楷体_GB2312" w:hAnsi="楷体_GB2312" w:eastAsia="楷体_GB2312" w:cs="楷体_GB2312"/>
          <w:b w:val="0"/>
          <w:bCs w:val="0"/>
          <w:color w:val="000000"/>
          <w:sz w:val="31"/>
          <w:szCs w:val="31"/>
          <w:lang w:val="en-US" w:eastAsia="zh-CN"/>
        </w:rPr>
        <w:t>二</w:t>
      </w:r>
      <w:r>
        <w:rPr>
          <w:rFonts w:hint="eastAsia" w:ascii="楷体_GB2312" w:hAnsi="楷体_GB2312" w:eastAsia="楷体_GB2312" w:cs="楷体_GB2312"/>
          <w:b w:val="0"/>
          <w:bCs w:val="0"/>
          <w:color w:val="000000"/>
          <w:sz w:val="31"/>
          <w:szCs w:val="31"/>
          <w:lang w:eastAsia="zh-CN"/>
        </w:rPr>
        <w:t>）</w:t>
      </w:r>
      <w:r>
        <w:rPr>
          <w:rFonts w:ascii="楷体_GB2312" w:hAnsi="楷体_GB2312" w:eastAsia="楷体_GB2312" w:cs="楷体_GB2312"/>
          <w:b w:val="0"/>
          <w:bCs w:val="0"/>
          <w:color w:val="000000"/>
          <w:sz w:val="31"/>
          <w:szCs w:val="31"/>
        </w:rPr>
        <w:t>资金计划、到位及使用情况。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1．资金计划。</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 2024年预算</w:t>
      </w:r>
      <w:r>
        <w:rPr>
          <w:rFonts w:hint="eastAsia" w:ascii="仿宋_GB2312" w:hAnsi="仿宋_GB2312" w:eastAsia="仿宋_GB2312" w:cs="仿宋_GB2312"/>
          <w:b w:val="0"/>
          <w:bCs w:val="0"/>
          <w:color w:val="000000"/>
          <w:sz w:val="31"/>
          <w:szCs w:val="31"/>
          <w:lang w:val="en-US" w:eastAsia="zh-CN"/>
        </w:rPr>
        <w:t>54.4316</w:t>
      </w:r>
      <w:r>
        <w:rPr>
          <w:rFonts w:ascii="仿宋_GB2312" w:hAnsi="仿宋_GB2312" w:eastAsia="仿宋_GB2312" w:cs="仿宋_GB2312"/>
          <w:b w:val="0"/>
          <w:bCs w:val="0"/>
          <w:color w:val="000000"/>
          <w:sz w:val="31"/>
          <w:szCs w:val="31"/>
        </w:rPr>
        <w:t>万元，属专项资金。</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2．资金到位。</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 xml:space="preserve">经费项目预算 </w:t>
      </w:r>
      <w:r>
        <w:rPr>
          <w:rFonts w:hint="eastAsia" w:ascii="仿宋_GB2312" w:hAnsi="仿宋_GB2312" w:eastAsia="仿宋_GB2312" w:cs="仿宋_GB2312"/>
          <w:b w:val="0"/>
          <w:bCs w:val="0"/>
          <w:color w:val="000000"/>
          <w:sz w:val="31"/>
          <w:szCs w:val="31"/>
          <w:lang w:val="en-US" w:eastAsia="zh-CN"/>
        </w:rPr>
        <w:t>54.4316</w:t>
      </w:r>
      <w:r>
        <w:rPr>
          <w:rFonts w:ascii="仿宋_GB2312" w:hAnsi="仿宋_GB2312" w:eastAsia="仿宋_GB2312" w:cs="仿宋_GB2312"/>
          <w:b w:val="0"/>
          <w:bCs w:val="0"/>
          <w:color w:val="000000"/>
          <w:sz w:val="31"/>
          <w:szCs w:val="31"/>
        </w:rPr>
        <w:t>万元，</w:t>
      </w:r>
      <w:r>
        <w:rPr>
          <w:rFonts w:hint="eastAsia" w:ascii="仿宋_GB2312" w:hAnsi="仿宋_GB2312" w:eastAsia="仿宋_GB2312" w:cs="仿宋_GB2312"/>
          <w:b w:val="0"/>
          <w:bCs w:val="0"/>
          <w:color w:val="000000"/>
          <w:sz w:val="31"/>
          <w:szCs w:val="31"/>
          <w:lang w:val="en-US" w:eastAsia="zh-CN"/>
        </w:rPr>
        <w:t>2024</w:t>
      </w:r>
      <w:r>
        <w:rPr>
          <w:rFonts w:ascii="仿宋_GB2312" w:hAnsi="仿宋_GB2312" w:eastAsia="仿宋_GB2312" w:cs="仿宋_GB2312"/>
          <w:b w:val="0"/>
          <w:bCs w:val="0"/>
          <w:color w:val="000000"/>
          <w:sz w:val="31"/>
          <w:szCs w:val="31"/>
        </w:rPr>
        <w:t>年已全部到位，资金到位率 100%。</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3．资金使用。</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经费项目实际支出</w:t>
      </w:r>
      <w:r>
        <w:rPr>
          <w:rFonts w:hint="eastAsia" w:ascii="仿宋_GB2312" w:hAnsi="仿宋_GB2312" w:eastAsia="仿宋_GB2312" w:cs="仿宋_GB2312"/>
          <w:b w:val="0"/>
          <w:bCs w:val="0"/>
          <w:color w:val="000000"/>
          <w:sz w:val="31"/>
          <w:szCs w:val="31"/>
          <w:lang w:val="en-US" w:eastAsia="zh-CN"/>
        </w:rPr>
        <w:t>54.4316</w:t>
      </w:r>
      <w:r>
        <w:rPr>
          <w:rFonts w:ascii="仿宋_GB2312" w:hAnsi="仿宋_GB2312" w:eastAsia="仿宋_GB2312" w:cs="仿宋_GB2312"/>
          <w:b w:val="0"/>
          <w:bCs w:val="0"/>
          <w:color w:val="000000"/>
          <w:sz w:val="31"/>
          <w:szCs w:val="31"/>
        </w:rPr>
        <w:t>万元，已全部足额支付。资金支付与预算项目实施方案相符，支付范围、支付标准、支付依据合规合法。</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（三）项目财务管理情况。 </w:t>
      </w:r>
      <w:r>
        <w:rPr>
          <w:rFonts w:ascii="仿宋_GB2312" w:hAnsi="仿宋_GB2312" w:eastAsia="仿宋_GB2312" w:cs="仿宋_GB2312"/>
          <w:b w:val="0"/>
          <w:bCs w:val="0"/>
          <w:color w:val="000000"/>
          <w:sz w:val="31"/>
          <w:szCs w:val="31"/>
        </w:rPr>
        <w:t>该项目资金实行专款专用，从日常监管情况来看，项目实施单位财务管理制度健全，严格执行财务管理制度，账务处理及时，会计核算规范。</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三、项目实施及管理情况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（一）项目组织架构及实施流程。</w:t>
      </w:r>
      <w:r>
        <w:rPr>
          <w:rFonts w:ascii="仿宋_GB2312" w:hAnsi="仿宋_GB2312" w:eastAsia="仿宋_GB2312" w:cs="仿宋_GB2312"/>
          <w:b w:val="0"/>
          <w:bCs w:val="0"/>
          <w:color w:val="000000"/>
          <w:sz w:val="31"/>
          <w:szCs w:val="31"/>
        </w:rPr>
        <w:t>该项目管理由</w:t>
      </w:r>
      <w:r>
        <w:rPr>
          <w:rFonts w:hint="eastAsia" w:ascii="仿宋_GB2312" w:hAnsi="仿宋_GB2312" w:eastAsia="仿宋_GB2312" w:cs="仿宋_GB2312"/>
          <w:b w:val="0"/>
          <w:bCs w:val="0"/>
          <w:color w:val="000000"/>
          <w:sz w:val="31"/>
          <w:szCs w:val="31"/>
          <w:lang w:val="en-US" w:eastAsia="zh-CN"/>
        </w:rPr>
        <w:t>峨眉山市残疾人联合会</w:t>
      </w:r>
      <w:r>
        <w:rPr>
          <w:rFonts w:ascii="仿宋_GB2312" w:hAnsi="仿宋_GB2312" w:eastAsia="仿宋_GB2312" w:cs="仿宋_GB2312"/>
          <w:b w:val="0"/>
          <w:bCs w:val="0"/>
          <w:color w:val="000000"/>
          <w:sz w:val="31"/>
          <w:szCs w:val="31"/>
        </w:rPr>
        <w:t>进行决策管理，工作部门根据上级</w:t>
      </w:r>
      <w:r>
        <w:rPr>
          <w:rFonts w:hint="eastAsia" w:ascii="仿宋_GB2312" w:hAnsi="仿宋_GB2312" w:eastAsia="仿宋_GB2312" w:cs="仿宋_GB2312"/>
          <w:b w:val="0"/>
          <w:bCs w:val="0"/>
          <w:color w:val="000000"/>
          <w:sz w:val="31"/>
          <w:szCs w:val="31"/>
          <w:lang w:val="en-US" w:eastAsia="zh-CN"/>
        </w:rPr>
        <w:t>要求</w:t>
      </w:r>
      <w:r>
        <w:rPr>
          <w:rFonts w:ascii="仿宋_GB2312" w:hAnsi="仿宋_GB2312" w:eastAsia="仿宋_GB2312" w:cs="仿宋_GB2312"/>
          <w:b w:val="0"/>
          <w:bCs w:val="0"/>
          <w:color w:val="000000"/>
          <w:sz w:val="31"/>
          <w:szCs w:val="31"/>
        </w:rPr>
        <w:t>使用范围、绩效目标工作任务，提出资金使用申报</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审核支付。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（二）项目管理情况。</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经费项目由</w:t>
      </w:r>
      <w:r>
        <w:rPr>
          <w:rFonts w:hint="eastAsia" w:ascii="仿宋_GB2312" w:hAnsi="仿宋_GB2312" w:eastAsia="仿宋_GB2312" w:cs="仿宋_GB2312"/>
          <w:b w:val="0"/>
          <w:bCs w:val="0"/>
          <w:color w:val="000000"/>
          <w:sz w:val="31"/>
          <w:szCs w:val="31"/>
          <w:lang w:val="en-US" w:eastAsia="zh-CN"/>
        </w:rPr>
        <w:t>残疾人就业和康复服务中心</w:t>
      </w:r>
      <w:r>
        <w:rPr>
          <w:rFonts w:ascii="仿宋_GB2312" w:hAnsi="仿宋_GB2312" w:eastAsia="仿宋_GB2312" w:cs="仿宋_GB2312"/>
          <w:b w:val="0"/>
          <w:bCs w:val="0"/>
          <w:color w:val="000000"/>
          <w:sz w:val="31"/>
          <w:szCs w:val="31"/>
        </w:rPr>
        <w:t xml:space="preserve">负责，保证项目顺利实施达到预期效果，完成项目绩效目标。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（三）项目监管情况。 </w:t>
      </w:r>
      <w:r>
        <w:rPr>
          <w:rFonts w:ascii="仿宋_GB2312" w:hAnsi="仿宋_GB2312" w:eastAsia="仿宋_GB2312" w:cs="仿宋_GB2312"/>
          <w:b w:val="0"/>
          <w:bCs w:val="0"/>
          <w:color w:val="000000"/>
          <w:sz w:val="31"/>
          <w:szCs w:val="31"/>
        </w:rPr>
        <w:t>该项目采用常态化监控+动态化监督检查+绩效评价监督的联动机制从严从实的对项目绩效监督管理。确保资金安全，</w:t>
      </w:r>
      <w:r>
        <w:rPr>
          <w:rFonts w:hint="eastAsia" w:ascii="仿宋_GB2312" w:hAnsi="仿宋_GB2312" w:eastAsia="仿宋_GB2312" w:cs="仿宋_GB2312"/>
          <w:b w:val="0"/>
          <w:bCs w:val="0"/>
          <w:color w:val="000000"/>
          <w:sz w:val="31"/>
          <w:szCs w:val="31"/>
          <w:lang w:eastAsia="zh-CN"/>
        </w:rPr>
        <w:t>专款</w:t>
      </w:r>
      <w:r>
        <w:rPr>
          <w:rFonts w:ascii="仿宋_GB2312" w:hAnsi="仿宋_GB2312" w:eastAsia="仿宋_GB2312" w:cs="仿宋_GB2312"/>
          <w:b w:val="0"/>
          <w:bCs w:val="0"/>
          <w:color w:val="000000"/>
          <w:sz w:val="31"/>
          <w:szCs w:val="31"/>
        </w:rPr>
        <w:t xml:space="preserve">专用。目前未发现有违规行为。 </w:t>
      </w:r>
    </w:p>
    <w:p>
      <w:pPr>
        <w:numPr>
          <w:ilvl w:val="0"/>
          <w:numId w:val="0"/>
        </w:numPr>
        <w:ind w:firstLine="620" w:firstLineChars="200"/>
        <w:rPr>
          <w:rFonts w:ascii="黑体" w:hAnsi="宋体" w:eastAsia="黑体" w:cs="黑体"/>
          <w:b w:val="0"/>
          <w:bCs w:val="0"/>
          <w:color w:val="000000"/>
          <w:sz w:val="31"/>
          <w:szCs w:val="31"/>
        </w:rPr>
      </w:pPr>
      <w:r>
        <w:rPr>
          <w:rFonts w:ascii="黑体" w:hAnsi="宋体" w:eastAsia="黑体" w:cs="黑体"/>
          <w:b w:val="0"/>
          <w:bCs w:val="0"/>
          <w:color w:val="000000"/>
          <w:sz w:val="31"/>
          <w:szCs w:val="31"/>
        </w:rPr>
        <w:t xml:space="preserve">四、项目绩效情况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（一）项目完成情况。</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（二）项目效益情况。</w:t>
      </w:r>
      <w:r>
        <w:rPr>
          <w:rFonts w:ascii="仿宋_GB2312" w:hAnsi="仿宋_GB2312" w:eastAsia="仿宋_GB2312" w:cs="仿宋_GB2312"/>
          <w:b w:val="0"/>
          <w:bCs w:val="0"/>
          <w:color w:val="000000"/>
          <w:sz w:val="31"/>
          <w:szCs w:val="31"/>
        </w:rPr>
        <w:t>该项目实施以来，</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。得到</w:t>
      </w:r>
      <w:r>
        <w:rPr>
          <w:rFonts w:hint="eastAsia" w:ascii="仿宋_GB2312" w:hAnsi="仿宋_GB2312" w:eastAsia="仿宋_GB2312" w:cs="仿宋_GB2312"/>
          <w:b w:val="0"/>
          <w:bCs w:val="0"/>
          <w:color w:val="000000"/>
          <w:sz w:val="31"/>
          <w:szCs w:val="31"/>
          <w:lang w:val="en-US" w:eastAsia="zh-CN"/>
        </w:rPr>
        <w:t>残疾人朋友的</w:t>
      </w:r>
      <w:r>
        <w:rPr>
          <w:rFonts w:ascii="仿宋_GB2312" w:hAnsi="仿宋_GB2312" w:eastAsia="仿宋_GB2312" w:cs="仿宋_GB2312"/>
          <w:b w:val="0"/>
          <w:bCs w:val="0"/>
          <w:color w:val="000000"/>
          <w:sz w:val="31"/>
          <w:szCs w:val="31"/>
        </w:rPr>
        <w:t>认可，取得了良好的社会</w:t>
      </w:r>
      <w:r>
        <w:rPr>
          <w:rFonts w:hint="eastAsia" w:ascii="仿宋_GB2312" w:hAnsi="仿宋_GB2312" w:eastAsia="仿宋_GB2312" w:cs="仿宋_GB2312"/>
          <w:b w:val="0"/>
          <w:bCs w:val="0"/>
          <w:color w:val="000000"/>
          <w:sz w:val="31"/>
          <w:szCs w:val="31"/>
          <w:lang w:val="en-US" w:eastAsia="zh-CN"/>
        </w:rPr>
        <w:t>评价</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五、评价结论及建议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（一）评价结论。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总体上看，该项目决策依据充分，绩效目标明确，管理制度健全，组织实施有序，资金使用规范结。通过项目实施</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。受到</w:t>
      </w:r>
      <w:r>
        <w:rPr>
          <w:rFonts w:hint="eastAsia" w:ascii="仿宋_GB2312" w:hAnsi="仿宋_GB2312" w:eastAsia="仿宋_GB2312" w:cs="仿宋_GB2312"/>
          <w:b w:val="0"/>
          <w:bCs w:val="0"/>
          <w:color w:val="000000"/>
          <w:sz w:val="31"/>
          <w:szCs w:val="31"/>
          <w:lang w:val="en-US" w:eastAsia="zh-CN"/>
        </w:rPr>
        <w:t>残疾人群体</w:t>
      </w:r>
      <w:r>
        <w:rPr>
          <w:rFonts w:ascii="仿宋_GB2312" w:hAnsi="仿宋_GB2312" w:eastAsia="仿宋_GB2312" w:cs="仿宋_GB2312"/>
          <w:b w:val="0"/>
          <w:bCs w:val="0"/>
          <w:color w:val="000000"/>
          <w:sz w:val="31"/>
          <w:szCs w:val="31"/>
        </w:rPr>
        <w:t>的赞许，群众满意率高。得到认可取得了良好的社会效益，是应该长期实施的项目。</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（二）存在的问题。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项目绩效目标申报仍存在不完整、细化量化不够的问题。</w:t>
      </w:r>
    </w:p>
    <w:p>
      <w:pPr>
        <w:numPr>
          <w:ilvl w:val="0"/>
          <w:numId w:val="0"/>
        </w:numPr>
        <w:ind w:firstLine="560" w:firstLineChars="200"/>
        <w:rPr>
          <w:rFonts w:ascii="楷体_GB2312" w:hAnsi="楷体_GB2312" w:eastAsia="楷体_GB2312" w:cs="楷体_GB2312"/>
          <w:b w:val="0"/>
          <w:bCs w:val="0"/>
          <w:color w:val="000000"/>
          <w:sz w:val="31"/>
          <w:szCs w:val="31"/>
        </w:rPr>
      </w:pPr>
      <w:r>
        <w:rPr>
          <w:rFonts w:hint="default" w:ascii="Calibri" w:hAnsi="Calibri" w:eastAsia="宋体" w:cs="Calibri"/>
          <w:b w:val="0"/>
          <w:bCs w:val="0"/>
          <w:color w:val="000000"/>
          <w:sz w:val="28"/>
          <w:szCs w:val="28"/>
        </w:rPr>
        <w:t xml:space="preserve"> </w:t>
      </w:r>
      <w:r>
        <w:rPr>
          <w:rFonts w:ascii="楷体_GB2312" w:hAnsi="楷体_GB2312" w:eastAsia="楷体_GB2312" w:cs="楷体_GB2312"/>
          <w:b w:val="0"/>
          <w:bCs w:val="0"/>
          <w:color w:val="000000"/>
          <w:sz w:val="31"/>
          <w:szCs w:val="31"/>
        </w:rPr>
        <w:t xml:space="preserve">（三）相关建议。 </w:t>
      </w:r>
    </w:p>
    <w:p>
      <w:pPr>
        <w:numPr>
          <w:ilvl w:val="0"/>
          <w:numId w:val="0"/>
        </w:numPr>
        <w:ind w:firstLine="620" w:firstLineChars="200"/>
      </w:pPr>
      <w:r>
        <w:rPr>
          <w:rFonts w:ascii="仿宋_GB2312" w:hAnsi="仿宋_GB2312" w:eastAsia="仿宋_GB2312" w:cs="仿宋_GB2312"/>
          <w:b w:val="0"/>
          <w:bCs w:val="0"/>
          <w:color w:val="000000"/>
          <w:sz w:val="31"/>
          <w:szCs w:val="31"/>
        </w:rPr>
        <w:t>绩效目标制定是预算绩效管理的基础，也是编制项目预算、实施绩效监控、开展绩效评价的重要基础和依据。下一 步，采取更有力的措施，落实绩效管理主体责任，认真编制绩效目标。</w:t>
      </w:r>
    </w:p>
    <w:p>
      <w:pPr>
        <w:pStyle w:val="2"/>
      </w:pPr>
    </w:p>
    <w:p/>
    <w:p>
      <w:pPr>
        <w:pStyle w:val="2"/>
      </w:pPr>
    </w:p>
    <w:p/>
    <w:p>
      <w:pPr>
        <w:pStyle w:val="2"/>
      </w:pPr>
    </w:p>
    <w:p/>
    <w:p>
      <w:pPr>
        <w:pStyle w:val="2"/>
      </w:pPr>
    </w:p>
    <w:p/>
    <w:p>
      <w:pPr>
        <w:pStyle w:val="2"/>
      </w:pPr>
    </w:p>
    <w:p/>
    <w:p/>
    <w:p>
      <w:pPr>
        <w:pStyle w:val="2"/>
      </w:pPr>
    </w:p>
    <w:p>
      <w:pPr>
        <w:jc w:val="center"/>
        <w:rPr>
          <w:rFonts w:ascii="宋体" w:hAnsi="宋体" w:eastAsia="宋体" w:cs="宋体"/>
          <w:b/>
          <w:bCs/>
          <w:color w:val="000000"/>
          <w:sz w:val="43"/>
          <w:szCs w:val="43"/>
        </w:rPr>
      </w:pPr>
      <w:r>
        <w:rPr>
          <w:rFonts w:ascii="宋体" w:hAnsi="宋体" w:eastAsia="宋体" w:cs="宋体"/>
          <w:b/>
          <w:bCs/>
          <w:color w:val="000000"/>
          <w:sz w:val="43"/>
          <w:szCs w:val="43"/>
        </w:rPr>
        <w:t>专项预算项目绩效评价报告</w:t>
      </w:r>
    </w:p>
    <w:p>
      <w:pPr>
        <w:jc w:val="center"/>
        <w:rPr>
          <w:rFonts w:ascii="宋体" w:hAnsi="宋体" w:eastAsia="宋体" w:cs="宋体"/>
          <w:b/>
          <w:bCs/>
          <w:color w:val="000000"/>
          <w:sz w:val="43"/>
          <w:szCs w:val="43"/>
        </w:rPr>
      </w:pPr>
      <w:r>
        <w:rPr>
          <w:rFonts w:ascii="宋体" w:hAnsi="宋体" w:eastAsia="宋体" w:cs="宋体"/>
          <w:b/>
          <w:bCs/>
          <w:color w:val="000000"/>
          <w:sz w:val="43"/>
          <w:szCs w:val="43"/>
        </w:rPr>
        <w:t>（</w:t>
      </w:r>
      <w:r>
        <w:rPr>
          <w:rFonts w:hint="eastAsia" w:ascii="宋体" w:hAnsi="宋体" w:cs="宋体"/>
          <w:b/>
          <w:bCs/>
          <w:color w:val="000000"/>
          <w:sz w:val="43"/>
          <w:szCs w:val="43"/>
          <w:lang w:val="en-US" w:eastAsia="zh-CN"/>
        </w:rPr>
        <w:t>代缴重度残疾及精神智力三、四级残疾人医疗保险</w:t>
      </w:r>
      <w:r>
        <w:rPr>
          <w:rFonts w:ascii="宋体" w:hAnsi="宋体" w:eastAsia="宋体" w:cs="宋体"/>
          <w:b/>
          <w:bCs/>
          <w:color w:val="000000"/>
          <w:sz w:val="43"/>
          <w:szCs w:val="43"/>
        </w:rPr>
        <w:t>经费项目）</w:t>
      </w:r>
    </w:p>
    <w:p>
      <w:pPr>
        <w:numPr>
          <w:ilvl w:val="0"/>
          <w:numId w:val="0"/>
        </w:numPr>
        <w:ind w:firstLine="620" w:firstLineChars="200"/>
        <w:rPr>
          <w:rFonts w:hint="eastAsia" w:ascii="黑体" w:hAnsi="宋体" w:eastAsia="黑体" w:cs="黑体"/>
          <w:b w:val="0"/>
          <w:bCs w:val="0"/>
          <w:color w:val="000000"/>
          <w:sz w:val="31"/>
          <w:szCs w:val="31"/>
          <w:lang w:eastAsia="zh-CN"/>
        </w:rPr>
      </w:pP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黑体" w:hAnsi="宋体" w:eastAsia="黑体" w:cs="黑体"/>
          <w:b w:val="0"/>
          <w:bCs w:val="0"/>
          <w:color w:val="000000"/>
          <w:sz w:val="31"/>
          <w:szCs w:val="31"/>
          <w:lang w:eastAsia="zh-CN"/>
        </w:rPr>
        <w:t>一、</w:t>
      </w:r>
      <w:r>
        <w:rPr>
          <w:rFonts w:ascii="黑体" w:hAnsi="宋体" w:eastAsia="黑体" w:cs="黑体"/>
          <w:b w:val="0"/>
          <w:bCs w:val="0"/>
          <w:color w:val="000000"/>
          <w:sz w:val="31"/>
          <w:szCs w:val="31"/>
        </w:rPr>
        <w:t xml:space="preserve">项目概况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（一）项目基本情况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 xml:space="preserve">项目主管部门（单位）在该项目管理中的职能。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峨眉山市</w:t>
      </w:r>
      <w:r>
        <w:rPr>
          <w:rFonts w:hint="eastAsia" w:ascii="仿宋_GB2312" w:hAnsi="仿宋_GB2312" w:eastAsia="仿宋_GB2312" w:cs="仿宋_GB2312"/>
          <w:b w:val="0"/>
          <w:bCs w:val="0"/>
          <w:color w:val="000000"/>
          <w:sz w:val="31"/>
          <w:szCs w:val="31"/>
          <w:lang w:val="en-US" w:eastAsia="zh-CN"/>
        </w:rPr>
        <w:t>残疾人联合会</w:t>
      </w:r>
      <w:r>
        <w:rPr>
          <w:rFonts w:ascii="仿宋_GB2312" w:hAnsi="仿宋_GB2312" w:eastAsia="仿宋_GB2312" w:cs="仿宋_GB2312"/>
          <w:b w:val="0"/>
          <w:bCs w:val="0"/>
          <w:color w:val="000000"/>
          <w:sz w:val="31"/>
          <w:szCs w:val="31"/>
        </w:rPr>
        <w:t>是</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经费项目主管部门，主要职责包括：负责组织项目申报、科学合理编制预算、做好资金审核并及时拨付到位、确保资金专款专用。</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项目立项、资金申报的依据。</w:t>
      </w:r>
    </w:p>
    <w:p>
      <w:pPr>
        <w:numPr>
          <w:ilvl w:val="0"/>
          <w:numId w:val="0"/>
        </w:numPr>
        <w:ind w:left="309" w:leftChars="147" w:firstLine="310" w:firstLineChars="100"/>
        <w:rPr>
          <w:rFonts w:ascii="仿宋_GB2312" w:hAnsi="仿宋_GB2312" w:eastAsia="仿宋_GB2312" w:cs="仿宋_GB2312"/>
          <w:b w:val="0"/>
          <w:bCs w:val="0"/>
          <w:color w:val="000000"/>
          <w:sz w:val="31"/>
          <w:szCs w:val="31"/>
          <w:highlight w:val="cyan"/>
        </w:rPr>
      </w:pPr>
      <w:r>
        <w:rPr>
          <w:rFonts w:ascii="仿宋_GB2312" w:hAnsi="仿宋_GB2312" w:eastAsia="仿宋_GB2312" w:cs="仿宋_GB2312"/>
          <w:b w:val="0"/>
          <w:bCs w:val="0"/>
          <w:color w:val="000000"/>
          <w:sz w:val="31"/>
          <w:szCs w:val="31"/>
        </w:rPr>
        <w:t>该项目立项、资金申报的依据：</w:t>
      </w:r>
      <w:r>
        <w:rPr>
          <w:rFonts w:hint="eastAsia" w:ascii="仿宋_GB2312" w:hAnsi="仿宋_GB2312" w:eastAsia="仿宋_GB2312" w:cs="仿宋_GB2312"/>
          <w:b w:val="0"/>
          <w:bCs w:val="0"/>
          <w:color w:val="000000"/>
          <w:sz w:val="31"/>
          <w:szCs w:val="31"/>
          <w:lang w:val="en-US" w:eastAsia="zh-CN"/>
        </w:rPr>
        <w:t>峨眉山市人民政府办公室关于印发《峨眉山市惠残助残行动计划实施方案（2023-2025年）》的通知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资金或项目管理情况。</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仿宋_GB2312" w:hAnsi="仿宋_GB2312" w:eastAsia="仿宋_GB2312" w:cs="仿宋_GB2312"/>
          <w:b w:val="0"/>
          <w:bCs w:val="0"/>
          <w:color w:val="000000"/>
          <w:sz w:val="31"/>
          <w:szCs w:val="31"/>
        </w:rPr>
        <w:t>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对该项目的组织申报、需求论证、项目入库、项目资金支付实施监管，规范化管理。资金的使用范围为：</w:t>
      </w:r>
      <w:r>
        <w:rPr>
          <w:rFonts w:hint="eastAsia" w:ascii="仿宋_GB2312" w:hAnsi="仿宋_GB2312" w:eastAsia="仿宋_GB2312" w:cs="仿宋_GB2312"/>
          <w:b w:val="0"/>
          <w:bCs w:val="0"/>
          <w:color w:val="000000"/>
          <w:sz w:val="31"/>
          <w:szCs w:val="31"/>
          <w:lang w:val="en-US" w:eastAsia="zh-CN"/>
        </w:rPr>
        <w:t>为重度残疾及精神智力三、四级残疾人资助残疾人城乡居民医疗保险费。</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4.</w:t>
      </w:r>
      <w:r>
        <w:rPr>
          <w:rFonts w:ascii="仿宋_GB2312" w:hAnsi="仿宋_GB2312" w:eastAsia="仿宋_GB2312" w:cs="仿宋_GB2312"/>
          <w:b w:val="0"/>
          <w:bCs w:val="0"/>
          <w:color w:val="000000"/>
          <w:sz w:val="31"/>
          <w:szCs w:val="31"/>
        </w:rPr>
        <w:t>资金分配的原则及考虑因素。</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该项目资金为专项资金，专款专用，</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坚持公平公正原则。</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（二）项目绩效目标。</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楷体_GB2312" w:hAnsi="楷体_GB2312" w:eastAsia="楷体_GB2312" w:cs="楷体_GB2312"/>
          <w:b w:val="0"/>
          <w:bCs w:val="0"/>
          <w:color w:val="000000"/>
          <w:sz w:val="31"/>
          <w:szCs w:val="31"/>
        </w:rPr>
        <w:t xml:space="preserve"> </w:t>
      </w:r>
      <w:r>
        <w:rPr>
          <w:rFonts w:ascii="仿宋_GB2312" w:hAnsi="仿宋_GB2312" w:eastAsia="仿宋_GB2312" w:cs="仿宋_GB2312"/>
          <w:b w:val="0"/>
          <w:bCs w:val="0"/>
          <w:color w:val="000000"/>
          <w:sz w:val="31"/>
          <w:szCs w:val="31"/>
        </w:rPr>
        <w:t>1.项目主要内容。该项目主要内容是</w:t>
      </w:r>
      <w:r>
        <w:rPr>
          <w:rFonts w:hint="eastAsia" w:ascii="仿宋_GB2312" w:hAnsi="仿宋_GB2312" w:eastAsia="仿宋_GB2312" w:cs="仿宋_GB2312"/>
          <w:b w:val="0"/>
          <w:bCs w:val="0"/>
          <w:color w:val="000000"/>
          <w:sz w:val="31"/>
          <w:szCs w:val="31"/>
          <w:lang w:val="en-US" w:eastAsia="zh-CN"/>
        </w:rPr>
        <w:t>为重度残疾及精神智力三、四级残疾人资助残疾人城乡居民医疗保险费。</w:t>
      </w:r>
    </w:p>
    <w:p>
      <w:pPr>
        <w:numPr>
          <w:ilvl w:val="0"/>
          <w:numId w:val="0"/>
        </w:numPr>
        <w:ind w:firstLine="620" w:firstLineChars="200"/>
        <w:rPr>
          <w:rFonts w:hint="default" w:ascii="仿宋_GB2312" w:hAnsi="仿宋_GB2312" w:eastAsia="仿宋_GB2312" w:cs="仿宋_GB2312"/>
          <w:b w:val="0"/>
          <w:bCs w:val="0"/>
          <w:color w:val="000000"/>
          <w:sz w:val="31"/>
          <w:szCs w:val="31"/>
          <w:lang w:val="en-US"/>
        </w:rPr>
      </w:pPr>
      <w:r>
        <w:rPr>
          <w:rFonts w:ascii="仿宋_GB2312" w:hAnsi="仿宋_GB2312" w:eastAsia="仿宋_GB2312" w:cs="仿宋_GB2312"/>
          <w:b w:val="0"/>
          <w:bCs w:val="0"/>
          <w:color w:val="000000"/>
          <w:sz w:val="31"/>
          <w:szCs w:val="31"/>
        </w:rPr>
        <w:t>2.项目应实现的具体绩效目标。</w:t>
      </w:r>
      <w:r>
        <w:rPr>
          <w:rFonts w:hint="eastAsia" w:ascii="仿宋_GB2312" w:hAnsi="仿宋_GB2312" w:eastAsia="仿宋_GB2312" w:cs="仿宋_GB2312"/>
          <w:b w:val="0"/>
          <w:bCs w:val="0"/>
          <w:color w:val="000000"/>
          <w:sz w:val="31"/>
          <w:szCs w:val="31"/>
          <w:lang w:val="en-US" w:eastAsia="zh-CN"/>
        </w:rPr>
        <w:t>为重度残疾及精神智力三、四级残疾人资助残疾人城乡居民医疗保险费，减轻残疾人缴医保费用负担。</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3.目标相符性。该项目绩效目标是</w:t>
      </w:r>
      <w:r>
        <w:rPr>
          <w:rFonts w:hint="eastAsia" w:ascii="仿宋_GB2312" w:hAnsi="仿宋_GB2312" w:eastAsia="仿宋_GB2312" w:cs="仿宋_GB2312"/>
          <w:b w:val="0"/>
          <w:bCs w:val="0"/>
          <w:color w:val="000000"/>
          <w:sz w:val="31"/>
          <w:szCs w:val="31"/>
          <w:lang w:val="en-US" w:eastAsia="zh-CN"/>
        </w:rPr>
        <w:t>提高残疾人享受社会医疗成果，</w:t>
      </w:r>
      <w:r>
        <w:rPr>
          <w:rFonts w:ascii="仿宋_GB2312" w:hAnsi="仿宋_GB2312" w:eastAsia="仿宋_GB2312" w:cs="仿宋_GB2312"/>
          <w:b w:val="0"/>
          <w:bCs w:val="0"/>
          <w:color w:val="000000"/>
          <w:sz w:val="31"/>
          <w:szCs w:val="31"/>
        </w:rPr>
        <w:t>结合我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工作实际进行制定，申报内容与实际相符</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申报目标合理可行。</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（三）项目自评步骤及方法。</w:t>
      </w:r>
      <w:r>
        <w:rPr>
          <w:rFonts w:ascii="仿宋_GB2312" w:hAnsi="仿宋_GB2312" w:eastAsia="仿宋_GB2312" w:cs="仿宋_GB2312"/>
          <w:b w:val="0"/>
          <w:bCs w:val="0"/>
          <w:color w:val="000000"/>
          <w:sz w:val="31"/>
          <w:szCs w:val="31"/>
        </w:rPr>
        <w:t>自评工作采用定量和定性相结合的方法，对于可量化指 标进行细化、量化，对于无法量化的指标根据客观依据评判。结合项目实施过程中的督导检查情况，综合自评。</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二、项目资金申报及使用情况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（一）项目资金申报及批复情况。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2024年年初我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按</w:t>
      </w:r>
      <w:r>
        <w:rPr>
          <w:rFonts w:hint="eastAsia" w:ascii="仿宋_GB2312" w:hAnsi="仿宋_GB2312" w:eastAsia="仿宋_GB2312" w:cs="仿宋_GB2312"/>
          <w:b w:val="0"/>
          <w:bCs w:val="0"/>
          <w:color w:val="000000"/>
          <w:sz w:val="31"/>
          <w:szCs w:val="31"/>
          <w:lang w:val="en-US" w:eastAsia="zh-CN"/>
        </w:rPr>
        <w:t>乐山市目标任务数、</w:t>
      </w:r>
      <w:r>
        <w:rPr>
          <w:rFonts w:ascii="仿宋_GB2312" w:hAnsi="仿宋_GB2312" w:eastAsia="仿宋_GB2312" w:cs="仿宋_GB2312"/>
          <w:b w:val="0"/>
          <w:bCs w:val="0"/>
          <w:color w:val="000000"/>
          <w:sz w:val="31"/>
          <w:szCs w:val="31"/>
        </w:rPr>
        <w:t>市级资金分配方案进行预算编制，经市政府同意，报峨眉山市人民代表大会会议批准通过。</w:t>
      </w: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eastAsia="zh-CN"/>
        </w:rPr>
        <w:t>（</w:t>
      </w:r>
      <w:r>
        <w:rPr>
          <w:rFonts w:hint="eastAsia" w:ascii="楷体_GB2312" w:hAnsi="楷体_GB2312" w:eastAsia="楷体_GB2312" w:cs="楷体_GB2312"/>
          <w:b w:val="0"/>
          <w:bCs w:val="0"/>
          <w:color w:val="000000"/>
          <w:sz w:val="31"/>
          <w:szCs w:val="31"/>
          <w:lang w:val="en-US" w:eastAsia="zh-CN"/>
        </w:rPr>
        <w:t>二</w:t>
      </w:r>
      <w:r>
        <w:rPr>
          <w:rFonts w:hint="eastAsia" w:ascii="楷体_GB2312" w:hAnsi="楷体_GB2312" w:eastAsia="楷体_GB2312" w:cs="楷体_GB2312"/>
          <w:b w:val="0"/>
          <w:bCs w:val="0"/>
          <w:color w:val="000000"/>
          <w:sz w:val="31"/>
          <w:szCs w:val="31"/>
          <w:lang w:eastAsia="zh-CN"/>
        </w:rPr>
        <w:t>）</w:t>
      </w:r>
      <w:r>
        <w:rPr>
          <w:rFonts w:ascii="楷体_GB2312" w:hAnsi="楷体_GB2312" w:eastAsia="楷体_GB2312" w:cs="楷体_GB2312"/>
          <w:b w:val="0"/>
          <w:bCs w:val="0"/>
          <w:color w:val="000000"/>
          <w:sz w:val="31"/>
          <w:szCs w:val="31"/>
        </w:rPr>
        <w:t>资金计划、到位及使用情况。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资金计划。</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 2024年预算</w:t>
      </w:r>
      <w:r>
        <w:rPr>
          <w:rFonts w:hint="eastAsia" w:ascii="仿宋_GB2312" w:hAnsi="仿宋_GB2312" w:eastAsia="仿宋_GB2312" w:cs="仿宋_GB2312"/>
          <w:b w:val="0"/>
          <w:bCs w:val="0"/>
          <w:color w:val="000000"/>
          <w:sz w:val="31"/>
          <w:szCs w:val="31"/>
          <w:lang w:val="en-US" w:eastAsia="zh-CN"/>
        </w:rPr>
        <w:t>157.81</w:t>
      </w:r>
      <w:r>
        <w:rPr>
          <w:rFonts w:ascii="仿宋_GB2312" w:hAnsi="仿宋_GB2312" w:eastAsia="仿宋_GB2312" w:cs="仿宋_GB2312"/>
          <w:b w:val="0"/>
          <w:bCs w:val="0"/>
          <w:color w:val="000000"/>
          <w:sz w:val="31"/>
          <w:szCs w:val="31"/>
        </w:rPr>
        <w:t>万元，属专项资金。</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2．资金到位。</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 xml:space="preserve">经费项目预算 </w:t>
      </w:r>
      <w:r>
        <w:rPr>
          <w:rFonts w:hint="eastAsia" w:ascii="仿宋_GB2312" w:hAnsi="仿宋_GB2312" w:eastAsia="仿宋_GB2312" w:cs="仿宋_GB2312"/>
          <w:b w:val="0"/>
          <w:bCs w:val="0"/>
          <w:color w:val="000000"/>
          <w:sz w:val="31"/>
          <w:szCs w:val="31"/>
          <w:lang w:val="en-US" w:eastAsia="zh-CN"/>
        </w:rPr>
        <w:t>157.81</w:t>
      </w:r>
      <w:r>
        <w:rPr>
          <w:rFonts w:ascii="仿宋_GB2312" w:hAnsi="仿宋_GB2312" w:eastAsia="仿宋_GB2312" w:cs="仿宋_GB2312"/>
          <w:b w:val="0"/>
          <w:bCs w:val="0"/>
          <w:color w:val="000000"/>
          <w:sz w:val="31"/>
          <w:szCs w:val="31"/>
        </w:rPr>
        <w:t>万元，</w:t>
      </w:r>
      <w:r>
        <w:rPr>
          <w:rFonts w:hint="eastAsia" w:ascii="仿宋_GB2312" w:hAnsi="仿宋_GB2312" w:eastAsia="仿宋_GB2312" w:cs="仿宋_GB2312"/>
          <w:b w:val="0"/>
          <w:bCs w:val="0"/>
          <w:color w:val="000000"/>
          <w:sz w:val="31"/>
          <w:szCs w:val="31"/>
          <w:lang w:val="en-US" w:eastAsia="zh-CN"/>
        </w:rPr>
        <w:t>2024</w:t>
      </w:r>
      <w:r>
        <w:rPr>
          <w:rFonts w:ascii="仿宋_GB2312" w:hAnsi="仿宋_GB2312" w:eastAsia="仿宋_GB2312" w:cs="仿宋_GB2312"/>
          <w:b w:val="0"/>
          <w:bCs w:val="0"/>
          <w:color w:val="000000"/>
          <w:sz w:val="31"/>
          <w:szCs w:val="31"/>
        </w:rPr>
        <w:t>年已全部到位，资金到位率 100%。</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3．资金使用。</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经费项目实际支出</w:t>
      </w:r>
      <w:r>
        <w:rPr>
          <w:rFonts w:hint="eastAsia" w:ascii="仿宋_GB2312" w:hAnsi="仿宋_GB2312" w:eastAsia="仿宋_GB2312" w:cs="仿宋_GB2312"/>
          <w:b w:val="0"/>
          <w:bCs w:val="0"/>
          <w:color w:val="000000"/>
          <w:sz w:val="31"/>
          <w:szCs w:val="31"/>
          <w:lang w:val="en-US" w:eastAsia="zh-CN"/>
        </w:rPr>
        <w:t>157.81</w:t>
      </w:r>
      <w:r>
        <w:rPr>
          <w:rFonts w:ascii="仿宋_GB2312" w:hAnsi="仿宋_GB2312" w:eastAsia="仿宋_GB2312" w:cs="仿宋_GB2312"/>
          <w:b w:val="0"/>
          <w:bCs w:val="0"/>
          <w:color w:val="000000"/>
          <w:sz w:val="31"/>
          <w:szCs w:val="31"/>
        </w:rPr>
        <w:t>万元，已全部足额支付。资金支付与预算项目实施方案相符，支付范围、支付标准、支付依据合规合法。</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（三）项目财务管理情况。</w:t>
      </w:r>
      <w:r>
        <w:rPr>
          <w:rFonts w:ascii="仿宋_GB2312" w:hAnsi="仿宋_GB2312" w:eastAsia="仿宋_GB2312" w:cs="仿宋_GB2312"/>
          <w:b w:val="0"/>
          <w:bCs w:val="0"/>
          <w:color w:val="000000"/>
          <w:sz w:val="31"/>
          <w:szCs w:val="31"/>
        </w:rPr>
        <w:t>该项目资金实行专款专用，从日常监管情况来看，项目实施单位财务管理制度健全，严格执行财务管理制度，账务处理及时，会计核算规范。</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三、项目实施及管理情况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（一）项目组织架构及实施流程。</w:t>
      </w:r>
      <w:r>
        <w:rPr>
          <w:rFonts w:ascii="仿宋_GB2312" w:hAnsi="仿宋_GB2312" w:eastAsia="仿宋_GB2312" w:cs="仿宋_GB2312"/>
          <w:b w:val="0"/>
          <w:bCs w:val="0"/>
          <w:color w:val="000000"/>
          <w:sz w:val="31"/>
          <w:szCs w:val="31"/>
        </w:rPr>
        <w:t>该项目管理由</w:t>
      </w:r>
      <w:r>
        <w:rPr>
          <w:rFonts w:hint="eastAsia" w:ascii="仿宋_GB2312" w:hAnsi="仿宋_GB2312" w:eastAsia="仿宋_GB2312" w:cs="仿宋_GB2312"/>
          <w:b w:val="0"/>
          <w:bCs w:val="0"/>
          <w:color w:val="000000"/>
          <w:sz w:val="31"/>
          <w:szCs w:val="31"/>
          <w:lang w:val="en-US" w:eastAsia="zh-CN"/>
        </w:rPr>
        <w:t>峨眉山市残疾人联合会</w:t>
      </w:r>
      <w:r>
        <w:rPr>
          <w:rFonts w:ascii="仿宋_GB2312" w:hAnsi="仿宋_GB2312" w:eastAsia="仿宋_GB2312" w:cs="仿宋_GB2312"/>
          <w:b w:val="0"/>
          <w:bCs w:val="0"/>
          <w:color w:val="000000"/>
          <w:sz w:val="31"/>
          <w:szCs w:val="31"/>
        </w:rPr>
        <w:t>进行决策管理， 工作部门根据上级</w:t>
      </w:r>
      <w:r>
        <w:rPr>
          <w:rFonts w:hint="eastAsia" w:ascii="仿宋_GB2312" w:hAnsi="仿宋_GB2312" w:eastAsia="仿宋_GB2312" w:cs="仿宋_GB2312"/>
          <w:b w:val="0"/>
          <w:bCs w:val="0"/>
          <w:color w:val="000000"/>
          <w:sz w:val="31"/>
          <w:szCs w:val="31"/>
          <w:lang w:val="en-US" w:eastAsia="zh-CN"/>
        </w:rPr>
        <w:t>要求</w:t>
      </w:r>
      <w:r>
        <w:rPr>
          <w:rFonts w:ascii="仿宋_GB2312" w:hAnsi="仿宋_GB2312" w:eastAsia="仿宋_GB2312" w:cs="仿宋_GB2312"/>
          <w:b w:val="0"/>
          <w:bCs w:val="0"/>
          <w:color w:val="000000"/>
          <w:sz w:val="31"/>
          <w:szCs w:val="31"/>
        </w:rPr>
        <w:t>使用范围、绩效目标工作任务，提出资金使用申报</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审核支付。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（二）项目管理情况。</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经费项目由</w:t>
      </w:r>
      <w:r>
        <w:rPr>
          <w:rFonts w:hint="eastAsia" w:ascii="仿宋_GB2312" w:hAnsi="仿宋_GB2312" w:eastAsia="仿宋_GB2312" w:cs="仿宋_GB2312"/>
          <w:b w:val="0"/>
          <w:bCs w:val="0"/>
          <w:color w:val="000000"/>
          <w:sz w:val="31"/>
          <w:szCs w:val="31"/>
          <w:lang w:val="en-US" w:eastAsia="zh-CN"/>
        </w:rPr>
        <w:t>办公室</w:t>
      </w:r>
      <w:r>
        <w:rPr>
          <w:rFonts w:ascii="仿宋_GB2312" w:hAnsi="仿宋_GB2312" w:eastAsia="仿宋_GB2312" w:cs="仿宋_GB2312"/>
          <w:b w:val="0"/>
          <w:bCs w:val="0"/>
          <w:color w:val="000000"/>
          <w:sz w:val="31"/>
          <w:szCs w:val="31"/>
        </w:rPr>
        <w:t xml:space="preserve">负责，保证项目顺利实施达到预期效果，完成项目绩效目标。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（三）项目监管情况。 </w:t>
      </w:r>
      <w:r>
        <w:rPr>
          <w:rFonts w:ascii="仿宋_GB2312" w:hAnsi="仿宋_GB2312" w:eastAsia="仿宋_GB2312" w:cs="仿宋_GB2312"/>
          <w:b w:val="0"/>
          <w:bCs w:val="0"/>
          <w:color w:val="000000"/>
          <w:sz w:val="31"/>
          <w:szCs w:val="31"/>
        </w:rPr>
        <w:t>该项目采用常态化监控+动态化监督检查+绩效评价监督的联动机制从严从实的对项目绩效监督管理。确保资金安全，</w:t>
      </w:r>
      <w:r>
        <w:rPr>
          <w:rFonts w:hint="eastAsia" w:ascii="仿宋_GB2312" w:hAnsi="仿宋_GB2312" w:eastAsia="仿宋_GB2312" w:cs="仿宋_GB2312"/>
          <w:b w:val="0"/>
          <w:bCs w:val="0"/>
          <w:color w:val="000000"/>
          <w:sz w:val="31"/>
          <w:szCs w:val="31"/>
          <w:lang w:eastAsia="zh-CN"/>
        </w:rPr>
        <w:t>专</w:t>
      </w:r>
      <w:r>
        <w:rPr>
          <w:rFonts w:ascii="仿宋_GB2312" w:hAnsi="仿宋_GB2312" w:eastAsia="仿宋_GB2312" w:cs="仿宋_GB2312"/>
          <w:b w:val="0"/>
          <w:bCs w:val="0"/>
          <w:color w:val="000000"/>
          <w:sz w:val="31"/>
          <w:szCs w:val="31"/>
        </w:rPr>
        <w:t xml:space="preserve">款专用。目前未发现有违规行为。 </w:t>
      </w:r>
    </w:p>
    <w:p>
      <w:pPr>
        <w:numPr>
          <w:ilvl w:val="0"/>
          <w:numId w:val="0"/>
        </w:numPr>
        <w:ind w:firstLine="620" w:firstLineChars="200"/>
        <w:rPr>
          <w:rFonts w:ascii="黑体" w:hAnsi="宋体" w:eastAsia="黑体" w:cs="黑体"/>
          <w:b w:val="0"/>
          <w:bCs w:val="0"/>
          <w:color w:val="000000"/>
          <w:sz w:val="31"/>
          <w:szCs w:val="31"/>
        </w:rPr>
      </w:pPr>
      <w:r>
        <w:rPr>
          <w:rFonts w:ascii="黑体" w:hAnsi="宋体" w:eastAsia="黑体" w:cs="黑体"/>
          <w:b w:val="0"/>
          <w:bCs w:val="0"/>
          <w:color w:val="000000"/>
          <w:sz w:val="31"/>
          <w:szCs w:val="31"/>
        </w:rPr>
        <w:t xml:space="preserve">四、项目绩效情况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（一）项目完成情况。</w:t>
      </w:r>
      <w:r>
        <w:rPr>
          <w:rFonts w:hint="eastAsia" w:ascii="仿宋_GB2312" w:hAnsi="仿宋_GB2312" w:eastAsia="仿宋_GB2312" w:cs="仿宋_GB2312"/>
          <w:b w:val="0"/>
          <w:bCs w:val="0"/>
          <w:color w:val="000000"/>
          <w:sz w:val="31"/>
          <w:szCs w:val="31"/>
          <w:lang w:val="en-US" w:eastAsia="zh-CN"/>
        </w:rPr>
        <w:t>补助符合条件的在进行居家灵活就业的残疾人，提高残疾人社会参与度</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（二）项目效益情况。</w:t>
      </w:r>
      <w:r>
        <w:rPr>
          <w:rFonts w:ascii="仿宋_GB2312" w:hAnsi="仿宋_GB2312" w:eastAsia="仿宋_GB2312" w:cs="仿宋_GB2312"/>
          <w:b w:val="0"/>
          <w:bCs w:val="0"/>
          <w:color w:val="000000"/>
          <w:sz w:val="31"/>
          <w:szCs w:val="31"/>
        </w:rPr>
        <w:t>该项目实施以来，</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。得到</w:t>
      </w:r>
      <w:r>
        <w:rPr>
          <w:rFonts w:hint="eastAsia" w:ascii="仿宋_GB2312" w:hAnsi="仿宋_GB2312" w:eastAsia="仿宋_GB2312" w:cs="仿宋_GB2312"/>
          <w:b w:val="0"/>
          <w:bCs w:val="0"/>
          <w:color w:val="000000"/>
          <w:sz w:val="31"/>
          <w:szCs w:val="31"/>
          <w:lang w:val="en-US" w:eastAsia="zh-CN"/>
        </w:rPr>
        <w:t>残疾人朋友的</w:t>
      </w:r>
      <w:r>
        <w:rPr>
          <w:rFonts w:ascii="仿宋_GB2312" w:hAnsi="仿宋_GB2312" w:eastAsia="仿宋_GB2312" w:cs="仿宋_GB2312"/>
          <w:b w:val="0"/>
          <w:bCs w:val="0"/>
          <w:color w:val="000000"/>
          <w:sz w:val="31"/>
          <w:szCs w:val="31"/>
        </w:rPr>
        <w:t>认可，取得了良好的社会</w:t>
      </w:r>
      <w:r>
        <w:rPr>
          <w:rFonts w:hint="eastAsia" w:ascii="仿宋_GB2312" w:hAnsi="仿宋_GB2312" w:eastAsia="仿宋_GB2312" w:cs="仿宋_GB2312"/>
          <w:b w:val="0"/>
          <w:bCs w:val="0"/>
          <w:color w:val="000000"/>
          <w:sz w:val="31"/>
          <w:szCs w:val="31"/>
          <w:lang w:val="en-US" w:eastAsia="zh-CN"/>
        </w:rPr>
        <w:t>评价</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五、评价结论及建议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（一）评价结论。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总体上看，该项目决策依据充分，绩效目标明确，管理制度健全，组织实施有序，资金使用规范结。通过项目实施</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。受到</w:t>
      </w:r>
      <w:r>
        <w:rPr>
          <w:rFonts w:hint="eastAsia" w:ascii="仿宋_GB2312" w:hAnsi="仿宋_GB2312" w:eastAsia="仿宋_GB2312" w:cs="仿宋_GB2312"/>
          <w:b w:val="0"/>
          <w:bCs w:val="0"/>
          <w:color w:val="000000"/>
          <w:sz w:val="31"/>
          <w:szCs w:val="31"/>
          <w:lang w:val="en-US" w:eastAsia="zh-CN"/>
        </w:rPr>
        <w:t>残疾人群体</w:t>
      </w:r>
      <w:r>
        <w:rPr>
          <w:rFonts w:ascii="仿宋_GB2312" w:hAnsi="仿宋_GB2312" w:eastAsia="仿宋_GB2312" w:cs="仿宋_GB2312"/>
          <w:b w:val="0"/>
          <w:bCs w:val="0"/>
          <w:color w:val="000000"/>
          <w:sz w:val="31"/>
          <w:szCs w:val="31"/>
        </w:rPr>
        <w:t>的赞许，群众满意率高。得到认可取得了良好的社会效益，是应该长期实施的项目。</w:t>
      </w:r>
    </w:p>
    <w:p>
      <w:pPr>
        <w:numPr>
          <w:ilvl w:val="0"/>
          <w:numId w:val="2"/>
        </w:numPr>
        <w:ind w:left="775" w:leftChars="0" w:firstLine="0" w:firstLineChars="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存在的问题。 </w:t>
      </w:r>
    </w:p>
    <w:p>
      <w:pPr>
        <w:numPr>
          <w:ilvl w:val="0"/>
          <w:numId w:val="0"/>
        </w:numPr>
        <w:ind w:left="775" w:leftChars="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项目绩效目标申报仍存在不完整、细化量化不够的问题。</w:t>
      </w:r>
    </w:p>
    <w:p>
      <w:pPr>
        <w:numPr>
          <w:ilvl w:val="0"/>
          <w:numId w:val="2"/>
        </w:numPr>
        <w:ind w:left="775" w:leftChars="0" w:firstLine="0" w:firstLineChars="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相关建议。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绩效目标制定是预算绩效管理的基础，也是编制项目预算、实施绩效监控、开展绩效评价的重要基础和依据。</w:t>
      </w:r>
    </w:p>
    <w:p>
      <w:pPr>
        <w:numPr>
          <w:ilvl w:val="0"/>
          <w:numId w:val="0"/>
        </w:numPr>
        <w:ind w:firstLine="620" w:firstLineChars="200"/>
      </w:pPr>
      <w:r>
        <w:rPr>
          <w:rFonts w:ascii="仿宋_GB2312" w:hAnsi="仿宋_GB2312" w:eastAsia="仿宋_GB2312" w:cs="仿宋_GB2312"/>
          <w:b w:val="0"/>
          <w:bCs w:val="0"/>
          <w:color w:val="000000"/>
          <w:sz w:val="31"/>
          <w:szCs w:val="31"/>
        </w:rPr>
        <w:t>下一步，采取更有力的措施，落实绩效管理主体责任，认真编制绩效目标。</w:t>
      </w:r>
    </w:p>
    <w:p>
      <w:pPr>
        <w:pStyle w:val="2"/>
      </w:pPr>
    </w:p>
    <w:p/>
    <w:p>
      <w:pPr>
        <w:pStyle w:val="2"/>
      </w:pPr>
    </w:p>
    <w:p/>
    <w:p>
      <w:pPr>
        <w:pStyle w:val="2"/>
      </w:pPr>
    </w:p>
    <w:p/>
    <w:p>
      <w:pPr>
        <w:pStyle w:val="2"/>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4"/>
      <w:bookmarkEnd w:id="56"/>
      <w:bookmarkStart w:id="57"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322E"/>
    <w:multiLevelType w:val="singleLevel"/>
    <w:tmpl w:val="FFD7322E"/>
    <w:lvl w:ilvl="0" w:tentative="0">
      <w:start w:val="3"/>
      <w:numFmt w:val="chineseCounting"/>
      <w:suff w:val="nothing"/>
      <w:lvlText w:val="（%1）"/>
      <w:lvlJc w:val="left"/>
      <w:pPr>
        <w:ind w:left="700" w:leftChars="0" w:firstLine="0" w:firstLineChars="0"/>
      </w:pPr>
      <w:rPr>
        <w:rFonts w:hint="eastAsia"/>
      </w:rPr>
    </w:lvl>
  </w:abstractNum>
  <w:abstractNum w:abstractNumId="1">
    <w:nsid w:val="5FEF26C7"/>
    <w:multiLevelType w:val="singleLevel"/>
    <w:tmpl w:val="5FEF26C7"/>
    <w:lvl w:ilvl="0" w:tentative="0">
      <w:start w:val="2"/>
      <w:numFmt w:val="chineseCounting"/>
      <w:suff w:val="nothing"/>
      <w:lvlText w:val="（%1）"/>
      <w:lvlJc w:val="left"/>
      <w:pPr>
        <w:ind w:left="775"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BA6AFE"/>
    <w:rsid w:val="061E35DE"/>
    <w:rsid w:val="066E0107"/>
    <w:rsid w:val="07996F6E"/>
    <w:rsid w:val="07DFD8BA"/>
    <w:rsid w:val="0835110A"/>
    <w:rsid w:val="089B1C05"/>
    <w:rsid w:val="08E83197"/>
    <w:rsid w:val="0939146E"/>
    <w:rsid w:val="09867E8F"/>
    <w:rsid w:val="0A2032A3"/>
    <w:rsid w:val="0B125E37"/>
    <w:rsid w:val="0CA8290A"/>
    <w:rsid w:val="0D35B1ED"/>
    <w:rsid w:val="0E254B6B"/>
    <w:rsid w:val="0E4449F4"/>
    <w:rsid w:val="0F98263C"/>
    <w:rsid w:val="101860EC"/>
    <w:rsid w:val="101F47CC"/>
    <w:rsid w:val="10C055FF"/>
    <w:rsid w:val="11694EBD"/>
    <w:rsid w:val="11772AA4"/>
    <w:rsid w:val="118107EC"/>
    <w:rsid w:val="11D720C8"/>
    <w:rsid w:val="12E24EE2"/>
    <w:rsid w:val="13CC1508"/>
    <w:rsid w:val="13D50BC4"/>
    <w:rsid w:val="13E22693"/>
    <w:rsid w:val="14B17F78"/>
    <w:rsid w:val="15E33EE6"/>
    <w:rsid w:val="165E0673"/>
    <w:rsid w:val="16B831D5"/>
    <w:rsid w:val="16BB723D"/>
    <w:rsid w:val="174325F7"/>
    <w:rsid w:val="17E50567"/>
    <w:rsid w:val="186504BB"/>
    <w:rsid w:val="19A445FC"/>
    <w:rsid w:val="19BF34CD"/>
    <w:rsid w:val="1BE8440E"/>
    <w:rsid w:val="1C442DAB"/>
    <w:rsid w:val="1D155CEE"/>
    <w:rsid w:val="1D1638FE"/>
    <w:rsid w:val="1E312DEB"/>
    <w:rsid w:val="1E6E6638"/>
    <w:rsid w:val="1E740ACF"/>
    <w:rsid w:val="1F6B3698"/>
    <w:rsid w:val="1FF35744"/>
    <w:rsid w:val="1FF6BC77"/>
    <w:rsid w:val="205A0974"/>
    <w:rsid w:val="2090127C"/>
    <w:rsid w:val="20BE042A"/>
    <w:rsid w:val="2186353C"/>
    <w:rsid w:val="225E5B9C"/>
    <w:rsid w:val="23860B96"/>
    <w:rsid w:val="240371BF"/>
    <w:rsid w:val="244F3473"/>
    <w:rsid w:val="24C97D99"/>
    <w:rsid w:val="25A718F0"/>
    <w:rsid w:val="25BB59F6"/>
    <w:rsid w:val="260F557C"/>
    <w:rsid w:val="26970054"/>
    <w:rsid w:val="281408E2"/>
    <w:rsid w:val="28225DE5"/>
    <w:rsid w:val="28A02E79"/>
    <w:rsid w:val="29FD04D3"/>
    <w:rsid w:val="2BE97B86"/>
    <w:rsid w:val="2BFF7BC6"/>
    <w:rsid w:val="2C8A61B5"/>
    <w:rsid w:val="2DC773DC"/>
    <w:rsid w:val="2DF04E50"/>
    <w:rsid w:val="2E586DFA"/>
    <w:rsid w:val="2E5F4766"/>
    <w:rsid w:val="2F040D46"/>
    <w:rsid w:val="2F6B035B"/>
    <w:rsid w:val="2FAE5751"/>
    <w:rsid w:val="2FB1A395"/>
    <w:rsid w:val="2FBF0B2F"/>
    <w:rsid w:val="2FD9A7D8"/>
    <w:rsid w:val="2FDBF714"/>
    <w:rsid w:val="30AB6865"/>
    <w:rsid w:val="31750675"/>
    <w:rsid w:val="319F7F4E"/>
    <w:rsid w:val="32BD1EF1"/>
    <w:rsid w:val="3304709D"/>
    <w:rsid w:val="33A773CB"/>
    <w:rsid w:val="33FFA79C"/>
    <w:rsid w:val="3480594D"/>
    <w:rsid w:val="349D6851"/>
    <w:rsid w:val="359564D8"/>
    <w:rsid w:val="3618394C"/>
    <w:rsid w:val="36AA5135"/>
    <w:rsid w:val="36BE0DA7"/>
    <w:rsid w:val="37682C5A"/>
    <w:rsid w:val="376B6AA6"/>
    <w:rsid w:val="376D39B2"/>
    <w:rsid w:val="37E16F03"/>
    <w:rsid w:val="37F53A3B"/>
    <w:rsid w:val="389B6C89"/>
    <w:rsid w:val="38D469F0"/>
    <w:rsid w:val="39315E0B"/>
    <w:rsid w:val="39627CCD"/>
    <w:rsid w:val="397BAF1F"/>
    <w:rsid w:val="39C75357"/>
    <w:rsid w:val="3A02255D"/>
    <w:rsid w:val="3A063F42"/>
    <w:rsid w:val="3AB79AF3"/>
    <w:rsid w:val="3AE834C0"/>
    <w:rsid w:val="3B7EF35A"/>
    <w:rsid w:val="3B9FDB6C"/>
    <w:rsid w:val="3BF5BC2F"/>
    <w:rsid w:val="3CEBA265"/>
    <w:rsid w:val="3D98207C"/>
    <w:rsid w:val="3DEE7CF3"/>
    <w:rsid w:val="3E0E5C2F"/>
    <w:rsid w:val="3E740A63"/>
    <w:rsid w:val="3E78745D"/>
    <w:rsid w:val="3EE17838"/>
    <w:rsid w:val="3F2D01BE"/>
    <w:rsid w:val="3F55381A"/>
    <w:rsid w:val="3F6F760F"/>
    <w:rsid w:val="3F7F7599"/>
    <w:rsid w:val="3FF4CAE0"/>
    <w:rsid w:val="3FF7B227"/>
    <w:rsid w:val="40CC5EDF"/>
    <w:rsid w:val="44E268DA"/>
    <w:rsid w:val="450D13D7"/>
    <w:rsid w:val="45506656"/>
    <w:rsid w:val="45615108"/>
    <w:rsid w:val="46710C9E"/>
    <w:rsid w:val="47056F93"/>
    <w:rsid w:val="471272CE"/>
    <w:rsid w:val="486A6C7A"/>
    <w:rsid w:val="48F366E5"/>
    <w:rsid w:val="4A627F82"/>
    <w:rsid w:val="4ADE3D60"/>
    <w:rsid w:val="4B0E749A"/>
    <w:rsid w:val="4B2477C4"/>
    <w:rsid w:val="4B4F25DA"/>
    <w:rsid w:val="4BE068DB"/>
    <w:rsid w:val="4CEB7154"/>
    <w:rsid w:val="4D577224"/>
    <w:rsid w:val="4DBF1CEB"/>
    <w:rsid w:val="4DF0007C"/>
    <w:rsid w:val="4EAB630A"/>
    <w:rsid w:val="4ECE2238"/>
    <w:rsid w:val="4EFF7168"/>
    <w:rsid w:val="4F833267"/>
    <w:rsid w:val="4FE9BD67"/>
    <w:rsid w:val="4FFB052F"/>
    <w:rsid w:val="534419AD"/>
    <w:rsid w:val="537E6D0A"/>
    <w:rsid w:val="539C2AB2"/>
    <w:rsid w:val="53F74C96"/>
    <w:rsid w:val="54717115"/>
    <w:rsid w:val="55170BA8"/>
    <w:rsid w:val="553218C9"/>
    <w:rsid w:val="55AB61A7"/>
    <w:rsid w:val="55F15779"/>
    <w:rsid w:val="567E1AA5"/>
    <w:rsid w:val="56E47B74"/>
    <w:rsid w:val="56F42EEA"/>
    <w:rsid w:val="57175D52"/>
    <w:rsid w:val="57BD3DD4"/>
    <w:rsid w:val="586F4122"/>
    <w:rsid w:val="58D7284D"/>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446B4C"/>
    <w:rsid w:val="615800BD"/>
    <w:rsid w:val="61644D8A"/>
    <w:rsid w:val="62BF3928"/>
    <w:rsid w:val="63382DD7"/>
    <w:rsid w:val="63577E08"/>
    <w:rsid w:val="6377642C"/>
    <w:rsid w:val="63B3701E"/>
    <w:rsid w:val="645C5585"/>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762BF9"/>
    <w:rsid w:val="6F8731EA"/>
    <w:rsid w:val="6FCE6052"/>
    <w:rsid w:val="6FD57C00"/>
    <w:rsid w:val="6FEFFFD8"/>
    <w:rsid w:val="6FF5CC65"/>
    <w:rsid w:val="6FFB47EC"/>
    <w:rsid w:val="6FFF034A"/>
    <w:rsid w:val="70387123"/>
    <w:rsid w:val="70484440"/>
    <w:rsid w:val="712A28F1"/>
    <w:rsid w:val="715C0E4B"/>
    <w:rsid w:val="71830048"/>
    <w:rsid w:val="71992E7C"/>
    <w:rsid w:val="72233669"/>
    <w:rsid w:val="72734D90"/>
    <w:rsid w:val="728247F7"/>
    <w:rsid w:val="73160E6D"/>
    <w:rsid w:val="7332FE48"/>
    <w:rsid w:val="737F088A"/>
    <w:rsid w:val="73AB61DA"/>
    <w:rsid w:val="73AD73D5"/>
    <w:rsid w:val="73B6EB34"/>
    <w:rsid w:val="73D73342"/>
    <w:rsid w:val="73FA497D"/>
    <w:rsid w:val="743E1546"/>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C346DF"/>
    <w:rsid w:val="79C87A4B"/>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4&#24180;&#24230;&#37096;&#38376;&#20915;&#31639;&#32534;&#21046;&#36164;&#26009;&#65288;&#21457;&#30456;&#20851;&#37096;&#38376;&#21333;&#20301;&#65289;\2023&#24180;&#37096;&#38376;&#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收、支决算总计变动情况图</a:t>
            </a:r>
            <a:endParaRPr lang="en-US" altLang="zh-CN"/>
          </a:p>
        </c:rich>
      </c:tx>
      <c:layout/>
      <c:overlay val="0"/>
      <c:spPr>
        <a:noFill/>
        <a:ln>
          <a:noFill/>
        </a:ln>
        <a:effectLst/>
      </c:spPr>
    </c:title>
    <c:autoTitleDeleted val="0"/>
    <c:plotArea>
      <c:layout>
        <c:manualLayout>
          <c:layoutTarget val="inner"/>
          <c:xMode val="edge"/>
          <c:yMode val="edge"/>
          <c:x val="0.1205"/>
          <c:y val="0.165972222222222"/>
          <c:w val="0.875333333333333"/>
          <c:h val="0.607268518518518"/>
        </c:manualLayout>
      </c:layout>
      <c:barChart>
        <c:barDir val="col"/>
        <c:grouping val="clustered"/>
        <c:varyColors val="0"/>
        <c:ser>
          <c:idx val="0"/>
          <c:order val="0"/>
          <c:tx>
            <c:strRef>
              <c:f>[决算公开插图.xlsx]Sheet1!$B$4</c:f>
              <c:strCache>
                <c:ptCount val="1"/>
                <c:pt idx="0">
                  <c:v>2024年</c:v>
                </c:pt>
              </c:strCache>
            </c:strRef>
          </c:tx>
          <c:spPr>
            <a:solidFill>
              <a:schemeClr val="accent2"/>
            </a:solidFill>
            <a:ln>
              <a:noFill/>
            </a:ln>
            <a:effectLst/>
          </c:spPr>
          <c:invertIfNegative val="0"/>
          <c:dLbls>
            <c:delete val="1"/>
          </c:dLbls>
          <c:cat>
            <c:strRef>
              <c:f>[决算公开插图.xlsx]Sheet1!$C$3:$D$3</c:f>
              <c:strCache>
                <c:ptCount val="2"/>
                <c:pt idx="0">
                  <c:v>总收入（万元）</c:v>
                </c:pt>
                <c:pt idx="1">
                  <c:v>总支出（万元）</c:v>
                </c:pt>
              </c:strCache>
            </c:strRef>
          </c:cat>
          <c:val>
            <c:numRef>
              <c:f>[决算公开插图.xlsx]Sheet1!$C$4:$D$4</c:f>
              <c:numCache>
                <c:formatCode>General</c:formatCode>
                <c:ptCount val="2"/>
                <c:pt idx="0">
                  <c:v>1178.64</c:v>
                </c:pt>
                <c:pt idx="1">
                  <c:v>1178.64</c:v>
                </c:pt>
              </c:numCache>
            </c:numRef>
          </c:val>
        </c:ser>
        <c:ser>
          <c:idx val="1"/>
          <c:order val="1"/>
          <c:tx>
            <c:strRef>
              <c:f>[决算公开插图.xlsx]Sheet1!$B$5</c:f>
              <c:strCache>
                <c:ptCount val="1"/>
                <c:pt idx="0">
                  <c:v>2023年</c:v>
                </c:pt>
              </c:strCache>
            </c:strRef>
          </c:tx>
          <c:spPr>
            <a:solidFill>
              <a:schemeClr val="accent4"/>
            </a:solidFill>
            <a:ln>
              <a:noFill/>
            </a:ln>
            <a:effectLst/>
          </c:spPr>
          <c:invertIfNegative val="0"/>
          <c:dLbls>
            <c:delete val="1"/>
          </c:dLbls>
          <c:cat>
            <c:strRef>
              <c:f>[决算公开插图.xlsx]Sheet1!$C$3:$D$3</c:f>
              <c:strCache>
                <c:ptCount val="2"/>
                <c:pt idx="0">
                  <c:v>总收入（万元）</c:v>
                </c:pt>
                <c:pt idx="1">
                  <c:v>总支出（万元）</c:v>
                </c:pt>
              </c:strCache>
            </c:strRef>
          </c:cat>
          <c:val>
            <c:numRef>
              <c:f>[决算公开插图.xlsx]Sheet1!$C$5:$D$5</c:f>
              <c:numCache>
                <c:formatCode>General</c:formatCode>
                <c:ptCount val="2"/>
                <c:pt idx="0">
                  <c:v>993.87</c:v>
                </c:pt>
                <c:pt idx="1">
                  <c:v>993.87</c:v>
                </c:pt>
              </c:numCache>
            </c:numRef>
          </c:val>
        </c:ser>
        <c:dLbls>
          <c:showLegendKey val="0"/>
          <c:showVal val="0"/>
          <c:showCatName val="0"/>
          <c:showSerName val="0"/>
          <c:showPercent val="0"/>
          <c:showBubbleSize val="0"/>
        </c:dLbls>
        <c:gapWidth val="219"/>
        <c:overlap val="-27"/>
        <c:axId val="879583418"/>
        <c:axId val="358864519"/>
      </c:barChart>
      <c:catAx>
        <c:axId val="8795834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864519"/>
        <c:crosses val="autoZero"/>
        <c:auto val="1"/>
        <c:lblAlgn val="ctr"/>
        <c:lblOffset val="100"/>
        <c:noMultiLvlLbl val="0"/>
      </c:catAx>
      <c:valAx>
        <c:axId val="358864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834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[决算公开插图.xlsx]Sheet1!$C$23</c:f>
              <c:strCache>
                <c:ptCount val="1"/>
                <c:pt idx="0">
                  <c:v>2024年度收入</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0.227753241285097"/>
                  <c:y val="-0.07775760408029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一般公共预算财政拨款收入96.01</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7625"/>
                      <c:h val="0.116666666666667"/>
                    </c:manualLayout>
                  </c15:layout>
                </c:ext>
              </c:extLst>
            </c:dLbl>
            <c:dLbl>
              <c:idx val="1"/>
              <c:layout>
                <c:manualLayout>
                  <c:x val="-0.203435074880771"/>
                  <c:y val="0.079173831926106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a:t>
                    </a:r>
                    <a:r>
                      <a:rPr lang="en-US" altLang="zh-CN"/>
                      <a:t>3.84</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53055555555556"/>
                      <c:h val="0.183564814814815"/>
                    </c:manualLayout>
                  </c15:layout>
                </c:ext>
              </c:extLst>
            </c:dLbl>
            <c:dLbl>
              <c:idx val="2"/>
              <c:layout>
                <c:manualLayout>
                  <c:x val="0.217257987001134"/>
                  <c:y val="0.02429035837719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ltLang="en-US"/>
                      <a:t>其它收入</a:t>
                    </a:r>
                    <a:r>
                      <a:rPr lang="en-US" altLang="zh-CN"/>
                      <a:t>0.15</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96527777777778"/>
                      <c:h val="0.17106481481481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[决算公开插图.xlsx]Sheet1!$B$24:$B$26</c:f>
              <c:strCache>
                <c:ptCount val="3"/>
                <c:pt idx="0">
                  <c:v>一般公共预算财政拨款收入</c:v>
                </c:pt>
                <c:pt idx="1">
                  <c:v>政府性基金预算财政拨款收入</c:v>
                </c:pt>
              </c:strCache>
            </c:strRef>
          </c:cat>
          <c:val>
            <c:numRef>
              <c:f>[决算公开插图.xlsx]Sheet1!$C$24:$C$26</c:f>
              <c:numCache>
                <c:formatCode>General</c:formatCode>
                <c:ptCount val="3"/>
                <c:pt idx="0">
                  <c:v>798.4</c:v>
                </c:pt>
                <c:pt idx="1">
                  <c:v>192.37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[决算公开插图.xlsx]Sheet1!$C$41</c:f>
              <c:strCache>
                <c:ptCount val="1"/>
                <c:pt idx="0">
                  <c:v>支出决算结构图</c:v>
                </c:pt>
              </c:strCache>
            </c:strRef>
          </c:tx>
          <c:spPr/>
          <c:explosion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63.35</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48333333333333"/>
                      <c:h val="0.150925925925926"/>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36.65</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33055555555556"/>
                      <c:h val="0.1546296296296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[决算公开插图.xlsx]Sheet1!$B$42:$B$43</c:f>
              <c:strCache>
                <c:ptCount val="2"/>
                <c:pt idx="0">
                  <c:v>基本支出</c:v>
                </c:pt>
                <c:pt idx="1">
                  <c:v>项目支出</c:v>
                </c:pt>
              </c:strCache>
            </c:strRef>
          </c:cat>
          <c:val>
            <c:numRef>
              <c:f>[决算公开插图.xlsx]Sheet1!$C$42:$C$43</c:f>
              <c:numCache>
                <c:formatCode>General</c:formatCode>
                <c:ptCount val="2"/>
                <c:pt idx="0">
                  <c:v>214.48</c:v>
                </c:pt>
                <c:pt idx="1">
                  <c:v>776.3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[决算公开插图.xlsx]Sheet1!$B$63</c:f>
              <c:strCache>
                <c:ptCount val="1"/>
                <c:pt idx="0">
                  <c:v>2023年</c:v>
                </c:pt>
              </c:strCache>
            </c:strRef>
          </c:tx>
          <c:spPr>
            <a:solidFill>
              <a:schemeClr val="accent2"/>
            </a:solidFill>
            <a:ln>
              <a:noFill/>
            </a:ln>
            <a:effectLst/>
          </c:spPr>
          <c:invertIfNegative val="0"/>
          <c:dLbls>
            <c:delete val="1"/>
          </c:dLbls>
          <c:cat>
            <c:strRef>
              <c:f>[决算公开插图.xlsx]Sheet1!$C$62:$D$62</c:f>
              <c:strCache>
                <c:ptCount val="2"/>
                <c:pt idx="0">
                  <c:v>财政拨款收入（万元）</c:v>
                </c:pt>
                <c:pt idx="1">
                  <c:v>财政拨款支出（万元）</c:v>
                </c:pt>
              </c:strCache>
            </c:strRef>
          </c:cat>
          <c:val>
            <c:numRef>
              <c:f>[决算公开插图.xlsx]Sheet1!$C$63:$D$63</c:f>
              <c:numCache>
                <c:formatCode>General</c:formatCode>
                <c:ptCount val="2"/>
                <c:pt idx="0">
                  <c:v>1178.64</c:v>
                </c:pt>
                <c:pt idx="1">
                  <c:v>1178.64</c:v>
                </c:pt>
              </c:numCache>
            </c:numRef>
          </c:val>
        </c:ser>
        <c:ser>
          <c:idx val="1"/>
          <c:order val="1"/>
          <c:tx>
            <c:strRef>
              <c:f>[决算公开插图.xlsx]Sheet1!$B$64</c:f>
              <c:strCache>
                <c:ptCount val="1"/>
                <c:pt idx="0">
                  <c:v>2024年</c:v>
                </c:pt>
              </c:strCache>
            </c:strRef>
          </c:tx>
          <c:spPr>
            <a:solidFill>
              <a:schemeClr val="accent4"/>
            </a:solidFill>
            <a:ln>
              <a:noFill/>
            </a:ln>
            <a:effectLst/>
          </c:spPr>
          <c:invertIfNegative val="0"/>
          <c:dLbls>
            <c:delete val="1"/>
          </c:dLbls>
          <c:cat>
            <c:strRef>
              <c:f>[决算公开插图.xlsx]Sheet1!$C$62:$D$62</c:f>
              <c:strCache>
                <c:ptCount val="2"/>
                <c:pt idx="0">
                  <c:v>财政拨款收入（万元）</c:v>
                </c:pt>
                <c:pt idx="1">
                  <c:v>财政拨款支出（万元）</c:v>
                </c:pt>
              </c:strCache>
            </c:strRef>
          </c:cat>
          <c:val>
            <c:numRef>
              <c:f>[决算公开插图.xlsx]Sheet1!$C$64:$D$64</c:f>
              <c:numCache>
                <c:formatCode>General</c:formatCode>
                <c:ptCount val="2"/>
                <c:pt idx="0">
                  <c:v>993.87</c:v>
                </c:pt>
                <c:pt idx="1">
                  <c:v>993.87</c:v>
                </c:pt>
              </c:numCache>
            </c:numRef>
          </c:val>
        </c:ser>
        <c:dLbls>
          <c:showLegendKey val="0"/>
          <c:showVal val="0"/>
          <c:showCatName val="0"/>
          <c:showSerName val="0"/>
          <c:showPercent val="0"/>
          <c:showBubbleSize val="0"/>
        </c:dLbls>
        <c:gapWidth val="219"/>
        <c:overlap val="-27"/>
        <c:axId val="570974516"/>
        <c:axId val="885442730"/>
      </c:barChart>
      <c:catAx>
        <c:axId val="5709745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442730"/>
        <c:crosses val="autoZero"/>
        <c:auto val="1"/>
        <c:lblAlgn val="ctr"/>
        <c:lblOffset val="100"/>
        <c:noMultiLvlLbl val="0"/>
      </c:catAx>
      <c:valAx>
        <c:axId val="8854427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9745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[决算公开插图.xlsx]Sheet1!$C$76</c:f>
              <c:strCache>
                <c:ptCount val="1"/>
                <c:pt idx="0">
                  <c:v>一般公共预算财政拨款支出决算变动情况</c:v>
                </c:pt>
              </c:strCache>
            </c:strRef>
          </c:tx>
          <c:spPr>
            <a:solidFill>
              <a:schemeClr val="accent2"/>
            </a:solidFill>
            <a:ln>
              <a:noFill/>
            </a:ln>
            <a:effectLst/>
          </c:spPr>
          <c:invertIfNegative val="0"/>
          <c:dLbls>
            <c:delete val="1"/>
          </c:dLbls>
          <c:cat>
            <c:strRef>
              <c:f>[决算公开插图.xlsx]Sheet1!$B$77:$B$78</c:f>
              <c:strCache>
                <c:ptCount val="2"/>
                <c:pt idx="0">
                  <c:v>2023年</c:v>
                </c:pt>
                <c:pt idx="1">
                  <c:v>2024年</c:v>
                </c:pt>
              </c:strCache>
            </c:strRef>
          </c:cat>
          <c:val>
            <c:numRef>
              <c:f>[决算公开插图.xlsx]Sheet1!$C$77:$C$78</c:f>
              <c:numCache>
                <c:formatCode>General</c:formatCode>
                <c:ptCount val="2"/>
                <c:pt idx="0">
                  <c:v>1175.54</c:v>
                </c:pt>
                <c:pt idx="1">
                  <c:v>798.4</c:v>
                </c:pt>
              </c:numCache>
            </c:numRef>
          </c:val>
        </c:ser>
        <c:dLbls>
          <c:showLegendKey val="0"/>
          <c:showVal val="0"/>
          <c:showCatName val="0"/>
          <c:showSerName val="0"/>
          <c:showPercent val="0"/>
          <c:showBubbleSize val="0"/>
        </c:dLbls>
        <c:gapWidth val="219"/>
        <c:overlap val="-27"/>
        <c:axId val="706646768"/>
        <c:axId val="671039867"/>
      </c:barChart>
      <c:catAx>
        <c:axId val="7066467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039867"/>
        <c:crosses val="autoZero"/>
        <c:auto val="1"/>
        <c:lblAlgn val="ctr"/>
        <c:lblOffset val="100"/>
        <c:noMultiLvlLbl val="0"/>
      </c:catAx>
      <c:valAx>
        <c:axId val="6710398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6646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dk1"/>
                </a:solidFill>
                <a:latin typeface="+mn-lt"/>
                <a:ea typeface="+mn-ea"/>
                <a:cs typeface="+mn-cs"/>
              </a:defRPr>
            </a:pPr>
            <a:r>
              <a:rPr>
                <a:solidFill>
                  <a:schemeClr val="dk1"/>
                </a:solidFill>
                <a:latin typeface="+mn-lt"/>
                <a:ea typeface="+mn-ea"/>
                <a:cs typeface="+mn-cs"/>
              </a:rPr>
              <a:t>一般公共预算财政拨款支出决算结构图</a:t>
            </a:r>
            <a:endParaRPr>
              <a:solidFill>
                <a:schemeClr val="dk1"/>
              </a:solidFill>
              <a:latin typeface="+mn-lt"/>
              <a:ea typeface="+mn-ea"/>
              <a:cs typeface="+mn-cs"/>
            </a:endParaRPr>
          </a:p>
        </c:rich>
      </c:tx>
      <c:layout/>
      <c:overlay val="0"/>
      <c:spPr>
        <a:solidFill>
          <a:schemeClr val="lt1"/>
        </a:solidFill>
        <a:ln w="25400" cap="flat" cmpd="sng" algn="ctr">
          <a:solidFill>
            <a:schemeClr val="dk1"/>
          </a:solidFill>
          <a:prstDash val="solid"/>
        </a:ln>
        <a:effectLst/>
        <a:sp3d>
          <a:extrusionClr>
            <a:srgbClr val="FFFFFF"/>
          </a:extrusionClr>
          <a:contourClr>
            <a:srgbClr val="FFFFFF"/>
          </a:contourClr>
        </a:sp3d>
      </c:spPr>
    </c:title>
    <c:autoTitleDeleted val="0"/>
    <c:plotArea>
      <c:layout>
        <c:manualLayout>
          <c:layoutTarget val="inner"/>
          <c:xMode val="edge"/>
          <c:yMode val="edge"/>
          <c:x val="0.323694444444444"/>
          <c:y val="0.209513888888889"/>
          <c:w val="0.352611111111111"/>
          <c:h val="0.58768518518518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927087912291726"/>
                  <c:y val="0.04660979892786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[图表.xlsx]Sheet6!$A$1:$A$3</c:f>
              <c:strCache>
                <c:ptCount val="3"/>
                <c:pt idx="0">
                  <c:v>社会保障和就业支出</c:v>
                </c:pt>
                <c:pt idx="1">
                  <c:v>卫生健康支出</c:v>
                </c:pt>
                <c:pt idx="2">
                  <c:v>住房保障支出</c:v>
                </c:pt>
              </c:strCache>
            </c:strRef>
          </c:cat>
          <c:val>
            <c:numRef>
              <c:f>[图表.xlsx]Sheet6!$B$1:$B$3</c:f>
              <c:numCache>
                <c:formatCode>0.00%</c:formatCode>
                <c:ptCount val="3"/>
                <c:pt idx="0">
                  <c:v>0.972</c:v>
                </c:pt>
                <c:pt idx="1">
                  <c:v>0.0103</c:v>
                </c:pt>
                <c:pt idx="2">
                  <c:v>0.0177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solidFill>
      <a:schemeClr val="lt1"/>
    </a:solidFill>
    <a:ln w="25400" cap="flat" cmpd="sng" algn="ctr">
      <a:solidFill>
        <a:schemeClr val="accent1"/>
      </a:solidFill>
      <a:prstDash val="solid"/>
      <a:round/>
    </a:ln>
    <a:effectLst/>
    <a:sp3d>
      <a:extrusionClr>
        <a:srgbClr val="FFFFFF"/>
      </a:extrusionClr>
      <a:contourClr>
        <a:srgbClr val="FFFFFF"/>
      </a:contourClr>
    </a:sp3d>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[决算公开插图.xlsx]Sheet1!$C$121</c:f>
              <c:strCache>
                <c:ptCount val="1"/>
                <c:pt idx="0">
                  <c:v>“三公”经费财政拨款支出结构</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layout>
                <c:manualLayout>
                  <c:x val="-0.0562502096031251"/>
                  <c:y val="0.030040509258785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35416437655844"/>
                  <c:y val="0.04392939814758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[决算公开插图.xlsx]Sheet1!$B$122:$B$124</c:f>
              <c:strCache>
                <c:ptCount val="3"/>
                <c:pt idx="0">
                  <c:v>因公出国（境）费支出</c:v>
                </c:pt>
                <c:pt idx="1">
                  <c:v>公务用车购置及运行维护费支出</c:v>
                </c:pt>
                <c:pt idx="2">
                  <c:v>公务接待费支出</c:v>
                </c:pt>
              </c:strCache>
            </c:strRef>
          </c:cat>
          <c:val>
            <c:numRef>
              <c:f>[决算公开插图.xlsx]Sheet1!$C$122:$C$124</c:f>
              <c:numCache>
                <c:formatCode>General</c:formatCode>
                <c:ptCount val="3"/>
                <c:pt idx="0">
                  <c:v>0</c:v>
                </c:pt>
                <c:pt idx="1">
                  <c:v>2.88</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1299</Words>
  <Characters>7410</Characters>
  <Lines>61</Lines>
  <Paragraphs>17</Paragraphs>
  <TotalTime>0</TotalTime>
  <ScaleCrop>false</ScaleCrop>
  <LinksUpToDate>false</LinksUpToDate>
  <CharactersWithSpaces>8692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Administrator</cp:lastModifiedBy>
  <cp:lastPrinted>2025-12-08T03:03:00Z</cp:lastPrinted>
  <dcterms:modified xsi:type="dcterms:W3CDTF">2025-12-08T03:13:11Z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17B5F8C6F79023C2653C3669774445DB</vt:lpwstr>
  </property>
</Properties>
</file>