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826A3">
      <w:pPr>
        <w:rPr>
          <w:rFonts w:hint="default" w:ascii="Times New Roman" w:hAnsi="Times New Roman" w:eastAsia="宋体"/>
          <w:color w:val="auto"/>
          <w:lang w:val="en-US" w:eastAsia="zh-CN"/>
        </w:rPr>
      </w:pPr>
      <w:bookmarkStart w:id="0" w:name="_Toc15396597"/>
      <w:bookmarkStart w:id="1" w:name="_Toc15378441"/>
      <w:bookmarkStart w:id="2" w:name="_Toc15306267"/>
      <w:bookmarkStart w:id="3" w:name="_Toc15377193"/>
      <w:bookmarkStart w:id="4" w:name="_Toc15377425"/>
      <w:bookmarkStart w:id="5" w:name="_Toc15396475"/>
      <w:r>
        <w:rPr>
          <w:rFonts w:hint="eastAsia"/>
          <w:lang w:val="en-US" w:eastAsia="zh-CN"/>
        </w:rPr>
        <w:t xml:space="preserve">      </w:t>
      </w:r>
    </w:p>
    <w:bookmarkEnd w:id="0"/>
    <w:bookmarkEnd w:id="1"/>
    <w:bookmarkEnd w:id="2"/>
    <w:bookmarkEnd w:id="3"/>
    <w:bookmarkEnd w:id="4"/>
    <w:bookmarkEnd w:id="5"/>
    <w:p w14:paraId="235B9E0C">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79B46EDC">
      <w:pPr>
        <w:pStyle w:val="6"/>
        <w:jc w:val="center"/>
        <w:rPr>
          <w:rFonts w:hint="eastAsia" w:ascii="方正小标宋简体" w:hAnsi="宋体" w:eastAsia="方正小标宋简体" w:cs="Times New Roman"/>
          <w:color w:val="auto"/>
          <w:kern w:val="2"/>
          <w:sz w:val="52"/>
          <w:szCs w:val="52"/>
          <w:highlight w:val="none"/>
          <w:lang w:val="en-US" w:eastAsia="zh-CN" w:bidi="ar-SA"/>
        </w:rPr>
      </w:pPr>
    </w:p>
    <w:p w14:paraId="54325D74">
      <w:pPr>
        <w:pStyle w:val="6"/>
        <w:jc w:val="center"/>
        <w:rPr>
          <w:rFonts w:hint="eastAsia" w:ascii="方正小标宋简体" w:hAnsi="方正小标宋简体" w:eastAsia="方正小标宋简体" w:cs="方正小标宋简体"/>
          <w:color w:val="auto"/>
          <w:kern w:val="2"/>
          <w:sz w:val="56"/>
          <w:szCs w:val="56"/>
          <w:highlight w:val="none"/>
          <w:lang w:val="en-US" w:eastAsia="zh-CN" w:bidi="ar-SA"/>
        </w:rPr>
      </w:pPr>
      <w:r>
        <w:rPr>
          <w:rFonts w:hint="eastAsia" w:ascii="方正小标宋简体" w:hAnsi="方正小标宋简体" w:eastAsia="方正小标宋简体" w:cs="方正小标宋简体"/>
          <w:color w:val="auto"/>
          <w:kern w:val="2"/>
          <w:sz w:val="56"/>
          <w:szCs w:val="56"/>
          <w:highlight w:val="none"/>
          <w:lang w:val="en-US" w:eastAsia="zh-CN" w:bidi="ar-SA"/>
        </w:rPr>
        <w:t>2024年度</w:t>
      </w:r>
      <w:bookmarkStart w:id="6" w:name="_Toc15396598"/>
      <w:bookmarkStart w:id="7" w:name="_Toc15377426"/>
      <w:bookmarkStart w:id="8" w:name="_Toc15378442"/>
      <w:bookmarkStart w:id="9" w:name="_Toc15396476"/>
      <w:bookmarkStart w:id="10" w:name="_Toc15377194"/>
    </w:p>
    <w:p w14:paraId="000D56F5">
      <w:pPr>
        <w:pStyle w:val="6"/>
        <w:jc w:val="center"/>
        <w:rPr>
          <w:rFonts w:hint="eastAsia" w:ascii="方正小标宋简体" w:hAnsi="方正小标宋简体" w:eastAsia="方正小标宋简体" w:cs="方正小标宋简体"/>
          <w:color w:val="auto"/>
          <w:kern w:val="2"/>
          <w:sz w:val="56"/>
          <w:szCs w:val="56"/>
          <w:highlight w:val="none"/>
          <w:lang w:val="en-US" w:eastAsia="zh-CN" w:bidi="ar-SA"/>
        </w:rPr>
      </w:pPr>
      <w:r>
        <w:rPr>
          <w:rFonts w:hint="eastAsia" w:ascii="方正小标宋简体" w:hAnsi="方正小标宋简体" w:eastAsia="方正小标宋简体" w:cs="方正小标宋简体"/>
          <w:color w:val="auto"/>
          <w:kern w:val="2"/>
          <w:sz w:val="56"/>
          <w:szCs w:val="56"/>
          <w:highlight w:val="none"/>
          <w:lang w:val="en-US" w:eastAsia="zh-CN" w:bidi="ar-SA"/>
        </w:rPr>
        <w:t>峨眉山市</w:t>
      </w:r>
      <w:bookmarkStart w:id="11" w:name="_Toc15306268"/>
      <w:r>
        <w:rPr>
          <w:rFonts w:hint="eastAsia" w:ascii="方正小标宋简体" w:hAnsi="方正小标宋简体" w:eastAsia="方正小标宋简体" w:cs="方正小标宋简体"/>
          <w:color w:val="auto"/>
          <w:kern w:val="2"/>
          <w:sz w:val="56"/>
          <w:szCs w:val="56"/>
          <w:highlight w:val="none"/>
          <w:lang w:val="en-US" w:eastAsia="zh-CN" w:bidi="ar-SA"/>
        </w:rPr>
        <w:t>退役军人事务局</w:t>
      </w:r>
    </w:p>
    <w:p w14:paraId="746B263D">
      <w:pPr>
        <w:pStyle w:val="6"/>
        <w:jc w:val="center"/>
        <w:rPr>
          <w:rFonts w:hint="eastAsia" w:ascii="方正小标宋简体" w:hAnsi="方正小标宋简体" w:eastAsia="方正小标宋简体" w:cs="方正小标宋简体"/>
          <w:color w:val="auto"/>
          <w:kern w:val="2"/>
          <w:sz w:val="56"/>
          <w:szCs w:val="56"/>
          <w:highlight w:val="none"/>
          <w:lang w:val="en-US" w:eastAsia="zh-CN" w:bidi="ar-SA"/>
        </w:rPr>
      </w:pPr>
      <w:r>
        <w:rPr>
          <w:rFonts w:hint="eastAsia" w:ascii="方正小标宋简体" w:hAnsi="方正小标宋简体" w:eastAsia="方正小标宋简体" w:cs="方正小标宋简体"/>
          <w:color w:val="auto"/>
          <w:kern w:val="2"/>
          <w:sz w:val="56"/>
          <w:szCs w:val="56"/>
          <w:highlight w:val="none"/>
          <w:lang w:val="en-US" w:eastAsia="zh-CN" w:bidi="ar-SA"/>
        </w:rPr>
        <w:t>部门决算</w:t>
      </w:r>
      <w:bookmarkEnd w:id="6"/>
      <w:bookmarkEnd w:id="7"/>
      <w:bookmarkEnd w:id="8"/>
      <w:bookmarkEnd w:id="9"/>
      <w:bookmarkEnd w:id="10"/>
      <w:bookmarkEnd w:id="11"/>
    </w:p>
    <w:p w14:paraId="7D66D18A">
      <w:pPr>
        <w:rPr>
          <w:rFonts w:hint="eastAsia"/>
          <w:color w:val="auto"/>
          <w:sz w:val="24"/>
          <w:szCs w:val="32"/>
          <w:lang w:val="en-US" w:eastAsia="zh-CN"/>
        </w:rPr>
      </w:pPr>
    </w:p>
    <w:p w14:paraId="568200DB">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2041" w:right="1468" w:bottom="1587" w:left="1468" w:header="851" w:footer="992" w:gutter="0"/>
          <w:pgNumType w:fmt="decimal" w:start="1"/>
          <w:cols w:space="425" w:num="1"/>
          <w:docGrid w:type="lines" w:linePitch="312" w:charSpace="0"/>
        </w:sectPr>
      </w:pPr>
    </w:p>
    <w:p w14:paraId="422060C5">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1781E083">
      <w:pPr>
        <w:pStyle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05FFE9ED">
      <w:pPr>
        <w:rPr>
          <w:rFonts w:ascii="Times New Roman" w:hAnsi="Times New Roman"/>
          <w:color w:val="auto"/>
          <w:highlight w:val="none"/>
        </w:rPr>
      </w:pPr>
    </w:p>
    <w:p w14:paraId="7658826B">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w:t>
      </w:r>
      <w:r>
        <w:rPr>
          <w:rFonts w:hint="eastAsia" w:ascii="Times New Roman" w:hAnsi="Times New Roman" w:eastAsia="黑体" w:cs="黑体"/>
          <w:color w:val="auto"/>
          <w:sz w:val="32"/>
          <w:szCs w:val="32"/>
          <w:highlight w:val="none"/>
          <w:lang w:eastAsia="zh-CN"/>
        </w:rPr>
        <w:t>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Times New Roman" w:hAnsi="Times New Roman" w:eastAsia="黑体" w:cs="黑体"/>
          <w:color w:val="auto"/>
          <w:sz w:val="32"/>
          <w:szCs w:val="32"/>
          <w:highlight w:val="none"/>
          <w:lang w:val="en-US" w:eastAsia="zh-CN"/>
        </w:rPr>
        <w:t>3</w:t>
      </w:r>
    </w:p>
    <w:p w14:paraId="0CA1D0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3</w:t>
      </w:r>
    </w:p>
    <w:p w14:paraId="1574637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4</w:t>
      </w:r>
    </w:p>
    <w:p w14:paraId="126ABF13">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w w:val="90"/>
          <w:sz w:val="32"/>
          <w:szCs w:val="32"/>
          <w:highlight w:val="none"/>
          <w:lang w:val="en-US" w:eastAsia="zh-CN"/>
        </w:rPr>
        <w:t>2024年</w:t>
      </w:r>
      <w:r>
        <w:rPr>
          <w:rFonts w:hint="eastAsia" w:ascii="Times New Roman" w:hAnsi="Times New Roman" w:eastAsia="黑体" w:cs="黑体"/>
          <w:color w:val="auto"/>
          <w:sz w:val="32"/>
          <w:szCs w:val="32"/>
          <w:highlight w:val="none"/>
          <w:lang w:val="en-US" w:eastAsia="zh-CN"/>
        </w:rPr>
        <w:t>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6</w:t>
      </w:r>
    </w:p>
    <w:p w14:paraId="22A24C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6</w:t>
      </w:r>
    </w:p>
    <w:p w14:paraId="3CC1127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6</w:t>
      </w:r>
    </w:p>
    <w:p w14:paraId="0126660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7</w:t>
      </w:r>
    </w:p>
    <w:p w14:paraId="57D1278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7</w:t>
      </w:r>
    </w:p>
    <w:p w14:paraId="7D4B933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eastAsia="仿宋_GB2312" w:cs="仿宋_GB2312"/>
          <w:color w:val="auto"/>
          <w:sz w:val="32"/>
          <w:szCs w:val="32"/>
          <w:highlight w:val="none"/>
          <w:lang w:val="en-US" w:eastAsia="zh-CN"/>
        </w:rPr>
        <w:t>8</w:t>
      </w:r>
    </w:p>
    <w:p w14:paraId="079505F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w:t>
      </w:r>
      <w:r>
        <w:rPr>
          <w:rFonts w:hint="eastAsia" w:eastAsia="仿宋_GB2312" w:cs="仿宋_GB2312"/>
          <w:color w:val="auto"/>
          <w:sz w:val="32"/>
          <w:szCs w:val="32"/>
          <w:highlight w:val="none"/>
          <w:lang w:val="en-US" w:eastAsia="zh-CN"/>
        </w:rPr>
        <w:t>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eastAsia="仿宋_GB2312" w:cs="仿宋_GB2312"/>
          <w:color w:val="auto"/>
          <w:sz w:val="32"/>
          <w:szCs w:val="32"/>
          <w:highlight w:val="none"/>
          <w:lang w:val="en-US" w:eastAsia="zh-CN"/>
        </w:rPr>
        <w:t>11</w:t>
      </w:r>
    </w:p>
    <w:p w14:paraId="49D9F10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eastAsia="仿宋_GB2312" w:cs="仿宋_GB2312"/>
          <w:color w:val="auto"/>
          <w:sz w:val="32"/>
          <w:szCs w:val="32"/>
          <w:highlight w:val="none"/>
          <w:lang w:val="en-US" w:eastAsia="zh-CN"/>
        </w:rPr>
        <w:t>11</w:t>
      </w:r>
    </w:p>
    <w:p w14:paraId="0C62CD9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color w:val="auto"/>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13</w:t>
      </w:r>
    </w:p>
    <w:p w14:paraId="3D6B90C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14</w:t>
      </w:r>
    </w:p>
    <w:p w14:paraId="0E0520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eastAsia="仿宋_GB2312" w:cs="仿宋_GB2312"/>
          <w:color w:val="auto"/>
          <w:sz w:val="32"/>
          <w:szCs w:val="32"/>
          <w:highlight w:val="none"/>
          <w:lang w:val="en-US" w:eastAsia="zh-CN"/>
        </w:rPr>
        <w:t>14</w:t>
      </w:r>
    </w:p>
    <w:p w14:paraId="6C1CEDA2">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17</w:t>
      </w:r>
    </w:p>
    <w:p w14:paraId="7E0D78D3">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21</w:t>
      </w:r>
    </w:p>
    <w:p w14:paraId="2DA49C96">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4776076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478CC63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37D0C8D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4B06325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4768ED1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0A26EF8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0B655B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5A8E1B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5DB201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5F9FF09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57F7B69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5F28693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620008E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黑体" w:cs="黑体"/>
          <w:color w:val="auto"/>
          <w:sz w:val="32"/>
          <w:szCs w:val="32"/>
          <w:highlight w:val="none"/>
          <w:lang w:val="en-US" w:eastAsia="zh-CN"/>
        </w:rPr>
        <w:t>53</w:t>
      </w:r>
    </w:p>
    <w:p w14:paraId="3CF04F1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6BF8C5B1">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4608467E">
      <w:pPr>
        <w:pStyle w:val="3"/>
        <w:pageBreakBefore w:val="0"/>
        <w:widowControl w:val="0"/>
        <w:numPr>
          <w:ilvl w:val="0"/>
          <w:numId w:val="1"/>
        </w:numPr>
        <w:kinsoku/>
        <w:wordWrap/>
        <w:overflowPunct/>
        <w:topLinePunct w:val="0"/>
        <w:autoSpaceDE/>
        <w:autoSpaceDN/>
        <w:bidi w:val="0"/>
        <w:adjustRightInd/>
        <w:snapToGrid/>
        <w:spacing w:after="0" w:afterAutospacing="0" w:line="700" w:lineRule="exact"/>
        <w:jc w:val="center"/>
        <w:textAlignment w:val="auto"/>
        <w:rPr>
          <w:color w:val="auto"/>
        </w:rPr>
      </w:pP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1A326341">
      <w:pPr>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color w:val="auto"/>
          <w:sz w:val="44"/>
          <w:szCs w:val="44"/>
        </w:rPr>
      </w:pPr>
    </w:p>
    <w:p w14:paraId="32EDB45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部门职责</w:t>
      </w:r>
    </w:p>
    <w:p w14:paraId="249303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4" w:name="_Toc15378445"/>
      <w:bookmarkStart w:id="15" w:name="_Toc15377198"/>
      <w:r>
        <w:rPr>
          <w:rFonts w:hint="eastAsia" w:ascii="楷体_GB2312" w:hAnsi="楷体_GB2312" w:eastAsia="楷体_GB2312" w:cs="楷体_GB2312"/>
          <w:b w:val="0"/>
          <w:bCs w:val="0"/>
          <w:color w:val="auto"/>
          <w:sz w:val="32"/>
          <w:szCs w:val="32"/>
          <w:highlight w:val="none"/>
          <w:lang w:eastAsia="zh-CN"/>
        </w:rPr>
        <w:t>（一）主要职能</w:t>
      </w:r>
      <w:bookmarkEnd w:id="14"/>
      <w:bookmarkEnd w:id="15"/>
    </w:p>
    <w:p w14:paraId="154A0FE7">
      <w:pPr>
        <w:pStyle w:val="2"/>
        <w:pageBreakBefore w:val="0"/>
        <w:kinsoku/>
        <w:wordWrap/>
        <w:overflowPunct/>
        <w:topLinePunct w:val="0"/>
        <w:autoSpaceDN/>
        <w:bidi w:val="0"/>
        <w:spacing w:before="0" w:beforeAutospacing="0" w:line="600" w:lineRule="exact"/>
        <w:ind w:firstLine="640" w:firstLineChars="200"/>
        <w:jc w:val="both"/>
        <w:textAlignment w:val="auto"/>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贯彻落实党中央、省委及乐山市委关于退役军人工作的方针政策和峨眉山市委的决策部署，坚持和加强党对退役军人工作的集中统一领导，切实做好退役军人思想政治建设、转业接收安置、就业创业帮扶、服务管理、教育培训、拥军优属、优待抚恤、褒扬激励等工作，维护好军人军属合法权益。组织、指导退役军人综合服务体系建设，建立健全集中统一、职责清晰的退役军人管理保障机制，协调各方力量更好为军人军属服务，褒扬彰显退役军人为党、国家和人民牺牲奉献的精神风范和价值导向，让军人成为全社会尊崇的职业，更好地为增强部队战斗力和凝聚力做好组织保障。</w:t>
      </w:r>
    </w:p>
    <w:p w14:paraId="4EFCC5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6" w:name="_Toc15378446"/>
      <w:bookmarkStart w:id="17" w:name="_Toc15377199"/>
      <w:r>
        <w:rPr>
          <w:rFonts w:hint="eastAsia" w:ascii="楷体_GB2312" w:hAnsi="楷体_GB2312" w:eastAsia="楷体_GB2312" w:cs="楷体_GB2312"/>
          <w:b w:val="0"/>
          <w:bCs w:val="0"/>
          <w:color w:val="auto"/>
          <w:sz w:val="32"/>
          <w:szCs w:val="32"/>
          <w:highlight w:val="none"/>
          <w:lang w:eastAsia="zh-CN"/>
        </w:rPr>
        <w:t>（二）202</w:t>
      </w:r>
      <w:r>
        <w:rPr>
          <w:rFonts w:hint="eastAsia" w:ascii="楷体_GB2312" w:hAnsi="楷体_GB2312" w:eastAsia="楷体_GB2312" w:cs="楷体_GB2312"/>
          <w:b w:val="0"/>
          <w:bCs w:val="0"/>
          <w:color w:val="auto"/>
          <w:sz w:val="32"/>
          <w:szCs w:val="32"/>
          <w:highlight w:val="none"/>
          <w:lang w:val="en-US" w:eastAsia="zh-CN"/>
        </w:rPr>
        <w:t>4</w:t>
      </w:r>
      <w:r>
        <w:rPr>
          <w:rFonts w:hint="eastAsia" w:ascii="楷体_GB2312" w:hAnsi="楷体_GB2312" w:eastAsia="楷体_GB2312" w:cs="楷体_GB2312"/>
          <w:b w:val="0"/>
          <w:bCs w:val="0"/>
          <w:color w:val="auto"/>
          <w:sz w:val="32"/>
          <w:szCs w:val="32"/>
          <w:highlight w:val="none"/>
          <w:lang w:eastAsia="zh-CN"/>
        </w:rPr>
        <w:t>年重点工作完成情况</w:t>
      </w:r>
      <w:bookmarkEnd w:id="16"/>
      <w:bookmarkEnd w:id="17"/>
    </w:p>
    <w:p w14:paraId="2EA1B86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一是强化落实重点工作。</w:t>
      </w:r>
      <w:r>
        <w:rPr>
          <w:rFonts w:hint="eastAsia" w:ascii="仿宋_GB2312" w:hAnsi="仿宋_GB2312" w:eastAsia="仿宋_GB2312" w:cs="仿宋_GB2312"/>
          <w:b w:val="0"/>
          <w:bCs w:val="0"/>
          <w:color w:val="auto"/>
          <w:spacing w:val="0"/>
          <w:sz w:val="32"/>
          <w:szCs w:val="32"/>
          <w:lang w:val="en-US" w:eastAsia="zh-CN"/>
        </w:rPr>
        <w:t>扎实开展办好“退役军人最期盼的10件事”活动，集中开展“大梳理”“大走访”“大调查”“大征集”，共收集18531名退役军人意见建议，筛选有效诉求2969条，制定《关于办好“退役军人最期盼的10件事”活动专项工作方案》，明确责任单位和工作时限，切实把工作落到实处，真正让退役军人和优抚对象看到变化、得到实惠。</w:t>
      </w:r>
    </w:p>
    <w:p w14:paraId="4B10389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二是深化“双拥模范城”创建成果。峨眉山市</w:t>
      </w:r>
      <w:r>
        <w:rPr>
          <w:rFonts w:hint="eastAsia" w:ascii="仿宋_GB2312" w:hAnsi="仿宋_GB2312" w:eastAsia="仿宋_GB2312" w:cs="仿宋_GB2312"/>
          <w:b w:val="0"/>
          <w:bCs w:val="0"/>
          <w:color w:val="auto"/>
          <w:sz w:val="32"/>
          <w:szCs w:val="32"/>
          <w:lang w:eastAsia="zh-CN"/>
        </w:rPr>
        <w:t>成功创建“四川省第十二届双拥模范城”，并积极配合完成乐山市开展“全国第十二届双拥模范城”创建迎检工作任务；落实“双清单”制度，全覆盖走访慰问驻峨部队、发放慰问物资，帮助解决现役军人“后院后路后忧”等问题</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kern w:val="2"/>
          <w:sz w:val="32"/>
          <w:szCs w:val="32"/>
          <w:lang w:val="en-US" w:eastAsia="zh-CN" w:bidi="ar-SA"/>
        </w:rPr>
        <w:t>积极服务部队练兵备战，持续推动峨眉山军供站提质升级改造</w:t>
      </w:r>
      <w:r>
        <w:rPr>
          <w:rFonts w:hint="eastAsia" w:ascii="仿宋_GB2312" w:hAnsi="仿宋_GB2312" w:eastAsia="仿宋_GB2312" w:cs="仿宋_GB2312"/>
          <w:b w:val="0"/>
          <w:bCs w:val="0"/>
          <w:color w:val="auto"/>
          <w:sz w:val="32"/>
          <w:szCs w:val="32"/>
          <w:lang w:eastAsia="zh-CN"/>
        </w:rPr>
        <w:t>。</w:t>
      </w:r>
    </w:p>
    <w:p w14:paraId="08BA8E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三是优化提升服务保障。</w:t>
      </w:r>
      <w:r>
        <w:rPr>
          <w:rFonts w:hint="eastAsia" w:ascii="仿宋_GB2312" w:hAnsi="仿宋_GB2312" w:eastAsia="仿宋_GB2312" w:cs="仿宋_GB2312"/>
          <w:b w:val="0"/>
          <w:bCs w:val="0"/>
          <w:color w:val="auto"/>
          <w:spacing w:val="0"/>
          <w:sz w:val="32"/>
          <w:szCs w:val="32"/>
          <w:lang w:val="en-US" w:eastAsia="zh-CN"/>
        </w:rPr>
        <w:t>推动军队转业干部、由政府安排工作退役士兵就业安置，</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eastAsia="zh-CN"/>
        </w:rPr>
        <w:t>退役军人</w:t>
      </w:r>
      <w:r>
        <w:rPr>
          <w:rFonts w:hint="eastAsia" w:ascii="仿宋_GB2312" w:hAnsi="仿宋_GB2312" w:eastAsia="仿宋_GB2312" w:cs="仿宋_GB2312"/>
          <w:b w:val="0"/>
          <w:bCs w:val="0"/>
          <w:color w:val="auto"/>
          <w:sz w:val="32"/>
          <w:szCs w:val="32"/>
        </w:rPr>
        <w:t>专场招聘会</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场，</w:t>
      </w:r>
      <w:r>
        <w:rPr>
          <w:rFonts w:hint="eastAsia" w:ascii="仿宋_GB2312" w:hAnsi="仿宋_GB2312" w:eastAsia="仿宋_GB2312" w:cs="仿宋_GB2312"/>
          <w:b w:val="0"/>
          <w:bCs w:val="0"/>
          <w:color w:val="auto"/>
          <w:sz w:val="32"/>
          <w:szCs w:val="32"/>
          <w:highlight w:val="none"/>
          <w:lang w:val="en-US" w:eastAsia="zh-CN"/>
        </w:rPr>
        <w:t>提供就业岗位2500余个，累计</w:t>
      </w:r>
      <w:r>
        <w:rPr>
          <w:rFonts w:hint="eastAsia" w:ascii="仿宋_GB2312" w:hAnsi="仿宋_GB2312" w:eastAsia="仿宋_GB2312" w:cs="仿宋_GB2312"/>
          <w:b w:val="0"/>
          <w:bCs w:val="0"/>
          <w:color w:val="auto"/>
          <w:sz w:val="32"/>
          <w:szCs w:val="32"/>
          <w:highlight w:val="none"/>
        </w:rPr>
        <w:t>推送就业招聘信息</w:t>
      </w:r>
      <w:r>
        <w:rPr>
          <w:rFonts w:hint="eastAsia" w:ascii="仿宋_GB2312" w:hAnsi="仿宋_GB2312" w:eastAsia="仿宋_GB2312" w:cs="仿宋_GB2312"/>
          <w:b w:val="0"/>
          <w:bCs w:val="0"/>
          <w:color w:val="auto"/>
          <w:sz w:val="32"/>
          <w:szCs w:val="32"/>
          <w:highlight w:val="none"/>
          <w:lang w:val="en-US" w:eastAsia="zh-CN"/>
        </w:rPr>
        <w:t>5000余</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落实“兵教师”岗位招聘，</w:t>
      </w:r>
      <w:r>
        <w:rPr>
          <w:rFonts w:hint="eastAsia" w:ascii="仿宋_GB2312" w:hAnsi="仿宋_GB2312" w:eastAsia="仿宋_GB2312" w:cs="仿宋_GB2312"/>
          <w:b w:val="0"/>
          <w:bCs w:val="0"/>
          <w:color w:val="auto"/>
          <w:spacing w:val="0"/>
          <w:sz w:val="32"/>
          <w:szCs w:val="32"/>
          <w:lang w:val="en-US" w:eastAsia="zh-CN"/>
        </w:rPr>
        <w:t>为退役军人提供创业贷款支持；</w:t>
      </w:r>
      <w:r>
        <w:rPr>
          <w:rFonts w:hint="eastAsia" w:ascii="仿宋_GB2312" w:hAnsi="仿宋_GB2312" w:eastAsia="仿宋_GB2312" w:cs="仿宋_GB2312"/>
          <w:b w:val="0"/>
          <w:bCs w:val="0"/>
          <w:color w:val="auto"/>
          <w:kern w:val="2"/>
          <w:sz w:val="32"/>
          <w:szCs w:val="32"/>
          <w:lang w:val="en-US" w:eastAsia="zh-CN" w:bidi="ar-SA"/>
        </w:rPr>
        <w:t>按时足额发放各类优抚资金、生活补助</w:t>
      </w:r>
      <w:r>
        <w:rPr>
          <w:rFonts w:hint="eastAsia" w:ascii="仿宋_GB2312" w:hAnsi="仿宋_GB2312" w:eastAsia="仿宋_GB2312" w:cs="仿宋_GB2312"/>
          <w:b w:val="0"/>
          <w:bCs w:val="0"/>
          <w:color w:val="auto"/>
          <w:spacing w:val="0"/>
          <w:sz w:val="32"/>
          <w:szCs w:val="32"/>
          <w:lang w:val="en-US" w:eastAsia="zh-CN"/>
        </w:rPr>
        <w:t>，帮扶困难退役军人解决实际问题，累计制发优待证1.92万张，发布</w:t>
      </w:r>
      <w:r>
        <w:rPr>
          <w:rFonts w:hint="eastAsia" w:ascii="仿宋_GB2312" w:hAnsi="仿宋_GB2312" w:eastAsia="仿宋_GB2312" w:cs="仿宋_GB2312"/>
          <w:b w:val="0"/>
          <w:bCs w:val="0"/>
          <w:color w:val="auto"/>
          <w:sz w:val="32"/>
          <w:szCs w:val="32"/>
          <w:lang w:val="en-US" w:eastAsia="zh-CN"/>
        </w:rPr>
        <w:t>优待清单目录157项；创新军休服务机制，</w:t>
      </w:r>
      <w:r>
        <w:rPr>
          <w:rFonts w:hint="eastAsia" w:ascii="仿宋_GB2312" w:hAnsi="仿宋_GB2312" w:eastAsia="仿宋_GB2312" w:cs="仿宋_GB2312"/>
          <w:b w:val="0"/>
          <w:bCs w:val="0"/>
          <w:color w:val="auto"/>
          <w:spacing w:val="0"/>
          <w:sz w:val="32"/>
          <w:szCs w:val="32"/>
          <w:lang w:val="en-US" w:eastAsia="zh-CN"/>
        </w:rPr>
        <w:t>与重庆市长寿区军休中心达成战略合作协议，助力成渝经济圈退役军人工作高质量发展；大力褒扬纪念，</w:t>
      </w:r>
      <w:r>
        <w:rPr>
          <w:rFonts w:hint="eastAsia" w:ascii="仿宋_GB2312" w:hAnsi="仿宋_GB2312" w:eastAsia="仿宋_GB2312" w:cs="仿宋_GB2312"/>
          <w:b w:val="0"/>
          <w:bCs w:val="0"/>
          <w:color w:val="auto"/>
          <w:kern w:val="2"/>
          <w:sz w:val="32"/>
          <w:szCs w:val="32"/>
          <w:lang w:val="en-US" w:eastAsia="zh-CN" w:bidi="ar-SA"/>
        </w:rPr>
        <w:t>组织开展</w:t>
      </w:r>
      <w:r>
        <w:rPr>
          <w:rFonts w:hint="eastAsia" w:ascii="仿宋_GB2312" w:hAnsi="仿宋_GB2312" w:eastAsia="仿宋_GB2312" w:cs="仿宋_GB2312"/>
          <w:b w:val="0"/>
          <w:bCs w:val="0"/>
          <w:color w:val="auto"/>
          <w:sz w:val="32"/>
          <w:szCs w:val="32"/>
          <w:highlight w:val="none"/>
          <w:lang w:val="en-US" w:eastAsia="zh-CN"/>
        </w:rPr>
        <w:t>“铸魂.2024清明祭英烈”和</w:t>
      </w:r>
      <w:r>
        <w:rPr>
          <w:rFonts w:hint="eastAsia" w:ascii="仿宋_GB2312" w:hAnsi="仿宋_GB2312" w:eastAsia="仿宋_GB2312" w:cs="仿宋_GB2312"/>
          <w:b w:val="0"/>
          <w:bCs w:val="0"/>
          <w:color w:val="auto"/>
          <w:kern w:val="2"/>
          <w:sz w:val="32"/>
          <w:szCs w:val="32"/>
          <w:lang w:val="en-US" w:eastAsia="zh-CN" w:bidi="ar-SA"/>
        </w:rPr>
        <w:t>“9.30”烈士纪念日公祭活动，全年共接待52批次3200余人参加烈士陵园现场</w:t>
      </w:r>
      <w:r>
        <w:rPr>
          <w:rFonts w:hint="eastAsia" w:ascii="仿宋_GB2312" w:hAnsi="仿宋_GB2312" w:eastAsia="仿宋_GB2312" w:cs="仿宋_GB2312"/>
          <w:b w:val="0"/>
          <w:bCs w:val="0"/>
          <w:i w:val="0"/>
          <w:caps w:val="0"/>
          <w:color w:val="auto"/>
          <w:spacing w:val="0"/>
          <w:w w:val="100"/>
          <w:sz w:val="32"/>
          <w:szCs w:val="32"/>
          <w:lang w:val="en-US" w:eastAsia="zh-CN"/>
        </w:rPr>
        <w:t>祭扫，</w:t>
      </w:r>
      <w:r>
        <w:rPr>
          <w:rFonts w:hint="eastAsia" w:ascii="仿宋_GB2312" w:hAnsi="仿宋_GB2312" w:eastAsia="仿宋_GB2312" w:cs="仿宋_GB2312"/>
          <w:b w:val="0"/>
          <w:bCs w:val="0"/>
          <w:color w:val="auto"/>
          <w:sz w:val="32"/>
          <w:szCs w:val="32"/>
          <w:highlight w:val="none"/>
          <w:lang w:val="en-US" w:eastAsia="zh-CN"/>
        </w:rPr>
        <w:t>开展“优秀退役军人进校园”爱国主义教育宣讲活动10场；</w:t>
      </w:r>
      <w:r>
        <w:rPr>
          <w:rFonts w:hint="eastAsia" w:ascii="仿宋_GB2312" w:hAnsi="仿宋_GB2312" w:eastAsia="仿宋_GB2312" w:cs="仿宋_GB2312"/>
          <w:b w:val="0"/>
          <w:bCs w:val="0"/>
          <w:color w:val="auto"/>
          <w:spacing w:val="0"/>
          <w:sz w:val="32"/>
          <w:szCs w:val="32"/>
          <w:lang w:val="en-US" w:eastAsia="zh-CN"/>
        </w:rPr>
        <w:t>推进服务体系提质增效，</w:t>
      </w:r>
      <w:r>
        <w:rPr>
          <w:rFonts w:hint="eastAsia" w:ascii="仿宋_GB2312" w:hAnsi="仿宋_GB2312" w:eastAsia="仿宋_GB2312" w:cs="仿宋_GB2312"/>
          <w:b w:val="0"/>
          <w:bCs w:val="0"/>
          <w:color w:val="auto"/>
          <w:sz w:val="32"/>
          <w:szCs w:val="32"/>
          <w:highlight w:val="none"/>
          <w:lang w:val="en-US" w:eastAsia="zh-CN"/>
        </w:rPr>
        <w:t>对10</w:t>
      </w:r>
      <w:r>
        <w:rPr>
          <w:rFonts w:hint="eastAsia" w:ascii="仿宋_GB2312" w:hAnsi="仿宋_GB2312" w:eastAsia="仿宋_GB2312" w:cs="仿宋_GB2312"/>
          <w:b w:val="0"/>
          <w:bCs w:val="0"/>
          <w:color w:val="auto"/>
          <w:sz w:val="32"/>
          <w:szCs w:val="32"/>
          <w:highlight w:val="none"/>
        </w:rPr>
        <w:t>个中心镇（村）服务站</w:t>
      </w:r>
      <w:r>
        <w:rPr>
          <w:rFonts w:hint="eastAsia" w:ascii="仿宋_GB2312" w:hAnsi="仿宋_GB2312" w:eastAsia="仿宋_GB2312" w:cs="仿宋_GB2312"/>
          <w:b w:val="0"/>
          <w:bCs w:val="0"/>
          <w:color w:val="auto"/>
          <w:sz w:val="32"/>
          <w:szCs w:val="32"/>
          <w:highlight w:val="none"/>
          <w:lang w:eastAsia="zh-CN"/>
        </w:rPr>
        <w:t>进行示范站</w:t>
      </w:r>
      <w:r>
        <w:rPr>
          <w:rFonts w:hint="eastAsia" w:ascii="仿宋_GB2312" w:hAnsi="仿宋_GB2312" w:eastAsia="仿宋_GB2312" w:cs="仿宋_GB2312"/>
          <w:b w:val="0"/>
          <w:bCs w:val="0"/>
          <w:color w:val="auto"/>
          <w:sz w:val="32"/>
          <w:szCs w:val="32"/>
          <w:highlight w:val="none"/>
        </w:rPr>
        <w:t>提</w:t>
      </w:r>
      <w:r>
        <w:rPr>
          <w:rFonts w:hint="eastAsia" w:ascii="仿宋_GB2312" w:hAnsi="仿宋_GB2312" w:eastAsia="仿宋_GB2312" w:cs="仿宋_GB2312"/>
          <w:b w:val="0"/>
          <w:bCs w:val="0"/>
          <w:color w:val="auto"/>
          <w:sz w:val="32"/>
          <w:szCs w:val="32"/>
          <w:highlight w:val="none"/>
          <w:lang w:eastAsia="zh-CN"/>
        </w:rPr>
        <w:t>级</w:t>
      </w:r>
      <w:r>
        <w:rPr>
          <w:rFonts w:hint="eastAsia" w:ascii="仿宋_GB2312" w:hAnsi="仿宋_GB2312" w:eastAsia="仿宋_GB2312" w:cs="仿宋_GB2312"/>
          <w:b w:val="0"/>
          <w:bCs w:val="0"/>
          <w:color w:val="auto"/>
          <w:sz w:val="32"/>
          <w:szCs w:val="32"/>
          <w:highlight w:val="none"/>
        </w:rPr>
        <w:t>改造</w:t>
      </w:r>
      <w:r>
        <w:rPr>
          <w:rFonts w:hint="eastAsia" w:ascii="仿宋_GB2312" w:hAnsi="仿宋_GB2312" w:eastAsia="仿宋_GB2312" w:cs="仿宋_GB2312"/>
          <w:b w:val="0"/>
          <w:bCs w:val="0"/>
          <w:color w:val="auto"/>
          <w:sz w:val="32"/>
          <w:szCs w:val="32"/>
          <w:highlight w:val="none"/>
          <w:lang w:eastAsia="zh-CN"/>
        </w:rPr>
        <w:t>，完成退役军人档案室改建装修项目建设，进一步提升规范化和标准化水平。</w:t>
      </w:r>
    </w:p>
    <w:p w14:paraId="479BCC63">
      <w:pPr>
        <w:pStyle w:val="4"/>
        <w:pageBreakBefore w:val="0"/>
        <w:kinsoku/>
        <w:wordWrap/>
        <w:overflowPunct/>
        <w:topLinePunct w:val="0"/>
        <w:autoSpaceDN/>
        <w:bidi w:val="0"/>
        <w:spacing w:before="0" w:beforeAutospacing="0" w:after="0" w:afterAutospacing="0" w:line="600" w:lineRule="exact"/>
        <w:ind w:firstLine="640" w:firstLineChars="200"/>
        <w:textAlignment w:val="auto"/>
        <w:rPr>
          <w:rStyle w:val="30"/>
          <w:rFonts w:ascii="Times New Roman" w:hAnsi="Times New Roman"/>
          <w:b w:val="0"/>
          <w:bCs w:val="0"/>
          <w:color w:val="auto"/>
          <w:highlight w:val="none"/>
        </w:rPr>
      </w:pPr>
      <w:bookmarkStart w:id="18" w:name="_Toc15396601"/>
      <w:bookmarkStart w:id="1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8"/>
      <w:bookmarkEnd w:id="19"/>
    </w:p>
    <w:p w14:paraId="6871953B">
      <w:pPr>
        <w:pageBreakBefore w:val="0"/>
        <w:kinsoku/>
        <w:wordWrap/>
        <w:overflowPunct/>
        <w:topLinePunct w:val="0"/>
        <w:autoSpaceDN/>
        <w:bidi w:val="0"/>
        <w:spacing w:beforeAutospacing="0"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峨眉山市</w:t>
      </w:r>
      <w:r>
        <w:rPr>
          <w:rFonts w:hint="eastAsia" w:eastAsia="仿宋_GB2312" w:cs="仿宋_GB2312"/>
          <w:color w:val="auto"/>
          <w:sz w:val="32"/>
          <w:szCs w:val="32"/>
          <w:highlight w:val="none"/>
          <w:lang w:eastAsia="zh-CN"/>
        </w:rPr>
        <w:t>退役军人事务局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14:paraId="483433A6">
      <w:pPr>
        <w:pStyle w:val="6"/>
        <w:pageBreakBefore w:val="0"/>
        <w:kinsoku/>
        <w:wordWrap/>
        <w:overflowPunct/>
        <w:topLinePunct w:val="0"/>
        <w:autoSpaceDN/>
        <w:bidi w:val="0"/>
        <w:adjustRightInd w:val="0"/>
        <w:snapToGrid w:val="0"/>
        <w:spacing w:before="93" w:afterAutospacing="0" w:line="600" w:lineRule="exact"/>
        <w:ind w:firstLine="672" w:firstLineChars="21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峨眉山市</w:t>
      </w:r>
      <w:r>
        <w:rPr>
          <w:rFonts w:hint="eastAsia" w:eastAsia="仿宋_GB2312" w:cs="仿宋_GB2312"/>
          <w:color w:val="auto"/>
          <w:sz w:val="32"/>
          <w:szCs w:val="32"/>
          <w:highlight w:val="none"/>
          <w:lang w:eastAsia="zh-CN"/>
        </w:rPr>
        <w:t>退役军人事务局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E8FED52">
      <w:pPr>
        <w:pStyle w:val="6"/>
        <w:pageBreakBefore w:val="0"/>
        <w:numPr>
          <w:ilvl w:val="0"/>
          <w:numId w:val="0"/>
        </w:numPr>
        <w:kinsoku/>
        <w:wordWrap/>
        <w:overflowPunct/>
        <w:topLinePunct w:val="0"/>
        <w:autoSpaceDN/>
        <w:bidi w:val="0"/>
        <w:adjustRightInd w:val="0"/>
        <w:snapToGrid w:val="0"/>
        <w:spacing w:beforeLines="0" w:beforeAutospacing="0" w:afterAutospacing="0" w:line="600" w:lineRule="exact"/>
        <w:ind w:left="672" w:leftChars="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eastAsia="zh-CN"/>
        </w:rPr>
        <w:t>峨眉山市退役军人事务局（</w:t>
      </w:r>
      <w:r>
        <w:rPr>
          <w:rFonts w:hint="eastAsia" w:ascii="仿宋_GB2312" w:hAnsi="仿宋_GB2312" w:eastAsia="仿宋_GB2312" w:cs="仿宋_GB2312"/>
          <w:color w:val="auto"/>
          <w:sz w:val="32"/>
          <w:szCs w:val="32"/>
          <w:highlight w:val="none"/>
          <w:lang w:val="en-US" w:eastAsia="zh-CN"/>
        </w:rPr>
        <w:t>本级</w:t>
      </w:r>
      <w:r>
        <w:rPr>
          <w:rFonts w:hint="eastAsia" w:ascii="仿宋_GB2312" w:hAnsi="仿宋_GB2312" w:eastAsia="仿宋_GB2312" w:cs="仿宋_GB2312"/>
          <w:color w:val="auto"/>
          <w:sz w:val="32"/>
          <w:szCs w:val="32"/>
          <w:highlight w:val="none"/>
          <w:lang w:eastAsia="zh-CN"/>
        </w:rPr>
        <w:t>）</w:t>
      </w:r>
    </w:p>
    <w:p w14:paraId="1D3452F2">
      <w:pPr>
        <w:pStyle w:val="6"/>
        <w:pageBreakBefore w:val="0"/>
        <w:numPr>
          <w:ilvl w:val="0"/>
          <w:numId w:val="0"/>
        </w:numPr>
        <w:kinsoku/>
        <w:wordWrap/>
        <w:overflowPunct/>
        <w:topLinePunct w:val="0"/>
        <w:autoSpaceDN/>
        <w:bidi w:val="0"/>
        <w:adjustRightInd w:val="0"/>
        <w:snapToGrid w:val="0"/>
        <w:spacing w:beforeLines="0" w:beforeAutospacing="0" w:line="600" w:lineRule="exact"/>
        <w:ind w:left="672" w:leftChars="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eastAsia="仿宋_GB2312"/>
          <w:color w:val="auto"/>
          <w:sz w:val="32"/>
          <w:szCs w:val="32"/>
          <w:highlight w:val="none"/>
          <w:lang w:val="en-US" w:eastAsia="zh-CN"/>
        </w:rPr>
        <w:t>峨眉山市军队离退休干部干休所</w:t>
      </w:r>
    </w:p>
    <w:p w14:paraId="48655545">
      <w:pPr>
        <w:pageBreakBefore w:val="0"/>
        <w:widowControl/>
        <w:kinsoku/>
        <w:wordWrap/>
        <w:overflowPunct/>
        <w:topLinePunct w:val="0"/>
        <w:autoSpaceDN/>
        <w:bidi w:val="0"/>
        <w:spacing w:line="600" w:lineRule="exact"/>
        <w:ind w:firstLine="640" w:firstLineChars="200"/>
        <w:jc w:val="left"/>
        <w:textAlignment w:val="auto"/>
        <w:rPr>
          <w:rFonts w:ascii="Times New Roman" w:hAnsi="Times New Roman" w:eastAsia="仿宋"/>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3.峨眉山军供站</w:t>
      </w:r>
      <w:r>
        <w:rPr>
          <w:rFonts w:ascii="Times New Roman" w:hAnsi="Times New Roman" w:eastAsia="仿宋"/>
          <w:color w:val="auto"/>
          <w:sz w:val="32"/>
          <w:szCs w:val="32"/>
          <w:highlight w:val="none"/>
        </w:rPr>
        <w:br w:type="page"/>
      </w:r>
    </w:p>
    <w:p w14:paraId="47D99385">
      <w:pPr>
        <w:pStyle w:val="3"/>
        <w:pageBreakBefore w:val="0"/>
        <w:kinsoku/>
        <w:wordWrap/>
        <w:overflowPunct/>
        <w:topLinePunct w:val="0"/>
        <w:autoSpaceDN/>
        <w:bidi w:val="0"/>
        <w:spacing w:after="0" w:afterAutospacing="0" w:line="600" w:lineRule="exact"/>
        <w:jc w:val="center"/>
        <w:textAlignment w:val="auto"/>
        <w:rPr>
          <w:rFonts w:hint="eastAsia" w:ascii="Times New Roman" w:hAnsi="Times New Roman" w:eastAsia="方正小标宋简体" w:cs="方正小标宋简体"/>
          <w:b w:val="0"/>
          <w:color w:val="auto"/>
          <w:highlight w:val="none"/>
        </w:rPr>
      </w:pPr>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51A38E0C">
      <w:pPr>
        <w:pageBreakBefore w:val="0"/>
        <w:kinsoku/>
        <w:wordWrap/>
        <w:overflowPunct/>
        <w:topLinePunct w:val="0"/>
        <w:autoSpaceDN/>
        <w:bidi w:val="0"/>
        <w:spacing w:line="600" w:lineRule="exact"/>
        <w:textAlignment w:val="auto"/>
        <w:rPr>
          <w:rFonts w:hint="eastAsia"/>
          <w:color w:val="auto"/>
        </w:rPr>
      </w:pPr>
    </w:p>
    <w:p w14:paraId="0865A4B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p>
    <w:p w14:paraId="7163BB51">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9228.35</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52.2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0.56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单位厉行节约，压缩经费，以及</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年度峨眉山军供站完成提质升级改造，收支总计增幅大，</w:t>
      </w:r>
      <w:r>
        <w:rPr>
          <w:rFonts w:hint="eastAsia" w:ascii="仿宋_GB2312" w:hAnsi="仿宋_GB2312" w:eastAsia="仿宋_GB2312" w:cs="仿宋_GB2312"/>
          <w:color w:val="auto"/>
          <w:sz w:val="32"/>
          <w:szCs w:val="32"/>
          <w:highlight w:val="none"/>
          <w:lang w:val="en-US" w:eastAsia="zh-CN"/>
        </w:rPr>
        <w:t>2024年度未开展大型整修项目，较上一年度收支总计呈下降趋势。</w:t>
      </w:r>
    </w:p>
    <w:p w14:paraId="45B0100B">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仿宋_GB2312" w:cs="仿宋_GB2312"/>
          <w:b w:val="0"/>
          <w:bCs/>
          <w:color w:val="auto"/>
          <w:sz w:val="32"/>
          <w:szCs w:val="32"/>
          <w:highlight w:val="none"/>
          <w:lang w:eastAsia="zh-CN"/>
        </w:rPr>
      </w:pPr>
      <w:r>
        <w:rPr>
          <w:color w:val="auto"/>
        </w:rPr>
        <w:drawing>
          <wp:inline distT="0" distB="0" distL="114300" distR="114300">
            <wp:extent cx="4742815" cy="2747010"/>
            <wp:effectExtent l="4445" t="4445" r="1524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4DF07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69C5EA20">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8909.84</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8463.59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94.99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lang w:val="en-US" w:eastAsia="zh-CN"/>
        </w:rPr>
        <w:t>218.9</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lang w:val="en-US" w:eastAsia="zh-CN"/>
        </w:rPr>
        <w:t>2.46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color w:val="auto"/>
          <w:sz w:val="32"/>
          <w:szCs w:val="32"/>
          <w:lang w:val="en-US" w:eastAsia="zh-CN"/>
        </w:rPr>
        <w:t>227.35</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lang w:val="en-US" w:eastAsia="zh-CN"/>
        </w:rPr>
        <w:t>2.55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w:t>
      </w:r>
    </w:p>
    <w:p w14:paraId="3188B8A1">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color w:val="auto"/>
        </w:rPr>
        <w:drawing>
          <wp:inline distT="0" distB="0" distL="114300" distR="114300">
            <wp:extent cx="4796155" cy="2807335"/>
            <wp:effectExtent l="4445" t="4445" r="19050"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E7288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77207"/>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p>
    <w:p w14:paraId="6B7DED0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bCs/>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9040.07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830.64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9.19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8209.43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90.81</w:t>
      </w:r>
      <w:r>
        <w:rPr>
          <w:rFonts w:hint="eastAsia" w:ascii="仿宋_GB2312" w:hAnsi="仿宋_GB2312" w:eastAsia="仿宋_GB2312" w:cs="仿宋_GB2312"/>
          <w:color w:val="auto"/>
          <w:sz w:val="32"/>
          <w:szCs w:val="32"/>
          <w:highlight w:val="none"/>
          <w:lang w:eastAsia="zh-CN"/>
        </w:rPr>
        <w:t>%。</w:t>
      </w:r>
    </w:p>
    <w:p w14:paraId="6153801F">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Times New Roman" w:hAnsi="Times New Roman" w:eastAsia="仿宋_GB2312" w:cs="仿宋_GB2312"/>
          <w:color w:val="auto"/>
          <w:sz w:val="32"/>
          <w:szCs w:val="32"/>
          <w:highlight w:val="none"/>
          <w:lang w:eastAsia="zh-CN"/>
        </w:rPr>
      </w:pPr>
      <w:r>
        <w:rPr>
          <w:color w:val="auto"/>
        </w:rP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ECC2C6">
      <w:pPr>
        <w:pageBreakBefore w:val="0"/>
        <w:kinsoku/>
        <w:wordWrap/>
        <w:overflowPunct/>
        <w:topLinePunct w:val="0"/>
        <w:autoSpaceDN/>
        <w:bidi w:val="0"/>
        <w:spacing w:line="600" w:lineRule="exact"/>
        <w:ind w:firstLine="640" w:firstLineChars="200"/>
        <w:textAlignment w:val="auto"/>
        <w:outlineLvl w:val="1"/>
        <w:rPr>
          <w:rStyle w:val="30"/>
          <w:rFonts w:ascii="Times New Roman" w:hAnsi="Times New Roman" w:eastAsia="黑体"/>
          <w:b w:val="0"/>
          <w:color w:val="auto"/>
          <w:highlight w:val="none"/>
        </w:rPr>
      </w:pPr>
      <w:bookmarkStart w:id="28" w:name="_Toc15377208"/>
      <w:bookmarkStart w:id="2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8"/>
      <w:bookmarkEnd w:id="29"/>
    </w:p>
    <w:p w14:paraId="5CDCB175">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val="en-US" w:eastAsia="zh-CN"/>
        </w:rPr>
        <w:t>8838.46</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万元。与2023年度相比，财政拨款收入总计、支出总计各减少229.97万元，下降2.54%。主要变动原因是：单位厉行节约，压缩经费，以及</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年度峨眉山军供站完成提质升级项目，收支总计增幅大，</w:t>
      </w:r>
      <w:r>
        <w:rPr>
          <w:rFonts w:hint="eastAsia" w:ascii="仿宋_GB2312" w:hAnsi="仿宋_GB2312" w:eastAsia="仿宋_GB2312" w:cs="仿宋_GB2312"/>
          <w:color w:val="auto"/>
          <w:sz w:val="32"/>
          <w:szCs w:val="32"/>
          <w:highlight w:val="none"/>
          <w:lang w:val="en-US" w:eastAsia="zh-CN"/>
        </w:rPr>
        <w:t>2024年度未开展大型整修项目，较上一年度收支总计呈下降趋势。</w:t>
      </w:r>
    </w:p>
    <w:p w14:paraId="4C72F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385540">
      <w:pPr>
        <w:pageBreakBefore w:val="0"/>
        <w:kinsoku/>
        <w:wordWrap/>
        <w:overflowPunct/>
        <w:topLinePunct w:val="0"/>
        <w:autoSpaceDN/>
        <w:bidi w:val="0"/>
        <w:spacing w:line="600" w:lineRule="exact"/>
        <w:ind w:firstLine="640" w:firstLineChars="200"/>
        <w:textAlignment w:val="auto"/>
        <w:outlineLvl w:val="1"/>
        <w:rPr>
          <w:rStyle w:val="30"/>
          <w:rFonts w:hint="eastAsia" w:ascii="仿宋_GB2312" w:hAnsi="仿宋_GB2312" w:eastAsia="仿宋_GB2312" w:cs="仿宋_GB2312"/>
          <w:b w:val="0"/>
          <w:color w:val="auto"/>
          <w:highlight w:val="none"/>
        </w:rPr>
      </w:pPr>
      <w:bookmarkStart w:id="30" w:name="_Toc15396607"/>
      <w:bookmarkStart w:id="31" w:name="_Toc15377209"/>
      <w:r>
        <w:rPr>
          <w:rFonts w:hint="eastAsia" w:ascii="黑体" w:hAnsi="黑体" w:eastAsia="黑体" w:cs="黑体"/>
          <w:color w:val="auto"/>
          <w:sz w:val="32"/>
          <w:szCs w:val="32"/>
          <w:highlight w:val="none"/>
        </w:rPr>
        <w:t>五、</w:t>
      </w:r>
      <w:r>
        <w:rPr>
          <w:rFonts w:hint="eastAsia" w:ascii="黑体" w:hAnsi="黑体" w:eastAsia="黑体" w:cs="黑体"/>
          <w:b/>
          <w:color w:val="auto"/>
          <w:sz w:val="32"/>
          <w:szCs w:val="32"/>
          <w:highlight w:val="none"/>
        </w:rPr>
        <w:t>一</w:t>
      </w:r>
      <w:r>
        <w:rPr>
          <w:rStyle w:val="30"/>
          <w:rFonts w:hint="eastAsia" w:ascii="黑体" w:hAnsi="黑体" w:eastAsia="黑体" w:cs="黑体"/>
          <w:b w:val="0"/>
          <w:color w:val="auto"/>
          <w:highlight w:val="none"/>
        </w:rPr>
        <w:t>般公共预算财政拨款支出决算情况说明</w:t>
      </w:r>
      <w:bookmarkEnd w:id="30"/>
      <w:bookmarkEnd w:id="31"/>
    </w:p>
    <w:p w14:paraId="00289513">
      <w:pPr>
        <w:pageBreakBefore w:val="0"/>
        <w:kinsoku/>
        <w:wordWrap/>
        <w:overflowPunct/>
        <w:topLinePunct w:val="0"/>
        <w:autoSpaceDN/>
        <w:bidi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32"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32"/>
    </w:p>
    <w:p w14:paraId="2AE301F8">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8463.59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highlight w:val="none"/>
          <w:lang w:val="en-US" w:eastAsia="zh-CN"/>
        </w:rPr>
        <w:t>93.62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%。与2023年度相比，一般公共预算财政拨款支出减少286.99万元，下降3.28%。主要变动原因是：单位厉行节约，压缩经费，以及</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年度峨眉山军供站完成提质升级项目，收支总计增幅大，</w:t>
      </w:r>
      <w:r>
        <w:rPr>
          <w:rFonts w:hint="eastAsia" w:ascii="仿宋_GB2312" w:hAnsi="仿宋_GB2312" w:eastAsia="仿宋_GB2312" w:cs="仿宋_GB2312"/>
          <w:color w:val="auto"/>
          <w:sz w:val="32"/>
          <w:szCs w:val="32"/>
          <w:highlight w:val="none"/>
          <w:lang w:val="en-US" w:eastAsia="zh-CN"/>
        </w:rPr>
        <w:t>2024年度未开展大型整修项目，较上一年度收支总计呈下降趋势。</w:t>
      </w:r>
    </w:p>
    <w:p w14:paraId="0F1160C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12D93">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33"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33"/>
    </w:p>
    <w:p w14:paraId="63BD980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bCs/>
          <w:color w:val="auto"/>
          <w:sz w:val="32"/>
          <w:szCs w:val="32"/>
          <w:highlight w:val="yellow"/>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8463.59</w:t>
      </w:r>
      <w:r>
        <w:rPr>
          <w:rFonts w:hint="eastAsia" w:ascii="仿宋_GB2312" w:hAnsi="仿宋_GB2312" w:eastAsia="仿宋_GB2312" w:cs="仿宋_GB2312"/>
          <w:color w:val="auto"/>
          <w:kern w:val="2"/>
          <w:sz w:val="32"/>
          <w:szCs w:val="32"/>
          <w:highlight w:val="none"/>
          <w:lang w:val="en-US" w:eastAsia="zh-CN" w:bidi="ar-SA"/>
        </w:rPr>
        <w:t>万元，主要用于以下方面：社会保障和就业支出8167.34万元，占96.5%；卫生健康支出252.5万元，占2.98%；住房保障支出43.75万元，占0.52%。</w:t>
      </w:r>
    </w:p>
    <w:p w14:paraId="09167D6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FEE299">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34"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34"/>
    </w:p>
    <w:p w14:paraId="15D3CE4C">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bookmarkStart w:id="35" w:name="_Toc15377444"/>
      <w:bookmarkStart w:id="36" w:name="_Toc15377213"/>
      <w:bookmarkStart w:id="37"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highlight w:val="none"/>
          <w:lang w:val="en-US" w:eastAsia="zh-CN"/>
        </w:rPr>
        <w:t>8463.59</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，完成预算8825.87的</w:t>
      </w:r>
      <w:r>
        <w:rPr>
          <w:rFonts w:hint="eastAsia" w:ascii="仿宋_GB2312" w:hAnsi="仿宋_GB2312" w:eastAsia="仿宋_GB2312" w:cs="仿宋_GB2312"/>
          <w:b w:val="0"/>
          <w:bCs/>
          <w:color w:val="auto"/>
          <w:sz w:val="32"/>
          <w:szCs w:val="32"/>
          <w:highlight w:val="none"/>
          <w:lang w:val="en-US" w:eastAsia="zh-CN"/>
        </w:rPr>
        <w:t>95.9</w:t>
      </w:r>
      <w:r>
        <w:rPr>
          <w:rFonts w:hint="eastAsia" w:ascii="仿宋_GB2312" w:hAnsi="仿宋_GB2312" w:eastAsia="仿宋_GB2312" w:cs="仿宋_GB2312"/>
          <w:color w:val="auto"/>
          <w:kern w:val="2"/>
          <w:sz w:val="32"/>
          <w:szCs w:val="32"/>
          <w:highlight w:val="none"/>
          <w:lang w:val="en-US" w:eastAsia="zh-CN" w:bidi="ar-SA"/>
        </w:rPr>
        <w:t>%。其中：</w:t>
      </w:r>
      <w:bookmarkEnd w:id="35"/>
      <w:bookmarkEnd w:id="36"/>
      <w:bookmarkEnd w:id="37"/>
    </w:p>
    <w:p w14:paraId="39E35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社会保障和就业（类）行政事业单位养老支出（款）机关事业单位基本养老保险缴费支出（项）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52.98</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5E292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社会保障和就业（类）行政事业单位养老支出（款）机关事业单位职业年金缴费支出（项）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26.49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0609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社会保障和就业（类）退役军人管理事务（款）</w:t>
      </w:r>
      <w:r>
        <w:rPr>
          <w:rFonts w:hint="eastAsia" w:ascii="仿宋_GB2312" w:hAnsi="仿宋_GB2312" w:eastAsia="仿宋_GB2312" w:cs="仿宋_GB2312"/>
          <w:color w:val="auto"/>
          <w:sz w:val="32"/>
          <w:szCs w:val="32"/>
          <w:lang w:val="en-US" w:eastAsia="zh-CN"/>
        </w:rPr>
        <w:t>行政运行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176.58</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0C40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社会保障和就业（类）退役军人管理事务（款）</w:t>
      </w:r>
      <w:r>
        <w:rPr>
          <w:rFonts w:hint="eastAsia" w:ascii="仿宋_GB2312" w:hAnsi="仿宋_GB2312" w:eastAsia="仿宋_GB2312" w:cs="仿宋_GB2312"/>
          <w:color w:val="auto"/>
          <w:sz w:val="32"/>
          <w:szCs w:val="32"/>
          <w:lang w:val="en-US" w:eastAsia="zh-CN"/>
        </w:rPr>
        <w:t>一般行政管理事务</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407.53</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69FC9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社会保障和就业（类）退役军人管理事务（款）</w:t>
      </w:r>
      <w:r>
        <w:rPr>
          <w:rFonts w:hint="eastAsia" w:ascii="仿宋_GB2312" w:hAnsi="仿宋_GB2312" w:eastAsia="仿宋_GB2312" w:cs="仿宋_GB2312"/>
          <w:color w:val="auto"/>
          <w:sz w:val="32"/>
          <w:szCs w:val="32"/>
          <w:lang w:val="en-US" w:eastAsia="zh-CN"/>
        </w:rPr>
        <w:t>拥军优属</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9.56</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1D204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社会保障和就业（类）退役军人管理事务（款）</w:t>
      </w:r>
      <w:r>
        <w:rPr>
          <w:rFonts w:hint="eastAsia" w:ascii="仿宋_GB2312" w:hAnsi="仿宋_GB2312" w:eastAsia="仿宋_GB2312" w:cs="仿宋_GB2312"/>
          <w:color w:val="auto"/>
          <w:sz w:val="32"/>
          <w:szCs w:val="32"/>
          <w:lang w:val="en-US" w:eastAsia="zh-CN"/>
        </w:rPr>
        <w:t>事业运行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71.26</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7F3506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社会保障和就业（类）退役军人管理事务（款）</w:t>
      </w:r>
      <w:r>
        <w:rPr>
          <w:rFonts w:hint="eastAsia" w:ascii="仿宋_GB2312" w:hAnsi="仿宋_GB2312" w:eastAsia="仿宋_GB2312" w:cs="仿宋_GB2312"/>
          <w:color w:val="auto"/>
          <w:sz w:val="32"/>
          <w:szCs w:val="32"/>
          <w:lang w:val="en-US" w:eastAsia="zh-CN"/>
        </w:rPr>
        <w:t>其他退役军人事务管理支出</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15.11</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77934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社会保障和就业（类）其他社会保障和就业支出（款）</w:t>
      </w:r>
      <w:r>
        <w:rPr>
          <w:rFonts w:hint="eastAsia" w:ascii="仿宋_GB2312" w:hAnsi="仿宋_GB2312" w:eastAsia="仿宋_GB2312" w:cs="仿宋_GB2312"/>
          <w:color w:val="auto"/>
          <w:sz w:val="32"/>
          <w:szCs w:val="32"/>
          <w:lang w:val="en-US" w:eastAsia="zh-CN"/>
        </w:rPr>
        <w:t>其他社会保障和就业支出</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5.62</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504CF3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卫生健康支出（类）行政事业单位医疗（款）</w:t>
      </w:r>
      <w:r>
        <w:rPr>
          <w:rFonts w:hint="eastAsia" w:ascii="仿宋_GB2312" w:hAnsi="仿宋_GB2312" w:eastAsia="仿宋_GB2312" w:cs="仿宋_GB2312"/>
          <w:color w:val="auto"/>
          <w:sz w:val="32"/>
          <w:szCs w:val="32"/>
          <w:lang w:val="en-US" w:eastAsia="zh-CN"/>
        </w:rPr>
        <w:t>行政单位医疗</w:t>
      </w:r>
      <w:r>
        <w:rPr>
          <w:rFonts w:hint="eastAsia" w:ascii="仿宋_GB2312" w:hAnsi="仿宋_GB2312" w:eastAsia="仿宋_GB2312" w:cs="仿宋_GB2312"/>
          <w:b w:val="0"/>
          <w:bCs w:val="0"/>
          <w:color w:val="auto"/>
          <w:sz w:val="32"/>
          <w:szCs w:val="32"/>
        </w:rPr>
        <w:t>（项）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 支出决算为</w:t>
      </w:r>
      <w:r>
        <w:rPr>
          <w:rFonts w:hint="eastAsia" w:ascii="仿宋_GB2312" w:hAnsi="仿宋_GB2312" w:eastAsia="仿宋_GB2312" w:cs="仿宋_GB2312"/>
          <w:b w:val="0"/>
          <w:bCs w:val="0"/>
          <w:color w:val="auto"/>
          <w:sz w:val="32"/>
          <w:szCs w:val="32"/>
          <w:lang w:val="en-US" w:eastAsia="zh-CN"/>
        </w:rPr>
        <w:t>6.57</w:t>
      </w:r>
      <w:r>
        <w:rPr>
          <w:rFonts w:hint="eastAsia" w:ascii="仿宋_GB2312" w:hAnsi="仿宋_GB2312" w:eastAsia="仿宋_GB2312" w:cs="仿宋_GB2312"/>
          <w:b w:val="0"/>
          <w:bCs w:val="0"/>
          <w:color w:val="auto"/>
          <w:sz w:val="32"/>
          <w:szCs w:val="32"/>
        </w:rPr>
        <w:t>万元，完成预算</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p>
    <w:p w14:paraId="5F368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卫生健康支出（类）行政事业单位医疗（款）</w:t>
      </w:r>
      <w:r>
        <w:rPr>
          <w:rFonts w:hint="eastAsia" w:ascii="仿宋_GB2312" w:hAnsi="仿宋_GB2312" w:eastAsia="仿宋_GB2312" w:cs="仿宋_GB2312"/>
          <w:color w:val="auto"/>
          <w:sz w:val="32"/>
          <w:szCs w:val="32"/>
          <w:lang w:val="en-US" w:eastAsia="zh-CN"/>
        </w:rPr>
        <w:t>事业单位医疗</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13.63</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5C6168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卫生健康支出（类）行政事业单位医疗（款）</w:t>
      </w:r>
      <w:r>
        <w:rPr>
          <w:rFonts w:hint="eastAsia" w:ascii="仿宋_GB2312" w:hAnsi="仿宋_GB2312" w:eastAsia="仿宋_GB2312" w:cs="仿宋_GB2312"/>
          <w:color w:val="auto"/>
          <w:sz w:val="32"/>
          <w:szCs w:val="32"/>
          <w:lang w:val="en-US" w:eastAsia="zh-CN"/>
        </w:rPr>
        <w:t>公务员医疗补助</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11.86</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65A6C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卫生健康支出（类）优抚对象医疗（款）</w:t>
      </w:r>
      <w:r>
        <w:rPr>
          <w:rFonts w:hint="eastAsia" w:ascii="仿宋_GB2312" w:hAnsi="仿宋_GB2312" w:eastAsia="仿宋_GB2312" w:cs="仿宋_GB2312"/>
          <w:color w:val="auto"/>
          <w:sz w:val="32"/>
          <w:szCs w:val="32"/>
          <w:lang w:val="en-US" w:eastAsia="zh-CN"/>
        </w:rPr>
        <w:t>其他优抚对象医疗支出</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47.44</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6E6C7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住房保障支出（类）住房改革支出（款）</w:t>
      </w:r>
      <w:r>
        <w:rPr>
          <w:rFonts w:hint="eastAsia" w:ascii="仿宋_GB2312" w:hAnsi="仿宋_GB2312" w:eastAsia="仿宋_GB2312" w:cs="仿宋_GB2312"/>
          <w:color w:val="auto"/>
          <w:sz w:val="32"/>
          <w:szCs w:val="32"/>
          <w:lang w:val="en-US" w:eastAsia="zh-CN"/>
        </w:rPr>
        <w:t>住房公积金</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支出决算为</w:t>
      </w:r>
      <w:r>
        <w:rPr>
          <w:rFonts w:hint="eastAsia" w:ascii="仿宋_GB2312" w:hAnsi="仿宋_GB2312" w:eastAsia="仿宋_GB2312" w:cs="仿宋_GB2312"/>
          <w:color w:val="auto"/>
          <w:sz w:val="32"/>
          <w:szCs w:val="32"/>
          <w:lang w:val="en-US" w:eastAsia="zh-CN"/>
        </w:rPr>
        <w:t>43.75</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3B28DB17">
      <w:pPr>
        <w:pageBreakBefore w:val="0"/>
        <w:tabs>
          <w:tab w:val="right" w:pos="8306"/>
        </w:tabs>
        <w:kinsoku/>
        <w:wordWrap/>
        <w:overflowPunct/>
        <w:topLinePunct w:val="0"/>
        <w:autoSpaceDN/>
        <w:bidi w:val="0"/>
        <w:spacing w:line="600" w:lineRule="exact"/>
        <w:ind w:firstLine="640"/>
        <w:textAlignment w:val="auto"/>
        <w:outlineLvl w:val="1"/>
        <w:rPr>
          <w:rStyle w:val="30"/>
          <w:rFonts w:ascii="Times New Roman" w:hAnsi="Times New Roman"/>
          <w:color w:val="auto"/>
          <w:highlight w:val="none"/>
        </w:rPr>
      </w:pPr>
      <w:bookmarkStart w:id="38" w:name="_Toc15377214"/>
      <w:bookmarkStart w:id="3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8"/>
      <w:bookmarkEnd w:id="39"/>
      <w:r>
        <w:rPr>
          <w:rStyle w:val="30"/>
          <w:rFonts w:ascii="Times New Roman" w:hAnsi="Times New Roman" w:eastAsia="黑体"/>
          <w:b w:val="0"/>
          <w:color w:val="auto"/>
          <w:highlight w:val="none"/>
        </w:rPr>
        <w:tab/>
      </w:r>
    </w:p>
    <w:p w14:paraId="41DA923E">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highlight w:val="none"/>
          <w:lang w:val="en-US" w:eastAsia="zh-CN"/>
        </w:rPr>
        <w:t>830.64</w:t>
      </w:r>
      <w:r>
        <w:rPr>
          <w:rFonts w:hint="eastAsia" w:ascii="仿宋_GB2312" w:hAnsi="仿宋_GB2312" w:eastAsia="仿宋_GB2312" w:cs="仿宋_GB2312"/>
          <w:color w:val="auto"/>
          <w:kern w:val="2"/>
          <w:sz w:val="32"/>
          <w:szCs w:val="32"/>
          <w:highlight w:val="none"/>
          <w:lang w:val="en-US" w:eastAsia="zh-CN" w:bidi="ar-SA"/>
        </w:rPr>
        <w:t>万元，其中：</w:t>
      </w:r>
    </w:p>
    <w:p w14:paraId="747AA8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highlight w:val="none"/>
          <w:lang w:val="en-US" w:eastAsia="zh-CN"/>
        </w:rPr>
        <w:t>723.31</w:t>
      </w:r>
      <w:r>
        <w:rPr>
          <w:rFonts w:hint="eastAsia" w:ascii="仿宋_GB2312" w:hAnsi="仿宋_GB2312" w:eastAsia="仿宋_GB2312" w:cs="仿宋_GB2312"/>
          <w:color w:val="auto"/>
          <w:kern w:val="2"/>
          <w:sz w:val="32"/>
          <w:szCs w:val="32"/>
          <w:highlight w:val="none"/>
          <w:lang w:val="en-US" w:eastAsia="zh-CN" w:bidi="ar-SA"/>
        </w:rPr>
        <w:t>万元，主要包括：</w:t>
      </w:r>
      <w:r>
        <w:rPr>
          <w:rFonts w:hint="eastAsia" w:ascii="仿宋_GB2312" w:hAnsi="仿宋_GB2312" w:eastAsia="仿宋_GB2312" w:cs="仿宋_GB2312"/>
          <w:color w:val="auto"/>
          <w:sz w:val="32"/>
          <w:szCs w:val="32"/>
        </w:rPr>
        <w:t>主要包括：</w:t>
      </w:r>
      <w:r>
        <w:rPr>
          <w:rFonts w:hint="eastAsia" w:ascii="仿宋_GB2312" w:hAnsi="仿宋_GB2312" w:eastAsia="仿宋_GB2312" w:cs="仿宋_GB2312"/>
          <w:color w:val="auto"/>
          <w:sz w:val="32"/>
          <w:szCs w:val="32"/>
          <w:shd w:val="clear" w:color="auto" w:fill="auto"/>
        </w:rPr>
        <w:t>基本工资、津贴补贴、奖金、绩效工资、机关事业单位基本养老保险缴费、职业年金缴费、职工基本医疗保险缴费</w:t>
      </w:r>
      <w:r>
        <w:rPr>
          <w:rFonts w:hint="eastAsia" w:ascii="仿宋_GB2312" w:hAnsi="仿宋_GB2312" w:eastAsia="仿宋_GB2312" w:cs="仿宋_GB2312"/>
          <w:color w:val="auto"/>
          <w:sz w:val="32"/>
          <w:szCs w:val="32"/>
          <w:shd w:val="clear" w:color="auto" w:fill="auto"/>
          <w:lang w:eastAsia="zh-CN"/>
        </w:rPr>
        <w:t>、公务员医疗补助缴费、</w:t>
      </w:r>
      <w:r>
        <w:rPr>
          <w:rFonts w:hint="eastAsia" w:ascii="仿宋_GB2312" w:hAnsi="仿宋_GB2312" w:eastAsia="仿宋_GB2312" w:cs="仿宋_GB2312"/>
          <w:color w:val="auto"/>
          <w:sz w:val="32"/>
          <w:szCs w:val="32"/>
          <w:shd w:val="clear" w:color="auto" w:fill="auto"/>
        </w:rPr>
        <w:t>其他社会保障缴费、其他工资福利支出、生活补助、奖励金、住房公积金、其他对个人和家庭的补助支出等。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color w:val="auto"/>
          <w:sz w:val="32"/>
          <w:szCs w:val="32"/>
          <w:highlight w:val="none"/>
          <w:lang w:val="en-US" w:eastAsia="zh-CN"/>
        </w:rPr>
        <w:t>107.33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sz w:val="32"/>
          <w:szCs w:val="32"/>
        </w:rPr>
        <w:t>主要包括：</w:t>
      </w:r>
      <w:r>
        <w:rPr>
          <w:rFonts w:hint="eastAsia" w:ascii="仿宋_GB2312" w:hAnsi="仿宋_GB2312" w:eastAsia="仿宋_GB2312" w:cs="仿宋_GB2312"/>
          <w:color w:val="auto"/>
          <w:sz w:val="32"/>
          <w:szCs w:val="32"/>
          <w:shd w:val="clear" w:color="auto" w:fill="auto"/>
        </w:rPr>
        <w:t>办公费、印刷费、水费、电费、邮电费、差旅费、维修（护）费、公务接待费、劳务费、委托业务费、工会经费、公务用车运行维护费、其他交通费、其他商品和服务支出等。</w:t>
      </w:r>
    </w:p>
    <w:p w14:paraId="492F5EF9">
      <w:pPr>
        <w:pageBreakBefore w:val="0"/>
        <w:kinsoku/>
        <w:wordWrap/>
        <w:overflowPunct/>
        <w:topLinePunct w:val="0"/>
        <w:autoSpaceDN/>
        <w:bidi w:val="0"/>
        <w:spacing w:line="600" w:lineRule="exact"/>
        <w:ind w:firstLine="640"/>
        <w:textAlignment w:val="auto"/>
        <w:outlineLvl w:val="1"/>
        <w:rPr>
          <w:rStyle w:val="30"/>
          <w:rFonts w:ascii="Times New Roman" w:hAnsi="Times New Roman" w:eastAsia="黑体"/>
          <w:b w:val="0"/>
          <w:color w:val="auto"/>
          <w:highlight w:val="none"/>
        </w:rPr>
      </w:pPr>
      <w:bookmarkStart w:id="40" w:name="_Toc15377215"/>
      <w:bookmarkStart w:id="4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0"/>
      <w:bookmarkEnd w:id="41"/>
    </w:p>
    <w:p w14:paraId="1E6822AA">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42"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42"/>
    </w:p>
    <w:p w14:paraId="31FD9DE7">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%，较上年度减少71.21万元，下降91.87%。决算数与预算数持平的主要原因是：单位精准测算预算金额，严格控制“三公”经费支出。</w:t>
      </w:r>
    </w:p>
    <w:p w14:paraId="0644514C">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43"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43"/>
    </w:p>
    <w:p w14:paraId="09E5BBFC">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ascii="仿宋_GB2312" w:hAnsi="仿宋_GB2312" w:eastAsia="仿宋_GB2312" w:cs="仿宋_GB2312"/>
          <w:color w:val="auto"/>
          <w:sz w:val="32"/>
          <w:szCs w:val="32"/>
          <w:highlight w:val="none"/>
          <w:lang w:val="en-US" w:eastAsia="zh-CN"/>
        </w:rPr>
        <w:t>6.11</w:t>
      </w:r>
      <w:r>
        <w:rPr>
          <w:rFonts w:hint="eastAsia" w:ascii="仿宋_GB2312" w:hAnsi="仿宋_GB2312" w:eastAsia="仿宋_GB2312" w:cs="仿宋_GB2312"/>
          <w:color w:val="auto"/>
          <w:kern w:val="2"/>
          <w:sz w:val="32"/>
          <w:szCs w:val="32"/>
          <w:highlight w:val="none"/>
          <w:lang w:val="en-US" w:eastAsia="zh-CN" w:bidi="ar-SA"/>
        </w:rPr>
        <w:t>万元，占97.03%；公务接待费支出决算</w:t>
      </w:r>
      <w:r>
        <w:rPr>
          <w:rFonts w:hint="eastAsia" w:ascii="仿宋_GB2312" w:hAnsi="仿宋_GB2312" w:eastAsia="仿宋_GB2312" w:cs="仿宋_GB2312"/>
          <w:color w:val="auto"/>
          <w:sz w:val="32"/>
          <w:szCs w:val="32"/>
          <w:highlight w:val="none"/>
          <w:lang w:val="en-US" w:eastAsia="zh-CN"/>
        </w:rPr>
        <w:t>0.19</w:t>
      </w:r>
      <w:r>
        <w:rPr>
          <w:rFonts w:hint="eastAsia" w:ascii="仿宋_GB2312" w:hAnsi="仿宋_GB2312" w:eastAsia="仿宋_GB2312" w:cs="仿宋_GB2312"/>
          <w:color w:val="auto"/>
          <w:kern w:val="2"/>
          <w:sz w:val="32"/>
          <w:szCs w:val="32"/>
          <w:highlight w:val="none"/>
          <w:lang w:val="en-US" w:eastAsia="zh-CN" w:bidi="ar-SA"/>
        </w:rPr>
        <w:t>万元，占2.97%。具体情况如下：</w:t>
      </w:r>
    </w:p>
    <w:p w14:paraId="0E02C1DD">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0446DE">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1.因公出国（境）经费支出0万元，完成预算100%。全年安排因公出国（境）团组</w:t>
      </w:r>
      <w:r>
        <w:rPr>
          <w:rFonts w:hint="eastAsia" w:ascii="仿宋_GB2312" w:hAnsi="仿宋_GB2312" w:eastAsia="仿宋_GB2312" w:cs="仿宋_GB2312"/>
          <w:b w:val="0"/>
          <w:bCs w:val="0"/>
          <w:color w:val="auto"/>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次，出国（境）</w:t>
      </w:r>
      <w:r>
        <w:rPr>
          <w:rFonts w:hint="eastAsia" w:ascii="仿宋_GB2312" w:hAnsi="仿宋_GB2312" w:eastAsia="仿宋_GB2312" w:cs="仿宋_GB2312"/>
          <w:b w:val="0"/>
          <w:bCs w:val="0"/>
          <w:color w:val="auto"/>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人。因公出国（境）支出决算比2023年增加0万元，增长0%。</w:t>
      </w:r>
    </w:p>
    <w:p w14:paraId="6218ADD5">
      <w:pPr>
        <w:pageBreakBefore w:val="0"/>
        <w:kinsoku/>
        <w:wordWrap/>
        <w:overflowPunct/>
        <w:topLinePunct w:val="0"/>
        <w:autoSpaceDN/>
        <w:bidi w:val="0"/>
        <w:spacing w:line="600" w:lineRule="exact"/>
        <w:ind w:firstLine="64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公务用车购置及运行维护费支出6.11万元，完成预算100%。公务用车购置及运行维护费支出决算比2023年度减少71.25万元，下降92.1%。主要原因是部门下属单位公务用车年久失修，2023年购置公务用车3辆，2024年未购置车辆，造成公务用车购置及运行维护费降幅较大。</w:t>
      </w:r>
    </w:p>
    <w:p w14:paraId="7985AD6A">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其中：公务用车购置支出0元。全年按规定更新购置公务用车0辆，其中：轿车0辆、金额0万元，越野车0辆、金额0万元，载客汽车0辆、金额0万元。截至2024年12月31日，单位共有公务用车5辆，其中：轿车1辆、越野车2辆、多用途汽车1辆、特种专业技术用车1辆、载客汽车0辆。</w:t>
      </w:r>
    </w:p>
    <w:p w14:paraId="763C0682">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公务用车运行维护费支出6.11万元。主要用于军休保障及军供保障等所需的公务用车燃料费、维修费、过路过桥费、保险费等支出。</w:t>
      </w:r>
    </w:p>
    <w:p w14:paraId="1E508860">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3.公务接待费支出0.19万元，完成预算100%。公务接待费支出决算比2023年度增加0.04万元，增长21.05%。主要原因是接待费增加。其中：</w:t>
      </w:r>
    </w:p>
    <w:p w14:paraId="5BEB5BF8">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国内公务接待支出0.19万元，</w:t>
      </w:r>
      <w:r>
        <w:rPr>
          <w:rFonts w:hint="eastAsia" w:ascii="仿宋_GB2312" w:hAnsi="仿宋_GB2312" w:eastAsia="仿宋_GB2312" w:cs="仿宋_GB2312"/>
          <w:color w:val="auto"/>
          <w:sz w:val="32"/>
          <w:szCs w:val="32"/>
        </w:rPr>
        <w:t>主要用于开展业务活动开支的交通费、住宿费、用餐费等</w:t>
      </w:r>
      <w:r>
        <w:rPr>
          <w:rFonts w:hint="eastAsia" w:ascii="仿宋_GB2312" w:hAnsi="仿宋_GB2312" w:eastAsia="仿宋_GB2312" w:cs="仿宋_GB2312"/>
          <w:color w:val="auto"/>
          <w:kern w:val="2"/>
          <w:sz w:val="32"/>
          <w:szCs w:val="32"/>
          <w:highlight w:val="none"/>
          <w:lang w:val="en-US" w:eastAsia="zh-CN" w:bidi="ar-SA"/>
        </w:rPr>
        <w:t>。国内公务接待</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kern w:val="2"/>
          <w:sz w:val="32"/>
          <w:szCs w:val="32"/>
          <w:highlight w:val="none"/>
          <w:lang w:val="en-US" w:eastAsia="zh-CN" w:bidi="ar-SA"/>
        </w:rPr>
        <w:t>人次（不包括陪同人员），共计支出0.19万元，具体内容包括：遂宁市退役军人事务局来所交流接待费0.11万元，重庆市长寿区退役军人事务局调研接待费0.08万元。</w:t>
      </w:r>
    </w:p>
    <w:p w14:paraId="7F41E51B">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，0外事接待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bookmarkStart w:id="44" w:name="_Toc15377218"/>
      <w:bookmarkStart w:id="45" w:name="_Toc15396610"/>
      <w:r>
        <w:rPr>
          <w:rFonts w:hint="eastAsia" w:ascii="仿宋_GB2312" w:hAnsi="仿宋_GB2312" w:eastAsia="仿宋_GB2312" w:cs="仿宋_GB2312"/>
          <w:color w:val="auto"/>
          <w:kern w:val="2"/>
          <w:sz w:val="32"/>
          <w:szCs w:val="32"/>
          <w:highlight w:val="none"/>
          <w:lang w:val="en-US" w:eastAsia="zh-CN" w:bidi="ar-SA"/>
        </w:rPr>
        <w:t>。</w:t>
      </w:r>
    </w:p>
    <w:p w14:paraId="4E76D68D">
      <w:pPr>
        <w:pageBreakBefore w:val="0"/>
        <w:kinsoku/>
        <w:wordWrap/>
        <w:overflowPunct/>
        <w:topLinePunct w:val="0"/>
        <w:autoSpaceDN/>
        <w:bidi w:val="0"/>
        <w:spacing w:line="600" w:lineRule="exact"/>
        <w:ind w:firstLine="640"/>
        <w:textAlignment w:val="auto"/>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4"/>
      <w:bookmarkEnd w:id="45"/>
    </w:p>
    <w:p w14:paraId="5878B268">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color w:val="auto"/>
          <w:sz w:val="32"/>
          <w:szCs w:val="32"/>
          <w:lang w:val="en-US" w:eastAsia="zh-CN"/>
        </w:rPr>
        <w:t>218.9</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auto"/>
          <w:sz w:val="32"/>
          <w:szCs w:val="32"/>
          <w:lang w:val="en-US" w:eastAsia="zh-CN"/>
        </w:rPr>
        <w:t>2.42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。与2023年度相比，政府性基金预算财政拨款支出增加108.51万元，增长98.3%。主要变动原因是：2024年度支付的春节前工程款增加。</w:t>
      </w:r>
    </w:p>
    <w:p w14:paraId="41D6437C">
      <w:pPr>
        <w:pageBreakBefore w:val="0"/>
        <w:numPr>
          <w:ilvl w:val="0"/>
          <w:numId w:val="0"/>
        </w:numPr>
        <w:kinsoku/>
        <w:wordWrap/>
        <w:overflowPunct/>
        <w:topLinePunct w:val="0"/>
        <w:autoSpaceDN/>
        <w:bidi w:val="0"/>
        <w:spacing w:line="600" w:lineRule="exact"/>
        <w:ind w:left="630" w:leftChars="0"/>
        <w:textAlignment w:val="auto"/>
        <w:outlineLvl w:val="1"/>
        <w:rPr>
          <w:rStyle w:val="30"/>
          <w:rFonts w:ascii="Times New Roman" w:hAnsi="Times New Roman" w:eastAsia="黑体"/>
          <w:b w:val="0"/>
          <w:color w:val="auto"/>
          <w:highlight w:val="none"/>
        </w:rPr>
      </w:pPr>
      <w:bookmarkStart w:id="46" w:name="_Toc15377219"/>
      <w:bookmarkStart w:id="4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6"/>
      <w:bookmarkEnd w:id="47"/>
    </w:p>
    <w:p w14:paraId="3D070344">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%。与2023年度相比，国有资本经营预算财政拨款支出增加0万元，增长0%。</w:t>
      </w:r>
    </w:p>
    <w:p w14:paraId="45422F82">
      <w:pPr>
        <w:pageBreakBefore w:val="0"/>
        <w:numPr>
          <w:ilvl w:val="0"/>
          <w:numId w:val="0"/>
        </w:numPr>
        <w:kinsoku/>
        <w:wordWrap/>
        <w:overflowPunct/>
        <w:topLinePunct w:val="0"/>
        <w:autoSpaceDN/>
        <w:bidi w:val="0"/>
        <w:spacing w:line="600" w:lineRule="exact"/>
        <w:ind w:left="630" w:leftChars="0"/>
        <w:textAlignment w:val="auto"/>
        <w:outlineLvl w:val="1"/>
        <w:rPr>
          <w:rStyle w:val="30"/>
          <w:rFonts w:hint="eastAsia" w:ascii="Times New Roman" w:hAnsi="Times New Roman" w:eastAsia="黑体"/>
          <w:b w:val="0"/>
          <w:color w:val="auto"/>
          <w:highlight w:val="none"/>
        </w:rPr>
      </w:pPr>
      <w:bookmarkStart w:id="48" w:name="_Toc15396612"/>
      <w:bookmarkStart w:id="49"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8"/>
      <w:bookmarkEnd w:id="49"/>
    </w:p>
    <w:p w14:paraId="71FEBCE9">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50" w:name="_Toc15377222"/>
      <w:r>
        <w:rPr>
          <w:rFonts w:hint="eastAsia" w:ascii="Times New Roman" w:hAnsi="Times New Roman" w:eastAsia="楷体_GB2312" w:cs="楷体_GB2312"/>
          <w:b w:val="0"/>
          <w:bCs/>
          <w:color w:val="auto"/>
          <w:sz w:val="32"/>
          <w:szCs w:val="32"/>
          <w:highlight w:val="none"/>
        </w:rPr>
        <w:t>（一）机关运行经费支出情况</w:t>
      </w:r>
      <w:bookmarkEnd w:id="50"/>
    </w:p>
    <w:p w14:paraId="3AE8B564">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2024年度，机关运行经费支出</w:t>
      </w:r>
      <w:r>
        <w:rPr>
          <w:rFonts w:hint="eastAsia" w:ascii="仿宋_GB2312" w:hAnsi="仿宋_GB2312" w:eastAsia="仿宋_GB2312" w:cs="仿宋_GB2312"/>
          <w:color w:val="auto"/>
          <w:sz w:val="32"/>
          <w:szCs w:val="32"/>
          <w:highlight w:val="none"/>
          <w:lang w:val="en-US" w:eastAsia="zh-CN"/>
        </w:rPr>
        <w:t>61.28</w:t>
      </w:r>
      <w:r>
        <w:rPr>
          <w:rFonts w:hint="eastAsia" w:ascii="仿宋_GB2312" w:hAnsi="仿宋_GB2312" w:eastAsia="仿宋_GB2312" w:cs="仿宋_GB2312"/>
          <w:color w:val="auto"/>
          <w:kern w:val="2"/>
          <w:sz w:val="32"/>
          <w:szCs w:val="32"/>
          <w:highlight w:val="none"/>
          <w:lang w:val="en-US" w:eastAsia="zh-CN" w:bidi="ar-SA"/>
        </w:rPr>
        <w:t>万元，比2023年度增加14.19万元，增长30.13%。主要原因是：为满足退役军人人事档案规范化建设需要，2024年度我单位增加了办公区域，进行了部分办公区域迁移，机关运行成本增加。</w:t>
      </w:r>
    </w:p>
    <w:p w14:paraId="3452B218">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51" w:name="_Toc15377223"/>
      <w:r>
        <w:rPr>
          <w:rFonts w:hint="eastAsia" w:ascii="Times New Roman" w:hAnsi="Times New Roman" w:eastAsia="楷体_GB2312" w:cs="楷体_GB2312"/>
          <w:b w:val="0"/>
          <w:bCs/>
          <w:color w:val="auto"/>
          <w:sz w:val="32"/>
          <w:szCs w:val="32"/>
          <w:highlight w:val="none"/>
        </w:rPr>
        <w:t>（二）政府采购支出情况</w:t>
      </w:r>
      <w:bookmarkEnd w:id="51"/>
    </w:p>
    <w:p w14:paraId="2E056FEF">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ascii="仿宋_GB2312" w:hAnsi="仿宋_GB2312" w:eastAsia="仿宋_GB2312" w:cs="仿宋_GB2312"/>
          <w:color w:val="auto"/>
          <w:sz w:val="32"/>
          <w:szCs w:val="32"/>
          <w:highlight w:val="none"/>
          <w:lang w:val="en-US" w:eastAsia="zh-CN"/>
        </w:rPr>
        <w:t>37.82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color w:val="auto"/>
          <w:sz w:val="32"/>
          <w:szCs w:val="32"/>
          <w:lang w:val="en-US" w:eastAsia="zh-CN"/>
        </w:rPr>
        <w:t>33.5</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color w:val="auto"/>
          <w:sz w:val="32"/>
          <w:szCs w:val="32"/>
          <w:lang w:val="en-US" w:eastAsia="zh-CN"/>
        </w:rPr>
        <w:t>4.32</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。主要用于下属单位公车维修维护等。授予中小企业合同金额</w:t>
      </w:r>
      <w:r>
        <w:rPr>
          <w:rFonts w:hint="eastAsia" w:ascii="仿宋_GB2312" w:hAnsi="仿宋_GB2312" w:eastAsia="仿宋_GB2312" w:cs="仿宋_GB2312"/>
          <w:color w:val="auto"/>
          <w:sz w:val="32"/>
          <w:szCs w:val="32"/>
          <w:lang w:val="en-US" w:eastAsia="zh-CN"/>
        </w:rPr>
        <w:t>3.14</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color w:val="auto"/>
          <w:sz w:val="32"/>
          <w:szCs w:val="32"/>
          <w:lang w:val="en-US" w:eastAsia="zh-CN"/>
        </w:rPr>
        <w:t>3.14</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79E4D0CA">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52" w:name="_Toc15377224"/>
      <w:r>
        <w:rPr>
          <w:rFonts w:hint="eastAsia" w:ascii="Times New Roman" w:hAnsi="Times New Roman" w:eastAsia="楷体_GB2312" w:cs="楷体_GB2312"/>
          <w:b w:val="0"/>
          <w:bCs/>
          <w:color w:val="auto"/>
          <w:sz w:val="32"/>
          <w:szCs w:val="32"/>
          <w:highlight w:val="none"/>
        </w:rPr>
        <w:t>（三）国有资产占有使用情况</w:t>
      </w:r>
      <w:bookmarkEnd w:id="52"/>
    </w:p>
    <w:p w14:paraId="200B2D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辆、特种专业技术用车1辆，离退休干部服务用车2辆，其他用车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cs="仿宋_GB2312"/>
          <w:color w:val="auto"/>
          <w:sz w:val="32"/>
          <w:szCs w:val="32"/>
        </w:rPr>
        <w:t>其他用车主要是用于</w:t>
      </w:r>
      <w:r>
        <w:rPr>
          <w:rFonts w:hint="eastAsia" w:ascii="仿宋_GB2312" w:hAnsi="仿宋_GB2312" w:eastAsia="仿宋_GB2312" w:cs="仿宋_GB2312"/>
          <w:color w:val="auto"/>
          <w:sz w:val="32"/>
          <w:szCs w:val="32"/>
          <w:lang w:eastAsia="zh-CN"/>
        </w:rPr>
        <w:t>军供服务保障</w:t>
      </w:r>
      <w:r>
        <w:rPr>
          <w:rFonts w:hint="eastAsia" w:ascii="仿宋_GB2312" w:hAnsi="仿宋_GB2312" w:eastAsia="仿宋_GB2312" w:cs="仿宋_GB2312"/>
          <w:color w:val="auto"/>
          <w:sz w:val="32"/>
          <w:szCs w:val="32"/>
        </w:rPr>
        <w:t>。单价100万元以上设备（不含车辆）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777D345E">
      <w:pPr>
        <w:pageBreakBefore w:val="0"/>
        <w:kinsoku/>
        <w:wordWrap/>
        <w:overflowPunct/>
        <w:topLinePunct w:val="0"/>
        <w:autoSpaceDN/>
        <w:bidi w:val="0"/>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（四）预算绩效管理情况</w:t>
      </w:r>
    </w:p>
    <w:p w14:paraId="04E08B84">
      <w:pPr>
        <w:pageBreakBefore w:val="0"/>
        <w:kinsoku/>
        <w:wordWrap/>
        <w:overflowPunct/>
        <w:topLinePunct w:val="0"/>
        <w:autoSpaceDN/>
        <w:bidi w:val="0"/>
        <w:spacing w:line="60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根据预算绩效管理要求，峨眉山市退役军人事务局在2024年度预算编制阶段，组织对</w:t>
      </w:r>
      <w:r>
        <w:rPr>
          <w:rFonts w:hint="eastAsia" w:ascii="仿宋_GB2312" w:hAnsi="仿宋_GB2312" w:eastAsia="仿宋_GB2312" w:cs="仿宋_GB2312"/>
          <w:color w:val="auto"/>
          <w:sz w:val="32"/>
          <w:szCs w:val="32"/>
        </w:rPr>
        <w:t>烈士陵园管理经费及活动经费项目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工资性支出项目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双拥工作经费项目等</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kern w:val="2"/>
          <w:sz w:val="32"/>
          <w:szCs w:val="32"/>
          <w:highlight w:val="none"/>
          <w:lang w:val="en-US" w:eastAsia="zh-CN" w:bidi="ar-SA"/>
        </w:rPr>
        <w:t>个项目开展了预算事前绩效评估，对97个项目编制了绩效目标，预算执行过程中，选取97个项目开展绩效监控。</w:t>
      </w:r>
    </w:p>
    <w:p w14:paraId="79AE2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w:t>
      </w:r>
      <w:r>
        <w:rPr>
          <w:rFonts w:hint="eastAsia" w:ascii="仿宋_GB2312" w:hAnsi="仿宋_GB2312" w:eastAsia="仿宋_GB2312" w:cs="仿宋_GB2312"/>
          <w:color w:val="auto"/>
          <w:sz w:val="32"/>
          <w:szCs w:val="32"/>
        </w:rPr>
        <w:t>形成</w:t>
      </w:r>
      <w:r>
        <w:rPr>
          <w:rFonts w:hint="eastAsia" w:ascii="仿宋_GB2312" w:hAnsi="仿宋_GB2312" w:eastAsia="仿宋_GB2312" w:cs="仿宋_GB2312"/>
          <w:color w:val="auto"/>
          <w:sz w:val="32"/>
          <w:szCs w:val="32"/>
          <w:lang w:eastAsia="zh-CN"/>
        </w:rPr>
        <w:t>峨眉山市退役军人事务局</w:t>
      </w:r>
      <w:r>
        <w:rPr>
          <w:rFonts w:hint="eastAsia" w:ascii="仿宋_GB2312" w:hAnsi="仿宋_GB2312" w:eastAsia="仿宋_GB2312" w:cs="仿宋_GB2312"/>
          <w:color w:val="auto"/>
          <w:sz w:val="32"/>
          <w:szCs w:val="32"/>
        </w:rPr>
        <w:t>部门整体（含部门预算项目）绩效自评报告</w:t>
      </w:r>
      <w:r>
        <w:rPr>
          <w:rFonts w:hint="eastAsia" w:ascii="仿宋_GB2312" w:hAnsi="仿宋_GB2312" w:eastAsia="仿宋_GB2312" w:cs="仿宋_GB2312"/>
          <w:color w:val="auto"/>
          <w:kern w:val="2"/>
          <w:sz w:val="32"/>
          <w:szCs w:val="32"/>
          <w:highlight w:val="none"/>
          <w:lang w:val="en-US" w:eastAsia="zh-CN" w:bidi="ar-SA"/>
        </w:rPr>
        <w:t>、双拥工作经费等专项预算项目绩效自评报告，其中，</w:t>
      </w:r>
      <w:r>
        <w:rPr>
          <w:rFonts w:hint="eastAsia" w:ascii="仿宋_GB2312" w:hAnsi="仿宋_GB2312" w:eastAsia="仿宋_GB2312" w:cs="仿宋_GB2312"/>
          <w:color w:val="auto"/>
          <w:sz w:val="32"/>
          <w:szCs w:val="32"/>
          <w:lang w:eastAsia="zh-CN"/>
        </w:rPr>
        <w:t>峨眉山市退役军人事务局</w:t>
      </w:r>
      <w:r>
        <w:rPr>
          <w:rFonts w:hint="eastAsia" w:ascii="仿宋_GB2312" w:hAnsi="仿宋_GB2312" w:eastAsia="仿宋_GB2312" w:cs="仿宋_GB2312"/>
          <w:color w:val="auto"/>
          <w:sz w:val="32"/>
          <w:szCs w:val="32"/>
        </w:rPr>
        <w:t>部门整体</w:t>
      </w:r>
      <w:r>
        <w:rPr>
          <w:rFonts w:hint="eastAsia" w:ascii="仿宋_GB2312" w:hAnsi="仿宋_GB2312" w:eastAsia="仿宋_GB2312" w:cs="仿宋_GB2312"/>
          <w:color w:val="auto"/>
          <w:sz w:val="32"/>
          <w:szCs w:val="32"/>
          <w:lang w:eastAsia="zh-CN"/>
        </w:rPr>
        <w:t>（含部门预算项目）绩效自评得分为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kern w:val="2"/>
          <w:sz w:val="32"/>
          <w:szCs w:val="32"/>
          <w:highlight w:val="none"/>
          <w:lang w:val="en-US" w:eastAsia="zh-CN" w:bidi="ar-SA"/>
        </w:rPr>
        <w:t>绩效自评综述：本部门在2024年认真编制预算，严格预算执行，完整、准确、及时编制决算，真实反映单位财务状况，建立健全财务管理制度，加强对行政单位财务活动的控制和监督，定期编制财务报告，进行财务活动分析。预算资金支出符合部门预算批复的用途，按国家财经法规和财务管理制度的规定使用，重大开支执行“三重一大”集体决策程序，资金拨付有完整的审批程序和手续，基础信息和会计资料真实、完整、准确，及时足额拨付各类项目经费，按政策落实补助标准，较好地完成了绩效目标；</w:t>
      </w:r>
      <w:r>
        <w:rPr>
          <w:rFonts w:hint="eastAsia" w:ascii="仿宋_GB2312" w:hAnsi="仿宋_GB2312" w:eastAsia="仿宋_GB2312" w:cs="仿宋_GB2312"/>
          <w:color w:val="auto"/>
          <w:sz w:val="32"/>
          <w:szCs w:val="32"/>
        </w:rPr>
        <w:t>双拥工作经费专项预算项目绩效评价最终得分为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绩效自评综述：</w:t>
      </w:r>
      <w:r>
        <w:rPr>
          <w:rFonts w:hint="eastAsia" w:ascii="仿宋_GB2312" w:hAnsi="仿宋_GB2312" w:eastAsia="仿宋_GB2312" w:cs="仿宋_GB2312"/>
          <w:color w:val="auto"/>
          <w:sz w:val="32"/>
          <w:szCs w:val="32"/>
        </w:rPr>
        <w:t>本项目立项精准，管理较为规范，资金使用效率较高，有效保障了全市双拥各项重点工作的顺利开展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为巩固和发展新时代军政军民关系作出了积极贡献，绩效表现</w:t>
      </w:r>
      <w:r>
        <w:rPr>
          <w:rFonts w:hint="eastAsia" w:ascii="仿宋_GB2312" w:hAnsi="仿宋_GB2312" w:eastAsia="仿宋_GB2312" w:cs="仿宋_GB2312"/>
          <w:color w:val="auto"/>
          <w:sz w:val="32"/>
          <w:szCs w:val="32"/>
          <w:lang w:eastAsia="zh-CN"/>
        </w:rPr>
        <w:t>良好；烈士陵园管理及服务经费</w:t>
      </w:r>
      <w:r>
        <w:rPr>
          <w:rFonts w:hint="eastAsia" w:ascii="仿宋_GB2312" w:hAnsi="仿宋_GB2312" w:eastAsia="仿宋_GB2312" w:cs="仿宋_GB2312"/>
          <w:color w:val="auto"/>
          <w:kern w:val="2"/>
          <w:sz w:val="32"/>
          <w:szCs w:val="32"/>
          <w:lang w:val="zh-CN" w:eastAsia="zh-CN" w:bidi="ar-SA"/>
        </w:rPr>
        <w:t>专项预算项目绩效评价最终得分为</w:t>
      </w:r>
      <w:r>
        <w:rPr>
          <w:rFonts w:hint="eastAsia" w:ascii="仿宋_GB2312" w:hAnsi="仿宋_GB2312" w:eastAsia="仿宋_GB2312" w:cs="仿宋_GB2312"/>
          <w:color w:val="auto"/>
          <w:kern w:val="2"/>
          <w:sz w:val="32"/>
          <w:szCs w:val="32"/>
          <w:lang w:val="en-US" w:eastAsia="zh-CN" w:bidi="ar-SA"/>
        </w:rPr>
        <w:t>100分</w:t>
      </w:r>
      <w:r>
        <w:rPr>
          <w:rFonts w:hint="eastAsia" w:ascii="仿宋_GB2312" w:hAnsi="仿宋_GB2312" w:eastAsia="仿宋_GB2312" w:cs="仿宋_GB2312"/>
          <w:color w:val="auto"/>
          <w:kern w:val="2"/>
          <w:sz w:val="32"/>
          <w:szCs w:val="32"/>
          <w:lang w:val="zh-CN" w:eastAsia="zh-CN" w:bidi="ar-SA"/>
        </w:rPr>
        <w:t>，项目立项正确，管理基本规范，资金使用合规，有效保障了峨眉山烈士陵园的日常运转和基本服务供给，有力保障了各类祭扫瞻仰和爱国主义教育活动的开展，社会公众满意度高，在褒扬英烈、教育群众、传承红色基因方面发挥了不可替代的重要作用，绩效表现良好。</w:t>
      </w:r>
      <w:r>
        <w:rPr>
          <w:rFonts w:hint="eastAsia" w:ascii="仿宋_GB2312" w:hAnsi="仿宋_GB2312" w:eastAsia="仿宋_GB2312" w:cs="仿宋_GB2312"/>
          <w:color w:val="auto"/>
          <w:kern w:val="2"/>
          <w:sz w:val="32"/>
          <w:szCs w:val="32"/>
          <w:highlight w:val="none"/>
          <w:lang w:val="en-US" w:eastAsia="zh-CN" w:bidi="ar-SA"/>
        </w:rPr>
        <w:t>绩效自评报告详见附件。</w:t>
      </w:r>
    </w:p>
    <w:p w14:paraId="22B37446">
      <w:pPr>
        <w:pageBreakBefore w:val="0"/>
        <w:kinsoku/>
        <w:wordWrap/>
        <w:overflowPunct/>
        <w:topLinePunct w:val="0"/>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AC9AAF2">
      <w:pPr>
        <w:pStyle w:val="2"/>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5863A90">
      <w:pPr>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49D52295">
      <w:pPr>
        <w:pStyle w:val="2"/>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7551005">
      <w:pPr>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01EC7C8">
      <w:pPr>
        <w:pStyle w:val="2"/>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74C19CB7">
      <w:pPr>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17CADDFD">
      <w:pPr>
        <w:pStyle w:val="2"/>
        <w:rPr>
          <w:rFonts w:hint="eastAsia"/>
          <w:lang w:val="en-US" w:eastAsia="zh-CN"/>
        </w:rPr>
      </w:pPr>
    </w:p>
    <w:p w14:paraId="49D9A5DD">
      <w:pPr>
        <w:pStyle w:val="2"/>
        <w:pageBreakBefore w:val="0"/>
        <w:kinsoku/>
        <w:wordWrap/>
        <w:overflowPunct/>
        <w:topLinePunct w:val="0"/>
        <w:autoSpaceDN/>
        <w:bidi w:val="0"/>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3581646F">
      <w:pPr>
        <w:pageBreakBefore w:val="0"/>
        <w:kinsoku/>
        <w:wordWrap/>
        <w:overflowPunct/>
        <w:topLinePunct w:val="0"/>
        <w:autoSpaceDN/>
        <w:bidi w:val="0"/>
        <w:spacing w:line="600" w:lineRule="exact"/>
        <w:textAlignment w:val="auto"/>
        <w:rPr>
          <w:rFonts w:hint="eastAsia"/>
          <w:color w:val="auto"/>
          <w:lang w:val="en-US" w:eastAsia="zh-CN"/>
        </w:rPr>
      </w:pPr>
    </w:p>
    <w:p w14:paraId="4D1A82B2">
      <w:pPr>
        <w:pageBreakBefore w:val="0"/>
        <w:numPr>
          <w:ilvl w:val="0"/>
          <w:numId w:val="0"/>
        </w:numPr>
        <w:kinsoku/>
        <w:wordWrap/>
        <w:overflowPunct/>
        <w:topLinePunct w:val="0"/>
        <w:autoSpaceDN/>
        <w:bidi w:val="0"/>
        <w:spacing w:line="600" w:lineRule="exact"/>
        <w:jc w:val="center"/>
        <w:textAlignment w:val="auto"/>
        <w:outlineLvl w:val="0"/>
        <w:rPr>
          <w:rFonts w:hint="eastAsia" w:ascii="Times New Roman" w:hAnsi="Times New Roman" w:eastAsia="黑体"/>
          <w:color w:val="auto"/>
          <w:sz w:val="44"/>
          <w:szCs w:val="44"/>
          <w:highlight w:val="none"/>
        </w:rPr>
      </w:pPr>
      <w:bookmarkStart w:id="53" w:name="_Toc15396613"/>
      <w:bookmarkStart w:id="5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711F9C36">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bookmarkStart w:id="55" w:name="_Toc15377226"/>
      <w:r>
        <w:rPr>
          <w:rFonts w:hint="eastAsia" w:ascii="仿宋-GB2312" w:hAnsi="仿宋-GB2312" w:eastAsia="仿宋-GB2312" w:cs="仿宋-GB2312"/>
          <w:color w:val="auto"/>
          <w:sz w:val="32"/>
          <w:szCs w:val="32"/>
          <w:lang w:val="en-US" w:eastAsia="zh-CN"/>
        </w:rPr>
        <w:t>1.财政拨款收入：指单位从同级财政部门取得的财政预算资金。</w:t>
      </w:r>
    </w:p>
    <w:p w14:paraId="3BF1010A">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2.事业收入：指事业单位开展专业业务活动及辅助活动取得的收入。如：二级预算单位事业收入情况等。</w:t>
      </w:r>
    </w:p>
    <w:p w14:paraId="77117111">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3.经营收入：指事业单位在专业业务活动及其辅助活动之外开展非独立核算经营活动取得的收入。如：二级预算单位经营收入情况等。</w:t>
      </w:r>
    </w:p>
    <w:p w14:paraId="4044C107">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4.其他收入：指单位取得的除上述收入以外的各项收入。</w:t>
      </w:r>
    </w:p>
    <w:p w14:paraId="0FEAB5B1">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 xml:space="preserve">5.使用非财政拨款结余（含专用结余）：指事业单位使用以前年度积累的非财政拨款结余弥补当年收支差额的金额。 </w:t>
      </w:r>
    </w:p>
    <w:p w14:paraId="5F2D3679">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 xml:space="preserve">6.年初结转和结余：指以前年度尚未完成、结转到本年按有关规定继续使用的资金。 </w:t>
      </w:r>
    </w:p>
    <w:p w14:paraId="301AF704">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7.结余分配：指事业单位按照会计制度规定缴纳的所得税、提取的专用结余以及转入非财政拨款结余的金额等。</w:t>
      </w:r>
    </w:p>
    <w:p w14:paraId="73EB25A2">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8.年末结转和结余：指单位按有关规定结转到下年或以后年度继续使用的资金。</w:t>
      </w:r>
    </w:p>
    <w:p w14:paraId="5B53C350">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9.社会保障和就业支出（类）行政事业单位养老支出（款）机关事业单位基本养老保险缴费支出（项）：指机关事业单位实施养老保险制度由单位缴纳的基本养老保险费支出。</w:t>
      </w:r>
    </w:p>
    <w:p w14:paraId="642DFC0F">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10.社会保障和就业支出（类）行政事业单位养老支出（款）机关事业单位职业年金缴费支出（项）：指机关事业单位实施养老保险制度由单位实际缴纳的职业年金支出。</w:t>
      </w:r>
    </w:p>
    <w:p w14:paraId="206E3D92">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11.社会保障和就业支出（类）抚恤（款）其他优抚支出（项）：指除以上项目以外其他用于优抚方面的支出，包括向优抚对象发放的价格临时补贴等支出。</w:t>
      </w:r>
    </w:p>
    <w:p w14:paraId="58594FD8">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12.社会保障和就业支出（类）退役安置（款）退役士兵管理教育（项）：指退役士兵职业教育、转业士官待分配期间管理教育、医疗等支出。</w:t>
      </w:r>
    </w:p>
    <w:p w14:paraId="76547A49">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13.社会保障和就业支出（类）退役安置（款）其他退役安置支出（项）：指除上述项目以外其他用于退役安置方面的支出。</w:t>
      </w:r>
    </w:p>
    <w:p w14:paraId="73C9ED7D">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14.社会保障和就业支出（类）退役军人管理事务（款）行政运行（项）：指行政单位（包括实行公务员管理的事业单位）的基本支出。</w:t>
      </w:r>
    </w:p>
    <w:p w14:paraId="2E309450">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15.社会保障和就业支出（类）退役军人管理事务（款）一般行政管理事务（项）：指行政单位（包括实行公务员管理的事业单位）未单独设置项目及科目的其他项目支出。</w:t>
      </w:r>
    </w:p>
    <w:p w14:paraId="3D6E3A2C">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16.社会保障和就业支出（类）退役军人管理事务（款）拥军优属（项）：指开展拥军优属活动的支出。</w:t>
      </w:r>
    </w:p>
    <w:p w14:paraId="4A0BB50F">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17.社会保障和就业支出（类）退役军人管理事务（款）事业运行（项）：指事业单位的基本支出，不包括行政单位（包括实行公务员管理的事业单位）后勤服务中心、医疗室等附属事业单位。</w:t>
      </w:r>
    </w:p>
    <w:p w14:paraId="05AA4EA5">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18.社会保障和就业支出（类）退役军人管理事务（款）其他退役军人事务管理支出（项）：指除上述项目以外其他用于退役军人事务管理方面的支出。</w:t>
      </w:r>
    </w:p>
    <w:p w14:paraId="2369CB71">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19.社会保障和就业支出（类）其他社会保障和就业支出（款）其他社会保障和就业支出（项）：指机关事业单位除养老保险、职业年金、医疗保险、住房公积金以外的其他用于社会保障和就业方面的支出。</w:t>
      </w:r>
    </w:p>
    <w:p w14:paraId="4C9DF093">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20.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69DAFE24">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21.卫生健康支出（类）行政事业单位医疗（款）事业单位医疗（项）：指财政部门安排的事业单位基本医疗保险缴费经费，未参加医疗保险的事业单位的公费医疗经费，按国家规定享受离休人员待遇的医疗经费。</w:t>
      </w:r>
    </w:p>
    <w:p w14:paraId="36766933">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22.卫生健康支出（类）行政事业单位医疗（款）公务员医疗补助（项）：指财政部门安排的公务员医疗补助经费。</w:t>
      </w:r>
    </w:p>
    <w:p w14:paraId="467A9509">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23.卫生健康支出（类）优抚对象医疗（款）其他优抚对象医疗支出（项）：指除优抚对象医疗补助以外的其他优抚对象医疗支出。</w:t>
      </w:r>
    </w:p>
    <w:p w14:paraId="63A1D30F">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24.城乡社区支出（类）国有土地使用权出让收入安排的支出（款）其他国有土地使用权出让收入安排的支出（项）：指财政安排的服务站示范点建设、烈士英名墙建设、烈士纪念馆文化墙建设工程款。</w:t>
      </w:r>
    </w:p>
    <w:p w14:paraId="30DB4461">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25.住房保障支出（类）住房改革支出（款）住房公积金（项）：指单位缴纳的住房公积金单位部分。</w:t>
      </w:r>
    </w:p>
    <w:p w14:paraId="3E26C4AA">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26.基本支出：指为保障机构正常运转、完成日常工作任务而发生的人员支出和公用支出。</w:t>
      </w:r>
    </w:p>
    <w:p w14:paraId="20A2ACAF">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 xml:space="preserve">27.项目支出：指在基本支出之外为完成特定行政任务和事业发展目标所发生的支出。 </w:t>
      </w:r>
    </w:p>
    <w:p w14:paraId="1AC983A4">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28.经营支出：指事业单位在专业业务活动及其辅助活动之外开展非独立核算经营活动发生的支出。</w:t>
      </w:r>
    </w:p>
    <w:p w14:paraId="673088CF">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29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A7B807">
      <w:pPr>
        <w:pageBreakBefore w:val="0"/>
        <w:kinsoku/>
        <w:wordWrap/>
        <w:overflowPunct/>
        <w:topLinePunct w:val="0"/>
        <w:autoSpaceDN/>
        <w:bidi w:val="0"/>
        <w:spacing w:line="600" w:lineRule="exact"/>
        <w:ind w:firstLine="640"/>
        <w:textAlignment w:val="auto"/>
        <w:rPr>
          <w:rFonts w:hint="eastAsia" w:ascii="仿宋-GB2312" w:hAnsi="仿宋-GB2312" w:eastAsia="仿宋-GB2312" w:cs="仿宋-GB2312"/>
          <w:color w:val="auto"/>
          <w:sz w:val="32"/>
          <w:szCs w:val="32"/>
          <w:lang w:val="en-US" w:eastAsia="zh-CN"/>
        </w:rPr>
      </w:pPr>
      <w:r>
        <w:rPr>
          <w:rFonts w:hint="eastAsia" w:ascii="仿宋-GB2312" w:hAnsi="仿宋-GB2312" w:eastAsia="仿宋-GB2312" w:cs="仿宋-GB2312"/>
          <w:color w:val="auto"/>
          <w:sz w:val="32"/>
          <w:szCs w:val="32"/>
          <w:lang w:val="en-US" w:eastAsia="zh-CN"/>
        </w:rPr>
        <w:t>30.机关运行经费：为保障行政单位（含参照公务员法管理的事业单位）运行用于购买货物和服务的各项资金，包括办公及印刷费、邮电费、会议费、日常维修及公务用车运行维护费等。</w:t>
      </w:r>
    </w:p>
    <w:p w14:paraId="623BCE17">
      <w:pPr>
        <w:pageBreakBefore w:val="0"/>
        <w:kinsoku/>
        <w:wordWrap/>
        <w:overflowPunct/>
        <w:topLinePunct w:val="0"/>
        <w:autoSpaceDN/>
        <w:bidi w:val="0"/>
        <w:spacing w:line="600"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p>
    <w:p w14:paraId="12501118">
      <w:pPr>
        <w:pageBreakBefore w:val="0"/>
        <w:kinsoku/>
        <w:wordWrap/>
        <w:overflowPunct/>
        <w:topLinePunct w:val="0"/>
        <w:autoSpaceDN/>
        <w:bidi w:val="0"/>
        <w:spacing w:line="600" w:lineRule="exact"/>
        <w:jc w:val="center"/>
        <w:textAlignment w:val="auto"/>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391F164D">
      <w:pPr>
        <w:keepNext w:val="0"/>
        <w:keepLines w:val="0"/>
        <w:pageBreakBefore w:val="0"/>
        <w:kinsoku/>
        <w:wordWrap/>
        <w:overflowPunct/>
        <w:topLinePunct w:val="0"/>
        <w:autoSpaceDE/>
        <w:autoSpaceDN/>
        <w:bidi w:val="0"/>
        <w:spacing w:line="600" w:lineRule="exact"/>
        <w:jc w:val="left"/>
        <w:textAlignment w:val="auto"/>
        <w:outlineLvl w:val="0"/>
        <w:rPr>
          <w:rFonts w:hint="eastAsia" w:ascii="Times New Roman" w:hAnsi="Times New Roman" w:eastAsia="黑体" w:cs="黑体"/>
          <w:color w:val="auto"/>
          <w:sz w:val="32"/>
          <w:szCs w:val="32"/>
          <w:highlight w:val="none"/>
        </w:rPr>
      </w:pPr>
    </w:p>
    <w:p w14:paraId="40CA5C99">
      <w:pPr>
        <w:keepNext w:val="0"/>
        <w:keepLines w:val="0"/>
        <w:pageBreakBefore w:val="0"/>
        <w:kinsoku/>
        <w:wordWrap/>
        <w:overflowPunct/>
        <w:topLinePunct w:val="0"/>
        <w:autoSpaceDE/>
        <w:autoSpaceDN/>
        <w:bidi w:val="0"/>
        <w:spacing w:line="600"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48C7C3B9">
      <w:pPr>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contextualSpacing/>
        <w:jc w:val="center"/>
        <w:textAlignment w:val="auto"/>
        <w:rPr>
          <w:rFonts w:hint="eastAsia" w:ascii="方正小标宋简体" w:hAnsi="方正小标宋简体" w:eastAsia="方正小标宋简体" w:cs="方正小标宋简体"/>
          <w:b w:val="0"/>
          <w:bCs/>
          <w:color w:val="auto"/>
          <w:kern w:val="2"/>
          <w:sz w:val="44"/>
          <w:szCs w:val="44"/>
          <w:shd w:val="clear" w:fill="FFFFFF"/>
        </w:rPr>
      </w:pPr>
      <w:r>
        <w:rPr>
          <w:rFonts w:hint="eastAsia" w:ascii="方正小标宋简体" w:hAnsi="方正小标宋简体" w:eastAsia="方正小标宋简体" w:cs="方正小标宋简体"/>
          <w:b w:val="0"/>
          <w:bCs/>
          <w:color w:val="auto"/>
          <w:kern w:val="2"/>
          <w:sz w:val="44"/>
          <w:szCs w:val="44"/>
          <w:shd w:val="clear" w:fill="FFFFFF"/>
          <w:lang w:val="en-US" w:eastAsia="zh-CN" w:bidi="ar"/>
        </w:rPr>
        <w:t>峨眉山市退役军人事务局</w:t>
      </w:r>
    </w:p>
    <w:p w14:paraId="1D0D7278">
      <w:pPr>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contextualSpacing/>
        <w:jc w:val="center"/>
        <w:textAlignment w:val="auto"/>
        <w:rPr>
          <w:rFonts w:hint="eastAsia" w:ascii="方正小标宋简体" w:hAnsi="方正小标宋简体" w:eastAsia="方正小标宋简体" w:cs="方正小标宋简体"/>
          <w:b w:val="0"/>
          <w:bCs/>
          <w:color w:val="auto"/>
          <w:kern w:val="2"/>
          <w:sz w:val="44"/>
          <w:szCs w:val="44"/>
          <w:shd w:val="clear" w:fill="FFFFFF"/>
        </w:rPr>
      </w:pPr>
      <w:r>
        <w:rPr>
          <w:rFonts w:hint="eastAsia" w:ascii="方正小标宋简体" w:hAnsi="方正小标宋简体" w:eastAsia="方正小标宋简体" w:cs="方正小标宋简体"/>
          <w:b w:val="0"/>
          <w:bCs/>
          <w:color w:val="auto"/>
          <w:kern w:val="2"/>
          <w:sz w:val="44"/>
          <w:szCs w:val="44"/>
          <w:shd w:val="clear" w:fill="FFFFFF"/>
          <w:lang w:val="en-US" w:eastAsia="zh-CN" w:bidi="ar"/>
        </w:rPr>
        <w:t>部门预算绩效自评报告</w:t>
      </w:r>
    </w:p>
    <w:p w14:paraId="0E1E289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480" w:firstLineChars="200"/>
        <w:contextualSpacing/>
        <w:jc w:val="left"/>
        <w:textAlignment w:val="auto"/>
        <w:rPr>
          <w:rFonts w:hint="default" w:ascii="Times New Roman" w:hAnsi="Times New Roman" w:eastAsia="黑体" w:cs="Times New Roman"/>
          <w:color w:val="auto"/>
          <w:kern w:val="0"/>
          <w:sz w:val="24"/>
          <w:szCs w:val="24"/>
          <w:shd w:val="clear" w:fill="FFFFFF"/>
        </w:rPr>
      </w:pPr>
      <w:r>
        <w:rPr>
          <w:rFonts w:hint="default" w:ascii="Times New Roman" w:hAnsi="Times New Roman" w:eastAsia="黑体" w:cs="Times New Roman"/>
          <w:color w:val="auto"/>
          <w:kern w:val="0"/>
          <w:sz w:val="24"/>
          <w:szCs w:val="24"/>
          <w:shd w:val="clear" w:fill="FFFFFF"/>
          <w:lang w:val="en-US" w:eastAsia="zh-CN" w:bidi="ar"/>
        </w:rPr>
        <w:t xml:space="preserve"> </w:t>
      </w:r>
    </w:p>
    <w:p w14:paraId="026B42F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仿宋_GB2312" w:cs="Times New Roman"/>
          <w:b w:val="0"/>
          <w:bCs w:val="0"/>
          <w:color w:val="auto"/>
          <w:kern w:val="2"/>
          <w:sz w:val="32"/>
          <w:szCs w:val="32"/>
        </w:rPr>
      </w:pPr>
      <w:r>
        <w:rPr>
          <w:rFonts w:hint="eastAsia" w:ascii="黑体" w:hAnsi="宋体" w:eastAsia="黑体" w:cs="黑体"/>
          <w:b w:val="0"/>
          <w:bCs w:val="0"/>
          <w:color w:val="auto"/>
          <w:kern w:val="0"/>
          <w:sz w:val="32"/>
          <w:szCs w:val="32"/>
          <w:shd w:val="clear" w:fill="FFFFFF"/>
          <w:lang w:val="en-US" w:eastAsia="zh-CN" w:bidi="ar"/>
        </w:rPr>
        <w:t>一、部门（单位）基本情况</w:t>
      </w:r>
    </w:p>
    <w:p w14:paraId="6449FFEA">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Autospacing="0" w:line="600" w:lineRule="exact"/>
        <w:ind w:left="0" w:right="0" w:firstLine="640" w:firstLineChars="200"/>
        <w:jc w:val="both"/>
        <w:textAlignment w:val="auto"/>
        <w:outlineLvl w:val="2"/>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（一）机构组成</w:t>
      </w:r>
    </w:p>
    <w:p w14:paraId="30D59EC8">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局机关内设三股一室，即安置工作股、优抚工作股、双拥工作股和办公室。下属单位3个，分别是峨眉山市军队离退休干部干休所、峨眉山军供站、峨眉山市退役军人服务中心（其中：峨眉山市军队离退休干部干休所和峨眉山军供站均为财政补助全额事业单位，独立核算，执行政府会计制度，为二级预算单位），并在13个乡镇（街道）、167个村（社区）分别设置退役军人服务站。</w:t>
      </w:r>
    </w:p>
    <w:p w14:paraId="2B60D7C9">
      <w:pPr>
        <w:keepNext w:val="0"/>
        <w:keepLines w:val="0"/>
        <w:pageBreakBefore w:val="0"/>
        <w:widowControl/>
        <w:numPr>
          <w:ilvl w:val="0"/>
          <w:numId w:val="2"/>
        </w:numPr>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contextualSpacing/>
        <w:jc w:val="left"/>
        <w:textAlignment w:val="auto"/>
        <w:rPr>
          <w:rFonts w:hint="default" w:ascii="Times New Roman" w:hAnsi="Times New Roman" w:eastAsia="仿宋_GB2312" w:cs="Times New Roman"/>
          <w:b w:val="0"/>
          <w:bCs w:val="0"/>
          <w:color w:val="auto"/>
          <w:kern w:val="2"/>
          <w:sz w:val="32"/>
          <w:szCs w:val="32"/>
        </w:rPr>
      </w:pPr>
      <w:r>
        <w:rPr>
          <w:rFonts w:hint="eastAsia" w:ascii="楷体_GB2312" w:hAnsi="Times New Roman" w:eastAsia="楷体_GB2312" w:cs="楷体_GB2312"/>
          <w:b w:val="0"/>
          <w:bCs w:val="0"/>
          <w:color w:val="auto"/>
          <w:kern w:val="0"/>
          <w:sz w:val="32"/>
          <w:szCs w:val="32"/>
          <w:shd w:val="clear" w:fill="FFFFFF"/>
          <w:lang w:val="en-US" w:eastAsia="zh-CN" w:bidi="ar"/>
        </w:rPr>
        <w:t>机构职能</w:t>
      </w:r>
    </w:p>
    <w:p w14:paraId="3F334513">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贯彻落实党中央、省委及乐山市委关于</w:t>
      </w:r>
      <w:r>
        <w:rPr>
          <w:rFonts w:hint="eastAsia" w:ascii="仿宋_GB2312" w:eastAsia="仿宋_GB2312" w:cs="仿宋_GB2312"/>
          <w:b w:val="0"/>
          <w:bCs w:val="0"/>
          <w:color w:val="auto"/>
          <w:kern w:val="2"/>
          <w:sz w:val="32"/>
          <w:szCs w:val="32"/>
          <w:lang w:val="en-US" w:eastAsia="zh-CN" w:bidi="ar"/>
        </w:rPr>
        <w:t>退役军人</w:t>
      </w:r>
      <w:r>
        <w:rPr>
          <w:rFonts w:hint="eastAsia" w:ascii="仿宋_GB2312" w:hAnsi="Times New Roman" w:eastAsia="仿宋_GB2312" w:cs="仿宋_GB2312"/>
          <w:b w:val="0"/>
          <w:bCs w:val="0"/>
          <w:color w:val="auto"/>
          <w:kern w:val="2"/>
          <w:sz w:val="32"/>
          <w:szCs w:val="32"/>
          <w:lang w:val="en-US" w:eastAsia="zh-CN" w:bidi="ar"/>
        </w:rPr>
        <w:t>工作的方针政策和峨眉山市委的决策部署，坚持和加强党对退役军人工作的集中统一领导，切实做好退役军人思想政治建设、转业接收安置、就业创业帮扶、服务管理、教育培训、拥军优属、优待抚恤、褒扬激励等工作，维护好军人军属合法权益。组织、指导退役军人综合服务体系建设，建立健全集中统一、职责清晰的退役军人管理保障机制，协调各方力量更好为军人军属服务，褒扬彰显退役军人为党、国家和人民牺牲奉献的精神风范和价值导向，让军人成为全社会尊崇的职业，更好地为增强部队战斗力和凝聚力做好组织保障。</w:t>
      </w:r>
    </w:p>
    <w:p w14:paraId="6F100E37">
      <w:pPr>
        <w:keepNext w:val="0"/>
        <w:keepLines w:val="0"/>
        <w:pageBreakBefore w:val="0"/>
        <w:widowControl w:val="0"/>
        <w:numPr>
          <w:ilvl w:val="0"/>
          <w:numId w:val="2"/>
        </w:numPr>
        <w:suppressLineNumbers w:val="0"/>
        <w:kinsoku/>
        <w:wordWrap/>
        <w:overflowPunct/>
        <w:topLinePunct w:val="0"/>
        <w:autoSpaceDE w:val="0"/>
        <w:autoSpaceDN/>
        <w:bidi w:val="0"/>
        <w:spacing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eastAsia" w:ascii="楷体_GB2312" w:hAnsi="Times New Roman" w:eastAsia="楷体_GB2312" w:cs="楷体_GB2312"/>
          <w:b w:val="0"/>
          <w:bCs w:val="0"/>
          <w:color w:val="auto"/>
          <w:kern w:val="0"/>
          <w:sz w:val="32"/>
          <w:szCs w:val="32"/>
          <w:shd w:val="clear" w:fill="FFFFFF"/>
          <w:lang w:val="en-US" w:eastAsia="zh-CN" w:bidi="ar"/>
        </w:rPr>
        <w:t>人员概况</w:t>
      </w:r>
    </w:p>
    <w:p w14:paraId="6CAD5F71">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2024年峨眉山市退役军人事务局局机关共计12个行政编制（含1个机关工勤岗），年末从业人数12人（其中在编人员10人，劳务派遣2人）；峨眉山市退役军人服务中心7个事业编制，年末在职人员6人（均为在编人员）；峨眉山市军队离退休干部干休所10个事业编制，年末从业人数8人（其中在编人员7人，会议纪要人员1人）；峨眉山军供站12个事业编制，年末从业人数16人（其中在编人员12人，劳务派遣2人，会议纪要人员2人）。</w:t>
      </w:r>
    </w:p>
    <w:p w14:paraId="71BDACC0">
      <w:pPr>
        <w:keepNext w:val="0"/>
        <w:keepLines w:val="0"/>
        <w:pageBreakBefore w:val="0"/>
        <w:widowControl/>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contextualSpacing/>
        <w:jc w:val="left"/>
        <w:textAlignment w:val="auto"/>
        <w:rPr>
          <w:rFonts w:hint="default" w:ascii="Times New Roman" w:hAnsi="Times New Roman" w:eastAsia="黑体" w:cs="Times New Roman"/>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二、部门资金收支情况</w:t>
      </w:r>
    </w:p>
    <w:p w14:paraId="1F7F453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（一）收入情况</w:t>
      </w:r>
    </w:p>
    <w:p w14:paraId="26930FC5">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峨眉山市退役军人事务局部门2024年年初预算收入8780.22万元，决算报表收入决算数8909.84万元。其中：一般公共预算财政拨款收入8463.59万元，94.99%；政府性基金预算财政拨款收入218.9万元，占2.46%；其他收入227.35万元，占2.55%。</w:t>
      </w:r>
    </w:p>
    <w:p w14:paraId="1E7F3A68">
      <w:pPr>
        <w:keepNext w:val="0"/>
        <w:keepLines w:val="0"/>
        <w:pageBreakBefore w:val="0"/>
        <w:widowControl/>
        <w:numPr>
          <w:ilvl w:val="0"/>
          <w:numId w:val="3"/>
        </w:numPr>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支出情况</w:t>
      </w:r>
    </w:p>
    <w:p w14:paraId="6F8AD93A">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峨眉山市退役军人事务局部门2024年支出年初预算数为8780.22万元，本年支出合计决算数为9040.07万元。其中：基本支出830.6</w:t>
      </w:r>
      <w:r>
        <w:rPr>
          <w:rFonts w:hint="eastAsia" w:ascii="仿宋_GB2312" w:eastAsia="仿宋_GB2312" w:cs="仿宋_GB2312"/>
          <w:b w:val="0"/>
          <w:bCs w:val="0"/>
          <w:color w:val="auto"/>
          <w:kern w:val="2"/>
          <w:sz w:val="32"/>
          <w:szCs w:val="32"/>
          <w:lang w:val="en-US" w:eastAsia="zh-CN" w:bidi="ar"/>
        </w:rPr>
        <w:t>4</w:t>
      </w:r>
      <w:r>
        <w:rPr>
          <w:rFonts w:hint="eastAsia" w:ascii="仿宋_GB2312" w:hAnsi="Times New Roman" w:eastAsia="仿宋_GB2312" w:cs="仿宋_GB2312"/>
          <w:b w:val="0"/>
          <w:bCs w:val="0"/>
          <w:color w:val="auto"/>
          <w:kern w:val="2"/>
          <w:sz w:val="32"/>
          <w:szCs w:val="32"/>
          <w:lang w:val="en-US" w:eastAsia="zh-CN" w:bidi="ar"/>
        </w:rPr>
        <w:t>万元，占8.14%；项目支出8209.43万元，占91.86%。主要完成的任务及达成的效果有：一是强化落实重点工作，扎实开展办好“退役军人最期盼的10件事”活动。二是深化“双拥模范城”创建成果，峨眉山市成功创建“四川省第十二届双拥模范城”，并积极配合完成乐山市开展“全国第十二届双拥模范城”创建迎检工作任务；落实“双清单”制度，全覆盖走访慰问驻峨部队。三是优化提升服务保障，推动就业安置，提升优待服务水平，大力褒扬纪念，推进服务体系提质增效，稳妥做好信访维稳。2024年，峨眉山市获评“四川省第十二届双拥模范城”，我局获评“四川</w:t>
      </w:r>
      <w:r>
        <w:rPr>
          <w:rFonts w:hint="eastAsia" w:ascii="仿宋_GB2312" w:eastAsia="仿宋_GB2312" w:cs="仿宋_GB2312"/>
          <w:b w:val="0"/>
          <w:bCs w:val="0"/>
          <w:color w:val="auto"/>
          <w:kern w:val="2"/>
          <w:sz w:val="32"/>
          <w:szCs w:val="32"/>
          <w:lang w:val="en-US" w:eastAsia="zh-CN" w:bidi="ar"/>
        </w:rPr>
        <w:t>省第</w:t>
      </w:r>
      <w:r>
        <w:rPr>
          <w:rFonts w:hint="eastAsia" w:ascii="仿宋_GB2312" w:hAnsi="Times New Roman" w:eastAsia="仿宋_GB2312" w:cs="仿宋_GB2312"/>
          <w:b w:val="0"/>
          <w:bCs w:val="0"/>
          <w:color w:val="auto"/>
          <w:kern w:val="2"/>
          <w:sz w:val="32"/>
          <w:szCs w:val="32"/>
          <w:lang w:val="en-US" w:eastAsia="zh-CN" w:bidi="ar"/>
        </w:rPr>
        <w:t>十二届拥军优属先进单位”“四川省2023年度退役军人工作成绩突出单位”“全省‘三年移交’工作表现优秀单位”，峨眉山军供站获评“全省军供保障工作成绩突出单位”，局长沈力军获“四川</w:t>
      </w:r>
      <w:r>
        <w:rPr>
          <w:rFonts w:hint="eastAsia" w:ascii="仿宋_GB2312" w:eastAsia="仿宋_GB2312" w:cs="仿宋_GB2312"/>
          <w:b w:val="0"/>
          <w:bCs w:val="0"/>
          <w:color w:val="auto"/>
          <w:kern w:val="2"/>
          <w:sz w:val="32"/>
          <w:szCs w:val="32"/>
          <w:lang w:val="en-US" w:eastAsia="zh-CN" w:bidi="ar"/>
        </w:rPr>
        <w:t>省第</w:t>
      </w:r>
      <w:r>
        <w:rPr>
          <w:rFonts w:hint="eastAsia" w:ascii="仿宋_GB2312" w:hAnsi="Times New Roman" w:eastAsia="仿宋_GB2312" w:cs="仿宋_GB2312"/>
          <w:b w:val="0"/>
          <w:bCs w:val="0"/>
          <w:color w:val="auto"/>
          <w:kern w:val="2"/>
          <w:sz w:val="32"/>
          <w:szCs w:val="32"/>
          <w:lang w:val="en-US" w:eastAsia="zh-CN" w:bidi="ar"/>
        </w:rPr>
        <w:t>十二届爱国拥军模范”“全国退役军人工作模范个人”等荣誉称号。</w:t>
      </w:r>
    </w:p>
    <w:p w14:paraId="35A565F9">
      <w:pPr>
        <w:keepNext w:val="0"/>
        <w:keepLines w:val="0"/>
        <w:pageBreakBefore w:val="0"/>
        <w:widowControl/>
        <w:numPr>
          <w:ilvl w:val="0"/>
          <w:numId w:val="3"/>
        </w:numPr>
        <w:suppressLineNumbers w:val="0"/>
        <w:kinsoku/>
        <w:wordWrap/>
        <w:overflowPunct/>
        <w:topLinePunct w:val="0"/>
        <w:autoSpaceDE w:val="0"/>
        <w:autoSpaceDN/>
        <w:bidi w:val="0"/>
        <w:adjustRightInd w:val="0"/>
        <w:snapToGrid w:val="0"/>
        <w:spacing w:beforeAutospacing="0" w:after="0" w:afterAutospacing="0" w:line="600" w:lineRule="exact"/>
        <w:ind w:left="0" w:leftChars="0" w:right="0" w:firstLine="640" w:firstLineChars="200"/>
        <w:contextualSpacing/>
        <w:jc w:val="left"/>
        <w:textAlignment w:val="auto"/>
        <w:rPr>
          <w:rFonts w:hint="default" w:ascii="Times New Roman" w:hAnsi="Times New Roman" w:eastAsia="楷体_GB2312" w:cs="Times New Roman"/>
          <w:b w:val="0"/>
          <w:bCs w:val="0"/>
          <w:color w:val="auto"/>
          <w:kern w:val="2"/>
          <w:sz w:val="32"/>
          <w:szCs w:val="32"/>
        </w:rPr>
      </w:pPr>
      <w:r>
        <w:rPr>
          <w:rFonts w:hint="eastAsia" w:ascii="楷体_GB2312" w:hAnsi="Times New Roman" w:eastAsia="楷体_GB2312" w:cs="楷体_GB2312"/>
          <w:b w:val="0"/>
          <w:bCs w:val="0"/>
          <w:color w:val="auto"/>
          <w:kern w:val="2"/>
          <w:sz w:val="32"/>
          <w:szCs w:val="32"/>
          <w:lang w:val="en-US" w:eastAsia="zh-CN" w:bidi="ar"/>
        </w:rPr>
        <w:t>结余分配和结转结余情况</w:t>
      </w:r>
    </w:p>
    <w:p w14:paraId="1971FEB8">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Autospacing="0" w:line="600" w:lineRule="exact"/>
        <w:ind w:left="0" w:right="0" w:firstLine="640" w:firstLineChars="200"/>
        <w:jc w:val="both"/>
        <w:textAlignment w:val="auto"/>
        <w:outlineLvl w:val="2"/>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峨眉山市退役军人事务局部门2024</w:t>
      </w:r>
      <w:r>
        <w:rPr>
          <w:rFonts w:hint="eastAsia" w:ascii="仿宋_GB2312" w:eastAsia="仿宋_GB2312" w:cs="仿宋_GB2312"/>
          <w:b w:val="0"/>
          <w:bCs w:val="0"/>
          <w:color w:val="auto"/>
          <w:kern w:val="2"/>
          <w:sz w:val="32"/>
          <w:szCs w:val="32"/>
          <w:lang w:val="en-US" w:eastAsia="zh-CN" w:bidi="ar"/>
        </w:rPr>
        <w:t>年度</w:t>
      </w:r>
      <w:r>
        <w:rPr>
          <w:rFonts w:hint="eastAsia" w:ascii="仿宋_GB2312" w:hAnsi="Times New Roman" w:eastAsia="仿宋_GB2312" w:cs="仿宋_GB2312"/>
          <w:b w:val="0"/>
          <w:bCs w:val="0"/>
          <w:color w:val="auto"/>
          <w:kern w:val="2"/>
          <w:sz w:val="32"/>
          <w:szCs w:val="32"/>
          <w:lang w:val="en-US" w:eastAsia="zh-CN" w:bidi="ar"/>
        </w:rPr>
        <w:t>决算报表年初结转结余318.5万元，年末结转结余188.27万元。</w:t>
      </w:r>
    </w:p>
    <w:p w14:paraId="7D326D67">
      <w:pPr>
        <w:keepNext w:val="0"/>
        <w:keepLines w:val="0"/>
        <w:pageBreakBefore w:val="0"/>
        <w:widowControl/>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contextualSpacing/>
        <w:jc w:val="left"/>
        <w:textAlignment w:val="auto"/>
        <w:rPr>
          <w:rFonts w:hint="default" w:ascii="Times New Roman" w:hAnsi="Times New Roman" w:eastAsia="黑体" w:cs="Times New Roman"/>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三、部门预算绩效分析</w:t>
      </w:r>
    </w:p>
    <w:p w14:paraId="17AD5F4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仿宋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（一）部门预算总体绩效分析</w:t>
      </w:r>
      <w:r>
        <w:rPr>
          <w:rFonts w:hint="eastAsia" w:ascii="Times New Roman" w:hAnsi="Times New Roman" w:eastAsia="楷体_GB2312" w:cs="Times New Roman"/>
          <w:b w:val="0"/>
          <w:bCs w:val="0"/>
          <w:color w:val="auto"/>
          <w:kern w:val="0"/>
          <w:sz w:val="32"/>
          <w:szCs w:val="32"/>
          <w:shd w:val="clear" w:fill="FFFFFF"/>
          <w:lang w:val="en-US" w:eastAsia="zh-CN" w:bidi="ar"/>
        </w:rPr>
        <w:t xml:space="preserve">            </w:t>
      </w:r>
      <w:r>
        <w:rPr>
          <w:rFonts w:hint="default" w:ascii="Times New Roman" w:hAnsi="Times New Roman" w:eastAsia="仿宋_GB2312" w:cs="Times New Roman"/>
          <w:b w:val="0"/>
          <w:bCs w:val="0"/>
          <w:color w:val="auto"/>
          <w:kern w:val="0"/>
          <w:sz w:val="32"/>
          <w:szCs w:val="32"/>
          <w:shd w:val="clear" w:fill="FFFFFF"/>
          <w:lang w:val="en-US" w:eastAsia="zh-CN" w:bidi="ar"/>
        </w:rPr>
        <w:t xml:space="preserve"> </w:t>
      </w:r>
    </w:p>
    <w:p w14:paraId="1584ABA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1.履职效能</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spacing w:val="0"/>
          <w:kern w:val="2"/>
          <w:sz w:val="32"/>
          <w:szCs w:val="32"/>
          <w:lang w:val="en-US" w:eastAsia="zh-CN" w:bidi="ar"/>
        </w:rPr>
        <w:t>一是推动就业安置。安置军队转业干部、由政府安排工作退役士兵，安置率达100%，接收</w:t>
      </w:r>
      <w:r>
        <w:rPr>
          <w:rFonts w:hint="eastAsia" w:ascii="仿宋_GB2312" w:hAnsi="Times New Roman" w:eastAsia="仿宋_GB2312" w:cs="仿宋_GB2312"/>
          <w:b w:val="0"/>
          <w:bCs w:val="0"/>
          <w:color w:val="auto"/>
          <w:spacing w:val="0"/>
          <w:kern w:val="2"/>
          <w:sz w:val="32"/>
          <w:szCs w:val="32"/>
          <w:shd w:val="clear" w:fill="FFFFFF"/>
          <w:lang w:val="en-US" w:eastAsia="zh-CN" w:bidi="ar"/>
        </w:rPr>
        <w:t>2024年自主就业退役士兵。</w:t>
      </w:r>
      <w:r>
        <w:rPr>
          <w:rFonts w:hint="eastAsia" w:ascii="仿宋_GB2312" w:hAnsi="Times New Roman" w:eastAsia="仿宋_GB2312" w:cs="仿宋_GB2312"/>
          <w:b w:val="0"/>
          <w:bCs w:val="0"/>
          <w:color w:val="auto"/>
          <w:kern w:val="2"/>
          <w:sz w:val="32"/>
          <w:szCs w:val="32"/>
          <w:lang w:val="en-US" w:eastAsia="zh-CN" w:bidi="ar"/>
        </w:rPr>
        <w:t>组织退役军人专场招聘会7场，提供就业岗位2500余个，累计推送就业招聘信息5000余条，落实1名“兵教师”岗位招聘，</w:t>
      </w:r>
      <w:r>
        <w:rPr>
          <w:rFonts w:hint="eastAsia" w:ascii="仿宋_GB2312" w:hAnsi="Times New Roman" w:eastAsia="仿宋_GB2312" w:cs="仿宋_GB2312"/>
          <w:b w:val="0"/>
          <w:bCs w:val="0"/>
          <w:color w:val="auto"/>
          <w:spacing w:val="0"/>
          <w:kern w:val="2"/>
          <w:sz w:val="32"/>
          <w:szCs w:val="32"/>
          <w:lang w:val="en-US" w:eastAsia="zh-CN" w:bidi="ar"/>
        </w:rPr>
        <w:t>为退役军人提供创业贷款支持。二是提升优待服务水平。</w:t>
      </w:r>
      <w:r>
        <w:rPr>
          <w:rFonts w:hint="eastAsia" w:ascii="仿宋_GB2312" w:hAnsi="Times New Roman" w:eastAsia="仿宋_GB2312" w:cs="仿宋_GB2312"/>
          <w:b w:val="0"/>
          <w:bCs w:val="0"/>
          <w:color w:val="auto"/>
          <w:kern w:val="2"/>
          <w:sz w:val="32"/>
          <w:szCs w:val="32"/>
          <w:lang w:val="en-US" w:eastAsia="zh-CN" w:bidi="ar"/>
        </w:rPr>
        <w:t>按时足额发放各类优抚资金、生活补助</w:t>
      </w:r>
      <w:r>
        <w:rPr>
          <w:rFonts w:hint="eastAsia" w:ascii="仿宋_GB2312" w:hAnsi="Times New Roman" w:eastAsia="仿宋_GB2312" w:cs="仿宋_GB2312"/>
          <w:b w:val="0"/>
          <w:bCs w:val="0"/>
          <w:color w:val="auto"/>
          <w:spacing w:val="0"/>
          <w:kern w:val="2"/>
          <w:sz w:val="32"/>
          <w:szCs w:val="32"/>
          <w:lang w:val="en-US" w:eastAsia="zh-CN" w:bidi="ar"/>
        </w:rPr>
        <w:t>，</w:t>
      </w:r>
      <w:r>
        <w:rPr>
          <w:rFonts w:hint="eastAsia" w:ascii="仿宋_GB2312" w:hAnsi="Times New Roman" w:eastAsia="仿宋_GB2312" w:cs="仿宋_GB2312"/>
          <w:b w:val="0"/>
          <w:bCs w:val="0"/>
          <w:color w:val="auto"/>
          <w:kern w:val="2"/>
          <w:sz w:val="32"/>
          <w:szCs w:val="32"/>
          <w:lang w:val="en-US" w:eastAsia="zh-CN" w:bidi="ar"/>
        </w:rPr>
        <w:t>走访慰问困难退役军人等重点群体，</w:t>
      </w:r>
      <w:r>
        <w:rPr>
          <w:rFonts w:hint="eastAsia" w:ascii="仿宋_GB2312" w:hAnsi="Times New Roman" w:eastAsia="仿宋_GB2312" w:cs="仿宋_GB2312"/>
          <w:b w:val="0"/>
          <w:bCs w:val="0"/>
          <w:color w:val="auto"/>
          <w:spacing w:val="0"/>
          <w:kern w:val="2"/>
          <w:sz w:val="32"/>
          <w:szCs w:val="32"/>
          <w:lang w:val="en-US" w:eastAsia="zh-CN" w:bidi="ar"/>
        </w:rPr>
        <w:t>帮扶困难退役军人并发放帮扶资金；累计制发优待证1.92万张，发布</w:t>
      </w:r>
      <w:r>
        <w:rPr>
          <w:rFonts w:hint="eastAsia" w:ascii="仿宋_GB2312" w:hAnsi="Times New Roman" w:eastAsia="仿宋_GB2312" w:cs="仿宋_GB2312"/>
          <w:b w:val="0"/>
          <w:bCs w:val="0"/>
          <w:color w:val="auto"/>
          <w:kern w:val="2"/>
          <w:sz w:val="32"/>
          <w:szCs w:val="32"/>
          <w:lang w:val="en-US" w:eastAsia="zh-CN" w:bidi="ar"/>
        </w:rPr>
        <w:t>优待清单目录157项；创新军休服务机制，</w:t>
      </w:r>
      <w:r>
        <w:rPr>
          <w:rFonts w:hint="eastAsia" w:ascii="仿宋_GB2312" w:hAnsi="Times New Roman" w:eastAsia="仿宋_GB2312" w:cs="仿宋_GB2312"/>
          <w:b w:val="0"/>
          <w:bCs w:val="0"/>
          <w:color w:val="auto"/>
          <w:spacing w:val="0"/>
          <w:kern w:val="2"/>
          <w:sz w:val="32"/>
          <w:szCs w:val="32"/>
          <w:lang w:val="en-US" w:eastAsia="zh-CN" w:bidi="ar"/>
        </w:rPr>
        <w:t>与重庆市长寿区军休中心达成战略合作协议，助力成渝经济圈退役军人工作高质量发展。三是大力褒扬纪念。</w:t>
      </w:r>
      <w:r>
        <w:rPr>
          <w:rFonts w:hint="eastAsia" w:ascii="仿宋_GB2312" w:hAnsi="Times New Roman" w:eastAsia="仿宋_GB2312" w:cs="仿宋_GB2312"/>
          <w:b w:val="0"/>
          <w:bCs w:val="0"/>
          <w:color w:val="auto"/>
          <w:kern w:val="2"/>
          <w:sz w:val="32"/>
          <w:szCs w:val="32"/>
          <w:lang w:val="en-US" w:eastAsia="zh-CN" w:bidi="ar"/>
        </w:rPr>
        <w:t>组织开展“铸魂.2024清明祭英烈”和“9.30”烈士纪念日公祭活动，全年共接待52批次3200余人参加烈士陵园现场</w:t>
      </w:r>
      <w:r>
        <w:rPr>
          <w:rFonts w:hint="eastAsia" w:ascii="仿宋_GB2312" w:hAnsi="Times New Roman" w:eastAsia="仿宋_GB2312" w:cs="仿宋_GB2312"/>
          <w:b w:val="0"/>
          <w:bCs w:val="0"/>
          <w:i w:val="0"/>
          <w:caps w:val="0"/>
          <w:color w:val="auto"/>
          <w:spacing w:val="0"/>
          <w:kern w:val="2"/>
          <w:sz w:val="32"/>
          <w:szCs w:val="32"/>
          <w:lang w:val="en-US" w:eastAsia="zh-CN" w:bidi="ar"/>
        </w:rPr>
        <w:t>祭扫；</w:t>
      </w:r>
      <w:r>
        <w:rPr>
          <w:rFonts w:hint="eastAsia" w:ascii="仿宋_GB2312" w:hAnsi="Times New Roman" w:eastAsia="仿宋_GB2312" w:cs="仿宋_GB2312"/>
          <w:b w:val="0"/>
          <w:bCs w:val="0"/>
          <w:color w:val="auto"/>
          <w:kern w:val="2"/>
          <w:sz w:val="32"/>
          <w:szCs w:val="32"/>
          <w:lang w:val="en-US" w:eastAsia="zh-CN" w:bidi="ar"/>
        </w:rPr>
        <w:t>开展“优秀退役军人进校园”爱国主义教育宣讲活动10场。</w:t>
      </w:r>
      <w:r>
        <w:rPr>
          <w:rFonts w:hint="eastAsia" w:ascii="仿宋_GB2312" w:hAnsi="Times New Roman" w:eastAsia="仿宋_GB2312" w:cs="仿宋_GB2312"/>
          <w:b w:val="0"/>
          <w:bCs w:val="0"/>
          <w:color w:val="auto"/>
          <w:spacing w:val="0"/>
          <w:kern w:val="2"/>
          <w:sz w:val="32"/>
          <w:szCs w:val="32"/>
          <w:lang w:val="en-US" w:eastAsia="zh-CN" w:bidi="ar"/>
        </w:rPr>
        <w:t>四是推进服务体系提质增效。</w:t>
      </w:r>
      <w:r>
        <w:rPr>
          <w:rFonts w:hint="eastAsia" w:ascii="仿宋_GB2312" w:hAnsi="Times New Roman" w:eastAsia="仿宋_GB2312" w:cs="仿宋_GB2312"/>
          <w:b w:val="0"/>
          <w:bCs w:val="0"/>
          <w:color w:val="auto"/>
          <w:kern w:val="2"/>
          <w:sz w:val="32"/>
          <w:szCs w:val="32"/>
          <w:lang w:val="en-US" w:eastAsia="zh-CN" w:bidi="ar"/>
        </w:rPr>
        <w:t>持续落实两项改革“后半篇”，对10个中心镇（村）服务站进行示范站提级改造，完成退役军人档案室改建装修项目建设。</w:t>
      </w:r>
      <w:r>
        <w:rPr>
          <w:rFonts w:hint="eastAsia" w:ascii="仿宋_GB2312" w:hAnsi="Times New Roman" w:eastAsia="仿宋_GB2312" w:cs="仿宋_GB2312"/>
          <w:b w:val="0"/>
          <w:bCs w:val="0"/>
          <w:color w:val="auto"/>
          <w:spacing w:val="0"/>
          <w:kern w:val="2"/>
          <w:sz w:val="32"/>
          <w:szCs w:val="32"/>
          <w:lang w:val="en-US" w:eastAsia="zh-CN" w:bidi="ar"/>
        </w:rPr>
        <w:t>五是稳妥做好信访维稳。持续推进矛盾问题攻坚化解和重复访专项治理，</w:t>
      </w:r>
      <w:r>
        <w:rPr>
          <w:rFonts w:hint="eastAsia" w:ascii="仿宋_GB2312" w:hAnsi="Times New Roman" w:eastAsia="仿宋_GB2312" w:cs="仿宋_GB2312"/>
          <w:b w:val="0"/>
          <w:bCs w:val="0"/>
          <w:color w:val="auto"/>
          <w:kern w:val="2"/>
          <w:sz w:val="32"/>
          <w:szCs w:val="32"/>
          <w:lang w:val="en-US" w:eastAsia="zh-CN" w:bidi="ar"/>
        </w:rPr>
        <w:t>共处置办理信访件23件，及时处理回复“心连心”热线23件，有效化解了潜在风险和矛盾，保证了退役军人群体总体稳定。</w:t>
      </w:r>
    </w:p>
    <w:p w14:paraId="34F590B7">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leftChars="200" w:right="0" w:rightChars="0" w:firstLine="320" w:firstLineChars="100"/>
        <w:contextualSpacing/>
        <w:jc w:val="left"/>
        <w:textAlignment w:val="auto"/>
        <w:rPr>
          <w:rFonts w:hint="eastAsia" w:ascii="仿宋_GB2312" w:eastAsia="仿宋_GB2312" w:cs="仿宋_GB2312"/>
          <w:b w:val="0"/>
          <w:bCs w:val="0"/>
          <w:color w:val="auto"/>
          <w:spacing w:val="0"/>
          <w:kern w:val="2"/>
          <w:sz w:val="32"/>
          <w:szCs w:val="32"/>
        </w:rPr>
      </w:pPr>
      <w:r>
        <w:rPr>
          <w:rFonts w:hint="eastAsia" w:ascii="仿宋_GB2312" w:hAnsi="Times New Roman" w:eastAsia="仿宋_GB2312" w:cs="仿宋_GB2312"/>
          <w:b w:val="0"/>
          <w:bCs w:val="0"/>
          <w:color w:val="auto"/>
          <w:kern w:val="0"/>
          <w:sz w:val="32"/>
          <w:szCs w:val="32"/>
          <w:shd w:val="clear" w:fill="FFFFFF"/>
          <w:lang w:val="en-US" w:eastAsia="zh-CN" w:bidi="ar"/>
        </w:rPr>
        <w:t>2.预算管理</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spacing w:val="0"/>
          <w:kern w:val="2"/>
          <w:sz w:val="32"/>
          <w:szCs w:val="32"/>
          <w:lang w:val="en-US" w:eastAsia="zh-CN" w:bidi="ar"/>
        </w:rPr>
        <w:t xml:space="preserve">预算编制注重科学性，预算项目与职能匹配度达100%，细化至具体活动；预算执行率高，义务兵优待金、无军籍职工地方性津贴补贴配套经费、下岗志愿兵补助经费等项目预算执行率达100%；绩效目标具有合理性目标设定可量化、可考核，项目指标较为细化；厉行节俭，缩减办公成本，严控一般性支出。  </w:t>
      </w:r>
    </w:p>
    <w:p w14:paraId="3C2288B7">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contextualSpacing/>
        <w:jc w:val="left"/>
        <w:textAlignment w:val="auto"/>
        <w:rPr>
          <w:rFonts w:hint="eastAsia" w:ascii="仿宋_GB2312" w:eastAsia="仿宋_GB2312" w:cs="仿宋_GB2312"/>
          <w:b w:val="0"/>
          <w:bCs w:val="0"/>
          <w:color w:val="auto"/>
          <w:spacing w:val="0"/>
          <w:kern w:val="2"/>
          <w:sz w:val="32"/>
          <w:szCs w:val="32"/>
        </w:rPr>
      </w:pPr>
      <w:r>
        <w:rPr>
          <w:rFonts w:hint="eastAsia" w:ascii="仿宋_GB2312" w:hAnsi="Times New Roman" w:eastAsia="仿宋_GB2312" w:cs="仿宋_GB2312"/>
          <w:b w:val="0"/>
          <w:bCs w:val="0"/>
          <w:color w:val="auto"/>
          <w:kern w:val="0"/>
          <w:sz w:val="32"/>
          <w:szCs w:val="32"/>
          <w:shd w:val="clear" w:fill="FFFFFF"/>
          <w:lang w:val="en-US" w:eastAsia="zh-CN" w:bidi="ar"/>
        </w:rPr>
        <w:t>3.财务管理</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spacing w:val="0"/>
          <w:kern w:val="2"/>
          <w:sz w:val="32"/>
          <w:szCs w:val="32"/>
          <w:lang w:val="en-US" w:eastAsia="zh-CN" w:bidi="ar"/>
        </w:rPr>
        <w:t>财务管理制度健全，内控制度完善，覆盖资金审批、支付全流程；资金使用合规，自查、审计、巡察未发现重大违规问题，零星报销单据规范性需加强；财务信息透明，按时公开预决算信息，公开内</w:t>
      </w:r>
      <w:bookmarkStart w:id="71" w:name="_GoBack"/>
      <w:bookmarkEnd w:id="71"/>
      <w:r>
        <w:rPr>
          <w:rFonts w:hint="eastAsia" w:ascii="仿宋_GB2312" w:hAnsi="Times New Roman" w:eastAsia="仿宋_GB2312" w:cs="仿宋_GB2312"/>
          <w:b w:val="0"/>
          <w:bCs w:val="0"/>
          <w:color w:val="auto"/>
          <w:spacing w:val="0"/>
          <w:kern w:val="2"/>
          <w:sz w:val="32"/>
          <w:szCs w:val="32"/>
          <w:lang w:val="en-US" w:eastAsia="zh-CN" w:bidi="ar"/>
        </w:rPr>
        <w:t xml:space="preserve">容完整。  </w:t>
      </w:r>
    </w:p>
    <w:p w14:paraId="5F714E9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right="0" w:firstLine="640" w:firstLineChars="200"/>
        <w:contextualSpacing/>
        <w:jc w:val="left"/>
        <w:textAlignment w:val="auto"/>
        <w:rPr>
          <w:rFonts w:hint="eastAsia" w:ascii="仿宋_GB2312" w:eastAsia="仿宋_GB2312" w:cs="仿宋_GB2312"/>
          <w:b w:val="0"/>
          <w:bCs w:val="0"/>
          <w:color w:val="auto"/>
          <w:spacing w:val="0"/>
          <w:kern w:val="2"/>
          <w:sz w:val="32"/>
          <w:szCs w:val="32"/>
        </w:rPr>
      </w:pPr>
      <w:r>
        <w:rPr>
          <w:rFonts w:hint="eastAsia" w:ascii="仿宋_GB2312" w:hAnsi="Times New Roman" w:eastAsia="仿宋_GB2312" w:cs="仿宋_GB2312"/>
          <w:b w:val="0"/>
          <w:bCs w:val="0"/>
          <w:color w:val="auto"/>
          <w:kern w:val="0"/>
          <w:sz w:val="32"/>
          <w:szCs w:val="32"/>
          <w:shd w:val="clear" w:fill="FFFFFF"/>
          <w:lang w:val="en-US" w:eastAsia="zh-CN" w:bidi="ar"/>
        </w:rPr>
        <w:t>4.资产管理</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spacing w:val="0"/>
          <w:kern w:val="2"/>
          <w:sz w:val="32"/>
          <w:szCs w:val="32"/>
          <w:lang w:val="en-US" w:eastAsia="zh-CN" w:bidi="ar"/>
        </w:rPr>
        <w:t>资产利用率高，办公设备利用率达100%，无闲置资产；管理制度</w:t>
      </w:r>
      <w:r>
        <w:rPr>
          <w:rFonts w:hint="eastAsia" w:ascii="仿宋_GB2312" w:eastAsia="仿宋_GB2312" w:cs="仿宋_GB2312"/>
          <w:b w:val="0"/>
          <w:bCs w:val="0"/>
          <w:color w:val="auto"/>
          <w:spacing w:val="0"/>
          <w:kern w:val="2"/>
          <w:sz w:val="32"/>
          <w:szCs w:val="32"/>
          <w:lang w:val="en-US" w:eastAsia="zh-CN" w:bidi="ar"/>
        </w:rPr>
        <w:t>健全</w:t>
      </w:r>
      <w:r>
        <w:rPr>
          <w:rFonts w:hint="eastAsia" w:ascii="仿宋_GB2312" w:hAnsi="Times New Roman" w:eastAsia="仿宋_GB2312" w:cs="仿宋_GB2312"/>
          <w:b w:val="0"/>
          <w:bCs w:val="0"/>
          <w:color w:val="auto"/>
          <w:spacing w:val="0"/>
          <w:kern w:val="2"/>
          <w:sz w:val="32"/>
          <w:szCs w:val="32"/>
          <w:lang w:val="en-US" w:eastAsia="zh-CN" w:bidi="ar"/>
        </w:rPr>
        <w:t xml:space="preserve">，建立资产台账，处置流程规范合理。  </w:t>
      </w:r>
    </w:p>
    <w:p w14:paraId="1282C47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right="0" w:firstLine="640" w:firstLineChars="200"/>
        <w:contextualSpacing/>
        <w:jc w:val="left"/>
        <w:textAlignment w:val="auto"/>
        <w:rPr>
          <w:rFonts w:hint="eastAsia" w:ascii="仿宋_GB2312" w:eastAsia="仿宋_GB2312" w:cs="仿宋_GB2312"/>
          <w:b w:val="0"/>
          <w:bCs w:val="0"/>
          <w:color w:val="auto"/>
          <w:spacing w:val="0"/>
          <w:kern w:val="2"/>
          <w:sz w:val="32"/>
          <w:szCs w:val="32"/>
        </w:rPr>
      </w:pPr>
      <w:r>
        <w:rPr>
          <w:rFonts w:hint="eastAsia" w:ascii="仿宋_GB2312" w:hAnsi="Times New Roman" w:eastAsia="仿宋_GB2312" w:cs="仿宋_GB2312"/>
          <w:b w:val="0"/>
          <w:bCs w:val="0"/>
          <w:color w:val="auto"/>
          <w:kern w:val="0"/>
          <w:sz w:val="32"/>
          <w:szCs w:val="32"/>
          <w:shd w:val="clear" w:fill="FFFFFF"/>
          <w:lang w:val="en-US" w:eastAsia="zh-CN" w:bidi="ar"/>
        </w:rPr>
        <w:t>5.采购管理</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spacing w:val="0"/>
          <w:kern w:val="2"/>
          <w:sz w:val="32"/>
          <w:szCs w:val="32"/>
          <w:lang w:val="en-US" w:eastAsia="zh-CN" w:bidi="ar"/>
        </w:rPr>
        <w:t xml:space="preserve">采购程序合规，严格执行政府采购目录，流程规范，采购执行率高，采购优先考虑支持中小企业发展。  </w:t>
      </w:r>
    </w:p>
    <w:p w14:paraId="210034E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（二）部门预算项目绩效分析</w:t>
      </w:r>
    </w:p>
    <w:p w14:paraId="6F9784C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常年项目绩效分析。该类项目总数27个，涉及预算总金额8501.98万元，1—12月预算执行总体进度为95.13%，其中：预算结余率大于10%的项目共计3个。</w:t>
      </w:r>
    </w:p>
    <w:p w14:paraId="1F24D47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阶段（含一次性）项目绩效分析。该类项目总数3个，涉及预算总金额282.63万元，1—12月预算执行总体进度为59.46%，其中：预算结余率大于10%的项目共计1个。</w:t>
      </w:r>
    </w:p>
    <w:p w14:paraId="5EF35981">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1.项目决策</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kern w:val="0"/>
          <w:sz w:val="32"/>
          <w:szCs w:val="32"/>
          <w:shd w:val="clear" w:fill="FFFFFF"/>
          <w:lang w:val="en-US" w:eastAsia="zh-CN" w:bidi="ar"/>
        </w:rPr>
        <w:t>项目决策程序规范，预算项目新建、预算金额、资金用途等重要内容均由党组会讨论决定。目标设置合理，指标量化、可执行度高，与部门年度计划匹配。严格按照入库流程及要求进行项目登记、入库，对项目申报、资金申请、事前评估等环节严格把控。</w:t>
      </w:r>
    </w:p>
    <w:p w14:paraId="7AE16131">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2.项目执行</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kern w:val="0"/>
          <w:sz w:val="32"/>
          <w:szCs w:val="32"/>
          <w:shd w:val="clear" w:fill="FFFFFF"/>
          <w:lang w:val="en-US" w:eastAsia="zh-CN" w:bidi="ar"/>
        </w:rPr>
        <w:t>项目资金执行与实施进度同步，根据实际工作开展及时调整项目预算，项目整体预算执行率超过90%，项目实施不存在不规范问题。</w:t>
      </w:r>
    </w:p>
    <w:p w14:paraId="400252BF">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contextualSpacing/>
        <w:jc w:val="left"/>
        <w:textAlignment w:val="auto"/>
        <w:rPr>
          <w:rFonts w:hint="eastAsia" w:ascii="仿宋_GB2312" w:eastAsia="仿宋_GB2312" w:cs="仿宋_GB2312"/>
          <w:b w:val="0"/>
          <w:bCs w:val="0"/>
          <w:color w:val="auto"/>
          <w:kern w:val="0"/>
          <w:sz w:val="32"/>
          <w:szCs w:val="32"/>
          <w:shd w:val="clear" w:fill="FFFFFF"/>
        </w:rPr>
      </w:pPr>
      <w:r>
        <w:rPr>
          <w:rFonts w:hint="eastAsia" w:ascii="仿宋_GB2312" w:hAnsi="Times New Roman" w:eastAsia="仿宋_GB2312" w:cs="仿宋_GB2312"/>
          <w:b w:val="0"/>
          <w:bCs w:val="0"/>
          <w:color w:val="auto"/>
          <w:kern w:val="0"/>
          <w:sz w:val="32"/>
          <w:szCs w:val="32"/>
          <w:shd w:val="clear" w:fill="FFFFFF"/>
          <w:lang w:val="en-US" w:eastAsia="zh-CN" w:bidi="ar"/>
        </w:rPr>
        <w:t>3.目标实现</w:t>
      </w:r>
      <w:r>
        <w:rPr>
          <w:rFonts w:hint="eastAsia" w:ascii="仿宋_GB2312" w:eastAsia="仿宋_GB2312" w:cs="仿宋_GB2312"/>
          <w:b w:val="0"/>
          <w:bCs w:val="0"/>
          <w:color w:val="auto"/>
          <w:kern w:val="0"/>
          <w:sz w:val="32"/>
          <w:szCs w:val="32"/>
          <w:shd w:val="clear" w:fill="FFFFFF"/>
          <w:lang w:val="en-US" w:eastAsia="zh-CN" w:bidi="ar"/>
        </w:rPr>
        <w:t>：</w:t>
      </w:r>
      <w:r>
        <w:rPr>
          <w:rFonts w:hint="eastAsia" w:ascii="仿宋_GB2312" w:hAnsi="Times New Roman" w:eastAsia="仿宋_GB2312" w:cs="仿宋_GB2312"/>
          <w:b w:val="0"/>
          <w:bCs w:val="0"/>
          <w:color w:val="auto"/>
          <w:kern w:val="2"/>
          <w:sz w:val="32"/>
          <w:szCs w:val="32"/>
          <w:lang w:val="en-US" w:eastAsia="zh-CN" w:bidi="ar"/>
        </w:rPr>
        <w:t>2024年度</w:t>
      </w:r>
      <w:r>
        <w:rPr>
          <w:rFonts w:hint="eastAsia" w:ascii="仿宋_GB2312" w:hAnsi="Times New Roman" w:eastAsia="仿宋_GB2312" w:cs="仿宋_GB2312"/>
          <w:b w:val="0"/>
          <w:bCs w:val="0"/>
          <w:color w:val="auto"/>
          <w:kern w:val="0"/>
          <w:sz w:val="32"/>
          <w:szCs w:val="32"/>
          <w:shd w:val="clear" w:fill="FFFFFF"/>
          <w:lang w:val="en-US" w:eastAsia="zh-CN" w:bidi="ar"/>
        </w:rPr>
        <w:t>高质量完成全市退役义务兵、转业士官、复员干部、移交地方安置的军队离退休干部和无军籍退休退职职工的接收安置，退役军人和随军随调家属就业创业扶持，企业军转干部解困稳定政策，退役军人和无军籍退休退职职工待遇保障，军供服务保障工作组织指导，全市烈士及退役军人荣誉奖励落实，烈士纪念设施管理维护，纪念活动开展等</w:t>
      </w:r>
      <w:r>
        <w:rPr>
          <w:rFonts w:hint="eastAsia" w:ascii="仿宋_GB2312" w:hAnsi="Times New Roman" w:eastAsia="仿宋_GB2312" w:cs="仿宋_GB2312"/>
          <w:b w:val="0"/>
          <w:bCs w:val="0"/>
          <w:color w:val="auto"/>
          <w:kern w:val="2"/>
          <w:sz w:val="32"/>
          <w:szCs w:val="32"/>
          <w:lang w:val="en-US" w:eastAsia="zh-CN" w:bidi="ar"/>
        </w:rPr>
        <w:t>常年项目</w:t>
      </w:r>
      <w:r>
        <w:rPr>
          <w:rFonts w:hint="eastAsia" w:ascii="仿宋_GB2312" w:hAnsi="Times New Roman" w:eastAsia="仿宋_GB2312" w:cs="仿宋_GB2312"/>
          <w:b w:val="0"/>
          <w:bCs w:val="0"/>
          <w:color w:val="auto"/>
          <w:kern w:val="0"/>
          <w:sz w:val="32"/>
          <w:szCs w:val="32"/>
          <w:shd w:val="clear" w:fill="FFFFFF"/>
          <w:lang w:val="en-US" w:eastAsia="zh-CN" w:bidi="ar"/>
        </w:rPr>
        <w:t>绩效目标。并</w:t>
      </w:r>
      <w:r>
        <w:rPr>
          <w:rFonts w:hint="eastAsia" w:ascii="仿宋_GB2312" w:hAnsi="Times New Roman" w:eastAsia="仿宋_GB2312" w:cs="仿宋_GB2312"/>
          <w:b w:val="0"/>
          <w:bCs w:val="0"/>
          <w:color w:val="auto"/>
          <w:kern w:val="2"/>
          <w:sz w:val="32"/>
          <w:szCs w:val="32"/>
          <w:lang w:val="en-US" w:eastAsia="zh-CN" w:bidi="ar"/>
        </w:rPr>
        <w:t>完成退役军人档案室改建装修项目建设，进一步提升规范化和标准化水平。</w:t>
      </w:r>
    </w:p>
    <w:p w14:paraId="42C7BDC9">
      <w:pPr>
        <w:keepNext w:val="0"/>
        <w:keepLines w:val="0"/>
        <w:pageBreakBefore w:val="0"/>
        <w:widowControl w:val="0"/>
        <w:numPr>
          <w:ilvl w:val="0"/>
          <w:numId w:val="4"/>
        </w:numPr>
        <w:suppressLineNumbers w:val="0"/>
        <w:kinsoku/>
        <w:wordWrap/>
        <w:overflowPunct/>
        <w:topLinePunct w:val="0"/>
        <w:autoSpaceDE w:val="0"/>
        <w:autoSpaceDN/>
        <w:bidi w:val="0"/>
        <w:snapToGrid w:val="0"/>
        <w:spacing w:before="0" w:beforeAutospacing="0" w:after="0" w:afterAutospacing="0" w:line="600" w:lineRule="exact"/>
        <w:ind w:left="0" w:right="0" w:firstLine="640" w:firstLineChars="200"/>
        <w:jc w:val="both"/>
        <w:textAlignment w:val="auto"/>
        <w:rPr>
          <w:rFonts w:hint="eastAsia" w:ascii="仿宋_GB2312" w:eastAsia="仿宋_GB2312" w:cs="仿宋_GB2312"/>
          <w:b w:val="0"/>
          <w:bCs w:val="0"/>
          <w:color w:val="auto"/>
          <w:kern w:val="2"/>
          <w:sz w:val="32"/>
          <w:szCs w:val="32"/>
        </w:rPr>
      </w:pPr>
      <w:r>
        <w:rPr>
          <w:rFonts w:hint="eastAsia" w:ascii="楷体_GB2312" w:hAnsi="Times New Roman" w:eastAsia="楷体_GB2312" w:cs="楷体_GB2312"/>
          <w:b w:val="0"/>
          <w:bCs w:val="0"/>
          <w:color w:val="auto"/>
          <w:kern w:val="2"/>
          <w:sz w:val="32"/>
          <w:szCs w:val="32"/>
          <w:lang w:val="en-US" w:eastAsia="zh-CN" w:bidi="ar"/>
        </w:rPr>
        <w:t>绩效结果应用情况</w:t>
      </w:r>
    </w:p>
    <w:p w14:paraId="70A107F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600" w:lineRule="exact"/>
        <w:ind w:left="0" w:right="0" w:firstLine="640" w:firstLineChars="200"/>
        <w:jc w:val="both"/>
        <w:textAlignment w:val="auto"/>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本部门在2024年认真编制预算，严格预算执行，完整、准确、及时编制决算，真实反映单位财务状况；建立健全财务管理制度，加强对行政单位财务活动的控制和监督；定期编制财务报告，进行财务活动分析。预算资金支出符合部门预算批复的用途，按国家财经法规和财务管理制度的规定使用，重大开支执行“三重一大”集体决策程序，资金拨付有完整的审批程序和手续，基础信息和会计资料真实、完整、准确，</w:t>
      </w:r>
      <w:r>
        <w:rPr>
          <w:rFonts w:hint="eastAsia" w:ascii="仿宋_GB2312" w:hAnsi="Times New Roman" w:eastAsia="仿宋_GB2312" w:cs="仿宋_GB2312"/>
          <w:b w:val="0"/>
          <w:bCs w:val="0"/>
          <w:color w:val="auto"/>
          <w:kern w:val="0"/>
          <w:sz w:val="32"/>
          <w:szCs w:val="32"/>
          <w:lang w:val="en-US" w:eastAsia="zh-CN" w:bidi="ar"/>
        </w:rPr>
        <w:t>及时足额拨付各类项目经费，按政策落实补助标准，较</w:t>
      </w:r>
      <w:r>
        <w:rPr>
          <w:rFonts w:hint="eastAsia" w:ascii="仿宋_GB2312" w:eastAsia="仿宋_GB2312" w:cs="仿宋_GB2312"/>
          <w:b w:val="0"/>
          <w:bCs w:val="0"/>
          <w:color w:val="auto"/>
          <w:kern w:val="0"/>
          <w:sz w:val="32"/>
          <w:szCs w:val="32"/>
          <w:lang w:val="en-US" w:eastAsia="zh-CN" w:bidi="ar"/>
        </w:rPr>
        <w:t>好地</w:t>
      </w:r>
      <w:r>
        <w:rPr>
          <w:rFonts w:hint="eastAsia" w:ascii="仿宋_GB2312" w:hAnsi="Times New Roman" w:eastAsia="仿宋_GB2312" w:cs="仿宋_GB2312"/>
          <w:b w:val="0"/>
          <w:bCs w:val="0"/>
          <w:color w:val="auto"/>
          <w:kern w:val="0"/>
          <w:sz w:val="32"/>
          <w:szCs w:val="32"/>
          <w:lang w:val="en-US" w:eastAsia="zh-CN" w:bidi="ar"/>
        </w:rPr>
        <w:t>完成了绩效目标。</w:t>
      </w:r>
      <w:r>
        <w:rPr>
          <w:rFonts w:hint="eastAsia" w:ascii="仿宋_GB2312" w:hAnsi="Times New Roman" w:eastAsia="仿宋_GB2312" w:cs="仿宋_GB2312"/>
          <w:b w:val="0"/>
          <w:bCs w:val="0"/>
          <w:color w:val="auto"/>
          <w:kern w:val="2"/>
          <w:sz w:val="32"/>
          <w:szCs w:val="32"/>
          <w:lang w:val="en-US" w:eastAsia="zh-CN" w:bidi="ar"/>
        </w:rPr>
        <w:t>预决算信息已按规定时限及内容在峨眉山市人民政府网站上公开。</w:t>
      </w:r>
    </w:p>
    <w:p w14:paraId="47D3D678">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黑体" w:cs="Times New Roman"/>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四、评价结论及建议</w:t>
      </w:r>
    </w:p>
    <w:p w14:paraId="2D26040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（一）评价结论</w:t>
      </w:r>
    </w:p>
    <w:p w14:paraId="67A73F39">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仿宋_GB2312" w:eastAsia="仿宋_GB2312" w:cs="仿宋_GB2312"/>
          <w:b w:val="0"/>
          <w:bCs w:val="0"/>
          <w:color w:val="auto"/>
          <w:kern w:val="2"/>
          <w:sz w:val="32"/>
          <w:szCs w:val="32"/>
        </w:rPr>
      </w:pPr>
      <w:r>
        <w:rPr>
          <w:rFonts w:hint="eastAsia" w:ascii="仿宋_GB2312" w:hAnsi="Times New Roman" w:eastAsia="仿宋_GB2312" w:cs="仿宋_GB2312"/>
          <w:b w:val="0"/>
          <w:bCs w:val="0"/>
          <w:color w:val="auto"/>
          <w:kern w:val="2"/>
          <w:sz w:val="32"/>
          <w:szCs w:val="32"/>
          <w:lang w:val="en-US" w:eastAsia="zh-CN" w:bidi="ar"/>
        </w:rPr>
        <w:t>经综合评价，峨眉山市退役军人事务局部门2024</w:t>
      </w:r>
      <w:r>
        <w:rPr>
          <w:rFonts w:hint="eastAsia" w:ascii="仿宋_GB2312" w:eastAsia="仿宋_GB2312" w:cs="仿宋_GB2312"/>
          <w:b w:val="0"/>
          <w:bCs w:val="0"/>
          <w:color w:val="auto"/>
          <w:kern w:val="2"/>
          <w:sz w:val="32"/>
          <w:szCs w:val="32"/>
          <w:lang w:val="en-US" w:eastAsia="zh-CN" w:bidi="ar"/>
        </w:rPr>
        <w:t>年度</w:t>
      </w:r>
      <w:r>
        <w:rPr>
          <w:rFonts w:hint="eastAsia" w:ascii="仿宋_GB2312" w:hAnsi="Times New Roman" w:eastAsia="仿宋_GB2312" w:cs="仿宋_GB2312"/>
          <w:b w:val="0"/>
          <w:bCs w:val="0"/>
          <w:color w:val="auto"/>
          <w:kern w:val="2"/>
          <w:sz w:val="32"/>
          <w:szCs w:val="32"/>
          <w:lang w:val="en-US" w:eastAsia="zh-CN" w:bidi="ar"/>
        </w:rPr>
        <w:t>预算整体绩效得分为99.9分，各项目总体达成预期目标，产出指标完成率、质量达标率、资金到位率100%，资金使用合规，社会效益发挥良好，服务对象满意度超95%。</w:t>
      </w:r>
    </w:p>
    <w:p w14:paraId="57E9C28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仿宋_GB2312" w:hAnsi="Times New Roman" w:eastAsia="仿宋_GB2312" w:cs="仿宋_GB2312"/>
          <w:b w:val="0"/>
          <w:bCs w:val="0"/>
          <w:color w:val="auto"/>
          <w:kern w:val="2"/>
          <w:sz w:val="32"/>
          <w:szCs w:val="32"/>
          <w:lang w:val="en-US" w:eastAsia="zh-CN" w:bidi="ar"/>
        </w:rPr>
        <w:t>（二）</w:t>
      </w:r>
      <w:r>
        <w:rPr>
          <w:rFonts w:hint="eastAsia" w:ascii="楷体_GB2312" w:hAnsi="Times New Roman" w:eastAsia="楷体_GB2312" w:cs="楷体_GB2312"/>
          <w:b w:val="0"/>
          <w:bCs w:val="0"/>
          <w:color w:val="auto"/>
          <w:kern w:val="0"/>
          <w:sz w:val="32"/>
          <w:szCs w:val="32"/>
          <w:shd w:val="clear" w:fill="FFFFFF"/>
          <w:lang w:val="en-US" w:eastAsia="zh-CN" w:bidi="ar"/>
        </w:rPr>
        <w:t>存在问题</w:t>
      </w:r>
    </w:p>
    <w:p w14:paraId="7B383D5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仿宋_GB2312" w:eastAsia="仿宋_GB2312" w:cs="仿宋_GB2312"/>
          <w:b w:val="0"/>
          <w:bCs w:val="0"/>
          <w:color w:val="auto"/>
          <w:kern w:val="0"/>
          <w:sz w:val="32"/>
          <w:szCs w:val="32"/>
          <w:lang w:val="en-US" w:eastAsia="zh-CN" w:bidi="ar"/>
        </w:rPr>
        <w:t>项目预算精细化程度需进一步加强</w:t>
      </w:r>
      <w:r>
        <w:rPr>
          <w:rFonts w:hint="eastAsia" w:ascii="仿宋_GB2312" w:hAnsi="Times New Roman" w:eastAsia="仿宋_GB2312" w:cs="仿宋_GB2312"/>
          <w:b w:val="0"/>
          <w:bCs w:val="0"/>
          <w:color w:val="auto"/>
          <w:kern w:val="0"/>
          <w:sz w:val="32"/>
          <w:szCs w:val="32"/>
          <w:lang w:val="en-US" w:eastAsia="zh-CN" w:bidi="ar"/>
        </w:rPr>
        <w:t>。</w:t>
      </w:r>
    </w:p>
    <w:p w14:paraId="1D03F6CF">
      <w:pPr>
        <w:keepNext w:val="0"/>
        <w:keepLines w:val="0"/>
        <w:pageBreakBefore w:val="0"/>
        <w:widowControl/>
        <w:numPr>
          <w:ilvl w:val="0"/>
          <w:numId w:val="5"/>
        </w:numPr>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contextualSpacing/>
        <w:jc w:val="left"/>
        <w:textAlignment w:val="auto"/>
        <w:rPr>
          <w:rFonts w:hint="default" w:ascii="Times New Roman" w:hAnsi="Times New Roman" w:eastAsia="楷体_GB2312" w:cs="Times New Roman"/>
          <w:b w:val="0"/>
          <w:bCs w:val="0"/>
          <w:color w:val="auto"/>
          <w:kern w:val="0"/>
          <w:sz w:val="32"/>
          <w:szCs w:val="32"/>
          <w:shd w:val="clear" w:fill="FFFFFF"/>
        </w:rPr>
      </w:pPr>
      <w:r>
        <w:rPr>
          <w:rFonts w:hint="eastAsia" w:ascii="楷体_GB2312" w:hAnsi="Times New Roman" w:eastAsia="楷体_GB2312" w:cs="楷体_GB2312"/>
          <w:b w:val="0"/>
          <w:bCs w:val="0"/>
          <w:color w:val="auto"/>
          <w:kern w:val="0"/>
          <w:sz w:val="32"/>
          <w:szCs w:val="32"/>
          <w:shd w:val="clear" w:fill="FFFFFF"/>
          <w:lang w:val="en-US" w:eastAsia="zh-CN" w:bidi="ar"/>
        </w:rPr>
        <w:t>改进建议</w:t>
      </w:r>
    </w:p>
    <w:p w14:paraId="1D1BD34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仿宋_GB2312" w:eastAsia="仿宋_GB2312" w:cs="仿宋_GB2312"/>
          <w:b w:val="0"/>
          <w:bCs w:val="0"/>
          <w:color w:val="auto"/>
          <w:kern w:val="0"/>
          <w:sz w:val="32"/>
          <w:szCs w:val="32"/>
          <w:lang w:val="en-US" w:eastAsia="zh-CN" w:bidi="ar"/>
        </w:rPr>
        <w:t>各股室加强资金使用情况细化，根据资金用途和经济分类开展年初资金测算</w:t>
      </w:r>
      <w:r>
        <w:rPr>
          <w:rFonts w:hint="eastAsia" w:ascii="仿宋_GB2312" w:hAnsi="Times New Roman" w:eastAsia="仿宋_GB2312" w:cs="仿宋_GB2312"/>
          <w:b w:val="0"/>
          <w:bCs w:val="0"/>
          <w:color w:val="auto"/>
          <w:kern w:val="0"/>
          <w:sz w:val="32"/>
          <w:szCs w:val="32"/>
          <w:lang w:val="en-US" w:eastAsia="zh-CN" w:bidi="ar"/>
        </w:rPr>
        <w:t>。</w:t>
      </w:r>
      <w:r>
        <w:rPr>
          <w:rFonts w:hint="eastAsia" w:ascii="Times New Roman" w:hAnsi="Times New Roman" w:eastAsia="仿宋_GB2312" w:cs="Times New Roman"/>
          <w:b w:val="0"/>
          <w:bCs w:val="0"/>
          <w:color w:val="auto"/>
          <w:kern w:val="0"/>
          <w:sz w:val="32"/>
          <w:szCs w:val="32"/>
          <w:lang w:val="en-US" w:eastAsia="zh-CN" w:bidi="ar"/>
        </w:rPr>
        <w:t xml:space="preserve">  </w:t>
      </w:r>
    </w:p>
    <w:p w14:paraId="3E1993E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0F4BE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附表：</w:t>
      </w:r>
      <w:r>
        <w:rPr>
          <w:rFonts w:hint="eastAsia" w:ascii="仿宋_GB2312" w:hAnsi="仿宋_GB2312" w:eastAsia="仿宋_GB2312" w:cs="仿宋_GB2312"/>
          <w:color w:val="auto"/>
          <w:sz w:val="32"/>
          <w:szCs w:val="32"/>
        </w:rPr>
        <w:t>部门预算项目支出绩效自评表（202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p>
    <w:p w14:paraId="24CF128F">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 xml:space="preserve"> </w:t>
      </w:r>
    </w:p>
    <w:p w14:paraId="2C8CB51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61AA0D4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 xml:space="preserve"> </w:t>
      </w:r>
    </w:p>
    <w:p w14:paraId="6FB7099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4C751DD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1CD51A7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7A1810A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1F816058">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7D706F6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1771E738">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6EAE2AD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6020E6D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contextualSpacing/>
        <w:jc w:val="left"/>
        <w:textAlignment w:val="auto"/>
        <w:rPr>
          <w:rFonts w:hint="eastAsia" w:ascii="Times New Roman" w:hAnsi="Times New Roman" w:eastAsia="仿宋_GB2312" w:cs="Times New Roman"/>
          <w:b w:val="0"/>
          <w:bCs w:val="0"/>
          <w:color w:val="auto"/>
          <w:kern w:val="0"/>
          <w:sz w:val="32"/>
          <w:szCs w:val="32"/>
          <w:lang w:val="en-US" w:eastAsia="zh-CN" w:bidi="ar"/>
        </w:rPr>
      </w:pPr>
    </w:p>
    <w:p w14:paraId="50AEDDC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420" w:firstLineChars="200"/>
        <w:contextualSpacing/>
        <w:jc w:val="left"/>
        <w:textAlignment w:val="auto"/>
        <w:rPr>
          <w:rFonts w:hint="eastAsia"/>
          <w:color w:val="auto"/>
          <w:lang w:val="en-US" w:eastAsia="zh-CN"/>
        </w:rPr>
      </w:pPr>
      <w:r>
        <w:rPr>
          <w:rFonts w:hint="eastAsia"/>
          <w:color w:val="auto"/>
          <w:lang w:val="en-US" w:eastAsia="zh-CN"/>
        </w:rPr>
        <w:t xml:space="preserve">   </w:t>
      </w: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714"/>
        <w:gridCol w:w="838"/>
        <w:gridCol w:w="1832"/>
        <w:gridCol w:w="437"/>
        <w:gridCol w:w="533"/>
        <w:gridCol w:w="439"/>
        <w:gridCol w:w="928"/>
        <w:gridCol w:w="491"/>
        <w:gridCol w:w="491"/>
        <w:gridCol w:w="1797"/>
      </w:tblGrid>
      <w:tr w14:paraId="6A5A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4A0E90">
            <w:pPr>
              <w:keepNext w:val="0"/>
              <w:keepLines w:val="0"/>
              <w:widowControl/>
              <w:suppressLineNumbers w:val="0"/>
              <w:tabs>
                <w:tab w:val="left" w:pos="1471"/>
                <w:tab w:val="center" w:pos="4544"/>
              </w:tabs>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3F2D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116E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3CA79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51118121T000000058255-烈士陵园管理经费及活动经费</w:t>
            </w:r>
          </w:p>
        </w:tc>
      </w:tr>
      <w:tr w14:paraId="4668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C96D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EF65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7FC445A3">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C57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6DC0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249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E276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66E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39E8F">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BA6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7141">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5D7D">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45D2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褒扬烈士，加强烈士纪念设施保护管理，弘扬爱国主义、集体主义精神和社会主义道德风尚，促进社会主义精神文明建设。</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E3FC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开展了烈士褒扬纪念活动，加强了烈士纪念设施保护管理，弘扬爱国主义、集体主义精神和社会主义道德风尚，促进社会主义精神文明建设。</w:t>
            </w:r>
          </w:p>
        </w:tc>
      </w:tr>
      <w:tr w14:paraId="30C6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127E">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532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748EE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褒扬烈士，加强烈士纪念设施保护管理，弘扬爱国主义、集体主义精神和社会主义道德风尚，促进社会主义精神文明建设。</w:t>
            </w:r>
          </w:p>
        </w:tc>
      </w:tr>
      <w:tr w14:paraId="475A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584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B1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E1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19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669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6D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B0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E9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5B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48B3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43B7">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62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CB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AF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12.84</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FBF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12.84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3B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72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26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2CB7B">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根据实际工作开展情况调整预算数。</w:t>
            </w:r>
          </w:p>
        </w:tc>
      </w:tr>
      <w:tr w14:paraId="371A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A3F7">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86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91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59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12.84</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129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12.84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C3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18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1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3BEB">
            <w:pPr>
              <w:rPr>
                <w:rFonts w:hint="eastAsia" w:ascii="黑体" w:hAnsi="黑体" w:eastAsia="黑体" w:cs="黑体"/>
                <w:i/>
                <w:iCs/>
                <w:color w:val="auto"/>
                <w:sz w:val="18"/>
                <w:szCs w:val="18"/>
                <w:u w:val="none"/>
              </w:rPr>
            </w:pPr>
          </w:p>
        </w:tc>
      </w:tr>
      <w:tr w14:paraId="0A6A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19E8">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2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72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13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52C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78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0C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37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52F7">
            <w:pPr>
              <w:rPr>
                <w:rFonts w:hint="eastAsia" w:ascii="黑体" w:hAnsi="黑体" w:eastAsia="黑体" w:cs="黑体"/>
                <w:i/>
                <w:iCs/>
                <w:color w:val="auto"/>
                <w:sz w:val="18"/>
                <w:szCs w:val="18"/>
                <w:u w:val="none"/>
              </w:rPr>
            </w:pPr>
          </w:p>
        </w:tc>
      </w:tr>
      <w:tr w14:paraId="0C74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A59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77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E0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DB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9C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EB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1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38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B882">
            <w:pPr>
              <w:rPr>
                <w:rFonts w:hint="eastAsia" w:ascii="黑体" w:hAnsi="黑体" w:eastAsia="黑体" w:cs="黑体"/>
                <w:i/>
                <w:iCs/>
                <w:color w:val="auto"/>
                <w:sz w:val="18"/>
                <w:szCs w:val="18"/>
                <w:u w:val="none"/>
              </w:rPr>
            </w:pPr>
          </w:p>
        </w:tc>
      </w:tr>
      <w:tr w14:paraId="4D8A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2D13">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72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68C4">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DC16">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17EAE">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1200">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61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13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52EC">
            <w:pPr>
              <w:rPr>
                <w:rFonts w:hint="eastAsia" w:ascii="黑体" w:hAnsi="黑体" w:eastAsia="黑体" w:cs="黑体"/>
                <w:i/>
                <w:iCs/>
                <w:color w:val="auto"/>
                <w:sz w:val="18"/>
                <w:szCs w:val="18"/>
                <w:u w:val="none"/>
              </w:rPr>
            </w:pPr>
          </w:p>
        </w:tc>
      </w:tr>
      <w:tr w14:paraId="66D0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A0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E0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42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CF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04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89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00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87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31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34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7C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49A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AB52">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E01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62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4F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清明、公祭日开展祭扫活动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F0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77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C5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场次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2AE7">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0F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97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F478">
            <w:pPr>
              <w:jc w:val="center"/>
              <w:rPr>
                <w:rFonts w:hint="eastAsia" w:ascii="微软雅黑" w:hAnsi="微软雅黑" w:eastAsia="微软雅黑" w:cs="微软雅黑"/>
                <w:i/>
                <w:iCs/>
                <w:color w:val="auto"/>
                <w:sz w:val="16"/>
                <w:szCs w:val="16"/>
                <w:u w:val="none"/>
              </w:rPr>
            </w:pPr>
          </w:p>
        </w:tc>
      </w:tr>
      <w:tr w14:paraId="6C6A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3B9B">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17EE">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8B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49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经费足额拨付率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6E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6E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D8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58F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C0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D8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8521">
            <w:pPr>
              <w:jc w:val="center"/>
              <w:rPr>
                <w:rFonts w:hint="eastAsia" w:ascii="微软雅黑" w:hAnsi="微软雅黑" w:eastAsia="微软雅黑" w:cs="微软雅黑"/>
                <w:i/>
                <w:iCs/>
                <w:color w:val="auto"/>
                <w:sz w:val="16"/>
                <w:szCs w:val="16"/>
                <w:u w:val="none"/>
              </w:rPr>
            </w:pPr>
          </w:p>
        </w:tc>
      </w:tr>
      <w:tr w14:paraId="2782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D165">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D26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9D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33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开展烈士史料征集研究、事迹编纂和陈列展示工作，组织烈士纪念活动，宣传烈士的英雄事迹、献身精神和高尚品质。充分发挥红色资源优势，发挥爱国主义教育基地作用。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5B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A7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59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4CE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AA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79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2FCB">
            <w:pPr>
              <w:jc w:val="center"/>
              <w:rPr>
                <w:rFonts w:hint="eastAsia" w:ascii="微软雅黑" w:hAnsi="微软雅黑" w:eastAsia="微软雅黑" w:cs="微软雅黑"/>
                <w:i/>
                <w:iCs/>
                <w:color w:val="auto"/>
                <w:sz w:val="16"/>
                <w:szCs w:val="16"/>
                <w:u w:val="none"/>
              </w:rPr>
            </w:pPr>
          </w:p>
        </w:tc>
      </w:tr>
      <w:tr w14:paraId="41A8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A01B">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C034">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1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1B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弘扬爱国主义、集体主义精神和社会主义道德风尚，促进社会主义精神文明建设</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A6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C8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3E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DB8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84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8A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D13E">
            <w:pPr>
              <w:jc w:val="center"/>
              <w:rPr>
                <w:rFonts w:hint="eastAsia" w:ascii="微软雅黑" w:hAnsi="微软雅黑" w:eastAsia="微软雅黑" w:cs="微软雅黑"/>
                <w:i/>
                <w:iCs/>
                <w:color w:val="auto"/>
                <w:sz w:val="16"/>
                <w:szCs w:val="16"/>
                <w:u w:val="none"/>
              </w:rPr>
            </w:pPr>
          </w:p>
        </w:tc>
      </w:tr>
      <w:tr w14:paraId="2C4F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9EF4">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DC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CF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E8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烈士家属满意度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AC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CA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21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4E4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01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3A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70A4">
            <w:pPr>
              <w:jc w:val="center"/>
              <w:rPr>
                <w:rFonts w:hint="eastAsia" w:ascii="微软雅黑" w:hAnsi="微软雅黑" w:eastAsia="微软雅黑" w:cs="微软雅黑"/>
                <w:i/>
                <w:iCs/>
                <w:color w:val="auto"/>
                <w:sz w:val="16"/>
                <w:szCs w:val="16"/>
                <w:u w:val="none"/>
              </w:rPr>
            </w:pPr>
          </w:p>
        </w:tc>
      </w:tr>
      <w:tr w14:paraId="68BF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7B27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19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D02C">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9D5D">
            <w:pPr>
              <w:rPr>
                <w:rFonts w:hint="eastAsia" w:ascii="宋体" w:hAnsi="宋体" w:eastAsia="宋体" w:cs="宋体"/>
                <w:i w:val="0"/>
                <w:iCs w:val="0"/>
                <w:color w:val="auto"/>
                <w:sz w:val="18"/>
                <w:szCs w:val="18"/>
                <w:u w:val="none"/>
              </w:rPr>
            </w:pPr>
          </w:p>
        </w:tc>
      </w:tr>
      <w:tr w14:paraId="5E3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5E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A3424D">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开展烈士褒扬纪念活动，加强了烈士纪念设施保护管理，弘扬爱国主义、集体主义精神和社会主义道德风尚，促进社会主义精神文明建设，预算执行率100%，目标完成良好。</w:t>
            </w:r>
          </w:p>
        </w:tc>
      </w:tr>
      <w:tr w14:paraId="600B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22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A8A54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8A7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0B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01B8A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877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E2D1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项目负责人：周毅</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EFDD8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3B8E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011541C5">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32EFE73D">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5F6E627E">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57E4F4C8">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504161DA">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3780A28A">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7F291988">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2F64D03D">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228D0B9E">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328604B5">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7E592401">
            <w:pPr>
              <w:rPr>
                <w:rFonts w:hint="eastAsia" w:ascii="宋体" w:hAnsi="宋体" w:eastAsia="宋体" w:cs="宋体"/>
                <w:i w:val="0"/>
                <w:iCs w:val="0"/>
                <w:color w:val="auto"/>
                <w:sz w:val="18"/>
                <w:szCs w:val="18"/>
                <w:u w:val="none"/>
              </w:rPr>
            </w:pPr>
          </w:p>
        </w:tc>
      </w:tr>
      <w:tr w14:paraId="3456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D818CF">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1CE6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487F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4034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51118121T000000058338-双拥工作经费</w:t>
            </w:r>
          </w:p>
        </w:tc>
      </w:tr>
      <w:tr w14:paraId="4FF9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D657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A7B2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660BE16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FAF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2995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7F57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BA70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F34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7D7B0">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3743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31E4">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51CE">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120E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促进双拥工作和部队稳定，维护双拥模范城称号。</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8411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促进双拥工作和部队稳定，荣获双拥模范城称号</w:t>
            </w:r>
          </w:p>
        </w:tc>
      </w:tr>
      <w:tr w14:paraId="7963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431D">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02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B6B27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促进双拥工作和部队稳定，维护双拥模范城称号。</w:t>
            </w:r>
          </w:p>
        </w:tc>
      </w:tr>
      <w:tr w14:paraId="545F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F40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9B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81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12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890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6D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45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C5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6D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DA3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6C48">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8F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A4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1A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9.56</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3F2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7B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2C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71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2FB80">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根据实际工作开展情况调整预算数。</w:t>
            </w:r>
          </w:p>
        </w:tc>
      </w:tr>
      <w:tr w14:paraId="71B0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200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D0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0F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22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9.56</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C17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9D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99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61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C021">
            <w:pPr>
              <w:rPr>
                <w:rFonts w:hint="eastAsia" w:ascii="黑体" w:hAnsi="黑体" w:eastAsia="黑体" w:cs="黑体"/>
                <w:i/>
                <w:iCs/>
                <w:color w:val="auto"/>
                <w:sz w:val="18"/>
                <w:szCs w:val="18"/>
                <w:u w:val="none"/>
              </w:rPr>
            </w:pPr>
          </w:p>
        </w:tc>
      </w:tr>
      <w:tr w14:paraId="5910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3DB7">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6C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5A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88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163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F8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1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76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1BE9">
            <w:pPr>
              <w:rPr>
                <w:rFonts w:hint="eastAsia" w:ascii="黑体" w:hAnsi="黑体" w:eastAsia="黑体" w:cs="黑体"/>
                <w:i/>
                <w:iCs/>
                <w:color w:val="auto"/>
                <w:sz w:val="18"/>
                <w:szCs w:val="18"/>
                <w:u w:val="none"/>
              </w:rPr>
            </w:pPr>
          </w:p>
        </w:tc>
      </w:tr>
      <w:tr w14:paraId="7099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102F">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65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4C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82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AAB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5D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1F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BF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B25F">
            <w:pPr>
              <w:rPr>
                <w:rFonts w:hint="eastAsia" w:ascii="黑体" w:hAnsi="黑体" w:eastAsia="黑体" w:cs="黑体"/>
                <w:i/>
                <w:iCs/>
                <w:color w:val="auto"/>
                <w:sz w:val="18"/>
                <w:szCs w:val="18"/>
                <w:u w:val="none"/>
              </w:rPr>
            </w:pPr>
          </w:p>
        </w:tc>
      </w:tr>
      <w:tr w14:paraId="236F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D397">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50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473B">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D8B3">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10FF5">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9505">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76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1B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97C0">
            <w:pPr>
              <w:rPr>
                <w:rFonts w:hint="eastAsia" w:ascii="黑体" w:hAnsi="黑体" w:eastAsia="黑体" w:cs="黑体"/>
                <w:i/>
                <w:iCs/>
                <w:color w:val="auto"/>
                <w:sz w:val="18"/>
                <w:szCs w:val="18"/>
                <w:u w:val="none"/>
              </w:rPr>
            </w:pPr>
          </w:p>
        </w:tc>
      </w:tr>
      <w:tr w14:paraId="7904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78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10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FA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E6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9B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73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14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20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98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4A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7A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D29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311E">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E18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B7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FB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节日期间对全市涉军群体发送慰问短信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94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1E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A6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BAC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2D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9C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C896">
            <w:pPr>
              <w:jc w:val="center"/>
              <w:rPr>
                <w:rFonts w:hint="eastAsia" w:ascii="微软雅黑" w:hAnsi="微软雅黑" w:eastAsia="微软雅黑" w:cs="微软雅黑"/>
                <w:i/>
                <w:iCs/>
                <w:color w:val="auto"/>
                <w:sz w:val="16"/>
                <w:szCs w:val="16"/>
                <w:u w:val="none"/>
              </w:rPr>
            </w:pPr>
          </w:p>
        </w:tc>
      </w:tr>
      <w:tr w14:paraId="4330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621A">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9A5C">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83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3C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广泛</w:t>
            </w:r>
            <w:r>
              <w:rPr>
                <w:rFonts w:hint="eastAsia" w:ascii="宋体" w:hAnsi="宋体" w:cs="宋体"/>
                <w:i w:val="0"/>
                <w:iCs w:val="0"/>
                <w:color w:val="auto"/>
                <w:kern w:val="0"/>
                <w:sz w:val="18"/>
                <w:szCs w:val="18"/>
                <w:u w:val="none"/>
                <w:lang w:val="en-US" w:eastAsia="zh-CN" w:bidi="ar"/>
              </w:rPr>
              <w:t>开展</w:t>
            </w:r>
            <w:r>
              <w:rPr>
                <w:rFonts w:ascii="宋体" w:hAnsi="宋体" w:eastAsia="宋体" w:cs="宋体"/>
                <w:i w:val="0"/>
                <w:iCs w:val="0"/>
                <w:color w:val="auto"/>
                <w:kern w:val="0"/>
                <w:sz w:val="18"/>
                <w:szCs w:val="18"/>
                <w:u w:val="none"/>
                <w:lang w:val="en-US" w:eastAsia="zh-CN" w:bidi="ar"/>
              </w:rPr>
              <w:t>全民国防教育，增强全民国防拥军观念；为军队选送优质兵员，协助人民解放军建设强大的国防；支持军队的改革和建设，帮助军队完成作战和训练任务；维护双拥模范城称号</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0C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10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79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6BE">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5E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58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2CA3">
            <w:pPr>
              <w:jc w:val="center"/>
              <w:rPr>
                <w:rFonts w:hint="eastAsia" w:ascii="微软雅黑" w:hAnsi="微软雅黑" w:eastAsia="微软雅黑" w:cs="微软雅黑"/>
                <w:i/>
                <w:iCs/>
                <w:color w:val="auto"/>
                <w:sz w:val="16"/>
                <w:szCs w:val="16"/>
                <w:u w:val="none"/>
              </w:rPr>
            </w:pPr>
          </w:p>
        </w:tc>
      </w:tr>
      <w:tr w14:paraId="5372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327F">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5EF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59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53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保障工作正常运转，慰问部队效果良好，体现了党和国家对优抚对象的关心和对部队广大官兵的慰问</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64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11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4E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A33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7C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89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AC42">
            <w:pPr>
              <w:jc w:val="center"/>
              <w:rPr>
                <w:rFonts w:hint="eastAsia" w:ascii="微软雅黑" w:hAnsi="微软雅黑" w:eastAsia="微软雅黑" w:cs="微软雅黑"/>
                <w:i/>
                <w:iCs/>
                <w:color w:val="auto"/>
                <w:sz w:val="16"/>
                <w:szCs w:val="16"/>
                <w:u w:val="none"/>
              </w:rPr>
            </w:pPr>
          </w:p>
        </w:tc>
      </w:tr>
      <w:tr w14:paraId="4B76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8962">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61B3">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38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71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发挥“双拥”宣传作用，保持省级双拥模范城称号。密切军政军民关系，增进军政军民团结</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B6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7F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F9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69D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F9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C6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AFD6">
            <w:pPr>
              <w:jc w:val="center"/>
              <w:rPr>
                <w:rFonts w:hint="eastAsia" w:ascii="微软雅黑" w:hAnsi="微软雅黑" w:eastAsia="微软雅黑" w:cs="微软雅黑"/>
                <w:i/>
                <w:iCs/>
                <w:color w:val="auto"/>
                <w:sz w:val="16"/>
                <w:szCs w:val="16"/>
                <w:u w:val="none"/>
              </w:rPr>
            </w:pPr>
          </w:p>
        </w:tc>
      </w:tr>
      <w:tr w14:paraId="78BB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AAF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62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81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30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军人和军属满意度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D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E0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CA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BE5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BD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CA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CAC5">
            <w:pPr>
              <w:jc w:val="center"/>
              <w:rPr>
                <w:rFonts w:hint="eastAsia" w:ascii="微软雅黑" w:hAnsi="微软雅黑" w:eastAsia="微软雅黑" w:cs="微软雅黑"/>
                <w:i/>
                <w:iCs/>
                <w:color w:val="auto"/>
                <w:sz w:val="16"/>
                <w:szCs w:val="16"/>
                <w:u w:val="none"/>
              </w:rPr>
            </w:pPr>
          </w:p>
        </w:tc>
      </w:tr>
      <w:tr w14:paraId="0FD6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EC71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6D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FD9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8BDF">
            <w:pPr>
              <w:rPr>
                <w:rFonts w:hint="eastAsia" w:ascii="宋体" w:hAnsi="宋体" w:eastAsia="宋体" w:cs="宋体"/>
                <w:i w:val="0"/>
                <w:iCs w:val="0"/>
                <w:color w:val="auto"/>
                <w:sz w:val="18"/>
                <w:szCs w:val="18"/>
                <w:u w:val="none"/>
              </w:rPr>
            </w:pPr>
          </w:p>
        </w:tc>
      </w:tr>
      <w:tr w14:paraId="64C6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6E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0C6A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促进双拥工作和部队稳定，荣获双拥模范城称号，预算执行率100%，目标完成良好。</w:t>
            </w:r>
          </w:p>
        </w:tc>
      </w:tr>
      <w:tr w14:paraId="158B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A9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4011C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344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2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DB775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BD5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D11C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项目负责人：张彬</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256A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362A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0D8129A1">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2477DBB5">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78DD09B9">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0DB42EF7">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1F5788D4">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381D85E3">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26D0F52C">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20171D4D">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2EB16144">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7F822BF0">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6921E8BE">
            <w:pPr>
              <w:rPr>
                <w:rFonts w:hint="eastAsia" w:ascii="宋体" w:hAnsi="宋体" w:eastAsia="宋体" w:cs="宋体"/>
                <w:i w:val="0"/>
                <w:iCs w:val="0"/>
                <w:color w:val="auto"/>
                <w:sz w:val="18"/>
                <w:szCs w:val="18"/>
                <w:u w:val="none"/>
              </w:rPr>
            </w:pPr>
          </w:p>
        </w:tc>
      </w:tr>
      <w:tr w14:paraId="268B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B0409C">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4AFF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2D19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799F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51118122T000000260125-转业士官待安置期间养老保险和生活补助经费</w:t>
            </w:r>
          </w:p>
        </w:tc>
      </w:tr>
      <w:tr w14:paraId="1F0F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ED29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83AA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4C9F888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93C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75C5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30F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595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99F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52647">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7C6C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0A01">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E445">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5796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转业士官待安置期内生活补助、基本养老保险费、职工基本医疗保险单位部分缴费。</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7318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按时足额完成转业士官待安置期内生活补助、基本养老保险费、职工基本医疗保险单位部分缴费。</w:t>
            </w:r>
          </w:p>
        </w:tc>
      </w:tr>
      <w:tr w14:paraId="533F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898B">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111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DB99F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转业士官待安置期内生活补助、基本养老保险费、职工基本医疗保险单位部分缴费。</w:t>
            </w:r>
          </w:p>
        </w:tc>
      </w:tr>
      <w:tr w14:paraId="790A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E20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55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CA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01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E9D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48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39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8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FA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EBB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1C0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B5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17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E7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0.95</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C11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0.95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29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8A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E2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E2FCB">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根据实际满足条件的人数调整预算数。</w:t>
            </w:r>
          </w:p>
        </w:tc>
      </w:tr>
      <w:tr w14:paraId="3651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4976">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25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02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A1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0.95</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EF7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0.95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DB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4D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80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DF29">
            <w:pPr>
              <w:rPr>
                <w:rFonts w:hint="eastAsia" w:ascii="黑体" w:hAnsi="黑体" w:eastAsia="黑体" w:cs="黑体"/>
                <w:i/>
                <w:iCs/>
                <w:color w:val="auto"/>
                <w:sz w:val="18"/>
                <w:szCs w:val="18"/>
                <w:u w:val="none"/>
              </w:rPr>
            </w:pPr>
          </w:p>
        </w:tc>
      </w:tr>
      <w:tr w14:paraId="04DE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108F">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75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01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C5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67E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E3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E3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78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8A44">
            <w:pPr>
              <w:rPr>
                <w:rFonts w:hint="eastAsia" w:ascii="黑体" w:hAnsi="黑体" w:eastAsia="黑体" w:cs="黑体"/>
                <w:i/>
                <w:iCs/>
                <w:color w:val="auto"/>
                <w:sz w:val="18"/>
                <w:szCs w:val="18"/>
                <w:u w:val="none"/>
              </w:rPr>
            </w:pPr>
          </w:p>
        </w:tc>
      </w:tr>
      <w:tr w14:paraId="46A7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9D78">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0B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B8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47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88F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55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3A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56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34A1">
            <w:pPr>
              <w:rPr>
                <w:rFonts w:hint="eastAsia" w:ascii="黑体" w:hAnsi="黑体" w:eastAsia="黑体" w:cs="黑体"/>
                <w:i/>
                <w:iCs/>
                <w:color w:val="auto"/>
                <w:sz w:val="18"/>
                <w:szCs w:val="18"/>
                <w:u w:val="none"/>
              </w:rPr>
            </w:pPr>
          </w:p>
        </w:tc>
      </w:tr>
      <w:tr w14:paraId="6232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469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66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4976">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F2E0">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2B46C">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8623">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FF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0C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0838">
            <w:pPr>
              <w:rPr>
                <w:rFonts w:hint="eastAsia" w:ascii="黑体" w:hAnsi="黑体" w:eastAsia="黑体" w:cs="黑体"/>
                <w:i/>
                <w:iCs/>
                <w:color w:val="auto"/>
                <w:sz w:val="18"/>
                <w:szCs w:val="18"/>
                <w:u w:val="none"/>
              </w:rPr>
            </w:pPr>
          </w:p>
        </w:tc>
      </w:tr>
      <w:tr w14:paraId="770D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F33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45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35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8E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80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CB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61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AB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A6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B1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DB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BCF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08C0">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14C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D0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75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经费足额拨付率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77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2B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B8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8F9E">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9C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DF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42F">
            <w:pPr>
              <w:jc w:val="center"/>
              <w:rPr>
                <w:rFonts w:hint="eastAsia" w:ascii="微软雅黑" w:hAnsi="微软雅黑" w:eastAsia="微软雅黑" w:cs="微软雅黑"/>
                <w:i/>
                <w:iCs/>
                <w:color w:val="auto"/>
                <w:sz w:val="16"/>
                <w:szCs w:val="16"/>
                <w:u w:val="none"/>
              </w:rPr>
            </w:pPr>
          </w:p>
        </w:tc>
      </w:tr>
      <w:tr w14:paraId="33C2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8726">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B2CC">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9F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26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按时及时缴纳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44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00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34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月</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99F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DE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77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2AC0">
            <w:pPr>
              <w:jc w:val="center"/>
              <w:rPr>
                <w:rFonts w:hint="eastAsia" w:ascii="微软雅黑" w:hAnsi="微软雅黑" w:eastAsia="微软雅黑" w:cs="微软雅黑"/>
                <w:i/>
                <w:iCs/>
                <w:color w:val="auto"/>
                <w:sz w:val="16"/>
                <w:szCs w:val="16"/>
                <w:u w:val="none"/>
              </w:rPr>
            </w:pPr>
          </w:p>
        </w:tc>
      </w:tr>
      <w:tr w14:paraId="7150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4665">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F2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BF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93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保障转业士官权益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64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E6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51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E7A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40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E8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3A96">
            <w:pPr>
              <w:jc w:val="center"/>
              <w:rPr>
                <w:rFonts w:hint="eastAsia" w:ascii="微软雅黑" w:hAnsi="微软雅黑" w:eastAsia="微软雅黑" w:cs="微软雅黑"/>
                <w:i/>
                <w:iCs/>
                <w:color w:val="auto"/>
                <w:sz w:val="16"/>
                <w:szCs w:val="16"/>
                <w:u w:val="none"/>
              </w:rPr>
            </w:pPr>
          </w:p>
        </w:tc>
      </w:tr>
      <w:tr w14:paraId="5BA2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CBD4">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D6F0">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D7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01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加大</w:t>
            </w:r>
            <w:r>
              <w:rPr>
                <w:rFonts w:ascii="宋体" w:hAnsi="宋体" w:eastAsia="宋体" w:cs="宋体"/>
                <w:i w:val="0"/>
                <w:iCs w:val="0"/>
                <w:color w:val="auto"/>
                <w:kern w:val="0"/>
                <w:sz w:val="18"/>
                <w:szCs w:val="18"/>
                <w:u w:val="none"/>
                <w:lang w:val="en-US" w:eastAsia="zh-CN" w:bidi="ar"/>
              </w:rPr>
              <w:t>政策宣讲力度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7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84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54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A16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F8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81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A9BE">
            <w:pPr>
              <w:jc w:val="center"/>
              <w:rPr>
                <w:rFonts w:hint="eastAsia" w:ascii="微软雅黑" w:hAnsi="微软雅黑" w:eastAsia="微软雅黑" w:cs="微软雅黑"/>
                <w:i/>
                <w:iCs/>
                <w:color w:val="auto"/>
                <w:sz w:val="16"/>
                <w:szCs w:val="16"/>
                <w:u w:val="none"/>
              </w:rPr>
            </w:pPr>
          </w:p>
        </w:tc>
      </w:tr>
      <w:tr w14:paraId="2D4D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01E8">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0D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54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2B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转业士官满意度高</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52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71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13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35C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56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C2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CDB8">
            <w:pPr>
              <w:jc w:val="center"/>
              <w:rPr>
                <w:rFonts w:hint="eastAsia" w:ascii="微软雅黑" w:hAnsi="微软雅黑" w:eastAsia="微软雅黑" w:cs="微软雅黑"/>
                <w:i/>
                <w:iCs/>
                <w:color w:val="auto"/>
                <w:sz w:val="16"/>
                <w:szCs w:val="16"/>
                <w:u w:val="none"/>
              </w:rPr>
            </w:pPr>
          </w:p>
        </w:tc>
      </w:tr>
      <w:tr w14:paraId="2588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EF9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E4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1B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C608">
            <w:pPr>
              <w:rPr>
                <w:rFonts w:hint="eastAsia" w:ascii="宋体" w:hAnsi="宋体" w:eastAsia="宋体" w:cs="宋体"/>
                <w:i w:val="0"/>
                <w:iCs w:val="0"/>
                <w:color w:val="auto"/>
                <w:sz w:val="18"/>
                <w:szCs w:val="18"/>
                <w:u w:val="none"/>
              </w:rPr>
            </w:pPr>
          </w:p>
        </w:tc>
      </w:tr>
      <w:tr w14:paraId="213E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B7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6853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按时足额完成转业士官待安置期内生活补助、基本养老保险费、职工基本医疗保险单位部分缴费，预算执行率100%，目标完成良好。</w:t>
            </w:r>
          </w:p>
        </w:tc>
      </w:tr>
      <w:tr w14:paraId="7982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4E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F8476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07F6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75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9325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1D4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200E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项目负责人：张军</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751CD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3990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1D3F55F5">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5B800088">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158E440D">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41132971">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16204C55">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59B65A8D">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7FE68810">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673322BF">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4BA30C9A">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3BD3AA7A">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76748FB6">
            <w:pPr>
              <w:rPr>
                <w:rFonts w:hint="eastAsia" w:ascii="宋体" w:hAnsi="宋体" w:eastAsia="宋体" w:cs="宋体"/>
                <w:i w:val="0"/>
                <w:iCs w:val="0"/>
                <w:color w:val="auto"/>
                <w:sz w:val="18"/>
                <w:szCs w:val="18"/>
                <w:u w:val="none"/>
              </w:rPr>
            </w:pPr>
          </w:p>
        </w:tc>
      </w:tr>
      <w:tr w14:paraId="2E58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76F5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5F5F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6FB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3F7B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51118123T000009137768-部分退役士兵社保接续经费</w:t>
            </w:r>
          </w:p>
        </w:tc>
      </w:tr>
      <w:tr w14:paraId="3C7B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5CA2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C52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3830FC4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78E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2A7B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E3D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3FA1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EBD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16EF0">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B84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7EB">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D0E9">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ABC7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深入贯彻落实中央、省、市有关要求，解决部分退役士兵社会保险补缴问题。</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6E44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深入贯彻落实中央、省、市有关要求，解决部分退役士兵社会保险补缴问题。</w:t>
            </w:r>
          </w:p>
        </w:tc>
      </w:tr>
      <w:tr w14:paraId="350F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E640">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D22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DB36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深入贯彻落实中央、省、市有关要求，解决部分退役士兵社会保险补缴问题。</w:t>
            </w:r>
          </w:p>
        </w:tc>
      </w:tr>
      <w:tr w14:paraId="5797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527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55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0C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70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583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73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D5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0D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25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BAD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2EC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55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17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1F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1.38</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43D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03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97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88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8D8A">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依据实际工作开展情况及申请人数调整预算数。</w:t>
            </w:r>
          </w:p>
        </w:tc>
      </w:tr>
      <w:tr w14:paraId="5660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1053">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89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83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FB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1.38</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A83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19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8C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AA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440CF">
            <w:pPr>
              <w:rPr>
                <w:rFonts w:hint="eastAsia" w:ascii="黑体" w:hAnsi="黑体" w:eastAsia="黑体" w:cs="黑体"/>
                <w:i/>
                <w:iCs/>
                <w:color w:val="auto"/>
                <w:sz w:val="18"/>
                <w:szCs w:val="18"/>
                <w:u w:val="none"/>
              </w:rPr>
            </w:pPr>
          </w:p>
        </w:tc>
      </w:tr>
      <w:tr w14:paraId="149F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48B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0D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EA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47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554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F7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CF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71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54E5">
            <w:pPr>
              <w:rPr>
                <w:rFonts w:hint="eastAsia" w:ascii="黑体" w:hAnsi="黑体" w:eastAsia="黑体" w:cs="黑体"/>
                <w:i/>
                <w:iCs/>
                <w:color w:val="auto"/>
                <w:sz w:val="18"/>
                <w:szCs w:val="18"/>
                <w:u w:val="none"/>
              </w:rPr>
            </w:pPr>
          </w:p>
        </w:tc>
      </w:tr>
      <w:tr w14:paraId="0A2C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6183">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12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B6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98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50D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53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AD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55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3746">
            <w:pPr>
              <w:rPr>
                <w:rFonts w:hint="eastAsia" w:ascii="黑体" w:hAnsi="黑体" w:eastAsia="黑体" w:cs="黑体"/>
                <w:i/>
                <w:iCs/>
                <w:color w:val="auto"/>
                <w:sz w:val="18"/>
                <w:szCs w:val="18"/>
                <w:u w:val="none"/>
              </w:rPr>
            </w:pPr>
          </w:p>
        </w:tc>
      </w:tr>
      <w:tr w14:paraId="1AD8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9CE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F7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D5D0">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7A0E">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0A6F8">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17CF">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BF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2A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2D24">
            <w:pPr>
              <w:rPr>
                <w:rFonts w:hint="eastAsia" w:ascii="黑体" w:hAnsi="黑体" w:eastAsia="黑体" w:cs="黑体"/>
                <w:i/>
                <w:iCs/>
                <w:color w:val="auto"/>
                <w:sz w:val="18"/>
                <w:szCs w:val="18"/>
                <w:u w:val="none"/>
              </w:rPr>
            </w:pPr>
          </w:p>
        </w:tc>
      </w:tr>
      <w:tr w14:paraId="5F66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D5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6C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E7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37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0C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07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DF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BD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6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80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62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643B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83CF">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D04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5C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B8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享受基本养老保险补缴的退役士兵人数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BA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94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7A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C01E">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D6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10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9B83">
            <w:pPr>
              <w:jc w:val="center"/>
              <w:rPr>
                <w:rFonts w:hint="eastAsia" w:ascii="微软雅黑" w:hAnsi="微软雅黑" w:eastAsia="微软雅黑" w:cs="微软雅黑"/>
                <w:i/>
                <w:iCs/>
                <w:color w:val="auto"/>
                <w:sz w:val="16"/>
                <w:szCs w:val="16"/>
                <w:u w:val="none"/>
              </w:rPr>
            </w:pPr>
          </w:p>
        </w:tc>
      </w:tr>
      <w:tr w14:paraId="3BDF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9E75">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3BAD">
            <w:pPr>
              <w:jc w:val="center"/>
              <w:rPr>
                <w:rFonts w:hint="eastAsia" w:ascii="宋体" w:hAnsi="宋体" w:eastAsia="宋体" w:cs="宋体"/>
                <w:i w:val="0"/>
                <w:iCs w:val="0"/>
                <w:color w:val="auto"/>
                <w:sz w:val="18"/>
                <w:szCs w:val="18"/>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9BC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7D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部分退役士兵基本养老保险补缴经费按规定执行率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69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C0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A6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507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0A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71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9CD7">
            <w:pPr>
              <w:jc w:val="center"/>
              <w:rPr>
                <w:rFonts w:hint="eastAsia" w:ascii="微软雅黑" w:hAnsi="微软雅黑" w:eastAsia="微软雅黑" w:cs="微软雅黑"/>
                <w:i/>
                <w:iCs/>
                <w:color w:val="auto"/>
                <w:sz w:val="16"/>
                <w:szCs w:val="16"/>
                <w:u w:val="none"/>
              </w:rPr>
            </w:pPr>
          </w:p>
        </w:tc>
      </w:tr>
      <w:tr w14:paraId="3342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0CBC">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603B">
            <w:pPr>
              <w:jc w:val="center"/>
              <w:rPr>
                <w:rFonts w:hint="eastAsia" w:ascii="宋体" w:hAnsi="宋体" w:eastAsia="宋体" w:cs="宋体"/>
                <w:i w:val="0"/>
                <w:iCs w:val="0"/>
                <w:color w:val="auto"/>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C1F5">
            <w:pPr>
              <w:jc w:val="center"/>
              <w:rPr>
                <w:rFonts w:hint="eastAsia" w:ascii="宋体" w:hAnsi="宋体" w:eastAsia="宋体" w:cs="宋体"/>
                <w:i w:val="0"/>
                <w:iCs w:val="0"/>
                <w:color w:val="auto"/>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54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经费足额拨付率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0A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F8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CA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219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16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C1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1489">
            <w:pPr>
              <w:jc w:val="center"/>
              <w:rPr>
                <w:rFonts w:hint="eastAsia" w:ascii="微软雅黑" w:hAnsi="微软雅黑" w:eastAsia="微软雅黑" w:cs="微软雅黑"/>
                <w:i/>
                <w:iCs/>
                <w:color w:val="auto"/>
                <w:sz w:val="16"/>
                <w:szCs w:val="16"/>
                <w:u w:val="none"/>
              </w:rPr>
            </w:pPr>
          </w:p>
        </w:tc>
      </w:tr>
      <w:tr w14:paraId="1723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D1DA">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09F1">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7F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C5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部分退役士兵基本养老保险接续情况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09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8A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FB73">
            <w:pPr>
              <w:jc w:val="center"/>
              <w:rPr>
                <w:rFonts w:hint="eastAsia" w:ascii="宋体" w:hAnsi="宋体" w:eastAsia="宋体" w:cs="宋体"/>
                <w:i w:val="0"/>
                <w:iCs w:val="0"/>
                <w:color w:val="auto"/>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57BE">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63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D9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DFF">
            <w:pPr>
              <w:jc w:val="center"/>
              <w:rPr>
                <w:rFonts w:hint="eastAsia" w:ascii="微软雅黑" w:hAnsi="微软雅黑" w:eastAsia="微软雅黑" w:cs="微软雅黑"/>
                <w:i/>
                <w:iCs/>
                <w:color w:val="auto"/>
                <w:sz w:val="16"/>
                <w:szCs w:val="16"/>
                <w:u w:val="none"/>
              </w:rPr>
            </w:pPr>
          </w:p>
        </w:tc>
      </w:tr>
      <w:tr w14:paraId="03B0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3A0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76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83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AE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保障退役士兵权益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A0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A1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AA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CCFE">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DA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56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CAEE">
            <w:pPr>
              <w:jc w:val="center"/>
              <w:rPr>
                <w:rFonts w:hint="eastAsia" w:ascii="微软雅黑" w:hAnsi="微软雅黑" w:eastAsia="微软雅黑" w:cs="微软雅黑"/>
                <w:i/>
                <w:iCs/>
                <w:color w:val="auto"/>
                <w:sz w:val="16"/>
                <w:szCs w:val="16"/>
                <w:u w:val="none"/>
              </w:rPr>
            </w:pPr>
          </w:p>
        </w:tc>
      </w:tr>
      <w:tr w14:paraId="4F63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E49E">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6D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86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4C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退役士兵满意度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11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3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FD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7F4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80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C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5897">
            <w:pPr>
              <w:jc w:val="center"/>
              <w:rPr>
                <w:rFonts w:hint="eastAsia" w:ascii="微软雅黑" w:hAnsi="微软雅黑" w:eastAsia="微软雅黑" w:cs="微软雅黑"/>
                <w:i/>
                <w:iCs/>
                <w:color w:val="auto"/>
                <w:sz w:val="16"/>
                <w:szCs w:val="16"/>
                <w:u w:val="none"/>
              </w:rPr>
            </w:pPr>
          </w:p>
        </w:tc>
      </w:tr>
      <w:tr w14:paraId="4DF0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02B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75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88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A4CF">
            <w:pPr>
              <w:rPr>
                <w:rFonts w:hint="eastAsia" w:ascii="宋体" w:hAnsi="宋体" w:eastAsia="宋体" w:cs="宋体"/>
                <w:i w:val="0"/>
                <w:iCs w:val="0"/>
                <w:color w:val="auto"/>
                <w:sz w:val="18"/>
                <w:szCs w:val="18"/>
                <w:u w:val="none"/>
              </w:rPr>
            </w:pPr>
          </w:p>
        </w:tc>
      </w:tr>
      <w:tr w14:paraId="5C80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D0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6DAA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深入贯彻落实中央、省、市有关要求，解决部分退役士兵社会保险补缴问题，预算执行率100%，目标完成良好。</w:t>
            </w:r>
          </w:p>
        </w:tc>
      </w:tr>
      <w:tr w14:paraId="1297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C2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E3F43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221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8A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1952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4EBF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D4DD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项目负责人：张军</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A088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0888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7FADC44C">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6D3BBBEC">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1A2C7983">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78A97B3E">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1B6F55D8">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190FA114">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7509F709">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2929291C">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5EE9C457">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5499A0C7">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6AEE3F73">
            <w:pPr>
              <w:rPr>
                <w:rFonts w:hint="eastAsia" w:ascii="宋体" w:hAnsi="宋体" w:eastAsia="宋体" w:cs="宋体"/>
                <w:i w:val="0"/>
                <w:iCs w:val="0"/>
                <w:color w:val="auto"/>
                <w:sz w:val="18"/>
                <w:szCs w:val="18"/>
                <w:u w:val="none"/>
              </w:rPr>
            </w:pPr>
          </w:p>
        </w:tc>
      </w:tr>
      <w:tr w14:paraId="4950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FB9DDB">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72EF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089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4B1E7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51118123T000009137789-转业士官待安置期间养老保险和生活补助</w:t>
            </w:r>
          </w:p>
        </w:tc>
      </w:tr>
      <w:tr w14:paraId="7FE1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F10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6975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5550774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056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29F1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714D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8831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F49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6AE3D">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E10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33F1">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0BD9">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B4E4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转业士官待安置期间生活补助、基本养老保险费、职工基本医疗保险单位部分缴费。</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6DF3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转业士官待安置期间生活补助、基本养老保险费、职工基本医疗保险单位部分缴费。</w:t>
            </w:r>
          </w:p>
        </w:tc>
      </w:tr>
      <w:tr w14:paraId="76AC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7F8B">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386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08FBC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转业士官待安置期间生活补助、基本养老保险费、职工基本医疗保险单位部分缴费。</w:t>
            </w:r>
          </w:p>
        </w:tc>
      </w:tr>
      <w:tr w14:paraId="69EB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EF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5A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AA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DA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DEB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8B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B2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13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2F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9D4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F92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E4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C4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C9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12.16</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64B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0.59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C0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E1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F5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3067F">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中途下达上级资金造成预算数变化，该项目资金来源为上级资金，根据符合条件的转业士官杨老师、医疗、生活补助实际人数支出，无法精确预估，2024年符合申报条件人数较少，资金执行率较低。</w:t>
            </w:r>
          </w:p>
        </w:tc>
      </w:tr>
      <w:tr w14:paraId="4ADE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1DC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21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30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30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12.16</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678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0.59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D1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A2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9B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AD5C">
            <w:pPr>
              <w:rPr>
                <w:rFonts w:hint="eastAsia" w:ascii="黑体" w:hAnsi="黑体" w:eastAsia="黑体" w:cs="黑体"/>
                <w:i/>
                <w:iCs/>
                <w:color w:val="auto"/>
                <w:sz w:val="18"/>
                <w:szCs w:val="18"/>
                <w:u w:val="none"/>
              </w:rPr>
            </w:pPr>
          </w:p>
        </w:tc>
      </w:tr>
      <w:tr w14:paraId="6561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780A">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EC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6B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61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CAD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12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B0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17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7AD5">
            <w:pPr>
              <w:rPr>
                <w:rFonts w:hint="eastAsia" w:ascii="黑体" w:hAnsi="黑体" w:eastAsia="黑体" w:cs="黑体"/>
                <w:i/>
                <w:iCs/>
                <w:color w:val="auto"/>
                <w:sz w:val="18"/>
                <w:szCs w:val="18"/>
                <w:u w:val="none"/>
              </w:rPr>
            </w:pPr>
          </w:p>
        </w:tc>
      </w:tr>
      <w:tr w14:paraId="32C5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0696">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5D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1C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B6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8B7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38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92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02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4B28">
            <w:pPr>
              <w:rPr>
                <w:rFonts w:hint="eastAsia" w:ascii="黑体" w:hAnsi="黑体" w:eastAsia="黑体" w:cs="黑体"/>
                <w:i/>
                <w:iCs/>
                <w:color w:val="auto"/>
                <w:sz w:val="18"/>
                <w:szCs w:val="18"/>
                <w:u w:val="none"/>
              </w:rPr>
            </w:pPr>
          </w:p>
        </w:tc>
      </w:tr>
      <w:tr w14:paraId="5166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E7C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6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4D61">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A044">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D3ED7">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3325">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5F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B2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5D6C">
            <w:pPr>
              <w:rPr>
                <w:rFonts w:hint="eastAsia" w:ascii="黑体" w:hAnsi="黑体" w:eastAsia="黑体" w:cs="黑体"/>
                <w:i/>
                <w:iCs/>
                <w:color w:val="auto"/>
                <w:sz w:val="18"/>
                <w:szCs w:val="18"/>
                <w:u w:val="none"/>
              </w:rPr>
            </w:pPr>
          </w:p>
        </w:tc>
      </w:tr>
      <w:tr w14:paraId="07F0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7F0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8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01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AE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66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EC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FC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89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48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E9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AE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DE0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41F1">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7C7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E6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8C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经费足额拨付率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40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02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F7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097">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CA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E0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29E4">
            <w:pPr>
              <w:jc w:val="center"/>
              <w:rPr>
                <w:rFonts w:hint="eastAsia" w:ascii="微软雅黑" w:hAnsi="微软雅黑" w:eastAsia="微软雅黑" w:cs="微软雅黑"/>
                <w:i/>
                <w:iCs/>
                <w:color w:val="auto"/>
                <w:sz w:val="16"/>
                <w:szCs w:val="16"/>
                <w:u w:val="none"/>
              </w:rPr>
            </w:pPr>
          </w:p>
        </w:tc>
      </w:tr>
      <w:tr w14:paraId="1174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4BAF">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18CF">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F3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F3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按时缴纳率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73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FB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EF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A12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5B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C0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AF8">
            <w:pPr>
              <w:jc w:val="center"/>
              <w:rPr>
                <w:rFonts w:hint="eastAsia" w:ascii="微软雅黑" w:hAnsi="微软雅黑" w:eastAsia="微软雅黑" w:cs="微软雅黑"/>
                <w:i/>
                <w:iCs/>
                <w:color w:val="auto"/>
                <w:sz w:val="16"/>
                <w:szCs w:val="16"/>
                <w:u w:val="none"/>
              </w:rPr>
            </w:pPr>
          </w:p>
        </w:tc>
      </w:tr>
      <w:tr w14:paraId="3DA5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1CE6">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9BD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E3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7F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保障转业士官权益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19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BC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34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093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65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54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C546">
            <w:pPr>
              <w:jc w:val="center"/>
              <w:rPr>
                <w:rFonts w:hint="eastAsia" w:ascii="微软雅黑" w:hAnsi="微软雅黑" w:eastAsia="微软雅黑" w:cs="微软雅黑"/>
                <w:i/>
                <w:iCs/>
                <w:color w:val="auto"/>
                <w:sz w:val="16"/>
                <w:szCs w:val="16"/>
                <w:u w:val="none"/>
              </w:rPr>
            </w:pPr>
          </w:p>
        </w:tc>
      </w:tr>
      <w:tr w14:paraId="3EE1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A64E">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5517">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87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9F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加大</w:t>
            </w:r>
            <w:r>
              <w:rPr>
                <w:rFonts w:ascii="宋体" w:hAnsi="宋体" w:eastAsia="宋体" w:cs="宋体"/>
                <w:i w:val="0"/>
                <w:iCs w:val="0"/>
                <w:color w:val="auto"/>
                <w:kern w:val="0"/>
                <w:sz w:val="18"/>
                <w:szCs w:val="18"/>
                <w:u w:val="none"/>
                <w:lang w:val="en-US" w:eastAsia="zh-CN" w:bidi="ar"/>
              </w:rPr>
              <w:t>政策宣讲力度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7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EE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754E">
            <w:pPr>
              <w:jc w:val="center"/>
              <w:rPr>
                <w:rFonts w:hint="eastAsia" w:ascii="宋体" w:hAnsi="宋体" w:eastAsia="宋体" w:cs="宋体"/>
                <w:i w:val="0"/>
                <w:iCs w:val="0"/>
                <w:color w:val="auto"/>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BE3A">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62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BC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1175">
            <w:pPr>
              <w:jc w:val="center"/>
              <w:rPr>
                <w:rFonts w:hint="eastAsia" w:ascii="微软雅黑" w:hAnsi="微软雅黑" w:eastAsia="微软雅黑" w:cs="微软雅黑"/>
                <w:i/>
                <w:iCs/>
                <w:color w:val="auto"/>
                <w:sz w:val="16"/>
                <w:szCs w:val="16"/>
                <w:u w:val="none"/>
              </w:rPr>
            </w:pPr>
          </w:p>
        </w:tc>
      </w:tr>
      <w:tr w14:paraId="2EF1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5E99">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5F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34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C9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转业士官满意度高</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3E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41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56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B41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7F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4E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39D6">
            <w:pPr>
              <w:jc w:val="center"/>
              <w:rPr>
                <w:rFonts w:hint="eastAsia" w:ascii="微软雅黑" w:hAnsi="微软雅黑" w:eastAsia="微软雅黑" w:cs="微软雅黑"/>
                <w:i/>
                <w:iCs/>
                <w:color w:val="auto"/>
                <w:sz w:val="16"/>
                <w:szCs w:val="16"/>
                <w:u w:val="none"/>
              </w:rPr>
            </w:pPr>
          </w:p>
        </w:tc>
      </w:tr>
      <w:tr w14:paraId="0559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F473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9B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AC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A9E5">
            <w:pPr>
              <w:rPr>
                <w:rFonts w:hint="eastAsia" w:ascii="宋体" w:hAnsi="宋体" w:eastAsia="宋体" w:cs="宋体"/>
                <w:i w:val="0"/>
                <w:iCs w:val="0"/>
                <w:color w:val="auto"/>
                <w:sz w:val="18"/>
                <w:szCs w:val="18"/>
                <w:u w:val="none"/>
              </w:rPr>
            </w:pPr>
          </w:p>
        </w:tc>
      </w:tr>
      <w:tr w14:paraId="5C43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B7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3DA02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转业士官待安置期间生活补助、基本养老保险费、职工基本医疗保险单位部分缴费，目标完成良好。</w:t>
            </w:r>
          </w:p>
        </w:tc>
      </w:tr>
      <w:tr w14:paraId="44D3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DE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A17E1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F6D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92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338E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2127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BFAA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项目负责人：张军</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BD6B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580E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148047EA">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18DD2FC9">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1BC3872D">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7740A61F">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6DA11141">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34D12A0E">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636DC02E">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395E64A8">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031B0C58">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0D1C49D4">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7695A4AF">
            <w:pPr>
              <w:rPr>
                <w:rFonts w:hint="eastAsia" w:ascii="宋体" w:hAnsi="宋体" w:eastAsia="宋体" w:cs="宋体"/>
                <w:i w:val="0"/>
                <w:iCs w:val="0"/>
                <w:color w:val="auto"/>
                <w:sz w:val="18"/>
                <w:szCs w:val="18"/>
                <w:u w:val="none"/>
              </w:rPr>
            </w:pPr>
          </w:p>
        </w:tc>
      </w:tr>
      <w:tr w14:paraId="0C85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7D6451">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0866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819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C7063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51118123T000009474942-峨眉山市双拥主题公园建设项目</w:t>
            </w:r>
          </w:p>
        </w:tc>
      </w:tr>
      <w:tr w14:paraId="4599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A22B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82BA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102DA9C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BB2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577F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2E29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53C8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3C2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DE39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9A2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4D63">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E29C">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2906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为展示峨眉山市双拥工作成效，打造浓厚的双拥氛围，确保成功创建四川省第十二届双拥模范城，建设双拥主题公园1个，其中包含入口双拥公园标识2处、双拥模范城石雕标识1个、五星造型长廊1个、浮雕墙1个等其他宣传栏及基础制作。</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D018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为展示峨眉山市双拥工作成效，打造浓厚的双拥氛围，确保成功创建四川省第十二届双拥模范城，建设双拥主题公园1个，其中包含入口双拥公园标识2处、双拥模范城石雕标识1个、五星造型长廊1个、浮雕墙1个等其他宣传栏及基础制作。</w:t>
            </w:r>
          </w:p>
        </w:tc>
      </w:tr>
      <w:tr w14:paraId="2FB0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5E0B">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D2F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4760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为展示峨眉山市双拥工作成效，打造浓厚的双拥氛围，确保成功创建四川省第十二届双拥模范城，建设双拥主题公园1个，其中包含入口双拥公园标识2处、双拥模范城石雕标识1个、五星造型长廊1个、浮雕墙1个等其他宣传栏及基础制作。</w:t>
            </w:r>
          </w:p>
        </w:tc>
      </w:tr>
      <w:tr w14:paraId="157B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A80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1B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80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D7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E78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7E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C5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D8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4B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980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5BD1">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34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F1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1B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23.12</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A36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23.12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EF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61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AC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A5A9">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该项目为2023年度阶段性项目，已于2023年完工并验收通过，部分尾款在2024年度完成支付，支付时按实调整预算。</w:t>
            </w:r>
          </w:p>
        </w:tc>
      </w:tr>
      <w:tr w14:paraId="562E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7CC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FD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71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3B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23.12</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B2F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23.12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DB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7B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60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12D8">
            <w:pPr>
              <w:rPr>
                <w:rFonts w:hint="eastAsia" w:ascii="黑体" w:hAnsi="黑体" w:eastAsia="黑体" w:cs="黑体"/>
                <w:i/>
                <w:iCs/>
                <w:color w:val="auto"/>
                <w:sz w:val="18"/>
                <w:szCs w:val="18"/>
                <w:u w:val="none"/>
              </w:rPr>
            </w:pPr>
          </w:p>
        </w:tc>
      </w:tr>
      <w:tr w14:paraId="6619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7E5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78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BC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D2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BDE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E3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12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D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8FC5">
            <w:pPr>
              <w:rPr>
                <w:rFonts w:hint="eastAsia" w:ascii="黑体" w:hAnsi="黑体" w:eastAsia="黑体" w:cs="黑体"/>
                <w:i/>
                <w:iCs/>
                <w:color w:val="auto"/>
                <w:sz w:val="18"/>
                <w:szCs w:val="18"/>
                <w:u w:val="none"/>
              </w:rPr>
            </w:pPr>
          </w:p>
        </w:tc>
      </w:tr>
      <w:tr w14:paraId="258E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EABE">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5F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25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87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4C4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39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6B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EF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9711">
            <w:pPr>
              <w:rPr>
                <w:rFonts w:hint="eastAsia" w:ascii="黑体" w:hAnsi="黑体" w:eastAsia="黑体" w:cs="黑体"/>
                <w:i/>
                <w:iCs/>
                <w:color w:val="auto"/>
                <w:sz w:val="18"/>
                <w:szCs w:val="18"/>
                <w:u w:val="none"/>
              </w:rPr>
            </w:pPr>
          </w:p>
        </w:tc>
      </w:tr>
      <w:tr w14:paraId="0D26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037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62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5755">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CCFA">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CC2C6">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8CCD">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FE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31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1F1F">
            <w:pPr>
              <w:rPr>
                <w:rFonts w:hint="eastAsia" w:ascii="黑体" w:hAnsi="黑体" w:eastAsia="黑体" w:cs="黑体"/>
                <w:i/>
                <w:iCs/>
                <w:color w:val="auto"/>
                <w:sz w:val="18"/>
                <w:szCs w:val="18"/>
                <w:u w:val="none"/>
              </w:rPr>
            </w:pPr>
          </w:p>
        </w:tc>
      </w:tr>
      <w:tr w14:paraId="67BB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652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FD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83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FD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06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15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27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E5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92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A6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33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D83AD6C">
        <w:tblPrEx>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C9A4">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76A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E3B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F9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浮雕墙</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59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DE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4B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6A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E6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48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7AC8">
            <w:pPr>
              <w:jc w:val="center"/>
              <w:rPr>
                <w:rFonts w:hint="eastAsia" w:ascii="微软雅黑" w:hAnsi="微软雅黑" w:eastAsia="微软雅黑" w:cs="微软雅黑"/>
                <w:i/>
                <w:iCs/>
                <w:color w:val="auto"/>
                <w:sz w:val="16"/>
                <w:szCs w:val="16"/>
                <w:u w:val="none"/>
              </w:rPr>
            </w:pPr>
          </w:p>
        </w:tc>
      </w:tr>
      <w:tr w14:paraId="67A1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F089">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9B16">
            <w:pPr>
              <w:jc w:val="center"/>
              <w:rPr>
                <w:rFonts w:hint="eastAsia" w:ascii="宋体" w:hAnsi="宋体" w:eastAsia="宋体" w:cs="宋体"/>
                <w:i w:val="0"/>
                <w:iCs w:val="0"/>
                <w:color w:val="auto"/>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F0F6">
            <w:pPr>
              <w:jc w:val="center"/>
              <w:rPr>
                <w:rFonts w:hint="eastAsia" w:ascii="宋体" w:hAnsi="宋体" w:eastAsia="宋体" w:cs="宋体"/>
                <w:i w:val="0"/>
                <w:iCs w:val="0"/>
                <w:color w:val="auto"/>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81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创建双拥主题公园</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B5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21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73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DAD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DB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E2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BC70">
            <w:pPr>
              <w:jc w:val="center"/>
              <w:rPr>
                <w:rFonts w:hint="eastAsia" w:ascii="微软雅黑" w:hAnsi="微软雅黑" w:eastAsia="微软雅黑" w:cs="微软雅黑"/>
                <w:i/>
                <w:iCs/>
                <w:color w:val="auto"/>
                <w:sz w:val="16"/>
                <w:szCs w:val="16"/>
                <w:u w:val="none"/>
              </w:rPr>
            </w:pPr>
          </w:p>
        </w:tc>
      </w:tr>
      <w:tr w14:paraId="248E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32E9">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DE5F">
            <w:pPr>
              <w:jc w:val="center"/>
              <w:rPr>
                <w:rFonts w:hint="eastAsia" w:ascii="宋体" w:hAnsi="宋体" w:eastAsia="宋体" w:cs="宋体"/>
                <w:i w:val="0"/>
                <w:iCs w:val="0"/>
                <w:color w:val="auto"/>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7B0F">
            <w:pPr>
              <w:jc w:val="center"/>
              <w:rPr>
                <w:rFonts w:hint="eastAsia" w:ascii="宋体" w:hAnsi="宋体" w:eastAsia="宋体" w:cs="宋体"/>
                <w:i w:val="0"/>
                <w:iCs w:val="0"/>
                <w:color w:val="auto"/>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41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两处入口大型标识</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BC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DD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D7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处</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760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7D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F2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1097">
            <w:pPr>
              <w:jc w:val="center"/>
              <w:rPr>
                <w:rFonts w:hint="eastAsia" w:ascii="微软雅黑" w:hAnsi="微软雅黑" w:eastAsia="微软雅黑" w:cs="微软雅黑"/>
                <w:i/>
                <w:iCs/>
                <w:color w:val="auto"/>
                <w:sz w:val="16"/>
                <w:szCs w:val="16"/>
                <w:u w:val="none"/>
              </w:rPr>
            </w:pPr>
          </w:p>
        </w:tc>
      </w:tr>
      <w:tr w14:paraId="6A16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8F74">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E196">
            <w:pPr>
              <w:jc w:val="center"/>
              <w:rPr>
                <w:rFonts w:hint="eastAsia" w:ascii="宋体" w:hAnsi="宋体" w:eastAsia="宋体" w:cs="宋体"/>
                <w:i w:val="0"/>
                <w:iCs w:val="0"/>
                <w:color w:val="auto"/>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AC71">
            <w:pPr>
              <w:jc w:val="center"/>
              <w:rPr>
                <w:rFonts w:hint="eastAsia" w:ascii="宋体" w:hAnsi="宋体" w:eastAsia="宋体" w:cs="宋体"/>
                <w:i w:val="0"/>
                <w:iCs w:val="0"/>
                <w:color w:val="auto"/>
                <w:sz w:val="18"/>
                <w:szCs w:val="18"/>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46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五星造型长廊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DC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42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E8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835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87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90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FD75">
            <w:pPr>
              <w:jc w:val="center"/>
              <w:rPr>
                <w:rFonts w:hint="eastAsia" w:ascii="微软雅黑" w:hAnsi="微软雅黑" w:eastAsia="微软雅黑" w:cs="微软雅黑"/>
                <w:i/>
                <w:iCs/>
                <w:color w:val="auto"/>
                <w:sz w:val="16"/>
                <w:szCs w:val="16"/>
                <w:u w:val="none"/>
              </w:rPr>
            </w:pPr>
          </w:p>
        </w:tc>
      </w:tr>
      <w:tr w14:paraId="5304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D758">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20BA">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12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5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项目完成质量</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78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18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97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E37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6E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1A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B080">
            <w:pPr>
              <w:jc w:val="center"/>
              <w:rPr>
                <w:rFonts w:hint="eastAsia" w:ascii="微软雅黑" w:hAnsi="微软雅黑" w:eastAsia="微软雅黑" w:cs="微软雅黑"/>
                <w:i/>
                <w:iCs/>
                <w:color w:val="auto"/>
                <w:sz w:val="16"/>
                <w:szCs w:val="16"/>
                <w:u w:val="none"/>
              </w:rPr>
            </w:pPr>
          </w:p>
        </w:tc>
      </w:tr>
      <w:tr w14:paraId="5AF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6C04">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E183">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BD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AC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项目完成时间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70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F5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E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FA73">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5B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BC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64C1">
            <w:pPr>
              <w:jc w:val="center"/>
              <w:rPr>
                <w:rFonts w:hint="eastAsia" w:ascii="微软雅黑" w:hAnsi="微软雅黑" w:eastAsia="微软雅黑" w:cs="微软雅黑"/>
                <w:i/>
                <w:iCs/>
                <w:color w:val="auto"/>
                <w:sz w:val="16"/>
                <w:szCs w:val="16"/>
                <w:u w:val="none"/>
              </w:rPr>
            </w:pPr>
          </w:p>
        </w:tc>
      </w:tr>
      <w:tr w14:paraId="6546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9928">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F9C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63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A0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在全市营造浓厚的双拥氛围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F2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E6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5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32F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84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57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7DD">
            <w:pPr>
              <w:jc w:val="center"/>
              <w:rPr>
                <w:rFonts w:hint="eastAsia" w:ascii="微软雅黑" w:hAnsi="微软雅黑" w:eastAsia="微软雅黑" w:cs="微软雅黑"/>
                <w:i/>
                <w:iCs/>
                <w:color w:val="auto"/>
                <w:sz w:val="16"/>
                <w:szCs w:val="16"/>
                <w:u w:val="none"/>
              </w:rPr>
            </w:pPr>
          </w:p>
        </w:tc>
      </w:tr>
      <w:tr w14:paraId="6CD8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A1C0">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F45F">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9E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01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长期营造浓厚的双拥氛围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51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3B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DE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E90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52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1B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6D0D">
            <w:pPr>
              <w:jc w:val="center"/>
              <w:rPr>
                <w:rFonts w:hint="eastAsia" w:ascii="微软雅黑" w:hAnsi="微软雅黑" w:eastAsia="微软雅黑" w:cs="微软雅黑"/>
                <w:i/>
                <w:iCs/>
                <w:color w:val="auto"/>
                <w:sz w:val="16"/>
                <w:szCs w:val="16"/>
                <w:u w:val="none"/>
              </w:rPr>
            </w:pPr>
          </w:p>
        </w:tc>
      </w:tr>
      <w:tr w14:paraId="1AEB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CDDC">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2A3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45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33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现役军人、退役军人满意度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F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9D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4F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8C1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07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C3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6E6B">
            <w:pPr>
              <w:jc w:val="center"/>
              <w:rPr>
                <w:rFonts w:hint="eastAsia" w:ascii="微软雅黑" w:hAnsi="微软雅黑" w:eastAsia="微软雅黑" w:cs="微软雅黑"/>
                <w:i/>
                <w:iCs/>
                <w:color w:val="auto"/>
                <w:sz w:val="16"/>
                <w:szCs w:val="16"/>
                <w:u w:val="none"/>
              </w:rPr>
            </w:pPr>
          </w:p>
        </w:tc>
      </w:tr>
      <w:tr w14:paraId="2F22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7441">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6A2B">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DD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E9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群众满意度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8C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38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9B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832A">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28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91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6248">
            <w:pPr>
              <w:jc w:val="center"/>
              <w:rPr>
                <w:rFonts w:hint="eastAsia" w:ascii="微软雅黑" w:hAnsi="微软雅黑" w:eastAsia="微软雅黑" w:cs="微软雅黑"/>
                <w:i/>
                <w:iCs/>
                <w:color w:val="auto"/>
                <w:sz w:val="16"/>
                <w:szCs w:val="16"/>
                <w:u w:val="none"/>
              </w:rPr>
            </w:pPr>
          </w:p>
        </w:tc>
      </w:tr>
      <w:tr w14:paraId="7768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A20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DA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B9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经济成本指标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E9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成本控制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3E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34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71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4EA7">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7D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EE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D30F">
            <w:pPr>
              <w:jc w:val="center"/>
              <w:rPr>
                <w:rFonts w:hint="eastAsia" w:ascii="微软雅黑" w:hAnsi="微软雅黑" w:eastAsia="微软雅黑" w:cs="微软雅黑"/>
                <w:i/>
                <w:iCs/>
                <w:color w:val="auto"/>
                <w:sz w:val="16"/>
                <w:szCs w:val="16"/>
                <w:u w:val="none"/>
              </w:rPr>
            </w:pPr>
          </w:p>
        </w:tc>
      </w:tr>
      <w:tr w14:paraId="575E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E35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82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83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0D4F">
            <w:pPr>
              <w:rPr>
                <w:rFonts w:hint="eastAsia" w:ascii="宋体" w:hAnsi="宋体" w:eastAsia="宋体" w:cs="宋体"/>
                <w:i w:val="0"/>
                <w:iCs w:val="0"/>
                <w:color w:val="auto"/>
                <w:sz w:val="18"/>
                <w:szCs w:val="18"/>
                <w:u w:val="none"/>
              </w:rPr>
            </w:pPr>
          </w:p>
        </w:tc>
      </w:tr>
      <w:tr w14:paraId="700A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91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459DC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该项目为2023年创建四川省第十二届双拥模范城，建设双拥主题公园项目，已于2023年完工并验收通过，由于财政紧张，列入2024年支付，预算执行率100%，目标完成良好。</w:t>
            </w:r>
          </w:p>
        </w:tc>
      </w:tr>
      <w:tr w14:paraId="7F22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6F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93ED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337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C0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8965E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222F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7C0A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项目负责人：张彬</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B8026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45E6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502F1D71">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410C1F87">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14554CB1">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2496AB18">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5AC32E2E">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20677A6E">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7DC8795B">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7993AA7B">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11ECFDC8">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23DF79DA">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28421FF5">
            <w:pPr>
              <w:rPr>
                <w:rFonts w:hint="eastAsia" w:ascii="宋体" w:hAnsi="宋体" w:eastAsia="宋体" w:cs="宋体"/>
                <w:i w:val="0"/>
                <w:iCs w:val="0"/>
                <w:color w:val="auto"/>
                <w:sz w:val="18"/>
                <w:szCs w:val="18"/>
                <w:u w:val="none"/>
              </w:rPr>
            </w:pPr>
          </w:p>
        </w:tc>
      </w:tr>
      <w:tr w14:paraId="3472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9F58E0">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4497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1746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595C5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51118124T000011387977-立功受奖、光荣牌悬挂、优待证发放及光荣返乡项目经费</w:t>
            </w:r>
          </w:p>
        </w:tc>
      </w:tr>
      <w:tr w14:paraId="0BC6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E2F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1700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3293EC5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D3A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59C8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7BD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89E9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63D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3000E">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80A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4487">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3B09">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9830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立功受奖、光荣牌悬挂、优待证发放及光荣返乡仪式等，在全社会营造尊崇军人的良好氛围。</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244F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立功受奖、光荣牌悬挂、优待证发放及光荣返乡仪式等，在全社会营造尊崇军人的良好氛围。</w:t>
            </w:r>
          </w:p>
        </w:tc>
      </w:tr>
      <w:tr w14:paraId="1FC8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BEAC">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8BC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28367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立功受奖、光荣牌悬挂、优待证发放及光荣返乡仪式等并发放奖励金，在全社会营造尊崇军人的良好氛围。</w:t>
            </w:r>
          </w:p>
        </w:tc>
      </w:tr>
      <w:tr w14:paraId="2BD5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C6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1B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D2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01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4A1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30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29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53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CC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41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37E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26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35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16.00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95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7.69</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A55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7.69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57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56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73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07BF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依据实际工作开展情况及返乡退役军人人数调整预算数。</w:t>
            </w:r>
          </w:p>
        </w:tc>
      </w:tr>
      <w:tr w14:paraId="5A1C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129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0A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D6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16.00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FF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7.69</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2C6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7.69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CB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21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18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761B">
            <w:pPr>
              <w:rPr>
                <w:rFonts w:hint="eastAsia" w:ascii="黑体" w:hAnsi="黑体" w:eastAsia="黑体" w:cs="黑体"/>
                <w:i/>
                <w:iCs/>
                <w:color w:val="auto"/>
                <w:sz w:val="18"/>
                <w:szCs w:val="18"/>
                <w:u w:val="none"/>
              </w:rPr>
            </w:pPr>
          </w:p>
        </w:tc>
      </w:tr>
      <w:tr w14:paraId="5497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6F2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7D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59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28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9C1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CD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4F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E8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6F6F">
            <w:pPr>
              <w:rPr>
                <w:rFonts w:hint="eastAsia" w:ascii="黑体" w:hAnsi="黑体" w:eastAsia="黑体" w:cs="黑体"/>
                <w:i/>
                <w:iCs/>
                <w:color w:val="auto"/>
                <w:sz w:val="18"/>
                <w:szCs w:val="18"/>
                <w:u w:val="none"/>
              </w:rPr>
            </w:pPr>
          </w:p>
        </w:tc>
      </w:tr>
      <w:tr w14:paraId="13CC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BB76">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B2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00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6E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189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57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58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43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5D9F">
            <w:pPr>
              <w:rPr>
                <w:rFonts w:hint="eastAsia" w:ascii="黑体" w:hAnsi="黑体" w:eastAsia="黑体" w:cs="黑体"/>
                <w:i/>
                <w:iCs/>
                <w:color w:val="auto"/>
                <w:sz w:val="18"/>
                <w:szCs w:val="18"/>
                <w:u w:val="none"/>
              </w:rPr>
            </w:pPr>
          </w:p>
        </w:tc>
      </w:tr>
      <w:tr w14:paraId="1B65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07A1">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D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E294">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01B1">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89603">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9A7F">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38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40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B459">
            <w:pPr>
              <w:rPr>
                <w:rFonts w:hint="eastAsia" w:ascii="黑体" w:hAnsi="黑体" w:eastAsia="黑体" w:cs="黑体"/>
                <w:i/>
                <w:iCs/>
                <w:color w:val="auto"/>
                <w:sz w:val="18"/>
                <w:szCs w:val="18"/>
                <w:u w:val="none"/>
              </w:rPr>
            </w:pPr>
          </w:p>
        </w:tc>
      </w:tr>
      <w:tr w14:paraId="3BD1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B8C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62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04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32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7B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3E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21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14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39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10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90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1750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AA0E">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E3A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06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B9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立功送喜报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5D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4A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DF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E98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186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5E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06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CF22">
            <w:pPr>
              <w:jc w:val="center"/>
              <w:rPr>
                <w:rFonts w:hint="eastAsia" w:ascii="微软雅黑" w:hAnsi="微软雅黑" w:eastAsia="微软雅黑" w:cs="微软雅黑"/>
                <w:i/>
                <w:iCs/>
                <w:color w:val="auto"/>
                <w:sz w:val="16"/>
                <w:szCs w:val="16"/>
                <w:u w:val="none"/>
              </w:rPr>
            </w:pPr>
          </w:p>
        </w:tc>
      </w:tr>
      <w:tr w14:paraId="5BA5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A6D4">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0FA2">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CB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59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按规定标准，经费保障落实率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FE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E8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02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26F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E1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FF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C73A">
            <w:pPr>
              <w:jc w:val="center"/>
              <w:rPr>
                <w:rFonts w:hint="eastAsia" w:ascii="微软雅黑" w:hAnsi="微软雅黑" w:eastAsia="微软雅黑" w:cs="微软雅黑"/>
                <w:i/>
                <w:iCs/>
                <w:color w:val="auto"/>
                <w:sz w:val="16"/>
                <w:szCs w:val="16"/>
                <w:u w:val="none"/>
              </w:rPr>
            </w:pPr>
          </w:p>
        </w:tc>
      </w:tr>
      <w:tr w14:paraId="7B87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8F2E">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EA7">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F5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20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对立功对象及时表彰率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8E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A0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8B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0F27">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A6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CA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9444">
            <w:pPr>
              <w:jc w:val="center"/>
              <w:rPr>
                <w:rFonts w:hint="eastAsia" w:ascii="微软雅黑" w:hAnsi="微软雅黑" w:eastAsia="微软雅黑" w:cs="微软雅黑"/>
                <w:i/>
                <w:iCs/>
                <w:color w:val="auto"/>
                <w:sz w:val="16"/>
                <w:szCs w:val="16"/>
                <w:u w:val="none"/>
              </w:rPr>
            </w:pPr>
          </w:p>
        </w:tc>
      </w:tr>
      <w:tr w14:paraId="1590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6946">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E1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54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EE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保障退役军人合法权益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82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0D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7B33">
            <w:pPr>
              <w:jc w:val="center"/>
              <w:rPr>
                <w:rFonts w:hint="eastAsia" w:ascii="宋体" w:hAnsi="宋体" w:eastAsia="宋体" w:cs="宋体"/>
                <w:i w:val="0"/>
                <w:iCs w:val="0"/>
                <w:color w:val="auto"/>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A7D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AC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7F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7517">
            <w:pPr>
              <w:jc w:val="center"/>
              <w:rPr>
                <w:rFonts w:hint="eastAsia" w:ascii="微软雅黑" w:hAnsi="微软雅黑" w:eastAsia="微软雅黑" w:cs="微软雅黑"/>
                <w:i/>
                <w:iCs/>
                <w:color w:val="auto"/>
                <w:sz w:val="16"/>
                <w:szCs w:val="16"/>
                <w:u w:val="none"/>
              </w:rPr>
            </w:pPr>
          </w:p>
        </w:tc>
      </w:tr>
      <w:tr w14:paraId="200F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18D4">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47DF">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1B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17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在全社会营造尊崇军人的良好氛围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DA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75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A8AF">
            <w:pPr>
              <w:jc w:val="center"/>
              <w:rPr>
                <w:rFonts w:hint="eastAsia" w:ascii="宋体" w:hAnsi="宋体" w:eastAsia="宋体" w:cs="宋体"/>
                <w:i w:val="0"/>
                <w:iCs w:val="0"/>
                <w:color w:val="auto"/>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AB7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73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40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8965">
            <w:pPr>
              <w:jc w:val="center"/>
              <w:rPr>
                <w:rFonts w:hint="eastAsia" w:ascii="微软雅黑" w:hAnsi="微软雅黑" w:eastAsia="微软雅黑" w:cs="微软雅黑"/>
                <w:i/>
                <w:iCs/>
                <w:color w:val="auto"/>
                <w:sz w:val="16"/>
                <w:szCs w:val="16"/>
                <w:u w:val="none"/>
              </w:rPr>
            </w:pPr>
          </w:p>
        </w:tc>
      </w:tr>
      <w:tr w14:paraId="69A4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8799">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D1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4A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CD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现役、退役军人满意度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A2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27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03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01B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D2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D4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B0D1">
            <w:pPr>
              <w:jc w:val="center"/>
              <w:rPr>
                <w:rFonts w:hint="eastAsia" w:ascii="微软雅黑" w:hAnsi="微软雅黑" w:eastAsia="微软雅黑" w:cs="微软雅黑"/>
                <w:i/>
                <w:iCs/>
                <w:color w:val="auto"/>
                <w:sz w:val="16"/>
                <w:szCs w:val="16"/>
                <w:u w:val="none"/>
              </w:rPr>
            </w:pPr>
          </w:p>
        </w:tc>
      </w:tr>
      <w:tr w14:paraId="3FEA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E50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64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E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9F1D">
            <w:pPr>
              <w:rPr>
                <w:rFonts w:hint="eastAsia" w:ascii="宋体" w:hAnsi="宋体" w:eastAsia="宋体" w:cs="宋体"/>
                <w:i w:val="0"/>
                <w:iCs w:val="0"/>
                <w:color w:val="auto"/>
                <w:sz w:val="18"/>
                <w:szCs w:val="18"/>
                <w:u w:val="none"/>
              </w:rPr>
            </w:pPr>
          </w:p>
        </w:tc>
      </w:tr>
      <w:tr w14:paraId="01BF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EA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52313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立功受奖、光荣牌悬挂、优待证发放及光荣返乡仪式等，在全社会营造尊崇军人的良好氛围，预算执行率100%，目标完成良好。</w:t>
            </w:r>
          </w:p>
        </w:tc>
      </w:tr>
      <w:tr w14:paraId="5CBA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7F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58CE3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7A6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AF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2D05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678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6A91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项目负责人：周毅</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DD833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602B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03548B82">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6575B953">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214A94CB">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2209F240">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0B4C9B36">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71D25F11">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5892A1A0">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2C224DCA">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3B36B5AB">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30EFD343">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320A7FE8">
            <w:pPr>
              <w:rPr>
                <w:rFonts w:hint="eastAsia" w:ascii="宋体" w:hAnsi="宋体" w:eastAsia="宋体" w:cs="宋体"/>
                <w:i w:val="0"/>
                <w:iCs w:val="0"/>
                <w:color w:val="auto"/>
                <w:sz w:val="18"/>
                <w:szCs w:val="18"/>
                <w:u w:val="none"/>
              </w:rPr>
            </w:pPr>
          </w:p>
        </w:tc>
      </w:tr>
      <w:tr w14:paraId="40A7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3FDED5">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00DA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37E8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E59D7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51118124T000011388069-退役士兵就业创业扶持、技能培训配套专项经费</w:t>
            </w:r>
          </w:p>
        </w:tc>
      </w:tr>
      <w:tr w14:paraId="1D29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9E03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909B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1147BDA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749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0FE0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3616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69D6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1A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75D42">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2B04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B574">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9647">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E3BA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保障部分退役士兵培训补助落实到位、保障就业创业扶持工作开展。</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9772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保障部分退役士兵培训补助落实到位、保障就业创业扶持工作开展。</w:t>
            </w:r>
          </w:p>
        </w:tc>
      </w:tr>
      <w:tr w14:paraId="0A19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F6F7">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E72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AC92F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保障部分退役士兵培训补助落实到位、保障就业创业扶持工作开展。</w:t>
            </w:r>
          </w:p>
        </w:tc>
      </w:tr>
      <w:tr w14:paraId="04C0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A26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ED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12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E7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57F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C9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9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30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76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644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6EDA">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8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F1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B3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0.84</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758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0.84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61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05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7C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0BF26">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依据实际工作开展情况调整预算数。</w:t>
            </w:r>
          </w:p>
        </w:tc>
      </w:tr>
      <w:tr w14:paraId="7ABB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CC8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BE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A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7B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0.84</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70B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0.84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59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E3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D1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B720">
            <w:pPr>
              <w:rPr>
                <w:rFonts w:hint="eastAsia" w:ascii="黑体" w:hAnsi="黑体" w:eastAsia="黑体" w:cs="黑体"/>
                <w:i/>
                <w:iCs/>
                <w:color w:val="auto"/>
                <w:sz w:val="18"/>
                <w:szCs w:val="18"/>
                <w:u w:val="none"/>
              </w:rPr>
            </w:pPr>
          </w:p>
        </w:tc>
      </w:tr>
      <w:tr w14:paraId="63D6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DEF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C9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7F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0C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3C4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89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55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77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E544">
            <w:pPr>
              <w:rPr>
                <w:rFonts w:hint="eastAsia" w:ascii="黑体" w:hAnsi="黑体" w:eastAsia="黑体" w:cs="黑体"/>
                <w:i/>
                <w:iCs/>
                <w:color w:val="auto"/>
                <w:sz w:val="18"/>
                <w:szCs w:val="18"/>
                <w:u w:val="none"/>
              </w:rPr>
            </w:pPr>
          </w:p>
        </w:tc>
      </w:tr>
      <w:tr w14:paraId="7D94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8C1E">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D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F3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23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D18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0F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3B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2A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5064">
            <w:pPr>
              <w:rPr>
                <w:rFonts w:hint="eastAsia" w:ascii="黑体" w:hAnsi="黑体" w:eastAsia="黑体" w:cs="黑体"/>
                <w:i/>
                <w:iCs/>
                <w:color w:val="auto"/>
                <w:sz w:val="18"/>
                <w:szCs w:val="18"/>
                <w:u w:val="none"/>
              </w:rPr>
            </w:pPr>
          </w:p>
        </w:tc>
      </w:tr>
      <w:tr w14:paraId="4E1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BC72">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A6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F0FD">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020D">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D6FD2">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D9FA">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6F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F8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5E6D">
            <w:pPr>
              <w:rPr>
                <w:rFonts w:hint="eastAsia" w:ascii="黑体" w:hAnsi="黑体" w:eastAsia="黑体" w:cs="黑体"/>
                <w:i/>
                <w:iCs/>
                <w:color w:val="auto"/>
                <w:sz w:val="18"/>
                <w:szCs w:val="18"/>
                <w:u w:val="none"/>
              </w:rPr>
            </w:pPr>
          </w:p>
        </w:tc>
      </w:tr>
      <w:tr w14:paraId="6911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EBC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11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E1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89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FE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10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24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B0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59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4C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44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06A9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3C79">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25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48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9D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参加退役士兵线下技能培训人数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D0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A4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61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7F6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6B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47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45C1">
            <w:pPr>
              <w:jc w:val="center"/>
              <w:rPr>
                <w:rFonts w:hint="eastAsia" w:ascii="微软雅黑" w:hAnsi="微软雅黑" w:eastAsia="微软雅黑" w:cs="微软雅黑"/>
                <w:i/>
                <w:iCs/>
                <w:color w:val="auto"/>
                <w:sz w:val="16"/>
                <w:szCs w:val="16"/>
                <w:u w:val="none"/>
              </w:rPr>
            </w:pPr>
          </w:p>
        </w:tc>
      </w:tr>
      <w:tr w14:paraId="57F8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38BD">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95EE">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A1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FB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培训合格，推荐就业率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47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FD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C8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F3A5">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48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C1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170C">
            <w:pPr>
              <w:jc w:val="center"/>
              <w:rPr>
                <w:rFonts w:hint="eastAsia" w:ascii="微软雅黑" w:hAnsi="微软雅黑" w:eastAsia="微软雅黑" w:cs="微软雅黑"/>
                <w:i/>
                <w:iCs/>
                <w:color w:val="auto"/>
                <w:sz w:val="16"/>
                <w:szCs w:val="16"/>
                <w:u w:val="none"/>
              </w:rPr>
            </w:pPr>
          </w:p>
        </w:tc>
      </w:tr>
      <w:tr w14:paraId="6A40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B842">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0842">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B3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60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对退役士兵及时扶持率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69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87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1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F24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7C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FB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6F11">
            <w:pPr>
              <w:jc w:val="center"/>
              <w:rPr>
                <w:rFonts w:hint="eastAsia" w:ascii="微软雅黑" w:hAnsi="微软雅黑" w:eastAsia="微软雅黑" w:cs="微软雅黑"/>
                <w:i/>
                <w:iCs/>
                <w:color w:val="auto"/>
                <w:sz w:val="16"/>
                <w:szCs w:val="16"/>
                <w:u w:val="none"/>
              </w:rPr>
            </w:pPr>
          </w:p>
        </w:tc>
      </w:tr>
      <w:tr w14:paraId="0264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E195">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B0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98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E9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对退役士兵安置的权益保障作用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28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3A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B5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83B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42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14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7336">
            <w:pPr>
              <w:jc w:val="center"/>
              <w:rPr>
                <w:rFonts w:hint="eastAsia" w:ascii="微软雅黑" w:hAnsi="微软雅黑" w:eastAsia="微软雅黑" w:cs="微软雅黑"/>
                <w:i/>
                <w:iCs/>
                <w:color w:val="auto"/>
                <w:sz w:val="16"/>
                <w:szCs w:val="16"/>
                <w:u w:val="none"/>
              </w:rPr>
            </w:pPr>
          </w:p>
        </w:tc>
      </w:tr>
      <w:tr w14:paraId="7B81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E8E0">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21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0D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27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受培训对象满意度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B5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C5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0D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3E6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39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F4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43E0">
            <w:pPr>
              <w:jc w:val="center"/>
              <w:rPr>
                <w:rFonts w:hint="eastAsia" w:ascii="微软雅黑" w:hAnsi="微软雅黑" w:eastAsia="微软雅黑" w:cs="微软雅黑"/>
                <w:i/>
                <w:iCs/>
                <w:color w:val="auto"/>
                <w:sz w:val="16"/>
                <w:szCs w:val="16"/>
                <w:u w:val="none"/>
              </w:rPr>
            </w:pPr>
          </w:p>
        </w:tc>
      </w:tr>
      <w:tr w14:paraId="19F4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169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7F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C9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经济成本指标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05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经费有效使用率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C2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7F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8E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872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DD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85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EB63">
            <w:pPr>
              <w:jc w:val="center"/>
              <w:rPr>
                <w:rFonts w:hint="eastAsia" w:ascii="微软雅黑" w:hAnsi="微软雅黑" w:eastAsia="微软雅黑" w:cs="微软雅黑"/>
                <w:i/>
                <w:iCs/>
                <w:color w:val="auto"/>
                <w:sz w:val="16"/>
                <w:szCs w:val="16"/>
                <w:u w:val="none"/>
              </w:rPr>
            </w:pPr>
          </w:p>
        </w:tc>
      </w:tr>
      <w:tr w14:paraId="30AE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1FF9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CE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EA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C266">
            <w:pPr>
              <w:rPr>
                <w:rFonts w:hint="eastAsia" w:ascii="宋体" w:hAnsi="宋体" w:eastAsia="宋体" w:cs="宋体"/>
                <w:i w:val="0"/>
                <w:iCs w:val="0"/>
                <w:color w:val="auto"/>
                <w:sz w:val="18"/>
                <w:szCs w:val="18"/>
                <w:u w:val="none"/>
              </w:rPr>
            </w:pPr>
          </w:p>
        </w:tc>
      </w:tr>
      <w:tr w14:paraId="442A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BD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67036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保障部分退役士兵培训补助落实到位、保障就业创业扶持工作开展，预算执行率100%，目标完成良好。</w:t>
            </w:r>
          </w:p>
        </w:tc>
      </w:tr>
      <w:tr w14:paraId="13F3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12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D2AD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2C2B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23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E579A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101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29B0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项目负责人：张军</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94A2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r w14:paraId="47C9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tcBorders>
              <w:top w:val="nil"/>
              <w:left w:val="nil"/>
              <w:bottom w:val="nil"/>
              <w:right w:val="nil"/>
            </w:tcBorders>
            <w:shd w:val="clear" w:color="auto" w:fill="auto"/>
            <w:vAlign w:val="center"/>
          </w:tcPr>
          <w:p w14:paraId="5749F37E">
            <w:pPr>
              <w:rPr>
                <w:rFonts w:hint="eastAsia" w:ascii="宋体" w:hAnsi="宋体" w:eastAsia="宋体" w:cs="宋体"/>
                <w:i w:val="0"/>
                <w:iCs w:val="0"/>
                <w:color w:val="auto"/>
                <w:sz w:val="18"/>
                <w:szCs w:val="18"/>
                <w:u w:val="none"/>
              </w:rPr>
            </w:pPr>
          </w:p>
        </w:tc>
        <w:tc>
          <w:tcPr>
            <w:tcW w:w="388" w:type="pct"/>
            <w:tcBorders>
              <w:top w:val="nil"/>
              <w:left w:val="nil"/>
              <w:bottom w:val="nil"/>
              <w:right w:val="nil"/>
            </w:tcBorders>
            <w:shd w:val="clear" w:color="auto" w:fill="auto"/>
            <w:vAlign w:val="center"/>
          </w:tcPr>
          <w:p w14:paraId="7479D99B">
            <w:pPr>
              <w:rPr>
                <w:rFonts w:hint="eastAsia" w:ascii="宋体" w:hAnsi="宋体" w:eastAsia="宋体" w:cs="宋体"/>
                <w:i w:val="0"/>
                <w:iCs w:val="0"/>
                <w:color w:val="auto"/>
                <w:sz w:val="18"/>
                <w:szCs w:val="18"/>
                <w:u w:val="none"/>
              </w:rPr>
            </w:pPr>
          </w:p>
        </w:tc>
        <w:tc>
          <w:tcPr>
            <w:tcW w:w="456" w:type="pct"/>
            <w:tcBorders>
              <w:top w:val="nil"/>
              <w:left w:val="nil"/>
              <w:bottom w:val="nil"/>
              <w:right w:val="nil"/>
            </w:tcBorders>
            <w:shd w:val="clear" w:color="auto" w:fill="auto"/>
            <w:vAlign w:val="center"/>
          </w:tcPr>
          <w:p w14:paraId="4953109F">
            <w:pPr>
              <w:rPr>
                <w:rFonts w:hint="eastAsia" w:ascii="宋体" w:hAnsi="宋体" w:eastAsia="宋体" w:cs="宋体"/>
                <w:i w:val="0"/>
                <w:iCs w:val="0"/>
                <w:color w:val="auto"/>
                <w:sz w:val="18"/>
                <w:szCs w:val="18"/>
                <w:u w:val="none"/>
              </w:rPr>
            </w:pPr>
          </w:p>
        </w:tc>
        <w:tc>
          <w:tcPr>
            <w:tcW w:w="997" w:type="pct"/>
            <w:tcBorders>
              <w:top w:val="nil"/>
              <w:left w:val="nil"/>
              <w:bottom w:val="nil"/>
              <w:right w:val="nil"/>
            </w:tcBorders>
            <w:shd w:val="clear" w:color="auto" w:fill="auto"/>
            <w:vAlign w:val="center"/>
          </w:tcPr>
          <w:p w14:paraId="609455DC">
            <w:pPr>
              <w:rPr>
                <w:rFonts w:hint="eastAsia" w:ascii="宋体" w:hAnsi="宋体" w:eastAsia="宋体" w:cs="宋体"/>
                <w:i w:val="0"/>
                <w:iCs w:val="0"/>
                <w:color w:val="auto"/>
                <w:sz w:val="18"/>
                <w:szCs w:val="18"/>
                <w:u w:val="none"/>
              </w:rPr>
            </w:pPr>
          </w:p>
        </w:tc>
        <w:tc>
          <w:tcPr>
            <w:tcW w:w="237" w:type="pct"/>
            <w:tcBorders>
              <w:top w:val="nil"/>
              <w:left w:val="nil"/>
              <w:bottom w:val="nil"/>
              <w:right w:val="nil"/>
            </w:tcBorders>
            <w:shd w:val="clear" w:color="auto" w:fill="auto"/>
            <w:vAlign w:val="center"/>
          </w:tcPr>
          <w:p w14:paraId="04410E6A">
            <w:pPr>
              <w:rPr>
                <w:rFonts w:hint="eastAsia" w:ascii="宋体" w:hAnsi="宋体" w:eastAsia="宋体" w:cs="宋体"/>
                <w:i w:val="0"/>
                <w:iCs w:val="0"/>
                <w:color w:val="auto"/>
                <w:sz w:val="18"/>
                <w:szCs w:val="18"/>
                <w:u w:val="none"/>
              </w:rPr>
            </w:pPr>
          </w:p>
        </w:tc>
        <w:tc>
          <w:tcPr>
            <w:tcW w:w="290" w:type="pct"/>
            <w:tcBorders>
              <w:top w:val="nil"/>
              <w:left w:val="nil"/>
              <w:bottom w:val="nil"/>
              <w:right w:val="nil"/>
            </w:tcBorders>
            <w:shd w:val="clear" w:color="auto" w:fill="auto"/>
            <w:vAlign w:val="center"/>
          </w:tcPr>
          <w:p w14:paraId="2E5E9792">
            <w:pPr>
              <w:rPr>
                <w:rFonts w:hint="eastAsia" w:ascii="宋体" w:hAnsi="宋体" w:eastAsia="宋体" w:cs="宋体"/>
                <w:i w:val="0"/>
                <w:iCs w:val="0"/>
                <w:color w:val="auto"/>
                <w:sz w:val="18"/>
                <w:szCs w:val="18"/>
                <w:u w:val="none"/>
              </w:rPr>
            </w:pPr>
          </w:p>
        </w:tc>
        <w:tc>
          <w:tcPr>
            <w:tcW w:w="238" w:type="pct"/>
            <w:tcBorders>
              <w:top w:val="nil"/>
              <w:left w:val="nil"/>
              <w:bottom w:val="nil"/>
              <w:right w:val="nil"/>
            </w:tcBorders>
            <w:shd w:val="clear" w:color="auto" w:fill="auto"/>
            <w:vAlign w:val="center"/>
          </w:tcPr>
          <w:p w14:paraId="36785C90">
            <w:pPr>
              <w:rPr>
                <w:rFonts w:hint="eastAsia" w:ascii="宋体" w:hAnsi="宋体" w:eastAsia="宋体" w:cs="宋体"/>
                <w:i w:val="0"/>
                <w:iCs w:val="0"/>
                <w:color w:val="auto"/>
                <w:sz w:val="18"/>
                <w:szCs w:val="18"/>
                <w:u w:val="none"/>
              </w:rPr>
            </w:pPr>
          </w:p>
        </w:tc>
        <w:tc>
          <w:tcPr>
            <w:tcW w:w="504" w:type="pct"/>
            <w:tcBorders>
              <w:top w:val="nil"/>
              <w:left w:val="nil"/>
              <w:bottom w:val="nil"/>
              <w:right w:val="nil"/>
            </w:tcBorders>
            <w:shd w:val="clear" w:color="auto" w:fill="auto"/>
            <w:vAlign w:val="center"/>
          </w:tcPr>
          <w:p w14:paraId="754310B2">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647B56EF">
            <w:pPr>
              <w:rPr>
                <w:rFonts w:hint="eastAsia" w:ascii="宋体" w:hAnsi="宋体" w:eastAsia="宋体" w:cs="宋体"/>
                <w:i w:val="0"/>
                <w:iCs w:val="0"/>
                <w:color w:val="auto"/>
                <w:sz w:val="18"/>
                <w:szCs w:val="18"/>
                <w:u w:val="none"/>
              </w:rPr>
            </w:pPr>
          </w:p>
        </w:tc>
        <w:tc>
          <w:tcPr>
            <w:tcW w:w="267" w:type="pct"/>
            <w:tcBorders>
              <w:top w:val="nil"/>
              <w:left w:val="nil"/>
              <w:bottom w:val="nil"/>
              <w:right w:val="nil"/>
            </w:tcBorders>
            <w:shd w:val="clear" w:color="auto" w:fill="auto"/>
            <w:vAlign w:val="center"/>
          </w:tcPr>
          <w:p w14:paraId="5E84F609">
            <w:pPr>
              <w:rPr>
                <w:rFonts w:hint="eastAsia" w:ascii="宋体" w:hAnsi="宋体" w:eastAsia="宋体" w:cs="宋体"/>
                <w:i w:val="0"/>
                <w:iCs w:val="0"/>
                <w:color w:val="auto"/>
                <w:sz w:val="18"/>
                <w:szCs w:val="18"/>
                <w:u w:val="none"/>
              </w:rPr>
            </w:pPr>
          </w:p>
        </w:tc>
        <w:tc>
          <w:tcPr>
            <w:tcW w:w="978" w:type="pct"/>
            <w:tcBorders>
              <w:top w:val="nil"/>
              <w:left w:val="nil"/>
              <w:bottom w:val="nil"/>
              <w:right w:val="nil"/>
            </w:tcBorders>
            <w:shd w:val="clear" w:color="auto" w:fill="auto"/>
            <w:vAlign w:val="center"/>
          </w:tcPr>
          <w:p w14:paraId="5435F730">
            <w:pPr>
              <w:rPr>
                <w:rFonts w:hint="eastAsia" w:ascii="宋体" w:hAnsi="宋体" w:eastAsia="宋体" w:cs="宋体"/>
                <w:i w:val="0"/>
                <w:iCs w:val="0"/>
                <w:color w:val="auto"/>
                <w:sz w:val="18"/>
                <w:szCs w:val="18"/>
                <w:u w:val="none"/>
              </w:rPr>
            </w:pPr>
          </w:p>
        </w:tc>
      </w:tr>
      <w:tr w14:paraId="16A7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0953A8">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7D57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794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14435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51118124T000011444969-春节、“八一”慰问项目</w:t>
            </w:r>
          </w:p>
        </w:tc>
      </w:tr>
      <w:tr w14:paraId="1AA9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9A1D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2D8F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14:paraId="02548EB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C05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峨眉山市退役军人事务局</w:t>
            </w:r>
          </w:p>
        </w:tc>
      </w:tr>
      <w:tr w14:paraId="7B55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2B0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86AD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998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D3386">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3234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D721">
            <w:pP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CBFC">
            <w:pPr>
              <w:rPr>
                <w:rFonts w:hint="eastAsia" w:ascii="宋体" w:hAnsi="宋体" w:eastAsia="宋体" w:cs="宋体"/>
                <w:i w:val="0"/>
                <w:iCs w:val="0"/>
                <w:color w:val="auto"/>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609F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保障春节、“八一”全市大规模慰问部队官兵、军属及优抚对象项目顺利开展，促进部队稳定、军民团结。</w:t>
            </w:r>
          </w:p>
        </w:tc>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21E4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保障春节、“八一”全市大规模慰问部队官兵、军属及优抚对象项目顺利开展，促进部队稳定、军民团结。</w:t>
            </w:r>
          </w:p>
        </w:tc>
      </w:tr>
      <w:tr w14:paraId="03DF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5C33">
            <w:pP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6CE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42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6AD52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保障春节、“八一”全市大规模慰问部队官兵、军属及优抚对象项目顺利开展，促进部队稳定、军民团结。</w:t>
            </w:r>
          </w:p>
        </w:tc>
      </w:tr>
      <w:tr w14:paraId="66A7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368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6B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65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56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BCD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73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9A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FC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A7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23B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F25A">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73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ED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189.00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DD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179.68</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D9C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179.68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57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91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63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2FF56">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依据实际工作开展情况调整预算数。</w:t>
            </w:r>
          </w:p>
        </w:tc>
      </w:tr>
      <w:tr w14:paraId="0E50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5BEF">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06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47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189.00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98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179.68</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D6E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179.68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A3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98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F5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D7F7">
            <w:pPr>
              <w:rPr>
                <w:rFonts w:hint="eastAsia" w:ascii="黑体" w:hAnsi="黑体" w:eastAsia="黑体" w:cs="黑体"/>
                <w:i/>
                <w:iCs/>
                <w:color w:val="auto"/>
                <w:sz w:val="18"/>
                <w:szCs w:val="18"/>
                <w:u w:val="none"/>
              </w:rPr>
            </w:pPr>
          </w:p>
        </w:tc>
      </w:tr>
      <w:tr w14:paraId="4C99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0637">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1C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F4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DC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88F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98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35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10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28C9">
            <w:pPr>
              <w:rPr>
                <w:rFonts w:hint="eastAsia" w:ascii="黑体" w:hAnsi="黑体" w:eastAsia="黑体" w:cs="黑体"/>
                <w:i/>
                <w:iCs/>
                <w:color w:val="auto"/>
                <w:sz w:val="18"/>
                <w:szCs w:val="18"/>
                <w:u w:val="none"/>
              </w:rPr>
            </w:pPr>
          </w:p>
        </w:tc>
      </w:tr>
      <w:tr w14:paraId="78BD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A5BD">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49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52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B7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B8B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E3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8D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13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23F9">
            <w:pPr>
              <w:rPr>
                <w:rFonts w:hint="eastAsia" w:ascii="黑体" w:hAnsi="黑体" w:eastAsia="黑体" w:cs="黑体"/>
                <w:i/>
                <w:iCs/>
                <w:color w:val="auto"/>
                <w:sz w:val="18"/>
                <w:szCs w:val="18"/>
                <w:u w:val="none"/>
              </w:rPr>
            </w:pPr>
          </w:p>
        </w:tc>
      </w:tr>
      <w:tr w14:paraId="4523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BBA3">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4D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D246">
            <w:pPr>
              <w:jc w:val="center"/>
              <w:rPr>
                <w:rFonts w:hint="eastAsia" w:ascii="微软雅黑" w:hAnsi="微软雅黑" w:eastAsia="微软雅黑" w:cs="微软雅黑"/>
                <w:i/>
                <w:iCs/>
                <w:color w:val="auto"/>
                <w:sz w:val="16"/>
                <w:szCs w:val="16"/>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342D">
            <w:pPr>
              <w:jc w:val="center"/>
              <w:rPr>
                <w:rFonts w:hint="eastAsia" w:ascii="微软雅黑" w:hAnsi="微软雅黑" w:eastAsia="微软雅黑" w:cs="微软雅黑"/>
                <w:i/>
                <w:iCs/>
                <w:color w:val="auto"/>
                <w:sz w:val="16"/>
                <w:szCs w:val="16"/>
                <w:u w:val="none"/>
              </w:rPr>
            </w:pP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FB9AF">
            <w:pPr>
              <w:jc w:val="center"/>
              <w:rPr>
                <w:rFonts w:hint="eastAsia" w:ascii="微软雅黑" w:hAnsi="微软雅黑" w:eastAsia="微软雅黑" w:cs="微软雅黑"/>
                <w:i/>
                <w:iCs/>
                <w:color w:val="auto"/>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8D6F">
            <w:pPr>
              <w:jc w:val="center"/>
              <w:rPr>
                <w:rFonts w:hint="eastAsia" w:ascii="微软雅黑" w:hAnsi="微软雅黑" w:eastAsia="微软雅黑" w:cs="微软雅黑"/>
                <w:i/>
                <w:iCs/>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ED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58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DBB3">
            <w:pPr>
              <w:rPr>
                <w:rFonts w:hint="eastAsia" w:ascii="黑体" w:hAnsi="黑体" w:eastAsia="黑体" w:cs="黑体"/>
                <w:i/>
                <w:iCs/>
                <w:color w:val="auto"/>
                <w:sz w:val="18"/>
                <w:szCs w:val="18"/>
                <w:u w:val="none"/>
              </w:rPr>
            </w:pPr>
          </w:p>
        </w:tc>
      </w:tr>
      <w:tr w14:paraId="2AF0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B19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8E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A1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69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A3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F7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FF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6D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0D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CF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9B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B36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FB3B">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3D7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04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A9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完成大规模集中慰问部队和重点优抚对象次数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9E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16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16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批次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C1C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99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58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795E">
            <w:pPr>
              <w:jc w:val="center"/>
              <w:rPr>
                <w:rFonts w:hint="eastAsia" w:ascii="微软雅黑" w:hAnsi="微软雅黑" w:eastAsia="微软雅黑" w:cs="微软雅黑"/>
                <w:i/>
                <w:iCs/>
                <w:color w:val="auto"/>
                <w:sz w:val="16"/>
                <w:szCs w:val="16"/>
                <w:u w:val="none"/>
              </w:rPr>
            </w:pPr>
          </w:p>
        </w:tc>
      </w:tr>
      <w:tr w14:paraId="479C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C3A1">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B661">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D1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54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依据部队实际需求，精准安排慰问物资情况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9C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B6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C0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04F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82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30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1EEB">
            <w:pPr>
              <w:jc w:val="center"/>
              <w:rPr>
                <w:rFonts w:hint="eastAsia" w:ascii="微软雅黑" w:hAnsi="微软雅黑" w:eastAsia="微软雅黑" w:cs="微软雅黑"/>
                <w:i/>
                <w:iCs/>
                <w:color w:val="auto"/>
                <w:sz w:val="16"/>
                <w:szCs w:val="16"/>
                <w:u w:val="none"/>
              </w:rPr>
            </w:pPr>
          </w:p>
        </w:tc>
      </w:tr>
      <w:tr w14:paraId="796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3661">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CFF8">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27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52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慰问物资、慰问金按时送达率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B9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13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0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ADA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D8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48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E1B7">
            <w:pPr>
              <w:jc w:val="center"/>
              <w:rPr>
                <w:rFonts w:hint="eastAsia" w:ascii="微软雅黑" w:hAnsi="微软雅黑" w:eastAsia="微软雅黑" w:cs="微软雅黑"/>
                <w:i/>
                <w:iCs/>
                <w:color w:val="auto"/>
                <w:sz w:val="16"/>
                <w:szCs w:val="16"/>
                <w:u w:val="none"/>
              </w:rPr>
            </w:pPr>
          </w:p>
        </w:tc>
      </w:tr>
      <w:tr w14:paraId="7B81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A598A">
            <w:pPr>
              <w:jc w:val="center"/>
              <w:rPr>
                <w:rFonts w:hint="eastAsia" w:ascii="宋体" w:hAnsi="宋体" w:eastAsia="宋体" w:cs="宋体"/>
                <w:i w:val="0"/>
                <w:iCs w:val="0"/>
                <w:color w:val="auto"/>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7B5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63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D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增强全民国防拥军观念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38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C8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8E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25C5">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4C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2D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2959">
            <w:pPr>
              <w:jc w:val="center"/>
              <w:rPr>
                <w:rFonts w:hint="eastAsia" w:ascii="微软雅黑" w:hAnsi="微软雅黑" w:eastAsia="微软雅黑" w:cs="微软雅黑"/>
                <w:i/>
                <w:iCs/>
                <w:color w:val="auto"/>
                <w:sz w:val="16"/>
                <w:szCs w:val="16"/>
                <w:u w:val="none"/>
              </w:rPr>
            </w:pPr>
          </w:p>
        </w:tc>
      </w:tr>
      <w:tr w14:paraId="635E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B226">
            <w:pPr>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5168">
            <w:pPr>
              <w:jc w:val="center"/>
              <w:rPr>
                <w:rFonts w:hint="eastAsia" w:ascii="宋体" w:hAnsi="宋体" w:eastAsia="宋体" w:cs="宋体"/>
                <w:i w:val="0"/>
                <w:iCs w:val="0"/>
                <w:color w:val="auto"/>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81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2F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鼓励越来越多的优秀人才参军入伍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C9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F1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38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007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7D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09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8F45">
            <w:pPr>
              <w:jc w:val="center"/>
              <w:rPr>
                <w:rFonts w:hint="eastAsia" w:ascii="微软雅黑" w:hAnsi="微软雅黑" w:eastAsia="微软雅黑" w:cs="微软雅黑"/>
                <w:i/>
                <w:iCs/>
                <w:color w:val="auto"/>
                <w:sz w:val="16"/>
                <w:szCs w:val="16"/>
                <w:u w:val="none"/>
              </w:rPr>
            </w:pPr>
          </w:p>
        </w:tc>
      </w:tr>
      <w:tr w14:paraId="05C4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391C">
            <w:pPr>
              <w:jc w:val="center"/>
              <w:rPr>
                <w:rFonts w:hint="eastAsia" w:ascii="宋体" w:hAnsi="宋体" w:eastAsia="宋体" w:cs="宋体"/>
                <w:i w:val="0"/>
                <w:iCs w:val="0"/>
                <w:color w:val="auto"/>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4E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56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79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军人和军属满意度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8B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67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CD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1763">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AF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9D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2C16">
            <w:pPr>
              <w:jc w:val="center"/>
              <w:rPr>
                <w:rFonts w:hint="eastAsia" w:ascii="微软雅黑" w:hAnsi="微软雅黑" w:eastAsia="微软雅黑" w:cs="微软雅黑"/>
                <w:i/>
                <w:iCs/>
                <w:color w:val="auto"/>
                <w:sz w:val="16"/>
                <w:szCs w:val="16"/>
                <w:u w:val="none"/>
              </w:rPr>
            </w:pPr>
          </w:p>
        </w:tc>
      </w:tr>
      <w:tr w14:paraId="2272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4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A5A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93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2B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780">
            <w:pPr>
              <w:rPr>
                <w:rFonts w:hint="eastAsia" w:ascii="宋体" w:hAnsi="宋体" w:eastAsia="宋体" w:cs="宋体"/>
                <w:i w:val="0"/>
                <w:iCs w:val="0"/>
                <w:color w:val="auto"/>
                <w:sz w:val="18"/>
                <w:szCs w:val="18"/>
                <w:u w:val="none"/>
              </w:rPr>
            </w:pPr>
          </w:p>
        </w:tc>
      </w:tr>
      <w:tr w14:paraId="4B13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36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F11D3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保障春节、“八一”全市大规模慰问部队官兵、军属及优抚对象项目顺利开展，促进部队稳定、军民团结，预算执行率100%，目标完成良好。</w:t>
            </w:r>
          </w:p>
        </w:tc>
      </w:tr>
      <w:tr w14:paraId="48E0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BB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AA3C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7D00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65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1407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DD6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5A94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项目负责人：张彬</w:t>
            </w:r>
          </w:p>
        </w:tc>
        <w:tc>
          <w:tcPr>
            <w:tcW w:w="25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A434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财务负责人：程艳梅</w:t>
            </w:r>
          </w:p>
        </w:tc>
      </w:tr>
    </w:tbl>
    <w:p w14:paraId="0280B5C6">
      <w:pPr>
        <w:rPr>
          <w:rFonts w:hint="eastAsia"/>
          <w:color w:val="auto"/>
          <w:lang w:val="en-US" w:eastAsia="zh-CN"/>
        </w:rPr>
      </w:pPr>
    </w:p>
    <w:p w14:paraId="328C0FCD">
      <w:pPr>
        <w:rPr>
          <w:rFonts w:hint="default"/>
          <w:color w:val="auto"/>
          <w:lang w:val="en-US" w:eastAsia="zh-CN"/>
        </w:rPr>
      </w:pPr>
    </w:p>
    <w:p w14:paraId="1E27AE89">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262FDEC">
      <w:pPr>
        <w:pStyle w:val="6"/>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6BC4FD12">
      <w:pPr>
        <w:pStyle w:val="35"/>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99C1C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bookmarkStart w:id="57" w:name="_Toc15396618"/>
      <w:r>
        <w:rPr>
          <w:rFonts w:hint="eastAsia" w:ascii="方正小标宋简体" w:hAnsi="方正小标宋简体" w:eastAsia="方正小标宋简体" w:cs="方正小标宋简体"/>
          <w:color w:val="auto"/>
          <w:sz w:val="44"/>
          <w:szCs w:val="44"/>
        </w:rPr>
        <w:t>双拥工作经费专项预算项目绩效评价报告</w:t>
      </w:r>
    </w:p>
    <w:p w14:paraId="6B1C58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5C2A08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一、项目概况</w:t>
      </w:r>
    </w:p>
    <w:p w14:paraId="6739D6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（一）设立背景及基本情况</w:t>
      </w:r>
    </w:p>
    <w:p w14:paraId="00B98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本项目依据《中华人民共和国国防法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中华人民共和国退役军人保障法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军人抚恤优待条例》以及中央和地方关于进一步加强新时代双拥工作的意见等政策文件设立。项目主要内容包括：双拥模范城（县）创建活动、节日走访慰问部队及优抚对象、双拥宣传与国防教育、军民共建活动组织、双拥工作机构日常运行保障等。</w:t>
      </w:r>
    </w:p>
    <w:p w14:paraId="2BDD6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（二）实施目的及支持方向</w:t>
      </w:r>
    </w:p>
    <w:p w14:paraId="33A5C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目的在于巩固和发展军政军民团结，服务国防和军队建设，保障优抚安置政策落实，解决部队官兵、退役军人和其他优抚对象的实际困难，提升军人的社会尊崇感。主要工作任务包括：组织开展双拥模范创建活动，激发社会参与热情；组织开展对驻军部队和重点优抚对象的走访慰问活动；开展形式多样的双拥宣传和全民国防教育活动；保障双拥工作机构日常办公、调研、会议等基本运转需求。</w:t>
      </w:r>
    </w:p>
    <w:p w14:paraId="6F2C4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（三）预算安排及分配管理</w:t>
      </w:r>
    </w:p>
    <w:p w14:paraId="63DC40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年度预算总额为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万元，资金来源为</w:t>
      </w:r>
      <w:r>
        <w:rPr>
          <w:rFonts w:hint="eastAsia" w:ascii="仿宋_GB2312" w:hAnsi="仿宋_GB2312" w:eastAsia="仿宋_GB2312" w:cs="仿宋_GB2312"/>
          <w:color w:val="auto"/>
          <w:sz w:val="32"/>
          <w:szCs w:val="32"/>
          <w:lang w:eastAsia="zh-CN"/>
        </w:rPr>
        <w:t>本级</w:t>
      </w:r>
      <w:r>
        <w:rPr>
          <w:rFonts w:hint="eastAsia" w:ascii="仿宋_GB2312" w:hAnsi="仿宋_GB2312" w:eastAsia="仿宋_GB2312" w:cs="仿宋_GB2312"/>
          <w:color w:val="auto"/>
          <w:sz w:val="32"/>
          <w:szCs w:val="32"/>
        </w:rPr>
        <w:t>财政拨款。资金分配遵循以下原则：政策导向原则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紧密围绕年度双拥工作要点和国家、省、市决策部署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突出重点原则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优先保障重大节日慰问、重点优抚对象关爱、服务部队备战打仗等关键领域。本年度资金主要分配用于：走访慰问经费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双拥宣传活动经费等</w:t>
      </w:r>
      <w:r>
        <w:rPr>
          <w:rFonts w:hint="eastAsia" w:ascii="仿宋_GB2312" w:hAnsi="仿宋_GB2312" w:eastAsia="仿宋_GB2312" w:cs="仿宋_GB2312"/>
          <w:color w:val="auto"/>
          <w:sz w:val="32"/>
          <w:szCs w:val="32"/>
          <w:lang w:eastAsia="zh-CN"/>
        </w:rPr>
        <w:t>。</w:t>
      </w:r>
    </w:p>
    <w:p w14:paraId="3272F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（四）项目绩效目标设置</w:t>
      </w:r>
    </w:p>
    <w:p w14:paraId="5C38E7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项目整体绩效目标为：推动军政军民团结更加巩固，军人军属、退役军人和其他优抚对象的荣誉感、获得感、幸福感持续增强，成功创建</w:t>
      </w:r>
      <w:r>
        <w:rPr>
          <w:rFonts w:hint="eastAsia" w:ascii="仿宋_GB2312" w:hAnsi="仿宋_GB2312" w:eastAsia="仿宋_GB2312" w:cs="仿宋_GB2312"/>
          <w:color w:val="auto"/>
          <w:sz w:val="32"/>
          <w:szCs w:val="32"/>
          <w:lang w:eastAsia="zh-CN"/>
        </w:rPr>
        <w:t>峨眉山市</w:t>
      </w:r>
      <w:r>
        <w:rPr>
          <w:rFonts w:hint="eastAsia" w:ascii="仿宋_GB2312" w:hAnsi="仿宋_GB2312" w:eastAsia="仿宋_GB2312" w:cs="仿宋_GB2312"/>
          <w:color w:val="auto"/>
          <w:sz w:val="32"/>
          <w:szCs w:val="32"/>
        </w:rPr>
        <w:t>双拥模范城。具体绩效目标包括：产出指标</w:t>
      </w:r>
      <w:r>
        <w:rPr>
          <w:rFonts w:hint="eastAsia" w:ascii="仿宋_GB2312" w:hAnsi="仿宋_GB2312" w:eastAsia="仿宋_GB2312" w:cs="仿宋_GB2312"/>
          <w:color w:val="auto"/>
          <w:sz w:val="32"/>
          <w:szCs w:val="32"/>
          <w:lang w:eastAsia="zh-CN"/>
        </w:rPr>
        <w:t>，节日期间对全市涉军群体发送慰问短信数量≥</w:t>
      </w:r>
      <w:r>
        <w:rPr>
          <w:rFonts w:hint="eastAsia" w:ascii="仿宋_GB2312" w:hAnsi="仿宋_GB2312" w:eastAsia="仿宋_GB2312" w:cs="仿宋_GB2312"/>
          <w:color w:val="auto"/>
          <w:sz w:val="32"/>
          <w:szCs w:val="32"/>
          <w:lang w:val="en-US" w:eastAsia="zh-CN"/>
        </w:rPr>
        <w:t>4万条/年；</w:t>
      </w:r>
      <w:r>
        <w:rPr>
          <w:rFonts w:hint="eastAsia" w:ascii="仿宋_GB2312" w:hAnsi="仿宋_GB2312" w:eastAsia="仿宋_GB2312" w:cs="仿宋_GB2312"/>
          <w:color w:val="auto"/>
          <w:sz w:val="32"/>
          <w:szCs w:val="32"/>
        </w:rPr>
        <w:t>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增强全民国防拥军观念、支持军队的改革和建设、维护双拥模范城称号等效果显著；满意度指标，军人和军属满意度达100%。</w:t>
      </w:r>
    </w:p>
    <w:p w14:paraId="7BA74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二、评价实施</w:t>
      </w:r>
    </w:p>
    <w:p w14:paraId="0F3B6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（一）评价目的</w:t>
      </w:r>
    </w:p>
    <w:p w14:paraId="736A1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旨在总结双拥经费管理的有效经验，优化预算结构、改进管理方式、提高资金使用精准性和有效性提供依据，推动双拥工作持续深入发展。</w:t>
      </w:r>
    </w:p>
    <w:p w14:paraId="09FA2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（二）预设问题及评价重点</w:t>
      </w:r>
    </w:p>
    <w:p w14:paraId="497C8D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基于双拥工作特点，预设评价重点：资金分配是否与年度双拥重点工作任务及服务对象需求相匹配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预算执行进度是否合理，资金拨付是否及时到位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资金使用范围是否合规，服务部队、关爱优抚对象的实际成效与满意度。评价将围绕资金管理、过程控制和结果产出全过程展开。</w:t>
      </w:r>
    </w:p>
    <w:p w14:paraId="036FA0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）评价方法</w:t>
      </w:r>
    </w:p>
    <w:p w14:paraId="2B454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案卷研究法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系统查阅项目预算文件、资金分配方案、支出凭证等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实地勘察法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rPr>
        <w:t>查看</w:t>
      </w:r>
      <w:r>
        <w:rPr>
          <w:rFonts w:hint="eastAsia" w:ascii="仿宋_GB2312" w:hAnsi="仿宋_GB2312" w:eastAsia="仿宋_GB2312" w:cs="仿宋_GB2312"/>
          <w:color w:val="auto"/>
          <w:sz w:val="32"/>
          <w:szCs w:val="32"/>
          <w:lang w:eastAsia="zh-CN"/>
        </w:rPr>
        <w:t>双拥公园、全市各双拥宣传点、退役军人服务站的双拥宣传</w:t>
      </w:r>
      <w:r>
        <w:rPr>
          <w:rFonts w:hint="eastAsia" w:ascii="仿宋_GB2312" w:hAnsi="仿宋_GB2312" w:eastAsia="仿宋_GB2312" w:cs="仿宋_GB2312"/>
          <w:color w:val="auto"/>
          <w:sz w:val="32"/>
          <w:szCs w:val="32"/>
          <w:lang w:val="en-US" w:eastAsia="zh-CN"/>
        </w:rPr>
        <w:t xml:space="preserve"> 情况</w:t>
      </w:r>
      <w:r>
        <w:rPr>
          <w:rFonts w:hint="eastAsia" w:ascii="仿宋_GB2312" w:hAnsi="仿宋_GB2312" w:eastAsia="仿宋_GB2312" w:cs="仿宋_GB2312"/>
          <w:color w:val="auto"/>
          <w:sz w:val="32"/>
          <w:szCs w:val="32"/>
        </w:rPr>
        <w:t>。座谈访谈法：与退役军人代表、基层服务站点人员等进行座谈和个别访谈。</w:t>
      </w:r>
    </w:p>
    <w:p w14:paraId="18E0A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）评价组织</w:t>
      </w:r>
    </w:p>
    <w:p w14:paraId="5D6989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成立由</w:t>
      </w:r>
      <w:r>
        <w:rPr>
          <w:rFonts w:hint="eastAsia" w:ascii="仿宋_GB2312" w:hAnsi="仿宋_GB2312" w:eastAsia="仿宋_GB2312" w:cs="仿宋_GB2312"/>
          <w:color w:val="auto"/>
          <w:sz w:val="32"/>
          <w:szCs w:val="32"/>
          <w:lang w:eastAsia="zh-CN"/>
        </w:rPr>
        <w:t>双拥股、财务室工作人员及财务分管领导</w:t>
      </w:r>
      <w:r>
        <w:rPr>
          <w:rFonts w:hint="eastAsia" w:ascii="仿宋_GB2312" w:hAnsi="仿宋_GB2312" w:eastAsia="仿宋_GB2312" w:cs="仿宋_GB2312"/>
          <w:color w:val="auto"/>
          <w:sz w:val="32"/>
          <w:szCs w:val="32"/>
        </w:rPr>
        <w:t>共同组成的绩效评价工作组</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双拥活动组织实施、政策落实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预算执行、资金管理、会计核算等情况</w:t>
      </w:r>
      <w:r>
        <w:rPr>
          <w:rFonts w:hint="eastAsia" w:ascii="仿宋_GB2312" w:hAnsi="仿宋_GB2312" w:eastAsia="仿宋_GB2312" w:cs="仿宋_GB2312"/>
          <w:color w:val="auto"/>
          <w:sz w:val="32"/>
          <w:szCs w:val="32"/>
          <w:lang w:eastAsia="zh-CN"/>
        </w:rPr>
        <w:t>展开考评。</w:t>
      </w:r>
    </w:p>
    <w:p w14:paraId="0FDCE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三、绩效分析</w:t>
      </w:r>
    </w:p>
    <w:p w14:paraId="4F388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（一）通用指标绩效分析</w:t>
      </w:r>
    </w:p>
    <w:p w14:paraId="4C13D0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分）：项目设立紧密围绕国家双拥工作大政方针和地方</w:t>
      </w:r>
      <w:r>
        <w:rPr>
          <w:rFonts w:hint="eastAsia" w:ascii="仿宋_GB2312" w:hAnsi="仿宋_GB2312" w:eastAsia="仿宋_GB2312" w:cs="仿宋_GB2312"/>
          <w:color w:val="auto"/>
          <w:sz w:val="32"/>
          <w:szCs w:val="32"/>
          <w:lang w:eastAsia="zh-CN"/>
        </w:rPr>
        <w:t>党委、政府</w:t>
      </w:r>
      <w:r>
        <w:rPr>
          <w:rFonts w:hint="eastAsia" w:ascii="仿宋_GB2312" w:hAnsi="仿宋_GB2312" w:eastAsia="仿宋_GB2312" w:cs="仿宋_GB2312"/>
          <w:color w:val="auto"/>
          <w:sz w:val="32"/>
          <w:szCs w:val="32"/>
        </w:rPr>
        <w:t>工作部署，决策依据充分，程序规范。资金投向清晰聚焦于拥军优属、拥政爱民领域，符合公共财政支出方向。</w:t>
      </w:r>
    </w:p>
    <w:p w14:paraId="68143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2.项目管理（得分：</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分）：制定了专项资金管理办法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分配方案经过一定研究论证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主管部门对项目执行进行了日常跟踪和指导。</w:t>
      </w:r>
    </w:p>
    <w:p w14:paraId="6687C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3.项目实施（得分：</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分）：项目整体预算执行率达到</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%，支出进度基本符合预期。资金拨付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使用基本符合管理办法规定的范围，报销审批手续基本完备。</w:t>
      </w:r>
    </w:p>
    <w:p w14:paraId="2F43C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4.项目结果（得分：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分）：预设的各项指标均已完成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项目在增进军地感情、服务优抚对象、营造双拥氛围等方面取得了显著成果。</w:t>
      </w:r>
    </w:p>
    <w:p w14:paraId="058F15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（二）专用指标绩效分析</w:t>
      </w:r>
    </w:p>
    <w:p w14:paraId="172D7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1.民生保障：对象精准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资金使用直接面向驻军部队、退役军人、优抚对象等特定群体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标准合理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走访慰问、活动补助等</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相关规定支出</w:t>
      </w:r>
      <w:r>
        <w:rPr>
          <w:rFonts w:hint="eastAsia" w:ascii="仿宋_GB2312" w:hAnsi="仿宋_GB2312" w:eastAsia="仿宋_GB2312" w:cs="仿宋_GB2312"/>
          <w:color w:val="auto"/>
          <w:sz w:val="32"/>
          <w:szCs w:val="32"/>
          <w:lang w:eastAsia="zh-CN"/>
        </w:rPr>
        <w:t>。</w:t>
      </w:r>
    </w:p>
    <w:p w14:paraId="667453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2.行政运行：项目资金支出做到用途合规、程序合规、标准合规。</w:t>
      </w:r>
    </w:p>
    <w:p w14:paraId="29E75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（三）个性指标绩效分析</w:t>
      </w:r>
    </w:p>
    <w:p w14:paraId="19D6E6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1.军政军民关系融洽度促进（得分：</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分）：通过持续开展军地互访、互办实事、共建活动，有效增进了相互理解与支持。</w:t>
      </w:r>
    </w:p>
    <w:p w14:paraId="3483C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2.社会尊崇导向引领力（得分：</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分）：项目支持的双拥宣传和国防教育活动形式多样、覆盖面广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关爱退役军人、服务国防建设的社会共识进一步凝聚，尊崇军人职业的社会导向得到加强。</w:t>
      </w:r>
    </w:p>
    <w:p w14:paraId="610D6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四、评价结论</w:t>
      </w:r>
    </w:p>
    <w:p w14:paraId="4C9FB6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本次双拥工作经费专项预算项目绩效评价最终得分为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分。总体来看，本项目立项精准，管理较为规范，资金使用效率较高，有效保障了全市双拥各项重点工作的顺利开展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为巩固和发展新时代军政军民关系作出了积极贡献，绩效表现</w:t>
      </w:r>
      <w:r>
        <w:rPr>
          <w:rFonts w:hint="eastAsia" w:ascii="仿宋_GB2312" w:hAnsi="仿宋_GB2312" w:eastAsia="仿宋_GB2312" w:cs="仿宋_GB2312"/>
          <w:color w:val="auto"/>
          <w:sz w:val="32"/>
          <w:szCs w:val="32"/>
          <w:lang w:eastAsia="zh-CN"/>
        </w:rPr>
        <w:t>良好</w:t>
      </w:r>
      <w:r>
        <w:rPr>
          <w:rFonts w:hint="eastAsia" w:ascii="仿宋_GB2312" w:hAnsi="仿宋_GB2312" w:eastAsia="仿宋_GB2312" w:cs="仿宋_GB2312"/>
          <w:color w:val="auto"/>
          <w:sz w:val="32"/>
          <w:szCs w:val="32"/>
        </w:rPr>
        <w:t>。</w:t>
      </w:r>
    </w:p>
    <w:p w14:paraId="7CD288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五、存在主要问题</w:t>
      </w:r>
    </w:p>
    <w:p w14:paraId="3C2965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部分双拥活动的创新性和品牌影响力可进一步提升</w:t>
      </w:r>
      <w:r>
        <w:rPr>
          <w:rFonts w:hint="eastAsia" w:ascii="仿宋_GB2312" w:hAnsi="仿宋_GB2312" w:eastAsia="仿宋_GB2312" w:cs="仿宋_GB2312"/>
          <w:color w:val="auto"/>
          <w:sz w:val="32"/>
          <w:szCs w:val="32"/>
          <w:lang w:eastAsia="zh-CN"/>
        </w:rPr>
        <w:t>。</w:t>
      </w:r>
    </w:p>
    <w:p w14:paraId="581FB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六、改进建议</w:t>
      </w:r>
    </w:p>
    <w:p w14:paraId="72B1E5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鼓励运用新媒体、新形式提升双拥宣传的感染力和覆盖面。</w:t>
      </w:r>
    </w:p>
    <w:p w14:paraId="0FE212A9">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4D4C0830">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16771325">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3FBAB16E">
      <w:pPr>
        <w:pStyle w:val="2"/>
        <w:rPr>
          <w:color w:val="auto"/>
        </w:rPr>
      </w:pPr>
    </w:p>
    <w:p w14:paraId="5EC1F47A">
      <w:pPr>
        <w:rPr>
          <w:color w:val="auto"/>
        </w:rPr>
      </w:pPr>
    </w:p>
    <w:p w14:paraId="60BE7C7D">
      <w:pPr>
        <w:pStyle w:val="2"/>
        <w:rPr>
          <w:color w:val="auto"/>
        </w:rPr>
      </w:pPr>
    </w:p>
    <w:p w14:paraId="19384161">
      <w:pPr>
        <w:rPr>
          <w:color w:val="auto"/>
        </w:rPr>
      </w:pPr>
    </w:p>
    <w:p w14:paraId="4262FFA5">
      <w:pPr>
        <w:pStyle w:val="2"/>
        <w:rPr>
          <w:color w:val="auto"/>
        </w:rPr>
      </w:pPr>
    </w:p>
    <w:p w14:paraId="62DCF4CE">
      <w:pPr>
        <w:rPr>
          <w:color w:val="auto"/>
        </w:rPr>
      </w:pPr>
    </w:p>
    <w:p w14:paraId="4032B12A">
      <w:pPr>
        <w:pStyle w:val="2"/>
        <w:rPr>
          <w:color w:val="auto"/>
        </w:rPr>
      </w:pPr>
    </w:p>
    <w:p w14:paraId="3D9864D2">
      <w:pPr>
        <w:rPr>
          <w:color w:val="auto"/>
        </w:rPr>
      </w:pPr>
    </w:p>
    <w:p w14:paraId="2E5AA228">
      <w:pPr>
        <w:pStyle w:val="2"/>
        <w:rPr>
          <w:color w:val="auto"/>
        </w:rPr>
      </w:pPr>
    </w:p>
    <w:p w14:paraId="5BC3F0A2">
      <w:pPr>
        <w:rPr>
          <w:color w:val="auto"/>
        </w:rPr>
      </w:pPr>
    </w:p>
    <w:p w14:paraId="6A76AB59">
      <w:pPr>
        <w:pStyle w:val="2"/>
        <w:rPr>
          <w:color w:val="auto"/>
        </w:rPr>
      </w:pPr>
    </w:p>
    <w:p w14:paraId="0904EB46">
      <w:pPr>
        <w:rPr>
          <w:color w:val="auto"/>
        </w:rPr>
      </w:pPr>
    </w:p>
    <w:p w14:paraId="12DCD30F">
      <w:pPr>
        <w:pStyle w:val="2"/>
        <w:rPr>
          <w:color w:val="auto"/>
        </w:rPr>
      </w:pPr>
    </w:p>
    <w:p w14:paraId="12A2AFB2">
      <w:pPr>
        <w:rPr>
          <w:color w:val="auto"/>
        </w:rPr>
      </w:pPr>
    </w:p>
    <w:p w14:paraId="6B82FAC3">
      <w:pPr>
        <w:pStyle w:val="2"/>
        <w:rPr>
          <w:color w:val="auto"/>
        </w:rPr>
      </w:pPr>
    </w:p>
    <w:p w14:paraId="08E20A8D">
      <w:pPr>
        <w:rPr>
          <w:color w:val="auto"/>
        </w:rPr>
      </w:pPr>
    </w:p>
    <w:p w14:paraId="542A767B">
      <w:pPr>
        <w:pStyle w:val="6"/>
        <w:keepNext w:val="0"/>
        <w:keepLines w:val="0"/>
        <w:pageBreakBefore w:val="0"/>
        <w:widowControl w:val="0"/>
        <w:kinsoku/>
        <w:wordWrap/>
        <w:overflowPunct/>
        <w:topLinePunct w:val="0"/>
        <w:autoSpaceDE/>
        <w:autoSpaceDN/>
        <w:bidi w:val="0"/>
        <w:spacing w:line="600" w:lineRule="exact"/>
        <w:textAlignment w:val="auto"/>
        <w:rPr>
          <w:color w:val="auto"/>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3</w:t>
      </w:r>
    </w:p>
    <w:p w14:paraId="7D0021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烈士陵园管理及服务经费</w:t>
      </w:r>
    </w:p>
    <w:p w14:paraId="561137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专项预算项目绩效评价报告</w:t>
      </w:r>
    </w:p>
    <w:p w14:paraId="319018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p>
    <w:p w14:paraId="1E6641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一、项目概况</w:t>
      </w:r>
    </w:p>
    <w:p w14:paraId="761904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（一）设立背景及基本情况</w:t>
      </w:r>
    </w:p>
    <w:p w14:paraId="7CD930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zh-CN" w:eastAsia="zh-CN" w:bidi="ar-SA"/>
        </w:rPr>
        <w:t>烈士陵园管理经费及活动经费依据《退役军人事务法律法规政策选编》《烈士公祭办法》《烈士褒扬条例》《烈士纪念设施保护管理办法》（</w:t>
      </w:r>
      <w:r>
        <w:rPr>
          <w:rFonts w:hint="eastAsia" w:ascii="仿宋_GB2312" w:hAnsi="仿宋_GB2312" w:eastAsia="仿宋_GB2312" w:cs="仿宋_GB2312"/>
          <w:color w:val="auto"/>
          <w:kern w:val="2"/>
          <w:sz w:val="32"/>
          <w:szCs w:val="32"/>
          <w:lang w:val="en-US" w:eastAsia="zh-CN" w:bidi="ar-SA"/>
        </w:rPr>
        <w:t>2022年1月24日退役军人事务部令第6号修订</w:t>
      </w:r>
      <w:r>
        <w:rPr>
          <w:rFonts w:hint="eastAsia" w:ascii="仿宋_GB2312" w:hAnsi="仿宋_GB2312" w:eastAsia="仿宋_GB2312" w:cs="仿宋_GB2312"/>
          <w:color w:val="auto"/>
          <w:kern w:val="2"/>
          <w:sz w:val="32"/>
          <w:szCs w:val="32"/>
          <w:lang w:val="zh-CN" w:eastAsia="zh-CN" w:bidi="ar-SA"/>
        </w:rPr>
        <w:t>）、《中共中央办公厅</w:t>
      </w:r>
      <w:r>
        <w:rPr>
          <w:rFonts w:hint="eastAsia" w:ascii="仿宋_GB2312" w:hAnsi="仿宋_GB2312" w:eastAsia="仿宋_GB2312" w:cs="仿宋_GB2312"/>
          <w:color w:val="auto"/>
          <w:kern w:val="2"/>
          <w:sz w:val="32"/>
          <w:szCs w:val="32"/>
          <w:lang w:val="en-US" w:eastAsia="zh-CN" w:bidi="ar-SA"/>
        </w:rPr>
        <w:t xml:space="preserve"> 国务院办公厅 中央军委办公厅关于做好烈士纪念日纪念活动的通知</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（厅字〔2014〕49号）</w:t>
      </w:r>
      <w:r>
        <w:rPr>
          <w:rFonts w:hint="eastAsia" w:ascii="仿宋_GB2312" w:hAnsi="仿宋_GB2312" w:eastAsia="仿宋_GB2312" w:cs="仿宋_GB2312"/>
          <w:color w:val="auto"/>
          <w:kern w:val="2"/>
          <w:sz w:val="32"/>
          <w:szCs w:val="32"/>
          <w:lang w:val="zh-CN" w:eastAsia="zh-CN" w:bidi="ar-SA"/>
        </w:rPr>
        <w:t>等法规文件进行申报和批复，程序合规合理。</w:t>
      </w:r>
    </w:p>
    <w:p w14:paraId="34059D8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（二）实施目的及支持方向</w:t>
      </w:r>
    </w:p>
    <w:p w14:paraId="07D3A9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项目主要内容为以烈士陵园为阵地，开展烈士纪念工作、革命传统教育活动和爱国主义教育活动等；烈士纪念设施保护和管理，组织收集、整理烈士史料；满足群众悼念和活动的需要，满意率达到</w:t>
      </w:r>
      <w:r>
        <w:rPr>
          <w:rFonts w:hint="eastAsia" w:ascii="仿宋_GB2312" w:hAnsi="仿宋_GB2312" w:eastAsia="仿宋_GB2312" w:cs="仿宋_GB2312"/>
          <w:color w:val="auto"/>
          <w:kern w:val="2"/>
          <w:sz w:val="32"/>
          <w:szCs w:val="32"/>
          <w:lang w:val="en-US" w:eastAsia="zh-CN" w:bidi="ar-SA"/>
        </w:rPr>
        <w:t>100%。</w:t>
      </w:r>
    </w:p>
    <w:p w14:paraId="473E46F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（三）预算安排及分配管理</w:t>
      </w:r>
    </w:p>
    <w:p w14:paraId="47A050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本项目</w:t>
      </w:r>
      <w:r>
        <w:rPr>
          <w:rFonts w:hint="eastAsia" w:ascii="仿宋_GB2312" w:hAnsi="仿宋_GB2312" w:eastAsia="仿宋_GB2312" w:cs="仿宋_GB2312"/>
          <w:color w:val="auto"/>
          <w:kern w:val="2"/>
          <w:sz w:val="32"/>
          <w:szCs w:val="32"/>
          <w:lang w:val="en-US" w:eastAsia="zh-CN" w:bidi="ar-SA"/>
        </w:rPr>
        <w:t>2024年</w:t>
      </w:r>
      <w:r>
        <w:rPr>
          <w:rFonts w:hint="eastAsia" w:ascii="仿宋_GB2312" w:hAnsi="仿宋_GB2312" w:eastAsia="仿宋_GB2312" w:cs="仿宋_GB2312"/>
          <w:color w:val="auto"/>
          <w:kern w:val="2"/>
          <w:sz w:val="32"/>
          <w:szCs w:val="32"/>
          <w:lang w:val="zh-CN" w:eastAsia="zh-CN" w:bidi="ar-SA"/>
        </w:rPr>
        <w:t>年度预算总额为</w:t>
      </w: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zh-CN" w:eastAsia="zh-CN" w:bidi="ar-SA"/>
        </w:rPr>
        <w:t>万元，资金来源为本级财政拨款。资金分配主要遵循以下原则：一是基础保障原则：确保所有纳入管理范围的烈士陵园具备基本运行能力。二是绩效导向原则：参考上年度管理绩效、任务完成情况及公众评价。三是 因素法分配：综合考虑陵园等级、设施规模、年接待量、地域因素、历史欠账等情况进行测算分配。</w:t>
      </w:r>
    </w:p>
    <w:p w14:paraId="5417CD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（四）项目绩效目标设置</w:t>
      </w:r>
    </w:p>
    <w:p w14:paraId="2C7A42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项目整体绩效目标为：褒扬烈士，加强烈士纪念设施保护管理，全面提升烈士陵园管理服务水平，实现设施完好、环境优美、管理规范、活动经常、教育深入，社会公众满意度稳步提升。具体绩效目标包括：产出指标，每年清明、公祭日举行开展大型祭扫活动≥</w:t>
      </w:r>
      <w:r>
        <w:rPr>
          <w:rFonts w:hint="eastAsia" w:ascii="仿宋_GB2312" w:hAnsi="仿宋_GB2312" w:eastAsia="仿宋_GB2312" w:cs="仿宋_GB2312"/>
          <w:color w:val="auto"/>
          <w:kern w:val="2"/>
          <w:sz w:val="32"/>
          <w:szCs w:val="32"/>
          <w:lang w:val="en-US" w:eastAsia="zh-CN" w:bidi="ar-SA"/>
        </w:rPr>
        <w:t>2次，经费足额拨付率≥98%</w:t>
      </w:r>
      <w:r>
        <w:rPr>
          <w:rFonts w:hint="eastAsia" w:ascii="仿宋_GB2312" w:hAnsi="仿宋_GB2312" w:eastAsia="仿宋_GB2312" w:cs="仿宋_GB2312"/>
          <w:color w:val="auto"/>
          <w:kern w:val="2"/>
          <w:sz w:val="32"/>
          <w:szCs w:val="32"/>
          <w:lang w:val="zh-CN" w:eastAsia="zh-CN" w:bidi="ar-SA"/>
        </w:rPr>
        <w:t>. 效益指标，宣传烈士的英雄事迹、献身精神和高尚品质，弘扬爱国主义效果良好；满意度指标，烈士家属满意度≥</w:t>
      </w:r>
      <w:r>
        <w:rPr>
          <w:rFonts w:hint="eastAsia" w:ascii="仿宋_GB2312" w:hAnsi="仿宋_GB2312" w:eastAsia="仿宋_GB2312" w:cs="仿宋_GB2312"/>
          <w:color w:val="auto"/>
          <w:kern w:val="2"/>
          <w:sz w:val="32"/>
          <w:szCs w:val="32"/>
          <w:lang w:val="en-US" w:eastAsia="zh-CN" w:bidi="ar-SA"/>
        </w:rPr>
        <w:t>98%</w:t>
      </w:r>
      <w:r>
        <w:rPr>
          <w:rFonts w:hint="eastAsia" w:ascii="仿宋_GB2312" w:hAnsi="仿宋_GB2312" w:eastAsia="仿宋_GB2312" w:cs="仿宋_GB2312"/>
          <w:color w:val="auto"/>
          <w:kern w:val="2"/>
          <w:sz w:val="32"/>
          <w:szCs w:val="32"/>
          <w:lang w:val="zh-CN" w:eastAsia="zh-CN" w:bidi="ar-SA"/>
        </w:rPr>
        <w:t>。</w:t>
      </w:r>
    </w:p>
    <w:p w14:paraId="786A88C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二、评价实施</w:t>
      </w:r>
    </w:p>
    <w:p w14:paraId="7B7B6C7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（一）评价目的</w:t>
      </w:r>
    </w:p>
    <w:p w14:paraId="46C3C1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通过对本项目进行绩效评价，旨在总结有效经验，发现存在问题和薄弱环节，为优化预算编制、改进管理方式、完善分配机制、提升烈士褒扬工作整体水平提供决策依据，切实保障烈士陵园的社会功能充分实现。</w:t>
      </w:r>
    </w:p>
    <w:p w14:paraId="18D3FB8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（二）预设问题及评价重点</w:t>
      </w:r>
    </w:p>
    <w:p w14:paraId="3839EF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基于项目特点，预设以下评价重点：资金分配的科学性、预算执行的进度与规范性，资金使用的合规性与有效性，设施维护、环境整治等核心任务的完成质量，祭扫服务与宣教活动的组织实施效果及社会反响。评价将围绕上述重点，对资金从分配、使用到产生效果的全过程进行综合评判。</w:t>
      </w:r>
    </w:p>
    <w:p w14:paraId="1DCC45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）评价方法</w:t>
      </w:r>
    </w:p>
    <w:p w14:paraId="68D09D01">
      <w:pPr>
        <w:keepNext w:val="0"/>
        <w:keepLines w:val="0"/>
        <w:pageBreakBefore w:val="0"/>
        <w:widowControl w:val="0"/>
        <w:kinsoku/>
        <w:wordWrap/>
        <w:overflowPunct/>
        <w:topLinePunct w:val="0"/>
        <w:autoSpaceDE/>
        <w:autoSpaceDN/>
        <w:bidi w:val="0"/>
        <w:spacing w:line="600" w:lineRule="exac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zh-CN" w:eastAsia="zh-CN" w:bidi="ar-SA"/>
        </w:rPr>
        <w:t>案卷研究法：查阅预算申报、财务凭证、工作总结、活动记录等文件资料，</w:t>
      </w:r>
      <w:r>
        <w:rPr>
          <w:rFonts w:hint="eastAsia" w:ascii="仿宋_GB2312" w:hAnsi="仿宋_GB2312" w:eastAsia="仿宋_GB2312" w:cs="仿宋_GB2312"/>
          <w:color w:val="auto"/>
          <w:kern w:val="2"/>
          <w:sz w:val="32"/>
          <w:szCs w:val="32"/>
          <w:lang w:val="en-US" w:eastAsia="zh-CN" w:bidi="ar-SA"/>
        </w:rPr>
        <w:t>全面核查项目支出报账凭证完整性、合规性。</w:t>
      </w:r>
      <w:r>
        <w:rPr>
          <w:rFonts w:hint="eastAsia" w:ascii="仿宋_GB2312" w:hAnsi="仿宋_GB2312" w:eastAsia="仿宋_GB2312" w:cs="仿宋_GB2312"/>
          <w:color w:val="auto"/>
          <w:kern w:val="2"/>
          <w:sz w:val="32"/>
          <w:szCs w:val="32"/>
          <w:lang w:val="zh-CN" w:eastAsia="zh-CN" w:bidi="ar-SA"/>
        </w:rPr>
        <w:t>实地勘察法：</w:t>
      </w:r>
      <w:r>
        <w:rPr>
          <w:rFonts w:hint="eastAsia" w:ascii="仿宋_GB2312" w:hAnsi="仿宋_GB2312" w:eastAsia="仿宋_GB2312" w:cs="仿宋_GB2312"/>
          <w:color w:val="auto"/>
          <w:kern w:val="2"/>
          <w:sz w:val="32"/>
          <w:szCs w:val="32"/>
          <w:lang w:val="en-US" w:eastAsia="zh-CN" w:bidi="ar-SA"/>
        </w:rPr>
        <w:t>实地前往烈士陵园现场查看纪念设施维修管理情况。</w:t>
      </w:r>
      <w:r>
        <w:rPr>
          <w:rFonts w:hint="eastAsia" w:ascii="仿宋_GB2312" w:hAnsi="仿宋_GB2312" w:eastAsia="仿宋_GB2312" w:cs="仿宋_GB2312"/>
          <w:color w:val="auto"/>
          <w:kern w:val="2"/>
          <w:sz w:val="32"/>
          <w:szCs w:val="32"/>
          <w:lang w:val="zh-CN" w:eastAsia="zh-CN" w:bidi="ar-SA"/>
        </w:rPr>
        <w:t>问卷调查法：</w:t>
      </w:r>
      <w:r>
        <w:rPr>
          <w:rFonts w:hint="eastAsia" w:ascii="仿宋_GB2312" w:hAnsi="仿宋_GB2312" w:eastAsia="仿宋_GB2312" w:cs="仿宋_GB2312"/>
          <w:color w:val="auto"/>
          <w:kern w:val="2"/>
          <w:sz w:val="32"/>
          <w:szCs w:val="32"/>
          <w:lang w:val="en-US" w:eastAsia="zh-CN" w:bidi="ar-SA"/>
        </w:rPr>
        <w:t>通过电话抽样调查的方式，随机抽取20名烈属进行满意度评价。</w:t>
      </w:r>
    </w:p>
    <w:p w14:paraId="75661D6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）评价组织</w:t>
      </w:r>
    </w:p>
    <w:p w14:paraId="3951EA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成立专项绩效评价工作组，由主管部门财务室工作人员、财务分管领导共同组成。</w:t>
      </w:r>
    </w:p>
    <w:p w14:paraId="031020E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三、绩效分析</w:t>
      </w:r>
    </w:p>
    <w:p w14:paraId="6FB879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（一）通用指标绩效分析</w:t>
      </w:r>
    </w:p>
    <w:p w14:paraId="55D96F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1.项目决策（得分：</w:t>
      </w: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zh-CN" w:eastAsia="zh-CN" w:bidi="ar-SA"/>
        </w:rPr>
        <w:t>分）：项目设立符合国家法律法规和政策导向，决策程序规范，立项依据充分。资金投向紧密围绕烈士陵园核心功能，项目规划与地区烈士褒扬工作发展规划衔接紧密。</w:t>
      </w:r>
    </w:p>
    <w:p w14:paraId="51B7BE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2.项目管理（得分：</w:t>
      </w:r>
      <w:r>
        <w:rPr>
          <w:rFonts w:hint="eastAsia" w:ascii="仿宋_GB2312" w:hAnsi="仿宋_GB2312" w:eastAsia="仿宋_GB2312" w:cs="仿宋_GB2312"/>
          <w:color w:val="auto"/>
          <w:kern w:val="2"/>
          <w:sz w:val="32"/>
          <w:szCs w:val="32"/>
          <w:lang w:val="en-US" w:eastAsia="zh-CN" w:bidi="ar-SA"/>
        </w:rPr>
        <w:t>30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30</w:t>
      </w:r>
      <w:r>
        <w:rPr>
          <w:rFonts w:hint="eastAsia" w:ascii="仿宋_GB2312" w:hAnsi="仿宋_GB2312" w:eastAsia="仿宋_GB2312" w:cs="仿宋_GB2312"/>
          <w:color w:val="auto"/>
          <w:kern w:val="2"/>
          <w:sz w:val="32"/>
          <w:szCs w:val="32"/>
          <w:lang w:val="zh-CN" w:eastAsia="zh-CN" w:bidi="ar-SA"/>
        </w:rPr>
        <w:t>分）：制定了专项资金管理办法，资金分配方案科学，分配过程公开透明，主管部门对项目绩效进行了日常监控，组织了自评。</w:t>
      </w:r>
    </w:p>
    <w:p w14:paraId="26A181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3.项目实施（得分：</w:t>
      </w:r>
      <w:r>
        <w:rPr>
          <w:rFonts w:hint="eastAsia" w:ascii="仿宋_GB2312" w:hAnsi="仿宋_GB2312" w:eastAsia="仿宋_GB2312" w:cs="仿宋_GB2312"/>
          <w:color w:val="auto"/>
          <w:kern w:val="2"/>
          <w:sz w:val="32"/>
          <w:szCs w:val="32"/>
          <w:lang w:val="en-US" w:eastAsia="zh-CN" w:bidi="ar-SA"/>
        </w:rPr>
        <w:t>30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30</w:t>
      </w:r>
      <w:r>
        <w:rPr>
          <w:rFonts w:hint="eastAsia" w:ascii="仿宋_GB2312" w:hAnsi="仿宋_GB2312" w:eastAsia="仿宋_GB2312" w:cs="仿宋_GB2312"/>
          <w:color w:val="auto"/>
          <w:kern w:val="2"/>
          <w:sz w:val="32"/>
          <w:szCs w:val="32"/>
          <w:lang w:val="zh-CN" w:eastAsia="zh-CN" w:bidi="ar-SA"/>
        </w:rPr>
        <w:t>分）：项目整体预算执行率为</w:t>
      </w:r>
      <w:r>
        <w:rPr>
          <w:rFonts w:hint="eastAsia" w:ascii="仿宋_GB2312" w:hAnsi="仿宋_GB2312" w:eastAsia="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zh-CN" w:eastAsia="zh-CN" w:bidi="ar-SA"/>
        </w:rPr>
        <w:t>%，资金拨付流程基本规范，资金使用方向符合规定，报销手续齐全。</w:t>
      </w:r>
    </w:p>
    <w:p w14:paraId="731DB2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4.项目结果（得分：</w:t>
      </w: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zh-CN" w:eastAsia="zh-CN" w:bidi="ar-SA"/>
        </w:rPr>
        <w:t>分）：预设的指标均已完成，设施完好率、活动组织次数等达到目标值。项目成果在改善陵园面貌、保障祭扫活动、开展宣传教育方面成效明显。</w:t>
      </w:r>
    </w:p>
    <w:p w14:paraId="2084277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（二）专用指标绩效分析</w:t>
      </w:r>
    </w:p>
    <w:p w14:paraId="6624D4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1.民生保障：对象精准，资金最终用于烈士陵园的直接管理和服务，受益群体涵盖烈属、社会各界群众特别是青少年学生，指向明确、标准合理、群众满意度高。</w:t>
      </w:r>
    </w:p>
    <w:p w14:paraId="114B77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2.基础设施：烈士陵园维修维护工程均按时完工，并及时完成验收及资金拨付。</w:t>
      </w:r>
    </w:p>
    <w:p w14:paraId="3BC7DC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（三）个性指标绩效分析</w:t>
      </w:r>
    </w:p>
    <w:p w14:paraId="21024F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1.英烈精神传承效能（得分：</w:t>
      </w:r>
      <w:r>
        <w:rPr>
          <w:rFonts w:hint="eastAsia" w:ascii="仿宋_GB2312" w:hAnsi="仿宋_GB2312" w:eastAsia="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zh-CN" w:eastAsia="zh-CN" w:bidi="ar-SA"/>
        </w:rPr>
        <w:t>分）：通过支持宣教活动、优化展陈、提供讲解服务等，项目有效促进了红色文化的传播，传承效能显著。</w:t>
      </w:r>
    </w:p>
    <w:p w14:paraId="5FF1AA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2.设施保护可持续性（得分：</w:t>
      </w:r>
      <w:r>
        <w:rPr>
          <w:rFonts w:hint="eastAsia" w:ascii="仿宋_GB2312" w:hAnsi="仿宋_GB2312" w:eastAsia="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zh-CN" w:eastAsia="zh-CN" w:bidi="ar-SA"/>
        </w:rPr>
        <w:t>分）：专项资金对设施进行维护和修缮，有效延缓了设施老化，提升了抗风险能力。</w:t>
      </w:r>
    </w:p>
    <w:p w14:paraId="209F3AD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四、评价结论</w:t>
      </w:r>
    </w:p>
    <w:p w14:paraId="189BC3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本次专项预算项目绩效评价最终得分为</w:t>
      </w:r>
      <w:r>
        <w:rPr>
          <w:rFonts w:hint="eastAsia" w:ascii="仿宋_GB2312" w:hAnsi="仿宋_GB2312" w:eastAsia="仿宋_GB2312" w:cs="仿宋_GB2312"/>
          <w:color w:val="auto"/>
          <w:kern w:val="2"/>
          <w:sz w:val="32"/>
          <w:szCs w:val="32"/>
          <w:lang w:val="en-US" w:eastAsia="zh-CN" w:bidi="ar-SA"/>
        </w:rPr>
        <w:t>100分</w:t>
      </w:r>
      <w:r>
        <w:rPr>
          <w:rFonts w:hint="eastAsia" w:ascii="仿宋_GB2312" w:hAnsi="仿宋_GB2312" w:eastAsia="仿宋_GB2312" w:cs="仿宋_GB2312"/>
          <w:color w:val="auto"/>
          <w:kern w:val="2"/>
          <w:sz w:val="32"/>
          <w:szCs w:val="32"/>
          <w:lang w:val="zh-CN" w:eastAsia="zh-CN" w:bidi="ar-SA"/>
        </w:rPr>
        <w:t>。项目立项正确，管理基本规范，资金使用合规，有效保障了峨眉山烈士陵园的日常运转和基本服务供给，有力保障了各类祭扫瞻仰和爱国主义教育活动的开展，社会公众满意度高，在褒扬英烈、教育群众、传承红色基因方面发挥了不可替代的重要作用，绩效表现良好。</w:t>
      </w:r>
    </w:p>
    <w:p w14:paraId="4A85E40A">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五、存在主要问题</w:t>
      </w:r>
    </w:p>
    <w:p w14:paraId="6E42C4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宣教形式创新力度需加大，长效管护机制需进一步健全。</w:t>
      </w:r>
    </w:p>
    <w:p w14:paraId="0023537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六、改进建议</w:t>
      </w:r>
    </w:p>
    <w:p w14:paraId="411B59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建议在今后工作中：一是鼓励宣教方式创新与资源整合；二是研究建立多元化投入和长效管护机制，以持续提升财政资金使用效益和烈士陵园管理服务水平。</w:t>
      </w:r>
    </w:p>
    <w:p w14:paraId="4980E440">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color w:val="auto"/>
        </w:rPr>
      </w:pPr>
    </w:p>
    <w:p w14:paraId="0B74EDC6">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194C32A3">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4BBFF0C5">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67518614">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10A00346">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1236B11B">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58D729E0">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7DD1B4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r>
        <w:rPr>
          <w:rFonts w:hint="eastAsia"/>
          <w:color w:val="auto"/>
          <w:lang w:val="en-US" w:eastAsia="zh-CN"/>
        </w:rPr>
        <w:t xml:space="preserve"> </w:t>
      </w:r>
    </w:p>
    <w:p w14:paraId="41A4DC22">
      <w:pPr>
        <w:pStyle w:val="2"/>
        <w:rPr>
          <w:rFonts w:hint="eastAsia"/>
          <w:color w:val="auto"/>
          <w:lang w:val="en-US" w:eastAsia="zh-CN"/>
        </w:rPr>
      </w:pPr>
    </w:p>
    <w:p w14:paraId="5FCB651C">
      <w:pPr>
        <w:rPr>
          <w:rFonts w:hint="eastAsia"/>
          <w:color w:val="auto"/>
          <w:lang w:val="en-US" w:eastAsia="zh-CN"/>
        </w:rPr>
      </w:pPr>
    </w:p>
    <w:p w14:paraId="03758BB0">
      <w:pPr>
        <w:pStyle w:val="2"/>
        <w:rPr>
          <w:rFonts w:hint="eastAsia"/>
          <w:color w:val="auto"/>
          <w:lang w:val="en-US" w:eastAsia="zh-CN"/>
        </w:rPr>
      </w:pPr>
    </w:p>
    <w:p w14:paraId="4159E94C">
      <w:pPr>
        <w:rPr>
          <w:rFonts w:hint="eastAsia"/>
          <w:color w:val="auto"/>
          <w:lang w:val="en-US" w:eastAsia="zh-CN"/>
        </w:rPr>
      </w:pPr>
    </w:p>
    <w:p w14:paraId="3D92028A">
      <w:pPr>
        <w:pStyle w:val="2"/>
        <w:rPr>
          <w:rFonts w:hint="eastAsia"/>
          <w:color w:val="auto"/>
          <w:lang w:val="en-US" w:eastAsia="zh-CN"/>
        </w:rPr>
      </w:pPr>
    </w:p>
    <w:p w14:paraId="55F11437">
      <w:pPr>
        <w:rPr>
          <w:rFonts w:hint="eastAsia"/>
          <w:color w:val="auto"/>
          <w:lang w:val="en-US" w:eastAsia="zh-CN"/>
        </w:rPr>
      </w:pPr>
    </w:p>
    <w:p w14:paraId="568C861A">
      <w:pPr>
        <w:pStyle w:val="2"/>
        <w:rPr>
          <w:rFonts w:hint="eastAsia"/>
          <w:color w:val="auto"/>
          <w:lang w:val="en-US" w:eastAsia="zh-CN"/>
        </w:rPr>
      </w:pPr>
    </w:p>
    <w:p w14:paraId="568A0455">
      <w:pPr>
        <w:rPr>
          <w:rFonts w:hint="eastAsia"/>
          <w:color w:val="auto"/>
          <w:lang w:val="en-US" w:eastAsia="zh-CN"/>
        </w:rPr>
      </w:pPr>
    </w:p>
    <w:p w14:paraId="17216E38">
      <w:pPr>
        <w:pStyle w:val="2"/>
        <w:jc w:val="both"/>
        <w:rPr>
          <w:color w:val="auto"/>
        </w:rPr>
      </w:pPr>
    </w:p>
    <w:p w14:paraId="22B26B2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5"/>
      <w:bookmarkEnd w:id="57"/>
      <w:bookmarkStart w:id="58" w:name="_Toc15396619"/>
    </w:p>
    <w:p w14:paraId="76D3018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14:paraId="48453A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14:paraId="17A0948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14:paraId="374C87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14:paraId="0832BDA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14:paraId="454DC87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14:paraId="648E274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14:paraId="4891738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14:paraId="0E8565B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14:paraId="5C03B90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14:paraId="6B5576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664149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14:paraId="3776C14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14:paraId="7C36F8D3">
      <w:pPr>
        <w:rPr>
          <w:rFonts w:hint="eastAsia" w:ascii="Times New Roman" w:hAnsi="Times New Roman"/>
          <w:color w:val="auto"/>
          <w:lang w:eastAsia="zh-CN"/>
        </w:rPr>
      </w:pPr>
    </w:p>
    <w:sectPr>
      <w:footerReference r:id="rId7" w:type="first"/>
      <w:footerReference r:id="rId6" w:type="default"/>
      <w:pgSz w:w="11906" w:h="16838"/>
      <w:pgMar w:top="2041" w:right="1468" w:bottom="1587"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14A">
    <w:pPr>
      <w:pStyle w:val="11"/>
      <w:jc w:val="center"/>
    </w:pPr>
  </w:p>
  <w:p w14:paraId="767831F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1A3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4FFF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B4FFF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64F7">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E37D9">
                          <w:pPr>
                            <w:pStyle w:val="11"/>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DE37D9">
                    <w:pPr>
                      <w:pStyle w:val="11"/>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p w14:paraId="35EBBF4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C778">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C4C76">
                          <w:pPr>
                            <w:pStyle w:val="11"/>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EC4C76">
                    <w:pPr>
                      <w:pStyle w:val="11"/>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B8F1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17FF1"/>
    <w:multiLevelType w:val="multilevel"/>
    <w:tmpl w:val="81717FF1"/>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73503E5"/>
    <w:multiLevelType w:val="multilevel"/>
    <w:tmpl w:val="A73503E5"/>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4A3D4EB2"/>
    <w:multiLevelType w:val="singleLevel"/>
    <w:tmpl w:val="4A3D4EB2"/>
    <w:lvl w:ilvl="0" w:tentative="0">
      <w:start w:val="1"/>
      <w:numFmt w:val="chineseCounting"/>
      <w:suff w:val="space"/>
      <w:lvlText w:val="第%1部分"/>
      <w:lvlJc w:val="left"/>
      <w:rPr>
        <w:rFonts w:hint="eastAsia"/>
      </w:rPr>
    </w:lvl>
  </w:abstractNum>
  <w:abstractNum w:abstractNumId="3">
    <w:nsid w:val="4D5C395E"/>
    <w:multiLevelType w:val="multilevel"/>
    <w:tmpl w:val="4D5C395E"/>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758D304A"/>
    <w:multiLevelType w:val="multilevel"/>
    <w:tmpl w:val="758D304A"/>
    <w:lvl w:ilvl="0" w:tentative="0">
      <w:start w:val="3"/>
      <w:numFmt w:val="chineseCounting"/>
      <w:suff w:val="nothing"/>
      <w:lvlText w:val="（%1）"/>
      <w:lvlJc w:val="left"/>
      <w:pPr>
        <w:ind w:left="0" w:firstLine="0"/>
      </w:pPr>
      <w:rPr>
        <w:rFonts w:hint="eastAsia" w:ascii="楷体_GB2312" w:eastAsia="楷体_GB2312" w:cs="楷体_GB2312"/>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2E2A82"/>
    <w:rsid w:val="066E0107"/>
    <w:rsid w:val="07996F6E"/>
    <w:rsid w:val="07DFD8BA"/>
    <w:rsid w:val="0939146E"/>
    <w:rsid w:val="09867E8F"/>
    <w:rsid w:val="0A2032A3"/>
    <w:rsid w:val="0CA8290A"/>
    <w:rsid w:val="0D35B1ED"/>
    <w:rsid w:val="0E254B6B"/>
    <w:rsid w:val="0F98263C"/>
    <w:rsid w:val="101860EC"/>
    <w:rsid w:val="101F47CC"/>
    <w:rsid w:val="10C055FF"/>
    <w:rsid w:val="11694EBD"/>
    <w:rsid w:val="11772AA4"/>
    <w:rsid w:val="118107EC"/>
    <w:rsid w:val="12E24EE2"/>
    <w:rsid w:val="13D50BC4"/>
    <w:rsid w:val="141A6C88"/>
    <w:rsid w:val="14B17F78"/>
    <w:rsid w:val="15E33EE6"/>
    <w:rsid w:val="165E0673"/>
    <w:rsid w:val="16B831D5"/>
    <w:rsid w:val="16BB723D"/>
    <w:rsid w:val="17E50567"/>
    <w:rsid w:val="186504BB"/>
    <w:rsid w:val="19A445FC"/>
    <w:rsid w:val="1BE8440E"/>
    <w:rsid w:val="1C442DAB"/>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032C57"/>
    <w:rsid w:val="2BE97B86"/>
    <w:rsid w:val="2BFF7BC6"/>
    <w:rsid w:val="2C8A61B5"/>
    <w:rsid w:val="2DC773DC"/>
    <w:rsid w:val="2DF04E50"/>
    <w:rsid w:val="2E586DFA"/>
    <w:rsid w:val="2EB84F76"/>
    <w:rsid w:val="2F040D46"/>
    <w:rsid w:val="2F581265"/>
    <w:rsid w:val="2F6B035B"/>
    <w:rsid w:val="2FAE5751"/>
    <w:rsid w:val="2FB1A395"/>
    <w:rsid w:val="2FD9A7D8"/>
    <w:rsid w:val="2FDBF714"/>
    <w:rsid w:val="30A50C7A"/>
    <w:rsid w:val="30AB6865"/>
    <w:rsid w:val="313E26F0"/>
    <w:rsid w:val="31750675"/>
    <w:rsid w:val="319F7F4E"/>
    <w:rsid w:val="31EB728A"/>
    <w:rsid w:val="3223670C"/>
    <w:rsid w:val="32BD1EF1"/>
    <w:rsid w:val="3304709D"/>
    <w:rsid w:val="33A773CB"/>
    <w:rsid w:val="349D6851"/>
    <w:rsid w:val="36AA5135"/>
    <w:rsid w:val="36BE0DA7"/>
    <w:rsid w:val="376B6AA6"/>
    <w:rsid w:val="376D39B2"/>
    <w:rsid w:val="37E16F03"/>
    <w:rsid w:val="37F53A3B"/>
    <w:rsid w:val="389B6C89"/>
    <w:rsid w:val="38D469F0"/>
    <w:rsid w:val="39315E0B"/>
    <w:rsid w:val="39627CCD"/>
    <w:rsid w:val="397BAF1F"/>
    <w:rsid w:val="39FB51C3"/>
    <w:rsid w:val="3A02255D"/>
    <w:rsid w:val="3AB79AF3"/>
    <w:rsid w:val="3AE834C0"/>
    <w:rsid w:val="3B7EF35A"/>
    <w:rsid w:val="3B9FDB6C"/>
    <w:rsid w:val="3BF5BC2F"/>
    <w:rsid w:val="3CEBA265"/>
    <w:rsid w:val="3D98207C"/>
    <w:rsid w:val="3DEE7CF3"/>
    <w:rsid w:val="3E740A63"/>
    <w:rsid w:val="3E78745D"/>
    <w:rsid w:val="3EE17838"/>
    <w:rsid w:val="3F2B4D96"/>
    <w:rsid w:val="3F55381A"/>
    <w:rsid w:val="3F7F7599"/>
    <w:rsid w:val="3FF4CAE0"/>
    <w:rsid w:val="3FF7B227"/>
    <w:rsid w:val="423821FE"/>
    <w:rsid w:val="42C10446"/>
    <w:rsid w:val="44D74A71"/>
    <w:rsid w:val="44E268DA"/>
    <w:rsid w:val="450D13D7"/>
    <w:rsid w:val="45506656"/>
    <w:rsid w:val="471272CE"/>
    <w:rsid w:val="486A6C7A"/>
    <w:rsid w:val="492C5155"/>
    <w:rsid w:val="4A0255BA"/>
    <w:rsid w:val="4A24617B"/>
    <w:rsid w:val="4A627F82"/>
    <w:rsid w:val="4B0E749A"/>
    <w:rsid w:val="4B2477C4"/>
    <w:rsid w:val="4B4F25DA"/>
    <w:rsid w:val="4BE068DB"/>
    <w:rsid w:val="4CEB7154"/>
    <w:rsid w:val="4D577224"/>
    <w:rsid w:val="4DBF1CEB"/>
    <w:rsid w:val="4DF0007C"/>
    <w:rsid w:val="4E0801E8"/>
    <w:rsid w:val="4EAB630A"/>
    <w:rsid w:val="4ECE2238"/>
    <w:rsid w:val="4F833267"/>
    <w:rsid w:val="4FE9BD67"/>
    <w:rsid w:val="4FFB052F"/>
    <w:rsid w:val="537E6D0A"/>
    <w:rsid w:val="53F74C96"/>
    <w:rsid w:val="55170BA8"/>
    <w:rsid w:val="553218C9"/>
    <w:rsid w:val="55AB61A7"/>
    <w:rsid w:val="55F15779"/>
    <w:rsid w:val="567E1AA5"/>
    <w:rsid w:val="56E47B74"/>
    <w:rsid w:val="57175D52"/>
    <w:rsid w:val="57BD3DD4"/>
    <w:rsid w:val="5AF92295"/>
    <w:rsid w:val="5B250254"/>
    <w:rsid w:val="5B743E4F"/>
    <w:rsid w:val="5BDD79E6"/>
    <w:rsid w:val="5BF561CA"/>
    <w:rsid w:val="5BFF5DFC"/>
    <w:rsid w:val="5CD71FC4"/>
    <w:rsid w:val="5CEB1DC7"/>
    <w:rsid w:val="5D1F11B5"/>
    <w:rsid w:val="5D695134"/>
    <w:rsid w:val="5DAE1B18"/>
    <w:rsid w:val="5DE7D9E5"/>
    <w:rsid w:val="5ECEC941"/>
    <w:rsid w:val="5FBF9FF3"/>
    <w:rsid w:val="5FCD4E2C"/>
    <w:rsid w:val="5FEF394A"/>
    <w:rsid w:val="5FF67715"/>
    <w:rsid w:val="61446B4C"/>
    <w:rsid w:val="615800BD"/>
    <w:rsid w:val="62BF3928"/>
    <w:rsid w:val="639F11D7"/>
    <w:rsid w:val="63B3701E"/>
    <w:rsid w:val="645E744B"/>
    <w:rsid w:val="647F5392"/>
    <w:rsid w:val="65E66580"/>
    <w:rsid w:val="664B1D71"/>
    <w:rsid w:val="664B4E8E"/>
    <w:rsid w:val="67277B67"/>
    <w:rsid w:val="67AA3209"/>
    <w:rsid w:val="68437868"/>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C87A4B"/>
    <w:rsid w:val="79D7FD79"/>
    <w:rsid w:val="79EE5BA4"/>
    <w:rsid w:val="7A894339"/>
    <w:rsid w:val="7AD284E8"/>
    <w:rsid w:val="7AFF7572"/>
    <w:rsid w:val="7B6C7DFB"/>
    <w:rsid w:val="7BBFBED0"/>
    <w:rsid w:val="7BC3E394"/>
    <w:rsid w:val="7C1F3737"/>
    <w:rsid w:val="7CBFC87B"/>
    <w:rsid w:val="7CFE0F48"/>
    <w:rsid w:val="7D272ABC"/>
    <w:rsid w:val="7D7EC23E"/>
    <w:rsid w:val="7E627DC8"/>
    <w:rsid w:val="7E8ADEBF"/>
    <w:rsid w:val="7E9A63D7"/>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USERFILES\Desktop\2024&#20915;&#31639;&#32479;&#35745;&#22270;&#33609;&#312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USERFILES\Desktop\2024&#20915;&#31639;&#32479;&#35745;&#22270;&#33609;&#312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USERFILES\Desktop\2024&#20915;&#31639;&#32479;&#35745;&#22270;&#33609;&#312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USERFILES\Desktop\2024&#20915;&#31639;&#32479;&#35745;&#22270;&#33609;&#312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USERFILES\Desktop\2024&#20915;&#31639;&#32479;&#35745;&#22270;&#33609;&#312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USERFILES\Desktop\2024&#20915;&#31639;&#32479;&#35745;&#22270;&#33609;&#3129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USERFILES\Desktop\2024&#20915;&#31639;&#32479;&#35745;&#22270;&#33609;&#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图1：收入、支出决算总计变动</a:t>
            </a:r>
            <a:r>
              <a:rPr sz="1000"/>
              <a:t>（单位：万元）</a:t>
            </a:r>
            <a:r>
              <a:rPr lang="en-US" altLang="zh-CN" sz="1000"/>
              <a:t>   </a:t>
            </a:r>
            <a:endParaRPr lang="en-US" altLang="zh-CN"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[2024决算统计图草稿.xlsx]Sheet1!$A$1:$B$1</c:f>
              <c:strCache>
                <c:ptCount val="2"/>
                <c:pt idx="0">
                  <c:v>2023年</c:v>
                </c:pt>
                <c:pt idx="1">
                  <c:v>2024年</c:v>
                </c:pt>
              </c:strCache>
            </c:strRef>
          </c:cat>
          <c:val>
            <c:numRef>
              <c:f>[2024决算统计图草稿.xlsx]Sheet1!$A$2:$B$2</c:f>
              <c:numCache>
                <c:formatCode>General</c:formatCode>
                <c:ptCount val="2"/>
                <c:pt idx="0">
                  <c:v>9280.55</c:v>
                </c:pt>
                <c:pt idx="1">
                  <c:v>9228.35</c:v>
                </c:pt>
              </c:numCache>
            </c:numRef>
          </c:val>
        </c:ser>
        <c:dLbls>
          <c:showLegendKey val="0"/>
          <c:showVal val="0"/>
          <c:showCatName val="0"/>
          <c:showSerName val="0"/>
          <c:showPercent val="0"/>
          <c:showBubbleSize val="0"/>
        </c:dLbls>
        <c:gapWidth val="246"/>
        <c:overlap val="-28"/>
        <c:axId val="217584711"/>
        <c:axId val="775132060"/>
      </c:barChart>
      <c:catAx>
        <c:axId val="2175847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75132060"/>
        <c:crosses val="autoZero"/>
        <c:auto val="1"/>
        <c:lblAlgn val="ctr"/>
        <c:lblOffset val="100"/>
        <c:noMultiLvlLbl val="0"/>
      </c:catAx>
      <c:valAx>
        <c:axId val="775132060"/>
        <c:scaling>
          <c:orientation val="minMax"/>
          <c:min val="9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584711"/>
        <c:crosses val="autoZero"/>
        <c:crossBetween val="between"/>
      </c:valAx>
      <c:spPr>
        <a:noFill/>
        <a:ln>
          <a:noFill/>
        </a:ln>
        <a:effectLst/>
      </c:spPr>
    </c:plotArea>
    <c:plotVisOnly val="1"/>
    <c:dispBlanksAs val="gap"/>
    <c:showDLblsOverMax val="0"/>
    <c:extLst>
      <c:ext uri="{0b15fc19-7d7d-44ad-8c2d-2c3a37ce22c3}">
        <chartProps xmlns="https://web.wps.cn/et/2018/main" chartId="{9ba52c1e-efdb-4f69-9346-b539ed8fd3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sz="1200"/>
              <a:t>图2：收入决算结构图（单位：万元）</a:t>
            </a:r>
            <a:endParaRPr sz="12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rgbClr val="FF0000"/>
              </a:solidFill>
              <a:ln>
                <a:solidFill>
                  <a:schemeClr val="bg1"/>
                </a:solidFill>
              </a:ln>
              <a:effectLst/>
            </c:spPr>
          </c:dPt>
          <c:dPt>
            <c:idx val="2"/>
            <c:bubble3D val="0"/>
            <c:spPr>
              <a:solidFill>
                <a:schemeClr val="accent3"/>
              </a:solidFill>
              <a:ln>
                <a:solidFill>
                  <a:schemeClr val="bg1"/>
                </a:solidFill>
              </a:ln>
              <a:effectLst/>
            </c:spPr>
          </c:dPt>
          <c:dLbls>
            <c:delete val="1"/>
          </c:dLbls>
          <c:cat>
            <c:strRef>
              <c:f>[2024决算统计图草稿.xlsx]Sheet1!$A$24:$C$24</c:f>
              <c:strCache>
                <c:ptCount val="3"/>
                <c:pt idx="0">
                  <c:v>一般公共预算财政拨款收入</c:v>
                </c:pt>
                <c:pt idx="1">
                  <c:v>政府性基金预算财政拨款收入</c:v>
                </c:pt>
                <c:pt idx="2">
                  <c:v>其他收入</c:v>
                </c:pt>
              </c:strCache>
            </c:strRef>
          </c:cat>
          <c:val>
            <c:numRef>
              <c:f>[2024决算统计图草稿.xlsx]Sheet1!$A$25:$C$25</c:f>
              <c:numCache>
                <c:formatCode>General</c:formatCode>
                <c:ptCount val="3"/>
                <c:pt idx="0">
                  <c:v>8463.59</c:v>
                </c:pt>
                <c:pt idx="1">
                  <c:v>218.9</c:v>
                </c:pt>
                <c:pt idx="2">
                  <c:v>227.35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9ce224-311f-4c65-a361-2c1d5d1ad0a1}"/>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图3：支出决算结构图（</a:t>
            </a:r>
            <a:r>
              <a:rPr sz="1000"/>
              <a:t>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3"/>
              </a:solidFill>
              <a:ln>
                <a:solidFill>
                  <a:schemeClr val="bg1"/>
                </a:solidFill>
              </a:ln>
              <a:effectLst/>
            </c:spPr>
          </c:dPt>
          <c:dPt>
            <c:idx val="1"/>
            <c:bubble3D val="0"/>
            <c:spPr>
              <a:solidFill>
                <a:schemeClr val="accent1"/>
              </a:solidFill>
              <a:ln>
                <a:solidFill>
                  <a:schemeClr val="bg1"/>
                </a:solidFill>
              </a:ln>
              <a:effectLst/>
            </c:spPr>
          </c:dPt>
          <c:dLbls>
            <c:delete val="1"/>
          </c:dLbls>
          <c:cat>
            <c:strRef>
              <c:f>[2024决算统计图草稿.xlsx]Sheet1!$A$46:$B$46</c:f>
              <c:strCache>
                <c:ptCount val="2"/>
                <c:pt idx="0">
                  <c:v>基本支出</c:v>
                </c:pt>
                <c:pt idx="1">
                  <c:v>项目支出</c:v>
                </c:pt>
              </c:strCache>
            </c:strRef>
          </c:cat>
          <c:val>
            <c:numRef>
              <c:f>[2024决算统计图草稿.xlsx]Sheet1!$A$47:$B$47</c:f>
              <c:numCache>
                <c:formatCode>General</c:formatCode>
                <c:ptCount val="2"/>
                <c:pt idx="0">
                  <c:v>830.65</c:v>
                </c:pt>
                <c:pt idx="1">
                  <c:v>8209.43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f6ef16-97f7-4549-9f3a-2bd004bc9e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图4：财政拨款收、支决算总计变动情况</a:t>
            </a:r>
          </a:p>
          <a:p>
            <a:pPr defTabSz="914400">
              <a:defRPr lang="zh-CN" sz="1400" b="1" i="0" u="none" strike="noStrike" kern="1200" baseline="0">
                <a:solidFill>
                  <a:schemeClr val="tx1">
                    <a:lumMod val="75000"/>
                    <a:lumOff val="25000"/>
                  </a:schemeClr>
                </a:solidFill>
                <a:latin typeface="+mn-lt"/>
                <a:ea typeface="+mn-ea"/>
                <a:cs typeface="+mn-cs"/>
              </a:defRPr>
            </a:pPr>
            <a:r>
              <a:rPr sz="1000"/>
              <a:t>（单位：万元）</a:t>
            </a:r>
            <a:endParaRPr sz="1000"/>
          </a:p>
          <a:p>
            <a:pPr defTabSz="914400">
              <a:defRPr lang="zh-CN" sz="1400" b="1" i="0" u="none" strike="noStrike" kern="1200" baseline="0">
                <a:solidFill>
                  <a:schemeClr val="tx1">
                    <a:lumMod val="75000"/>
                    <a:lumOff val="25000"/>
                  </a:schemeClr>
                </a:solidFill>
                <a:latin typeface="+mn-lt"/>
                <a:ea typeface="+mn-ea"/>
                <a:cs typeface="+mn-cs"/>
              </a:defRPr>
            </a:pPr>
            <a:endParaRPr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[2024决算统计图草稿.xlsx]Sheet1!$A$68:$B$68</c:f>
              <c:strCache>
                <c:ptCount val="2"/>
                <c:pt idx="0">
                  <c:v>2023年</c:v>
                </c:pt>
                <c:pt idx="1">
                  <c:v>2024年</c:v>
                </c:pt>
              </c:strCache>
            </c:strRef>
          </c:cat>
          <c:val>
            <c:numRef>
              <c:f>[2024决算统计图草稿.xlsx]Sheet1!$A$69:$B$69</c:f>
              <c:numCache>
                <c:formatCode>General</c:formatCode>
                <c:ptCount val="2"/>
                <c:pt idx="0">
                  <c:v>9068.43</c:v>
                </c:pt>
                <c:pt idx="1">
                  <c:v>8838.46</c:v>
                </c:pt>
              </c:numCache>
            </c:numRef>
          </c:val>
        </c:ser>
        <c:dLbls>
          <c:showLegendKey val="0"/>
          <c:showVal val="0"/>
          <c:showCatName val="0"/>
          <c:showSerName val="0"/>
          <c:showPercent val="0"/>
          <c:showBubbleSize val="0"/>
        </c:dLbls>
        <c:gapWidth val="246"/>
        <c:overlap val="-28"/>
        <c:axId val="929101268"/>
        <c:axId val="103831705"/>
      </c:barChart>
      <c:catAx>
        <c:axId val="9291012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103831705"/>
        <c:crosses val="autoZero"/>
        <c:auto val="1"/>
        <c:lblAlgn val="ctr"/>
        <c:lblOffset val="100"/>
        <c:noMultiLvlLbl val="0"/>
      </c:catAx>
      <c:valAx>
        <c:axId val="103831705"/>
        <c:scaling>
          <c:orientation val="minMax"/>
          <c:min val="8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101268"/>
        <c:crosses val="autoZero"/>
        <c:crossBetween val="between"/>
      </c:valAx>
      <c:spPr>
        <a:noFill/>
        <a:ln>
          <a:noFill/>
        </a:ln>
        <a:effectLst/>
      </c:spPr>
    </c:plotArea>
    <c:plotVisOnly val="1"/>
    <c:dispBlanksAs val="gap"/>
    <c:showDLblsOverMax val="0"/>
    <c:extLst>
      <c:ext uri="{0b15fc19-7d7d-44ad-8c2d-2c3a37ce22c3}">
        <chartProps xmlns="https://web.wps.cn/et/2018/main" chartId="{a11f3637-0e83-4136-981f-cf51c3d91d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图5：一般公共预算财政拨款支出决算变动情况</a:t>
            </a:r>
            <a:r>
              <a:rPr sz="1000"/>
              <a:t>（单位：万元）</a:t>
            </a:r>
            <a:endParaRPr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[2024决算统计图草稿.xlsx]Sheet1!$A$92:$B$92</c:f>
              <c:strCache>
                <c:ptCount val="2"/>
                <c:pt idx="0">
                  <c:v>2023年</c:v>
                </c:pt>
                <c:pt idx="1">
                  <c:v>2024年</c:v>
                </c:pt>
              </c:strCache>
            </c:strRef>
          </c:cat>
          <c:val>
            <c:numRef>
              <c:f>[2024决算统计图草稿.xlsx]Sheet1!$A$93:$B$93</c:f>
              <c:numCache>
                <c:formatCode>General</c:formatCode>
                <c:ptCount val="2"/>
                <c:pt idx="0">
                  <c:v>8750.58</c:v>
                </c:pt>
                <c:pt idx="1">
                  <c:v>8463.59</c:v>
                </c:pt>
              </c:numCache>
            </c:numRef>
          </c:val>
        </c:ser>
        <c:dLbls>
          <c:showLegendKey val="0"/>
          <c:showVal val="0"/>
          <c:showCatName val="0"/>
          <c:showSerName val="0"/>
          <c:showPercent val="0"/>
          <c:showBubbleSize val="0"/>
        </c:dLbls>
        <c:gapWidth val="246"/>
        <c:overlap val="-28"/>
        <c:axId val="38452732"/>
        <c:axId val="389277008"/>
      </c:barChart>
      <c:catAx>
        <c:axId val="384527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389277008"/>
        <c:crosses val="autoZero"/>
        <c:auto val="1"/>
        <c:lblAlgn val="ctr"/>
        <c:lblOffset val="100"/>
        <c:noMultiLvlLbl val="0"/>
      </c:catAx>
      <c:valAx>
        <c:axId val="389277008"/>
        <c:scaling>
          <c:orientation val="minMax"/>
          <c:min val="8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52732"/>
        <c:crosses val="autoZero"/>
        <c:crossBetween val="between"/>
      </c:valAx>
      <c:spPr>
        <a:noFill/>
        <a:ln>
          <a:noFill/>
        </a:ln>
        <a:effectLst/>
      </c:spPr>
    </c:plotArea>
    <c:plotVisOnly val="1"/>
    <c:dispBlanksAs val="gap"/>
    <c:showDLblsOverMax val="0"/>
    <c:extLst>
      <c:ext uri="{0b15fc19-7d7d-44ad-8c2d-2c3a37ce22c3}">
        <chartProps xmlns="https://web.wps.cn/et/2018/main" chartId="{be6e47f5-d5de-4051-af9c-c1d6933e8d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sz="1200"/>
              <a:t>图6：一般公共预算财政拨款支出决算结构</a:t>
            </a:r>
            <a:r>
              <a:rPr sz="900"/>
              <a:t>（单位：万元）</a:t>
            </a:r>
            <a:endParaRPr sz="9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6"/>
              </a:solidFill>
              <a:ln>
                <a:solidFill>
                  <a:schemeClr val="bg1"/>
                </a:solidFill>
              </a:ln>
              <a:effectLst/>
            </c:spPr>
          </c:dPt>
          <c:dPt>
            <c:idx val="2"/>
            <c:bubble3D val="0"/>
            <c:spPr>
              <a:solidFill>
                <a:schemeClr val="accent3"/>
              </a:solidFill>
              <a:ln>
                <a:solidFill>
                  <a:schemeClr val="bg1"/>
                </a:solidFill>
              </a:ln>
              <a:effectLst/>
            </c:spPr>
          </c:dPt>
          <c:dLbls>
            <c:delete val="1"/>
          </c:dLbls>
          <c:cat>
            <c:strRef>
              <c:f>[2024决算统计图草稿.xlsx]Sheet1!$A$115:$C$115</c:f>
              <c:strCache>
                <c:ptCount val="3"/>
                <c:pt idx="0">
                  <c:v>社会保障和就业支出</c:v>
                </c:pt>
                <c:pt idx="1">
                  <c:v>卫生健康支出</c:v>
                </c:pt>
                <c:pt idx="2">
                  <c:v>住房保障支出</c:v>
                </c:pt>
              </c:strCache>
            </c:strRef>
          </c:cat>
          <c:val>
            <c:numRef>
              <c:f>[2024决算统计图草稿.xlsx]Sheet1!$A$116:$C$116</c:f>
              <c:numCache>
                <c:formatCode>General</c:formatCode>
                <c:ptCount val="3"/>
                <c:pt idx="0">
                  <c:v>8167.34</c:v>
                </c:pt>
                <c:pt idx="1">
                  <c:v>252.5</c:v>
                </c:pt>
                <c:pt idx="2">
                  <c:v>43.75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199078947368421"/>
          <c:y val="0.146296296296296"/>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03c981-aea7-4658-a5fe-259148d9e76b}"/>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图7：“三公”经费财政拨款支出结构</a:t>
            </a:r>
            <a:r>
              <a:rPr lang="en-US" altLang="zh-CN"/>
              <a:t>  </a:t>
            </a:r>
            <a:endParaRPr lang="en-US" altLang="zh-CN"/>
          </a:p>
          <a:p>
            <a:pPr defTabSz="914400">
              <a:defRPr lang="zh-CN" sz="1400" b="1" i="0" u="none" strike="noStrike" kern="1200" baseline="0">
                <a:solidFill>
                  <a:schemeClr val="tx1">
                    <a:lumMod val="75000"/>
                    <a:lumOff val="25000"/>
                  </a:schemeClr>
                </a:solidFill>
                <a:latin typeface="+mn-lt"/>
                <a:ea typeface="+mn-ea"/>
                <a:cs typeface="+mn-cs"/>
              </a:defRPr>
            </a:pPr>
            <a:r>
              <a:rPr sz="1000"/>
              <a:t>（单位：万元）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6"/>
              </a:solidFill>
              <a:ln>
                <a:solidFill>
                  <a:schemeClr val="bg1"/>
                </a:solidFill>
              </a:ln>
              <a:effectLst/>
            </c:spPr>
          </c:dPt>
          <c:dPt>
            <c:idx val="1"/>
            <c:bubble3D val="0"/>
            <c:spPr>
              <a:solidFill>
                <a:schemeClr val="accent1"/>
              </a:solidFill>
              <a:ln>
                <a:solidFill>
                  <a:schemeClr val="bg1"/>
                </a:solidFill>
              </a:ln>
              <a:effectLst/>
            </c:spPr>
          </c:dPt>
          <c:dPt>
            <c:idx val="2"/>
            <c:bubble3D val="0"/>
            <c:spPr>
              <a:solidFill>
                <a:schemeClr val="accent3"/>
              </a:solidFill>
              <a:ln>
                <a:solidFill>
                  <a:schemeClr val="bg1"/>
                </a:solidFill>
              </a:ln>
              <a:effectLst/>
            </c:spPr>
          </c:dPt>
          <c:dLbls>
            <c:delete val="1"/>
          </c:dLbls>
          <c:cat>
            <c:strRef>
              <c:f>[2024决算统计图草稿.xlsx]Sheet1!$A$137:$C$137</c:f>
              <c:strCache>
                <c:ptCount val="3"/>
                <c:pt idx="0">
                  <c:v>因公出国（境）费</c:v>
                </c:pt>
                <c:pt idx="1">
                  <c:v>公务用车购置及运行维护费</c:v>
                </c:pt>
                <c:pt idx="2">
                  <c:v>公务接待费</c:v>
                </c:pt>
              </c:strCache>
            </c:strRef>
          </c:cat>
          <c:val>
            <c:numRef>
              <c:f>[2024决算统计图草稿.xlsx]Sheet1!$A$138:$C$138</c:f>
              <c:numCache>
                <c:formatCode>General</c:formatCode>
                <c:ptCount val="3"/>
                <c:pt idx="0">
                  <c:v>0</c:v>
                </c:pt>
                <c:pt idx="1">
                  <c:v>61132.23</c:v>
                </c:pt>
                <c:pt idx="2">
                  <c:v>1870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3bbd34-b363-42bc-9ff4-9c00975c13d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758</Words>
  <Characters>1363</Characters>
  <Lines>1</Lines>
  <Paragraphs>1</Paragraphs>
  <TotalTime>223</TotalTime>
  <ScaleCrop>false</ScaleCrop>
  <LinksUpToDate>false</LinksUpToDate>
  <CharactersWithSpaces>1375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林二娃</cp:lastModifiedBy>
  <cp:lastPrinted>2025-08-06T17:34:00Z</cp:lastPrinted>
  <dcterms:modified xsi:type="dcterms:W3CDTF">2025-12-05T09:07:02Z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7D7DC6DB45C7450B9956169B097F724C_13</vt:lpwstr>
  </property>
  <property fmtid="{D5CDD505-2E9C-101B-9397-08002B2CF9AE}" pid="4" name="KSOTemplateDocerSaveRecord">
    <vt:lpwstr>eyJoZGlkIjoiMDUxODc3ODM0YWIyNjA3ZGJjNDdhOGU4ZDM2YjFkNmUiLCJ1c2VySWQiOiIzNDIxMjQ1NjcifQ==</vt:lpwstr>
  </property>
</Properties>
</file>