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9"/>
        <w:rPr>
          <w:rFonts w:ascii="微软雅黑" w:hAnsi="宋体" w:eastAsia="微软雅黑"/>
          <w:sz w:val="72"/>
          <w:szCs w:val="72"/>
        </w:rPr>
      </w:pPr>
      <w:bookmarkStart w:id="0" w:name="_Toc15377425"/>
      <w:bookmarkStart w:id="1" w:name="_Toc15377193"/>
      <w:bookmarkStart w:id="2" w:name="_Toc15306267"/>
      <w:bookmarkStart w:id="3" w:name="_Toc15378441"/>
      <w:bookmarkStart w:id="4" w:name="_Toc15396597"/>
      <w:bookmarkStart w:id="5" w:name="_Toc15396475"/>
    </w:p>
    <w:p>
      <w:pPr>
        <w:spacing w:line="600" w:lineRule="exact"/>
        <w:jc w:val="center"/>
        <w:outlineLvl w:val="9"/>
        <w:rPr>
          <w:rFonts w:ascii="微软雅黑" w:hAnsi="宋体" w:eastAsia="微软雅黑"/>
          <w:sz w:val="72"/>
          <w:szCs w:val="72"/>
        </w:rPr>
      </w:pPr>
    </w:p>
    <w:p>
      <w:pPr>
        <w:spacing w:line="600" w:lineRule="exact"/>
        <w:jc w:val="center"/>
        <w:outlineLvl w:val="9"/>
        <w:rPr>
          <w:rFonts w:ascii="微软雅黑" w:hAnsi="宋体" w:eastAsia="微软雅黑"/>
          <w:sz w:val="72"/>
          <w:szCs w:val="72"/>
        </w:rPr>
      </w:pPr>
    </w:p>
    <w:bookmarkEnd w:id="0"/>
    <w:bookmarkEnd w:id="1"/>
    <w:bookmarkEnd w:id="2"/>
    <w:bookmarkEnd w:id="3"/>
    <w:bookmarkEnd w:id="4"/>
    <w:bookmarkEnd w:id="5"/>
    <w:p>
      <w:pPr>
        <w:adjustRightInd w:val="0"/>
        <w:snapToGrid w:val="0"/>
        <w:spacing w:line="360" w:lineRule="auto"/>
        <w:jc w:val="center"/>
        <w:outlineLvl w:val="0"/>
        <w:rPr>
          <w:rFonts w:hint="eastAsia" w:ascii="微软雅黑" w:hAnsi="微软雅黑" w:eastAsia="微软雅黑" w:cs="微软雅黑"/>
          <w:sz w:val="56"/>
          <w:szCs w:val="56"/>
          <w:lang w:val="en-US" w:eastAsia="zh-CN"/>
        </w:rPr>
      </w:pPr>
      <w:bookmarkStart w:id="6" w:name="_Toc15377426"/>
      <w:bookmarkStart w:id="7" w:name="_Toc15377194"/>
      <w:bookmarkStart w:id="8" w:name="_Toc15378442"/>
      <w:bookmarkStart w:id="9" w:name="_Toc20003"/>
      <w:bookmarkStart w:id="10" w:name="_Toc15306268"/>
      <w:bookmarkStart w:id="11" w:name="_Toc15396476"/>
      <w:bookmarkStart w:id="12" w:name="_Toc15396598"/>
    </w:p>
    <w:p>
      <w:pPr>
        <w:adjustRightInd w:val="0"/>
        <w:snapToGrid w:val="0"/>
        <w:spacing w:line="360" w:lineRule="auto"/>
        <w:jc w:val="center"/>
        <w:outlineLvl w:val="0"/>
        <w:rPr>
          <w:rFonts w:hint="eastAsia" w:ascii="微软雅黑" w:hAnsi="微软雅黑" w:eastAsia="微软雅黑" w:cs="微软雅黑"/>
          <w:sz w:val="56"/>
          <w:szCs w:val="56"/>
          <w:lang w:val="en-US" w:eastAsia="zh-CN"/>
        </w:rPr>
      </w:pPr>
      <w:bookmarkStart w:id="13" w:name="_Toc21439"/>
      <w:r>
        <w:rPr>
          <w:rFonts w:hint="eastAsia" w:ascii="微软雅黑" w:hAnsi="微软雅黑" w:eastAsia="微软雅黑" w:cs="微软雅黑"/>
          <w:sz w:val="56"/>
          <w:szCs w:val="56"/>
          <w:lang w:val="en-US" w:eastAsia="zh-CN"/>
        </w:rPr>
        <w:t>2024年度</w:t>
      </w:r>
      <w:bookmarkEnd w:id="13"/>
      <w:r>
        <w:rPr>
          <w:rFonts w:hint="eastAsia" w:ascii="微软雅黑" w:hAnsi="微软雅黑" w:eastAsia="微软雅黑" w:cs="微软雅黑"/>
          <w:sz w:val="56"/>
          <w:szCs w:val="56"/>
          <w:lang w:val="en-US" w:eastAsia="zh-CN"/>
        </w:rPr>
        <w:t>峨眉山市财政局</w:t>
      </w:r>
    </w:p>
    <w:p>
      <w:pPr>
        <w:adjustRightInd w:val="0"/>
        <w:snapToGrid w:val="0"/>
        <w:spacing w:line="360" w:lineRule="auto"/>
        <w:jc w:val="center"/>
        <w:outlineLvl w:val="0"/>
        <w:rPr>
          <w:rFonts w:hint="eastAsia" w:ascii="微软雅黑" w:hAnsi="微软雅黑" w:eastAsia="微软雅黑" w:cs="微软雅黑"/>
          <w:sz w:val="72"/>
          <w:szCs w:val="72"/>
          <w:lang w:val="en-US" w:eastAsia="zh-CN"/>
        </w:rPr>
      </w:pPr>
      <w:r>
        <w:rPr>
          <w:rFonts w:hint="eastAsia" w:ascii="微软雅黑" w:hAnsi="微软雅黑" w:eastAsia="微软雅黑" w:cs="微软雅黑"/>
          <w:sz w:val="56"/>
          <w:szCs w:val="56"/>
          <w:lang w:val="en-US" w:eastAsia="zh-CN"/>
        </w:rPr>
        <w:t>部门决算</w:t>
      </w:r>
      <w:bookmarkEnd w:id="6"/>
      <w:bookmarkEnd w:id="7"/>
      <w:bookmarkEnd w:id="8"/>
      <w:bookmarkEnd w:id="9"/>
      <w:bookmarkEnd w:id="10"/>
      <w:bookmarkEnd w:id="11"/>
      <w:bookmarkEnd w:id="12"/>
    </w:p>
    <w:p>
      <w:pPr>
        <w:adjustRightInd w:val="0"/>
        <w:snapToGrid w:val="0"/>
        <w:spacing w:line="360" w:lineRule="auto"/>
        <w:jc w:val="center"/>
        <w:outlineLvl w:val="0"/>
        <w:rPr>
          <w:rFonts w:hint="eastAsia" w:ascii="微软雅黑" w:hAnsi="宋体" w:eastAsia="微软雅黑"/>
          <w:sz w:val="52"/>
          <w:szCs w:val="52"/>
        </w:rPr>
      </w:pPr>
    </w:p>
    <w:p>
      <w:pPr>
        <w:pStyle w:val="10"/>
        <w:rPr>
          <w:rFonts w:hint="eastAsia" w:ascii="微软雅黑" w:hAnsi="宋体" w:eastAsia="微软雅黑"/>
          <w:sz w:val="52"/>
          <w:szCs w:val="52"/>
        </w:rPr>
      </w:pPr>
    </w:p>
    <w:p>
      <w:pPr>
        <w:pStyle w:val="10"/>
        <w:rPr>
          <w:rFonts w:hint="eastAsia" w:ascii="微软雅黑" w:hAnsi="宋体" w:eastAsia="微软雅黑"/>
          <w:sz w:val="52"/>
          <w:szCs w:val="52"/>
        </w:rPr>
      </w:pPr>
    </w:p>
    <w:p>
      <w:pPr>
        <w:pStyle w:val="10"/>
        <w:rPr>
          <w:rFonts w:hint="eastAsia" w:ascii="微软雅黑" w:hAnsi="宋体" w:eastAsia="微软雅黑"/>
          <w:sz w:val="52"/>
          <w:szCs w:val="52"/>
        </w:rPr>
      </w:pPr>
    </w:p>
    <w:p>
      <w:pPr>
        <w:pStyle w:val="10"/>
        <w:rPr>
          <w:rFonts w:hint="eastAsia" w:ascii="微软雅黑" w:hAnsi="宋体" w:eastAsia="微软雅黑"/>
          <w:sz w:val="52"/>
          <w:szCs w:val="52"/>
        </w:rPr>
      </w:pPr>
    </w:p>
    <w:p>
      <w:pPr>
        <w:pStyle w:val="14"/>
        <w:rPr>
          <w:rFonts w:hint="eastAsia" w:ascii="楷体_GB2312" w:hAnsi="楷体_GB2312" w:eastAsia="楷体_GB2312" w:cs="楷体_GB2312"/>
          <w:sz w:val="32"/>
          <w:szCs w:val="32"/>
        </w:rPr>
      </w:pPr>
    </w:p>
    <w:p>
      <w:pPr>
        <w:pStyle w:val="14"/>
        <w:ind w:firstLine="2560" w:firstLineChars="800"/>
        <w:jc w:val="both"/>
        <w:rPr>
          <w:rFonts w:hint="eastAsia" w:ascii="楷体" w:hAnsi="楷体" w:eastAsia="楷体" w:cs="楷体"/>
          <w:b w:val="0"/>
          <w:bCs w:val="0"/>
          <w:sz w:val="32"/>
          <w:szCs w:val="32"/>
          <w:lang w:val="en-US" w:eastAsia="zh-CN"/>
        </w:rPr>
      </w:pPr>
      <w:r>
        <w:rPr>
          <w:rFonts w:hint="eastAsia" w:ascii="楷体_GB2312" w:hAnsi="楷体_GB2312" w:eastAsia="楷体_GB2312" w:cs="楷体_GB2312"/>
          <w:sz w:val="32"/>
          <w:szCs w:val="32"/>
        </w:rPr>
        <w:t>公开时间：</w:t>
      </w:r>
      <w:r>
        <w:rPr>
          <w:rFonts w:hint="eastAsia" w:ascii="楷体" w:hAnsi="楷体" w:eastAsia="楷体" w:cs="楷体"/>
          <w:b w:val="0"/>
          <w:bCs w:val="0"/>
          <w:sz w:val="32"/>
          <w:szCs w:val="32"/>
          <w:lang w:val="en-US" w:eastAsia="zh-CN"/>
        </w:rPr>
        <w:t>2025年 12月5</w:t>
      </w:r>
      <w:bookmarkStart w:id="102" w:name="_GoBack"/>
      <w:bookmarkEnd w:id="102"/>
      <w:r>
        <w:rPr>
          <w:rFonts w:hint="eastAsia" w:ascii="楷体" w:hAnsi="楷体" w:eastAsia="楷体" w:cs="楷体"/>
          <w:b w:val="0"/>
          <w:bCs w:val="0"/>
          <w:sz w:val="32"/>
          <w:szCs w:val="32"/>
          <w:lang w:val="en-US" w:eastAsia="zh-CN"/>
        </w:rPr>
        <w:t>日</w:t>
      </w:r>
    </w:p>
    <w:p>
      <w:pPr>
        <w:widowControl/>
        <w:jc w:val="center"/>
        <w:rPr>
          <w:rFonts w:ascii="黑体" w:hAnsi="黑体" w:eastAsia="黑体"/>
          <w:sz w:val="44"/>
          <w:szCs w:val="44"/>
        </w:rPr>
      </w:pPr>
      <w:r>
        <w:rPr>
          <w:rFonts w:ascii="微软雅黑" w:hAnsi="宋体" w:eastAsia="微软雅黑"/>
          <w:sz w:val="36"/>
          <w:szCs w:val="36"/>
        </w:rPr>
        <w:br w:type="page"/>
      </w:r>
      <w:r>
        <w:rPr>
          <w:rFonts w:hint="eastAsia" w:ascii="黑体" w:hAnsi="黑体" w:eastAsia="黑体"/>
          <w:sz w:val="44"/>
          <w:szCs w:val="44"/>
        </w:rPr>
        <w:t>目</w:t>
      </w:r>
      <w:r>
        <w:rPr>
          <w:rFonts w:hint="eastAsia" w:ascii="黑体" w:hAnsi="黑体" w:eastAsia="黑体"/>
          <w:sz w:val="44"/>
          <w:szCs w:val="44"/>
          <w:lang w:val="en-US" w:eastAsia="zh-CN"/>
        </w:rPr>
        <w:t xml:space="preserve">  </w:t>
      </w:r>
      <w:r>
        <w:rPr>
          <w:rFonts w:hint="eastAsia" w:ascii="黑体" w:hAnsi="黑体" w:eastAsia="黑体"/>
          <w:sz w:val="44"/>
          <w:szCs w:val="44"/>
        </w:rPr>
        <w:t>录</w:t>
      </w:r>
    </w:p>
    <w:sdt>
      <w:sdtPr>
        <w:rPr>
          <w:rFonts w:ascii="宋体" w:hAnsi="宋体" w:eastAsia="宋体" w:cs="Times New Roman"/>
          <w:kern w:val="2"/>
          <w:sz w:val="21"/>
          <w:szCs w:val="24"/>
          <w:lang w:val="en-US" w:eastAsia="zh-CN" w:bidi="ar-SA"/>
        </w:rPr>
        <w:id w:val="147458636"/>
        <w15:color w:val="DBDBDB"/>
        <w:docPartObj>
          <w:docPartGallery w:val="Table of Contents"/>
          <w:docPartUnique/>
        </w:docPartObj>
      </w:sdtPr>
      <w:sdtEndPr>
        <w:rPr>
          <w:rFonts w:hint="eastAsia" w:ascii="宋体" w:hAnsi="宋体" w:eastAsia="宋体" w:cs="Times New Roman"/>
          <w:kern w:val="2"/>
          <w:sz w:val="21"/>
          <w:szCs w:val="24"/>
          <w:lang w:val="en-US" w:eastAsia="zh-CN" w:bidi="ar-SA"/>
        </w:rPr>
      </w:sdtEndPr>
      <w:sdtContent>
        <w:p>
          <w:pPr>
            <w:pStyle w:val="42"/>
            <w:keepNext w:val="0"/>
            <w:keepLines w:val="0"/>
            <w:pageBreakBefore w:val="0"/>
            <w:tabs>
              <w:tab w:val="right" w:leader="dot" w:pos="8306"/>
            </w:tabs>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fldChar w:fldCharType="begin"/>
          </w:r>
          <w:r>
            <w:rPr>
              <w:rFonts w:hint="eastAsia" w:ascii="仿宋_GB2312" w:hAnsi="仿宋_GB2312" w:eastAsia="仿宋_GB2312" w:cs="仿宋_GB2312"/>
              <w:b w:val="0"/>
              <w:bCs w:val="0"/>
              <w:sz w:val="24"/>
              <w:szCs w:val="24"/>
            </w:rPr>
            <w:instrText xml:space="preserve">TOC \o "1-2" \h \u </w:instrText>
          </w:r>
          <w:r>
            <w:rPr>
              <w:rFonts w:hint="eastAsia" w:ascii="仿宋_GB2312" w:hAnsi="仿宋_GB2312" w:eastAsia="仿宋_GB2312" w:cs="仿宋_GB2312"/>
              <w:b w:val="0"/>
              <w:bCs w:val="0"/>
              <w:sz w:val="24"/>
              <w:szCs w:val="24"/>
            </w:rPr>
            <w:fldChar w:fldCharType="separate"/>
          </w:r>
        </w:p>
        <w:p>
          <w:pPr>
            <w:pStyle w:val="42"/>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黑体" w:hAnsi="黑体" w:eastAsia="黑体" w:cs="黑体"/>
              <w:b w:val="0"/>
              <w:bCs w:val="0"/>
              <w:sz w:val="24"/>
              <w:szCs w:val="24"/>
            </w:rPr>
          </w:pPr>
          <w:r>
            <w:rPr>
              <w:rFonts w:hint="eastAsia" w:ascii="黑体" w:hAnsi="黑体" w:eastAsia="黑体" w:cs="黑体"/>
              <w:b w:val="0"/>
              <w:bCs w:val="0"/>
              <w:sz w:val="24"/>
              <w:szCs w:val="24"/>
            </w:rPr>
            <w:fldChar w:fldCharType="begin"/>
          </w:r>
          <w:r>
            <w:rPr>
              <w:rFonts w:hint="eastAsia" w:ascii="黑体" w:hAnsi="黑体" w:eastAsia="黑体" w:cs="黑体"/>
              <w:b w:val="0"/>
              <w:bCs w:val="0"/>
              <w:sz w:val="24"/>
              <w:szCs w:val="24"/>
            </w:rPr>
            <w:instrText xml:space="preserve"> HYPERLINK \l _Toc18414 </w:instrText>
          </w:r>
          <w:r>
            <w:rPr>
              <w:rFonts w:hint="eastAsia" w:ascii="黑体" w:hAnsi="黑体" w:eastAsia="黑体" w:cs="黑体"/>
              <w:b w:val="0"/>
              <w:bCs w:val="0"/>
              <w:sz w:val="24"/>
              <w:szCs w:val="24"/>
            </w:rPr>
            <w:fldChar w:fldCharType="separate"/>
          </w:r>
          <w:r>
            <w:rPr>
              <w:rFonts w:hint="eastAsia" w:ascii="黑体" w:hAnsi="黑体" w:eastAsia="黑体" w:cs="黑体"/>
              <w:b w:val="0"/>
              <w:bCs w:val="0"/>
              <w:sz w:val="24"/>
              <w:szCs w:val="24"/>
            </w:rPr>
            <w:t>第一部分 部门概况</w:t>
          </w:r>
          <w:r>
            <w:rPr>
              <w:rFonts w:hint="eastAsia" w:ascii="黑体" w:hAnsi="黑体" w:eastAsia="黑体" w:cs="黑体"/>
              <w:b w:val="0"/>
              <w:bCs w:val="0"/>
              <w:sz w:val="24"/>
              <w:szCs w:val="24"/>
            </w:rPr>
            <w:tab/>
          </w:r>
          <w:r>
            <w:rPr>
              <w:rFonts w:hint="eastAsia" w:ascii="黑体" w:hAnsi="黑体" w:eastAsia="黑体" w:cs="黑体"/>
              <w:b w:val="0"/>
              <w:bCs w:val="0"/>
              <w:sz w:val="24"/>
              <w:szCs w:val="24"/>
              <w:lang w:val="en-US" w:eastAsia="zh-CN"/>
            </w:rPr>
            <w:t>3</w:t>
          </w:r>
          <w:r>
            <w:rPr>
              <w:rFonts w:hint="eastAsia" w:ascii="黑体" w:hAnsi="黑体" w:eastAsia="黑体" w:cs="黑体"/>
              <w:b w:val="0"/>
              <w:bCs w:val="0"/>
              <w:sz w:val="24"/>
              <w:szCs w:val="24"/>
            </w:rPr>
            <w:fldChar w:fldCharType="end"/>
          </w:r>
        </w:p>
        <w:p>
          <w:pPr>
            <w:pStyle w:val="43"/>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fldChar w:fldCharType="begin"/>
          </w:r>
          <w:r>
            <w:rPr>
              <w:rFonts w:hint="eastAsia" w:ascii="仿宋_GB2312" w:hAnsi="仿宋_GB2312" w:eastAsia="仿宋_GB2312" w:cs="仿宋_GB2312"/>
              <w:b w:val="0"/>
              <w:bCs w:val="0"/>
              <w:sz w:val="24"/>
              <w:szCs w:val="24"/>
            </w:rPr>
            <w:instrText xml:space="preserve"> HYPERLINK \l _Toc16071 </w:instrText>
          </w:r>
          <w:r>
            <w:rPr>
              <w:rFonts w:hint="eastAsia" w:ascii="仿宋_GB2312" w:hAnsi="仿宋_GB2312" w:eastAsia="仿宋_GB2312" w:cs="仿宋_GB2312"/>
              <w:b w:val="0"/>
              <w:bCs w:val="0"/>
              <w:sz w:val="24"/>
              <w:szCs w:val="24"/>
            </w:rPr>
            <w:fldChar w:fldCharType="separate"/>
          </w:r>
          <w:r>
            <w:rPr>
              <w:rFonts w:hint="eastAsia" w:ascii="仿宋_GB2312" w:hAnsi="仿宋_GB2312" w:eastAsia="仿宋_GB2312" w:cs="仿宋_GB2312"/>
              <w:b w:val="0"/>
              <w:bCs w:val="0"/>
              <w:sz w:val="24"/>
              <w:szCs w:val="24"/>
            </w:rPr>
            <w:t>一、部门职责</w:t>
          </w:r>
          <w:r>
            <w:rPr>
              <w:rFonts w:hint="eastAsia" w:ascii="仿宋_GB2312" w:hAnsi="仿宋_GB2312" w:eastAsia="仿宋_GB2312" w:cs="仿宋_GB2312"/>
              <w:b w:val="0"/>
              <w:bCs w:val="0"/>
              <w:sz w:val="24"/>
              <w:szCs w:val="24"/>
            </w:rPr>
            <w:tab/>
          </w:r>
          <w:r>
            <w:rPr>
              <w:rFonts w:hint="eastAsia" w:ascii="仿宋_GB2312" w:hAnsi="仿宋_GB2312" w:eastAsia="仿宋_GB2312" w:cs="仿宋_GB2312"/>
              <w:b w:val="0"/>
              <w:bCs w:val="0"/>
              <w:sz w:val="24"/>
              <w:szCs w:val="24"/>
            </w:rPr>
            <w:fldChar w:fldCharType="begin"/>
          </w:r>
          <w:r>
            <w:rPr>
              <w:rFonts w:hint="eastAsia" w:ascii="仿宋_GB2312" w:hAnsi="仿宋_GB2312" w:eastAsia="仿宋_GB2312" w:cs="仿宋_GB2312"/>
              <w:b w:val="0"/>
              <w:bCs w:val="0"/>
              <w:sz w:val="24"/>
              <w:szCs w:val="24"/>
            </w:rPr>
            <w:instrText xml:space="preserve"> PAGEREF _Toc16071 </w:instrText>
          </w:r>
          <w:r>
            <w:rPr>
              <w:rFonts w:hint="eastAsia" w:ascii="仿宋_GB2312" w:hAnsi="仿宋_GB2312" w:eastAsia="仿宋_GB2312" w:cs="仿宋_GB2312"/>
              <w:b w:val="0"/>
              <w:bCs w:val="0"/>
              <w:sz w:val="24"/>
              <w:szCs w:val="24"/>
            </w:rPr>
            <w:fldChar w:fldCharType="separate"/>
          </w:r>
          <w:r>
            <w:rPr>
              <w:rFonts w:hint="eastAsia" w:ascii="仿宋_GB2312" w:hAnsi="仿宋_GB2312" w:eastAsia="仿宋_GB2312" w:cs="仿宋_GB2312"/>
              <w:b w:val="0"/>
              <w:bCs w:val="0"/>
              <w:sz w:val="24"/>
              <w:szCs w:val="24"/>
            </w:rPr>
            <w:t>3</w:t>
          </w:r>
          <w:r>
            <w:rPr>
              <w:rFonts w:hint="eastAsia" w:ascii="仿宋_GB2312" w:hAnsi="仿宋_GB2312" w:eastAsia="仿宋_GB2312" w:cs="仿宋_GB2312"/>
              <w:b w:val="0"/>
              <w:bCs w:val="0"/>
              <w:sz w:val="24"/>
              <w:szCs w:val="24"/>
            </w:rPr>
            <w:fldChar w:fldCharType="end"/>
          </w:r>
          <w:r>
            <w:rPr>
              <w:rFonts w:hint="eastAsia" w:ascii="仿宋_GB2312" w:hAnsi="仿宋_GB2312" w:eastAsia="仿宋_GB2312" w:cs="仿宋_GB2312"/>
              <w:b w:val="0"/>
              <w:bCs w:val="0"/>
              <w:sz w:val="24"/>
              <w:szCs w:val="24"/>
            </w:rPr>
            <w:fldChar w:fldCharType="end"/>
          </w:r>
        </w:p>
        <w:p>
          <w:pPr>
            <w:pStyle w:val="43"/>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fldChar w:fldCharType="begin"/>
          </w:r>
          <w:r>
            <w:rPr>
              <w:rFonts w:hint="eastAsia" w:ascii="仿宋_GB2312" w:hAnsi="仿宋_GB2312" w:eastAsia="仿宋_GB2312" w:cs="仿宋_GB2312"/>
              <w:b w:val="0"/>
              <w:bCs w:val="0"/>
              <w:sz w:val="24"/>
              <w:szCs w:val="24"/>
            </w:rPr>
            <w:instrText xml:space="preserve"> HYPERLINK \l _Toc30915 </w:instrText>
          </w:r>
          <w:r>
            <w:rPr>
              <w:rFonts w:hint="eastAsia" w:ascii="仿宋_GB2312" w:hAnsi="仿宋_GB2312" w:eastAsia="仿宋_GB2312" w:cs="仿宋_GB2312"/>
              <w:b w:val="0"/>
              <w:bCs w:val="0"/>
              <w:sz w:val="24"/>
              <w:szCs w:val="24"/>
            </w:rPr>
            <w:fldChar w:fldCharType="separate"/>
          </w:r>
          <w:r>
            <w:rPr>
              <w:rFonts w:hint="eastAsia" w:ascii="仿宋_GB2312" w:hAnsi="仿宋_GB2312" w:eastAsia="仿宋_GB2312" w:cs="仿宋_GB2312"/>
              <w:b w:val="0"/>
              <w:bCs w:val="0"/>
              <w:sz w:val="24"/>
              <w:szCs w:val="24"/>
            </w:rPr>
            <w:t>二、机构设置</w:t>
          </w:r>
          <w:r>
            <w:rPr>
              <w:rFonts w:hint="eastAsia" w:ascii="仿宋_GB2312" w:hAnsi="仿宋_GB2312" w:eastAsia="仿宋_GB2312" w:cs="仿宋_GB2312"/>
              <w:b w:val="0"/>
              <w:bCs w:val="0"/>
              <w:sz w:val="24"/>
              <w:szCs w:val="24"/>
            </w:rPr>
            <w:tab/>
          </w:r>
          <w:r>
            <w:rPr>
              <w:rFonts w:hint="eastAsia" w:ascii="仿宋_GB2312" w:hAnsi="仿宋_GB2312" w:eastAsia="仿宋_GB2312" w:cs="仿宋_GB2312"/>
              <w:b w:val="0"/>
              <w:bCs w:val="0"/>
              <w:sz w:val="24"/>
              <w:szCs w:val="24"/>
            </w:rPr>
            <w:fldChar w:fldCharType="begin"/>
          </w:r>
          <w:r>
            <w:rPr>
              <w:rFonts w:hint="eastAsia" w:ascii="仿宋_GB2312" w:hAnsi="仿宋_GB2312" w:eastAsia="仿宋_GB2312" w:cs="仿宋_GB2312"/>
              <w:b w:val="0"/>
              <w:bCs w:val="0"/>
              <w:sz w:val="24"/>
              <w:szCs w:val="24"/>
            </w:rPr>
            <w:instrText xml:space="preserve"> PAGEREF _Toc30915 </w:instrText>
          </w:r>
          <w:r>
            <w:rPr>
              <w:rFonts w:hint="eastAsia" w:ascii="仿宋_GB2312" w:hAnsi="仿宋_GB2312" w:eastAsia="仿宋_GB2312" w:cs="仿宋_GB2312"/>
              <w:b w:val="0"/>
              <w:bCs w:val="0"/>
              <w:sz w:val="24"/>
              <w:szCs w:val="24"/>
            </w:rPr>
            <w:fldChar w:fldCharType="separate"/>
          </w:r>
          <w:r>
            <w:rPr>
              <w:rFonts w:hint="eastAsia" w:ascii="仿宋_GB2312" w:hAnsi="仿宋_GB2312" w:eastAsia="仿宋_GB2312" w:cs="仿宋_GB2312"/>
              <w:b w:val="0"/>
              <w:bCs w:val="0"/>
              <w:sz w:val="24"/>
              <w:szCs w:val="24"/>
            </w:rPr>
            <w:t>3</w:t>
          </w:r>
          <w:r>
            <w:rPr>
              <w:rFonts w:hint="eastAsia" w:ascii="仿宋_GB2312" w:hAnsi="仿宋_GB2312" w:eastAsia="仿宋_GB2312" w:cs="仿宋_GB2312"/>
              <w:b w:val="0"/>
              <w:bCs w:val="0"/>
              <w:sz w:val="24"/>
              <w:szCs w:val="24"/>
            </w:rPr>
            <w:fldChar w:fldCharType="end"/>
          </w:r>
          <w:r>
            <w:rPr>
              <w:rFonts w:hint="eastAsia" w:ascii="仿宋_GB2312" w:hAnsi="仿宋_GB2312" w:eastAsia="仿宋_GB2312" w:cs="仿宋_GB2312"/>
              <w:b w:val="0"/>
              <w:bCs w:val="0"/>
              <w:sz w:val="24"/>
              <w:szCs w:val="24"/>
            </w:rPr>
            <w:fldChar w:fldCharType="end"/>
          </w:r>
        </w:p>
        <w:p>
          <w:pPr>
            <w:pStyle w:val="42"/>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黑体" w:hAnsi="黑体" w:eastAsia="黑体" w:cs="黑体"/>
              <w:b w:val="0"/>
              <w:bCs w:val="0"/>
              <w:sz w:val="24"/>
              <w:szCs w:val="24"/>
            </w:rPr>
          </w:pPr>
          <w:r>
            <w:rPr>
              <w:rFonts w:hint="eastAsia" w:ascii="黑体" w:hAnsi="黑体" w:eastAsia="黑体" w:cs="黑体"/>
              <w:b w:val="0"/>
              <w:bCs w:val="0"/>
              <w:sz w:val="24"/>
              <w:szCs w:val="24"/>
            </w:rPr>
            <w:fldChar w:fldCharType="begin"/>
          </w:r>
          <w:r>
            <w:rPr>
              <w:rFonts w:hint="eastAsia" w:ascii="黑体" w:hAnsi="黑体" w:eastAsia="黑体" w:cs="黑体"/>
              <w:b w:val="0"/>
              <w:bCs w:val="0"/>
              <w:sz w:val="24"/>
              <w:szCs w:val="24"/>
            </w:rPr>
            <w:instrText xml:space="preserve"> HYPERLINK \l _Toc29289 </w:instrText>
          </w:r>
          <w:r>
            <w:rPr>
              <w:rFonts w:hint="eastAsia" w:ascii="黑体" w:hAnsi="黑体" w:eastAsia="黑体" w:cs="黑体"/>
              <w:b w:val="0"/>
              <w:bCs w:val="0"/>
              <w:sz w:val="24"/>
              <w:szCs w:val="24"/>
            </w:rPr>
            <w:fldChar w:fldCharType="separate"/>
          </w:r>
          <w:r>
            <w:rPr>
              <w:rFonts w:hint="eastAsia" w:ascii="黑体" w:hAnsi="黑体" w:eastAsia="黑体" w:cs="黑体"/>
              <w:b w:val="0"/>
              <w:bCs w:val="0"/>
              <w:sz w:val="24"/>
              <w:szCs w:val="24"/>
            </w:rPr>
            <w:t>第二部分 202</w:t>
          </w:r>
          <w:r>
            <w:rPr>
              <w:rFonts w:hint="eastAsia" w:ascii="黑体" w:hAnsi="黑体" w:eastAsia="黑体" w:cs="黑体"/>
              <w:b w:val="0"/>
              <w:bCs w:val="0"/>
              <w:sz w:val="24"/>
              <w:szCs w:val="24"/>
              <w:lang w:val="en-US" w:eastAsia="zh-CN"/>
            </w:rPr>
            <w:t>4</w:t>
          </w:r>
          <w:r>
            <w:rPr>
              <w:rFonts w:hint="eastAsia" w:ascii="黑体" w:hAnsi="黑体" w:eastAsia="黑体" w:cs="黑体"/>
              <w:b w:val="0"/>
              <w:bCs w:val="0"/>
              <w:sz w:val="24"/>
              <w:szCs w:val="24"/>
            </w:rPr>
            <w:t>年度部门决算情况说明</w:t>
          </w:r>
          <w:r>
            <w:rPr>
              <w:rFonts w:hint="eastAsia" w:ascii="黑体" w:hAnsi="黑体" w:eastAsia="黑体" w:cs="黑体"/>
              <w:b w:val="0"/>
              <w:bCs w:val="0"/>
              <w:sz w:val="24"/>
              <w:szCs w:val="24"/>
            </w:rPr>
            <w:tab/>
          </w:r>
          <w:r>
            <w:rPr>
              <w:rFonts w:hint="eastAsia" w:ascii="黑体" w:hAnsi="黑体" w:eastAsia="黑体" w:cs="黑体"/>
              <w:b w:val="0"/>
              <w:bCs w:val="0"/>
              <w:sz w:val="24"/>
              <w:szCs w:val="24"/>
            </w:rPr>
            <w:fldChar w:fldCharType="begin"/>
          </w:r>
          <w:r>
            <w:rPr>
              <w:rFonts w:hint="eastAsia" w:ascii="黑体" w:hAnsi="黑体" w:eastAsia="黑体" w:cs="黑体"/>
              <w:b w:val="0"/>
              <w:bCs w:val="0"/>
              <w:sz w:val="24"/>
              <w:szCs w:val="24"/>
            </w:rPr>
            <w:instrText xml:space="preserve"> PAGEREF _Toc29289 </w:instrText>
          </w:r>
          <w:r>
            <w:rPr>
              <w:rFonts w:hint="eastAsia" w:ascii="黑体" w:hAnsi="黑体" w:eastAsia="黑体" w:cs="黑体"/>
              <w:b w:val="0"/>
              <w:bCs w:val="0"/>
              <w:sz w:val="24"/>
              <w:szCs w:val="24"/>
            </w:rPr>
            <w:fldChar w:fldCharType="separate"/>
          </w:r>
          <w:r>
            <w:rPr>
              <w:rFonts w:hint="eastAsia" w:ascii="黑体" w:hAnsi="黑体" w:eastAsia="黑体" w:cs="黑体"/>
              <w:b w:val="0"/>
              <w:bCs w:val="0"/>
              <w:sz w:val="24"/>
              <w:szCs w:val="24"/>
            </w:rPr>
            <w:t>4</w:t>
          </w:r>
          <w:r>
            <w:rPr>
              <w:rFonts w:hint="eastAsia" w:ascii="黑体" w:hAnsi="黑体" w:eastAsia="黑体" w:cs="黑体"/>
              <w:b w:val="0"/>
              <w:bCs w:val="0"/>
              <w:sz w:val="24"/>
              <w:szCs w:val="24"/>
            </w:rPr>
            <w:fldChar w:fldCharType="end"/>
          </w:r>
          <w:r>
            <w:rPr>
              <w:rFonts w:hint="eastAsia" w:ascii="黑体" w:hAnsi="黑体" w:eastAsia="黑体" w:cs="黑体"/>
              <w:b w:val="0"/>
              <w:bCs w:val="0"/>
              <w:sz w:val="24"/>
              <w:szCs w:val="24"/>
            </w:rPr>
            <w:fldChar w:fldCharType="end"/>
          </w:r>
        </w:p>
        <w:p>
          <w:pPr>
            <w:pStyle w:val="43"/>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fldChar w:fldCharType="begin"/>
          </w:r>
          <w:r>
            <w:rPr>
              <w:rFonts w:hint="eastAsia" w:ascii="仿宋_GB2312" w:hAnsi="仿宋_GB2312" w:eastAsia="仿宋_GB2312" w:cs="仿宋_GB2312"/>
              <w:b w:val="0"/>
              <w:bCs w:val="0"/>
              <w:sz w:val="24"/>
              <w:szCs w:val="24"/>
            </w:rPr>
            <w:instrText xml:space="preserve"> HYPERLINK \l _Toc17685 </w:instrText>
          </w:r>
          <w:r>
            <w:rPr>
              <w:rFonts w:hint="eastAsia" w:ascii="仿宋_GB2312" w:hAnsi="仿宋_GB2312" w:eastAsia="仿宋_GB2312" w:cs="仿宋_GB2312"/>
              <w:b w:val="0"/>
              <w:bCs w:val="0"/>
              <w:sz w:val="24"/>
              <w:szCs w:val="24"/>
            </w:rPr>
            <w:fldChar w:fldCharType="separate"/>
          </w:r>
          <w:r>
            <w:rPr>
              <w:rFonts w:hint="eastAsia" w:ascii="仿宋_GB2312" w:hAnsi="仿宋_GB2312" w:eastAsia="仿宋_GB2312" w:cs="仿宋_GB2312"/>
              <w:b w:val="0"/>
              <w:bCs w:val="0"/>
              <w:sz w:val="24"/>
              <w:szCs w:val="24"/>
            </w:rPr>
            <w:t>一、 收入支出决算总体情况说明</w:t>
          </w:r>
          <w:r>
            <w:rPr>
              <w:rFonts w:hint="eastAsia" w:ascii="仿宋_GB2312" w:hAnsi="仿宋_GB2312" w:eastAsia="仿宋_GB2312" w:cs="仿宋_GB2312"/>
              <w:b w:val="0"/>
              <w:bCs w:val="0"/>
              <w:sz w:val="24"/>
              <w:szCs w:val="24"/>
            </w:rPr>
            <w:tab/>
          </w:r>
          <w:r>
            <w:rPr>
              <w:rFonts w:hint="eastAsia" w:ascii="仿宋_GB2312" w:hAnsi="仿宋_GB2312" w:eastAsia="仿宋_GB2312" w:cs="仿宋_GB2312"/>
              <w:b w:val="0"/>
              <w:bCs w:val="0"/>
              <w:sz w:val="24"/>
              <w:szCs w:val="24"/>
            </w:rPr>
            <w:fldChar w:fldCharType="begin"/>
          </w:r>
          <w:r>
            <w:rPr>
              <w:rFonts w:hint="eastAsia" w:ascii="仿宋_GB2312" w:hAnsi="仿宋_GB2312" w:eastAsia="仿宋_GB2312" w:cs="仿宋_GB2312"/>
              <w:b w:val="0"/>
              <w:bCs w:val="0"/>
              <w:sz w:val="24"/>
              <w:szCs w:val="24"/>
            </w:rPr>
            <w:instrText xml:space="preserve"> PAGEREF _Toc17685 </w:instrText>
          </w:r>
          <w:r>
            <w:rPr>
              <w:rFonts w:hint="eastAsia" w:ascii="仿宋_GB2312" w:hAnsi="仿宋_GB2312" w:eastAsia="仿宋_GB2312" w:cs="仿宋_GB2312"/>
              <w:b w:val="0"/>
              <w:bCs w:val="0"/>
              <w:sz w:val="24"/>
              <w:szCs w:val="24"/>
            </w:rPr>
            <w:fldChar w:fldCharType="separate"/>
          </w:r>
          <w:r>
            <w:rPr>
              <w:rFonts w:hint="eastAsia" w:ascii="仿宋_GB2312" w:hAnsi="仿宋_GB2312" w:eastAsia="仿宋_GB2312" w:cs="仿宋_GB2312"/>
              <w:b w:val="0"/>
              <w:bCs w:val="0"/>
              <w:sz w:val="24"/>
              <w:szCs w:val="24"/>
            </w:rPr>
            <w:t>4</w:t>
          </w:r>
          <w:r>
            <w:rPr>
              <w:rFonts w:hint="eastAsia" w:ascii="仿宋_GB2312" w:hAnsi="仿宋_GB2312" w:eastAsia="仿宋_GB2312" w:cs="仿宋_GB2312"/>
              <w:b w:val="0"/>
              <w:bCs w:val="0"/>
              <w:sz w:val="24"/>
              <w:szCs w:val="24"/>
            </w:rPr>
            <w:fldChar w:fldCharType="end"/>
          </w:r>
          <w:r>
            <w:rPr>
              <w:rFonts w:hint="eastAsia" w:ascii="仿宋_GB2312" w:hAnsi="仿宋_GB2312" w:eastAsia="仿宋_GB2312" w:cs="仿宋_GB2312"/>
              <w:b w:val="0"/>
              <w:bCs w:val="0"/>
              <w:sz w:val="24"/>
              <w:szCs w:val="24"/>
            </w:rPr>
            <w:fldChar w:fldCharType="end"/>
          </w:r>
        </w:p>
        <w:p>
          <w:pPr>
            <w:pStyle w:val="43"/>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fldChar w:fldCharType="begin"/>
          </w:r>
          <w:r>
            <w:rPr>
              <w:rFonts w:hint="eastAsia" w:ascii="仿宋_GB2312" w:hAnsi="仿宋_GB2312" w:eastAsia="仿宋_GB2312" w:cs="仿宋_GB2312"/>
              <w:b w:val="0"/>
              <w:bCs w:val="0"/>
              <w:sz w:val="24"/>
              <w:szCs w:val="24"/>
            </w:rPr>
            <w:instrText xml:space="preserve"> HYPERLINK \l _Toc10980 </w:instrText>
          </w:r>
          <w:r>
            <w:rPr>
              <w:rFonts w:hint="eastAsia" w:ascii="仿宋_GB2312" w:hAnsi="仿宋_GB2312" w:eastAsia="仿宋_GB2312" w:cs="仿宋_GB2312"/>
              <w:b w:val="0"/>
              <w:bCs w:val="0"/>
              <w:sz w:val="24"/>
              <w:szCs w:val="24"/>
            </w:rPr>
            <w:fldChar w:fldCharType="separate"/>
          </w:r>
          <w:r>
            <w:rPr>
              <w:rFonts w:hint="eastAsia" w:ascii="仿宋_GB2312" w:hAnsi="仿宋_GB2312" w:eastAsia="仿宋_GB2312" w:cs="仿宋_GB2312"/>
              <w:b w:val="0"/>
              <w:bCs w:val="0"/>
              <w:sz w:val="24"/>
              <w:szCs w:val="24"/>
            </w:rPr>
            <w:t>二、 收入决算情况说明</w:t>
          </w:r>
          <w:r>
            <w:rPr>
              <w:rFonts w:hint="eastAsia" w:ascii="仿宋_GB2312" w:hAnsi="仿宋_GB2312" w:eastAsia="仿宋_GB2312" w:cs="仿宋_GB2312"/>
              <w:b w:val="0"/>
              <w:bCs w:val="0"/>
              <w:sz w:val="24"/>
              <w:szCs w:val="24"/>
            </w:rPr>
            <w:tab/>
          </w:r>
          <w:r>
            <w:rPr>
              <w:rFonts w:hint="eastAsia" w:ascii="仿宋_GB2312" w:hAnsi="仿宋_GB2312" w:eastAsia="仿宋_GB2312" w:cs="仿宋_GB2312"/>
              <w:b w:val="0"/>
              <w:bCs w:val="0"/>
              <w:sz w:val="24"/>
              <w:szCs w:val="24"/>
            </w:rPr>
            <w:fldChar w:fldCharType="begin"/>
          </w:r>
          <w:r>
            <w:rPr>
              <w:rFonts w:hint="eastAsia" w:ascii="仿宋_GB2312" w:hAnsi="仿宋_GB2312" w:eastAsia="仿宋_GB2312" w:cs="仿宋_GB2312"/>
              <w:b w:val="0"/>
              <w:bCs w:val="0"/>
              <w:sz w:val="24"/>
              <w:szCs w:val="24"/>
            </w:rPr>
            <w:instrText xml:space="preserve"> PAGEREF _Toc10980 </w:instrText>
          </w:r>
          <w:r>
            <w:rPr>
              <w:rFonts w:hint="eastAsia" w:ascii="仿宋_GB2312" w:hAnsi="仿宋_GB2312" w:eastAsia="仿宋_GB2312" w:cs="仿宋_GB2312"/>
              <w:b w:val="0"/>
              <w:bCs w:val="0"/>
              <w:sz w:val="24"/>
              <w:szCs w:val="24"/>
            </w:rPr>
            <w:fldChar w:fldCharType="separate"/>
          </w:r>
          <w:r>
            <w:rPr>
              <w:rFonts w:hint="eastAsia" w:ascii="仿宋_GB2312" w:hAnsi="仿宋_GB2312" w:eastAsia="仿宋_GB2312" w:cs="仿宋_GB2312"/>
              <w:b w:val="0"/>
              <w:bCs w:val="0"/>
              <w:sz w:val="24"/>
              <w:szCs w:val="24"/>
            </w:rPr>
            <w:t>4</w:t>
          </w:r>
          <w:r>
            <w:rPr>
              <w:rFonts w:hint="eastAsia" w:ascii="仿宋_GB2312" w:hAnsi="仿宋_GB2312" w:eastAsia="仿宋_GB2312" w:cs="仿宋_GB2312"/>
              <w:b w:val="0"/>
              <w:bCs w:val="0"/>
              <w:sz w:val="24"/>
              <w:szCs w:val="24"/>
            </w:rPr>
            <w:fldChar w:fldCharType="end"/>
          </w:r>
          <w:r>
            <w:rPr>
              <w:rFonts w:hint="eastAsia" w:ascii="仿宋_GB2312" w:hAnsi="仿宋_GB2312" w:eastAsia="仿宋_GB2312" w:cs="仿宋_GB2312"/>
              <w:b w:val="0"/>
              <w:bCs w:val="0"/>
              <w:sz w:val="24"/>
              <w:szCs w:val="24"/>
            </w:rPr>
            <w:fldChar w:fldCharType="end"/>
          </w:r>
        </w:p>
        <w:p>
          <w:pPr>
            <w:pStyle w:val="43"/>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fldChar w:fldCharType="begin"/>
          </w:r>
          <w:r>
            <w:rPr>
              <w:rFonts w:hint="eastAsia" w:ascii="仿宋_GB2312" w:hAnsi="仿宋_GB2312" w:eastAsia="仿宋_GB2312" w:cs="仿宋_GB2312"/>
              <w:b w:val="0"/>
              <w:bCs w:val="0"/>
              <w:sz w:val="24"/>
              <w:szCs w:val="24"/>
            </w:rPr>
            <w:instrText xml:space="preserve"> HYPERLINK \l _Toc32139 </w:instrText>
          </w:r>
          <w:r>
            <w:rPr>
              <w:rFonts w:hint="eastAsia" w:ascii="仿宋_GB2312" w:hAnsi="仿宋_GB2312" w:eastAsia="仿宋_GB2312" w:cs="仿宋_GB2312"/>
              <w:b w:val="0"/>
              <w:bCs w:val="0"/>
              <w:sz w:val="24"/>
              <w:szCs w:val="24"/>
            </w:rPr>
            <w:fldChar w:fldCharType="separate"/>
          </w:r>
          <w:r>
            <w:rPr>
              <w:rFonts w:hint="eastAsia" w:ascii="仿宋_GB2312" w:hAnsi="仿宋_GB2312" w:eastAsia="仿宋_GB2312" w:cs="仿宋_GB2312"/>
              <w:b w:val="0"/>
              <w:bCs w:val="0"/>
              <w:sz w:val="24"/>
              <w:szCs w:val="24"/>
            </w:rPr>
            <w:t>三、 支出决算情况说明</w:t>
          </w:r>
          <w:r>
            <w:rPr>
              <w:rFonts w:hint="eastAsia" w:ascii="仿宋_GB2312" w:hAnsi="仿宋_GB2312" w:eastAsia="仿宋_GB2312" w:cs="仿宋_GB2312"/>
              <w:b w:val="0"/>
              <w:bCs w:val="0"/>
              <w:sz w:val="24"/>
              <w:szCs w:val="24"/>
            </w:rPr>
            <w:tab/>
          </w:r>
          <w:r>
            <w:rPr>
              <w:rFonts w:hint="eastAsia" w:ascii="仿宋_GB2312" w:hAnsi="仿宋_GB2312" w:eastAsia="仿宋_GB2312" w:cs="仿宋_GB2312"/>
              <w:b w:val="0"/>
              <w:bCs w:val="0"/>
              <w:sz w:val="24"/>
              <w:szCs w:val="24"/>
            </w:rPr>
            <w:fldChar w:fldCharType="begin"/>
          </w:r>
          <w:r>
            <w:rPr>
              <w:rFonts w:hint="eastAsia" w:ascii="仿宋_GB2312" w:hAnsi="仿宋_GB2312" w:eastAsia="仿宋_GB2312" w:cs="仿宋_GB2312"/>
              <w:b w:val="0"/>
              <w:bCs w:val="0"/>
              <w:sz w:val="24"/>
              <w:szCs w:val="24"/>
            </w:rPr>
            <w:instrText xml:space="preserve"> PAGEREF _Toc32139 </w:instrText>
          </w:r>
          <w:r>
            <w:rPr>
              <w:rFonts w:hint="eastAsia" w:ascii="仿宋_GB2312" w:hAnsi="仿宋_GB2312" w:eastAsia="仿宋_GB2312" w:cs="仿宋_GB2312"/>
              <w:b w:val="0"/>
              <w:bCs w:val="0"/>
              <w:sz w:val="24"/>
              <w:szCs w:val="24"/>
            </w:rPr>
            <w:fldChar w:fldCharType="separate"/>
          </w:r>
          <w:r>
            <w:rPr>
              <w:rFonts w:hint="eastAsia" w:ascii="仿宋_GB2312" w:hAnsi="仿宋_GB2312" w:eastAsia="仿宋_GB2312" w:cs="仿宋_GB2312"/>
              <w:b w:val="0"/>
              <w:bCs w:val="0"/>
              <w:sz w:val="24"/>
              <w:szCs w:val="24"/>
            </w:rPr>
            <w:t>5</w:t>
          </w:r>
          <w:r>
            <w:rPr>
              <w:rFonts w:hint="eastAsia" w:ascii="仿宋_GB2312" w:hAnsi="仿宋_GB2312" w:eastAsia="仿宋_GB2312" w:cs="仿宋_GB2312"/>
              <w:b w:val="0"/>
              <w:bCs w:val="0"/>
              <w:sz w:val="24"/>
              <w:szCs w:val="24"/>
            </w:rPr>
            <w:fldChar w:fldCharType="end"/>
          </w:r>
          <w:r>
            <w:rPr>
              <w:rFonts w:hint="eastAsia" w:ascii="仿宋_GB2312" w:hAnsi="仿宋_GB2312" w:eastAsia="仿宋_GB2312" w:cs="仿宋_GB2312"/>
              <w:b w:val="0"/>
              <w:bCs w:val="0"/>
              <w:sz w:val="24"/>
              <w:szCs w:val="24"/>
            </w:rPr>
            <w:fldChar w:fldCharType="end"/>
          </w:r>
        </w:p>
        <w:p>
          <w:pPr>
            <w:pStyle w:val="43"/>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fldChar w:fldCharType="begin"/>
          </w:r>
          <w:r>
            <w:rPr>
              <w:rFonts w:hint="eastAsia" w:ascii="仿宋_GB2312" w:hAnsi="仿宋_GB2312" w:eastAsia="仿宋_GB2312" w:cs="仿宋_GB2312"/>
              <w:b w:val="0"/>
              <w:bCs w:val="0"/>
              <w:sz w:val="24"/>
              <w:szCs w:val="24"/>
            </w:rPr>
            <w:instrText xml:space="preserve"> HYPERLINK \l _Toc8928 </w:instrText>
          </w:r>
          <w:r>
            <w:rPr>
              <w:rFonts w:hint="eastAsia" w:ascii="仿宋_GB2312" w:hAnsi="仿宋_GB2312" w:eastAsia="仿宋_GB2312" w:cs="仿宋_GB2312"/>
              <w:b w:val="0"/>
              <w:bCs w:val="0"/>
              <w:sz w:val="24"/>
              <w:szCs w:val="24"/>
            </w:rPr>
            <w:fldChar w:fldCharType="separate"/>
          </w:r>
          <w:r>
            <w:rPr>
              <w:rFonts w:hint="eastAsia" w:ascii="仿宋_GB2312" w:hAnsi="仿宋_GB2312" w:eastAsia="仿宋_GB2312" w:cs="仿宋_GB2312"/>
              <w:b w:val="0"/>
              <w:bCs w:val="0"/>
              <w:sz w:val="24"/>
              <w:szCs w:val="24"/>
            </w:rPr>
            <w:t>四、财政拨款收入支出决算总体情况说明</w:t>
          </w:r>
          <w:r>
            <w:rPr>
              <w:rFonts w:hint="eastAsia" w:ascii="仿宋_GB2312" w:hAnsi="仿宋_GB2312" w:eastAsia="仿宋_GB2312" w:cs="仿宋_GB2312"/>
              <w:b w:val="0"/>
              <w:bCs w:val="0"/>
              <w:sz w:val="24"/>
              <w:szCs w:val="24"/>
            </w:rPr>
            <w:tab/>
          </w:r>
          <w:r>
            <w:rPr>
              <w:rFonts w:hint="eastAsia" w:ascii="仿宋_GB2312" w:hAnsi="仿宋_GB2312" w:eastAsia="仿宋_GB2312" w:cs="仿宋_GB2312"/>
              <w:b w:val="0"/>
              <w:bCs w:val="0"/>
              <w:sz w:val="24"/>
              <w:szCs w:val="24"/>
            </w:rPr>
            <w:fldChar w:fldCharType="begin"/>
          </w:r>
          <w:r>
            <w:rPr>
              <w:rFonts w:hint="eastAsia" w:ascii="仿宋_GB2312" w:hAnsi="仿宋_GB2312" w:eastAsia="仿宋_GB2312" w:cs="仿宋_GB2312"/>
              <w:b w:val="0"/>
              <w:bCs w:val="0"/>
              <w:sz w:val="24"/>
              <w:szCs w:val="24"/>
            </w:rPr>
            <w:instrText xml:space="preserve"> PAGEREF _Toc8928 </w:instrText>
          </w:r>
          <w:r>
            <w:rPr>
              <w:rFonts w:hint="eastAsia" w:ascii="仿宋_GB2312" w:hAnsi="仿宋_GB2312" w:eastAsia="仿宋_GB2312" w:cs="仿宋_GB2312"/>
              <w:b w:val="0"/>
              <w:bCs w:val="0"/>
              <w:sz w:val="24"/>
              <w:szCs w:val="24"/>
            </w:rPr>
            <w:fldChar w:fldCharType="separate"/>
          </w:r>
          <w:r>
            <w:rPr>
              <w:rFonts w:hint="eastAsia" w:ascii="仿宋_GB2312" w:hAnsi="仿宋_GB2312" w:eastAsia="仿宋_GB2312" w:cs="仿宋_GB2312"/>
              <w:b w:val="0"/>
              <w:bCs w:val="0"/>
              <w:sz w:val="24"/>
              <w:szCs w:val="24"/>
            </w:rPr>
            <w:t>6</w:t>
          </w:r>
          <w:r>
            <w:rPr>
              <w:rFonts w:hint="eastAsia" w:ascii="仿宋_GB2312" w:hAnsi="仿宋_GB2312" w:eastAsia="仿宋_GB2312" w:cs="仿宋_GB2312"/>
              <w:b w:val="0"/>
              <w:bCs w:val="0"/>
              <w:sz w:val="24"/>
              <w:szCs w:val="24"/>
            </w:rPr>
            <w:fldChar w:fldCharType="end"/>
          </w:r>
          <w:r>
            <w:rPr>
              <w:rFonts w:hint="eastAsia" w:ascii="仿宋_GB2312" w:hAnsi="仿宋_GB2312" w:eastAsia="仿宋_GB2312" w:cs="仿宋_GB2312"/>
              <w:b w:val="0"/>
              <w:bCs w:val="0"/>
              <w:sz w:val="24"/>
              <w:szCs w:val="24"/>
            </w:rPr>
            <w:fldChar w:fldCharType="end"/>
          </w:r>
        </w:p>
        <w:p>
          <w:pPr>
            <w:pStyle w:val="43"/>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fldChar w:fldCharType="begin"/>
          </w:r>
          <w:r>
            <w:rPr>
              <w:rFonts w:hint="eastAsia" w:ascii="仿宋_GB2312" w:hAnsi="仿宋_GB2312" w:eastAsia="仿宋_GB2312" w:cs="仿宋_GB2312"/>
              <w:b w:val="0"/>
              <w:bCs w:val="0"/>
              <w:sz w:val="24"/>
              <w:szCs w:val="24"/>
            </w:rPr>
            <w:instrText xml:space="preserve"> HYPERLINK \l _Toc677 </w:instrText>
          </w:r>
          <w:r>
            <w:rPr>
              <w:rFonts w:hint="eastAsia" w:ascii="仿宋_GB2312" w:hAnsi="仿宋_GB2312" w:eastAsia="仿宋_GB2312" w:cs="仿宋_GB2312"/>
              <w:b w:val="0"/>
              <w:bCs w:val="0"/>
              <w:sz w:val="24"/>
              <w:szCs w:val="24"/>
            </w:rPr>
            <w:fldChar w:fldCharType="separate"/>
          </w:r>
          <w:r>
            <w:rPr>
              <w:rFonts w:hint="eastAsia" w:ascii="仿宋_GB2312" w:hAnsi="仿宋_GB2312" w:eastAsia="仿宋_GB2312" w:cs="仿宋_GB2312"/>
              <w:b w:val="0"/>
              <w:bCs w:val="0"/>
              <w:sz w:val="24"/>
              <w:szCs w:val="24"/>
            </w:rPr>
            <w:t>五、一般公共预算财政拨款支出决算情况说明</w:t>
          </w:r>
          <w:r>
            <w:rPr>
              <w:rFonts w:hint="eastAsia" w:ascii="仿宋_GB2312" w:hAnsi="仿宋_GB2312" w:eastAsia="仿宋_GB2312" w:cs="仿宋_GB2312"/>
              <w:b w:val="0"/>
              <w:bCs w:val="0"/>
              <w:sz w:val="24"/>
              <w:szCs w:val="24"/>
            </w:rPr>
            <w:tab/>
          </w:r>
          <w:r>
            <w:rPr>
              <w:rFonts w:hint="eastAsia" w:ascii="仿宋_GB2312" w:hAnsi="仿宋_GB2312" w:eastAsia="仿宋_GB2312" w:cs="仿宋_GB2312"/>
              <w:b w:val="0"/>
              <w:bCs w:val="0"/>
              <w:sz w:val="24"/>
              <w:szCs w:val="24"/>
            </w:rPr>
            <w:fldChar w:fldCharType="begin"/>
          </w:r>
          <w:r>
            <w:rPr>
              <w:rFonts w:hint="eastAsia" w:ascii="仿宋_GB2312" w:hAnsi="仿宋_GB2312" w:eastAsia="仿宋_GB2312" w:cs="仿宋_GB2312"/>
              <w:b w:val="0"/>
              <w:bCs w:val="0"/>
              <w:sz w:val="24"/>
              <w:szCs w:val="24"/>
            </w:rPr>
            <w:instrText xml:space="preserve"> PAGEREF _Toc677 </w:instrText>
          </w:r>
          <w:r>
            <w:rPr>
              <w:rFonts w:hint="eastAsia" w:ascii="仿宋_GB2312" w:hAnsi="仿宋_GB2312" w:eastAsia="仿宋_GB2312" w:cs="仿宋_GB2312"/>
              <w:b w:val="0"/>
              <w:bCs w:val="0"/>
              <w:sz w:val="24"/>
              <w:szCs w:val="24"/>
            </w:rPr>
            <w:fldChar w:fldCharType="separate"/>
          </w:r>
          <w:r>
            <w:rPr>
              <w:rFonts w:hint="eastAsia" w:ascii="仿宋_GB2312" w:hAnsi="仿宋_GB2312" w:eastAsia="仿宋_GB2312" w:cs="仿宋_GB2312"/>
              <w:b w:val="0"/>
              <w:bCs w:val="0"/>
              <w:sz w:val="24"/>
              <w:szCs w:val="24"/>
            </w:rPr>
            <w:t>6</w:t>
          </w:r>
          <w:r>
            <w:rPr>
              <w:rFonts w:hint="eastAsia" w:ascii="仿宋_GB2312" w:hAnsi="仿宋_GB2312" w:eastAsia="仿宋_GB2312" w:cs="仿宋_GB2312"/>
              <w:b w:val="0"/>
              <w:bCs w:val="0"/>
              <w:sz w:val="24"/>
              <w:szCs w:val="24"/>
            </w:rPr>
            <w:fldChar w:fldCharType="end"/>
          </w:r>
          <w:r>
            <w:rPr>
              <w:rFonts w:hint="eastAsia" w:ascii="仿宋_GB2312" w:hAnsi="仿宋_GB2312" w:eastAsia="仿宋_GB2312" w:cs="仿宋_GB2312"/>
              <w:b w:val="0"/>
              <w:bCs w:val="0"/>
              <w:sz w:val="24"/>
              <w:szCs w:val="24"/>
            </w:rPr>
            <w:fldChar w:fldCharType="end"/>
          </w:r>
        </w:p>
        <w:p>
          <w:pPr>
            <w:pStyle w:val="43"/>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fldChar w:fldCharType="begin"/>
          </w:r>
          <w:r>
            <w:rPr>
              <w:rFonts w:hint="eastAsia" w:ascii="仿宋_GB2312" w:hAnsi="仿宋_GB2312" w:eastAsia="仿宋_GB2312" w:cs="仿宋_GB2312"/>
              <w:b w:val="0"/>
              <w:bCs w:val="0"/>
              <w:sz w:val="24"/>
              <w:szCs w:val="24"/>
            </w:rPr>
            <w:instrText xml:space="preserve"> HYPERLINK \l _Toc29879 </w:instrText>
          </w:r>
          <w:r>
            <w:rPr>
              <w:rFonts w:hint="eastAsia" w:ascii="仿宋_GB2312" w:hAnsi="仿宋_GB2312" w:eastAsia="仿宋_GB2312" w:cs="仿宋_GB2312"/>
              <w:b w:val="0"/>
              <w:bCs w:val="0"/>
              <w:sz w:val="24"/>
              <w:szCs w:val="24"/>
            </w:rPr>
            <w:fldChar w:fldCharType="separate"/>
          </w:r>
          <w:r>
            <w:rPr>
              <w:rFonts w:hint="eastAsia" w:ascii="仿宋_GB2312" w:hAnsi="仿宋_GB2312" w:eastAsia="仿宋_GB2312" w:cs="仿宋_GB2312"/>
              <w:b w:val="0"/>
              <w:bCs w:val="0"/>
              <w:sz w:val="24"/>
              <w:szCs w:val="24"/>
            </w:rPr>
            <w:t>六、一般公共预算财政拨款基本支出决算情况说明</w:t>
          </w:r>
          <w:r>
            <w:rPr>
              <w:rFonts w:hint="eastAsia" w:ascii="仿宋_GB2312" w:hAnsi="仿宋_GB2312" w:eastAsia="仿宋_GB2312" w:cs="仿宋_GB2312"/>
              <w:b w:val="0"/>
              <w:bCs w:val="0"/>
              <w:sz w:val="24"/>
              <w:szCs w:val="24"/>
            </w:rPr>
            <w:tab/>
          </w:r>
          <w:r>
            <w:rPr>
              <w:rFonts w:hint="eastAsia" w:ascii="仿宋_GB2312" w:hAnsi="仿宋_GB2312" w:eastAsia="仿宋_GB2312" w:cs="仿宋_GB2312"/>
              <w:b w:val="0"/>
              <w:bCs w:val="0"/>
              <w:sz w:val="24"/>
              <w:szCs w:val="24"/>
            </w:rPr>
            <w:fldChar w:fldCharType="begin"/>
          </w:r>
          <w:r>
            <w:rPr>
              <w:rFonts w:hint="eastAsia" w:ascii="仿宋_GB2312" w:hAnsi="仿宋_GB2312" w:eastAsia="仿宋_GB2312" w:cs="仿宋_GB2312"/>
              <w:b w:val="0"/>
              <w:bCs w:val="0"/>
              <w:sz w:val="24"/>
              <w:szCs w:val="24"/>
            </w:rPr>
            <w:instrText xml:space="preserve"> PAGEREF _Toc29879 </w:instrText>
          </w:r>
          <w:r>
            <w:rPr>
              <w:rFonts w:hint="eastAsia" w:ascii="仿宋_GB2312" w:hAnsi="仿宋_GB2312" w:eastAsia="仿宋_GB2312" w:cs="仿宋_GB2312"/>
              <w:b w:val="0"/>
              <w:bCs w:val="0"/>
              <w:sz w:val="24"/>
              <w:szCs w:val="24"/>
            </w:rPr>
            <w:fldChar w:fldCharType="separate"/>
          </w:r>
          <w:r>
            <w:rPr>
              <w:rFonts w:hint="eastAsia" w:ascii="仿宋_GB2312" w:hAnsi="仿宋_GB2312" w:eastAsia="仿宋_GB2312" w:cs="仿宋_GB2312"/>
              <w:b w:val="0"/>
              <w:bCs w:val="0"/>
              <w:sz w:val="24"/>
              <w:szCs w:val="24"/>
            </w:rPr>
            <w:t>9</w:t>
          </w:r>
          <w:r>
            <w:rPr>
              <w:rFonts w:hint="eastAsia" w:ascii="仿宋_GB2312" w:hAnsi="仿宋_GB2312" w:eastAsia="仿宋_GB2312" w:cs="仿宋_GB2312"/>
              <w:b w:val="0"/>
              <w:bCs w:val="0"/>
              <w:sz w:val="24"/>
              <w:szCs w:val="24"/>
            </w:rPr>
            <w:fldChar w:fldCharType="end"/>
          </w:r>
          <w:r>
            <w:rPr>
              <w:rFonts w:hint="eastAsia" w:ascii="仿宋_GB2312" w:hAnsi="仿宋_GB2312" w:eastAsia="仿宋_GB2312" w:cs="仿宋_GB2312"/>
              <w:b w:val="0"/>
              <w:bCs w:val="0"/>
              <w:sz w:val="24"/>
              <w:szCs w:val="24"/>
            </w:rPr>
            <w:fldChar w:fldCharType="end"/>
          </w:r>
        </w:p>
        <w:p>
          <w:pPr>
            <w:pStyle w:val="43"/>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fldChar w:fldCharType="begin"/>
          </w:r>
          <w:r>
            <w:rPr>
              <w:rFonts w:hint="eastAsia" w:ascii="仿宋_GB2312" w:hAnsi="仿宋_GB2312" w:eastAsia="仿宋_GB2312" w:cs="仿宋_GB2312"/>
              <w:b w:val="0"/>
              <w:bCs w:val="0"/>
              <w:sz w:val="24"/>
              <w:szCs w:val="24"/>
            </w:rPr>
            <w:instrText xml:space="preserve"> HYPERLINK \l _Toc5840 </w:instrText>
          </w:r>
          <w:r>
            <w:rPr>
              <w:rFonts w:hint="eastAsia" w:ascii="仿宋_GB2312" w:hAnsi="仿宋_GB2312" w:eastAsia="仿宋_GB2312" w:cs="仿宋_GB2312"/>
              <w:b w:val="0"/>
              <w:bCs w:val="0"/>
              <w:sz w:val="24"/>
              <w:szCs w:val="24"/>
            </w:rPr>
            <w:fldChar w:fldCharType="separate"/>
          </w:r>
          <w:r>
            <w:rPr>
              <w:rFonts w:hint="eastAsia" w:ascii="仿宋_GB2312" w:hAnsi="仿宋_GB2312" w:eastAsia="仿宋_GB2312" w:cs="仿宋_GB2312"/>
              <w:b w:val="0"/>
              <w:bCs w:val="0"/>
              <w:sz w:val="24"/>
              <w:szCs w:val="24"/>
            </w:rPr>
            <w:t>七、财政拨款“三公”经费支出决算情况说明</w:t>
          </w:r>
          <w:r>
            <w:rPr>
              <w:rFonts w:hint="eastAsia" w:ascii="仿宋_GB2312" w:hAnsi="仿宋_GB2312" w:eastAsia="仿宋_GB2312" w:cs="仿宋_GB2312"/>
              <w:b w:val="0"/>
              <w:bCs w:val="0"/>
              <w:sz w:val="24"/>
              <w:szCs w:val="24"/>
            </w:rPr>
            <w:tab/>
          </w:r>
          <w:r>
            <w:rPr>
              <w:rFonts w:hint="eastAsia" w:ascii="仿宋_GB2312" w:hAnsi="仿宋_GB2312" w:eastAsia="仿宋_GB2312" w:cs="仿宋_GB2312"/>
              <w:b w:val="0"/>
              <w:bCs w:val="0"/>
              <w:sz w:val="24"/>
              <w:szCs w:val="24"/>
            </w:rPr>
            <w:fldChar w:fldCharType="begin"/>
          </w:r>
          <w:r>
            <w:rPr>
              <w:rFonts w:hint="eastAsia" w:ascii="仿宋_GB2312" w:hAnsi="仿宋_GB2312" w:eastAsia="仿宋_GB2312" w:cs="仿宋_GB2312"/>
              <w:b w:val="0"/>
              <w:bCs w:val="0"/>
              <w:sz w:val="24"/>
              <w:szCs w:val="24"/>
            </w:rPr>
            <w:instrText xml:space="preserve"> PAGEREF _Toc5840 </w:instrText>
          </w:r>
          <w:r>
            <w:rPr>
              <w:rFonts w:hint="eastAsia" w:ascii="仿宋_GB2312" w:hAnsi="仿宋_GB2312" w:eastAsia="仿宋_GB2312" w:cs="仿宋_GB2312"/>
              <w:b w:val="0"/>
              <w:bCs w:val="0"/>
              <w:sz w:val="24"/>
              <w:szCs w:val="24"/>
            </w:rPr>
            <w:fldChar w:fldCharType="separate"/>
          </w:r>
          <w:r>
            <w:rPr>
              <w:rFonts w:hint="eastAsia" w:ascii="仿宋_GB2312" w:hAnsi="仿宋_GB2312" w:eastAsia="仿宋_GB2312" w:cs="仿宋_GB2312"/>
              <w:b w:val="0"/>
              <w:bCs w:val="0"/>
              <w:sz w:val="24"/>
              <w:szCs w:val="24"/>
            </w:rPr>
            <w:t>9</w:t>
          </w:r>
          <w:r>
            <w:rPr>
              <w:rFonts w:hint="eastAsia" w:ascii="仿宋_GB2312" w:hAnsi="仿宋_GB2312" w:eastAsia="仿宋_GB2312" w:cs="仿宋_GB2312"/>
              <w:b w:val="0"/>
              <w:bCs w:val="0"/>
              <w:sz w:val="24"/>
              <w:szCs w:val="24"/>
            </w:rPr>
            <w:fldChar w:fldCharType="end"/>
          </w:r>
          <w:r>
            <w:rPr>
              <w:rFonts w:hint="eastAsia" w:ascii="仿宋_GB2312" w:hAnsi="仿宋_GB2312" w:eastAsia="仿宋_GB2312" w:cs="仿宋_GB2312"/>
              <w:b w:val="0"/>
              <w:bCs w:val="0"/>
              <w:sz w:val="24"/>
              <w:szCs w:val="24"/>
            </w:rPr>
            <w:fldChar w:fldCharType="end"/>
          </w:r>
        </w:p>
        <w:p>
          <w:pPr>
            <w:pStyle w:val="43"/>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fldChar w:fldCharType="begin"/>
          </w:r>
          <w:r>
            <w:rPr>
              <w:rFonts w:hint="eastAsia" w:ascii="仿宋_GB2312" w:hAnsi="仿宋_GB2312" w:eastAsia="仿宋_GB2312" w:cs="仿宋_GB2312"/>
              <w:b w:val="0"/>
              <w:bCs w:val="0"/>
              <w:sz w:val="24"/>
              <w:szCs w:val="24"/>
            </w:rPr>
            <w:instrText xml:space="preserve"> HYPERLINK \l _Toc23172 </w:instrText>
          </w:r>
          <w:r>
            <w:rPr>
              <w:rFonts w:hint="eastAsia" w:ascii="仿宋_GB2312" w:hAnsi="仿宋_GB2312" w:eastAsia="仿宋_GB2312" w:cs="仿宋_GB2312"/>
              <w:b w:val="0"/>
              <w:bCs w:val="0"/>
              <w:sz w:val="24"/>
              <w:szCs w:val="24"/>
            </w:rPr>
            <w:fldChar w:fldCharType="separate"/>
          </w:r>
          <w:r>
            <w:rPr>
              <w:rFonts w:hint="eastAsia" w:ascii="仿宋_GB2312" w:hAnsi="仿宋_GB2312" w:eastAsia="仿宋_GB2312" w:cs="仿宋_GB2312"/>
              <w:b w:val="0"/>
              <w:bCs w:val="0"/>
              <w:sz w:val="24"/>
              <w:szCs w:val="24"/>
            </w:rPr>
            <w:t>八、政府性基金预算支出决算情况说明</w:t>
          </w:r>
          <w:r>
            <w:rPr>
              <w:rFonts w:hint="eastAsia" w:ascii="仿宋_GB2312" w:hAnsi="仿宋_GB2312" w:eastAsia="仿宋_GB2312" w:cs="仿宋_GB2312"/>
              <w:b w:val="0"/>
              <w:bCs w:val="0"/>
              <w:sz w:val="24"/>
              <w:szCs w:val="24"/>
            </w:rPr>
            <w:tab/>
          </w:r>
          <w:r>
            <w:rPr>
              <w:rFonts w:hint="eastAsia" w:ascii="仿宋_GB2312" w:hAnsi="仿宋_GB2312" w:eastAsia="仿宋_GB2312" w:cs="仿宋_GB2312"/>
              <w:b w:val="0"/>
              <w:bCs w:val="0"/>
              <w:sz w:val="24"/>
              <w:szCs w:val="24"/>
            </w:rPr>
            <w:fldChar w:fldCharType="begin"/>
          </w:r>
          <w:r>
            <w:rPr>
              <w:rFonts w:hint="eastAsia" w:ascii="仿宋_GB2312" w:hAnsi="仿宋_GB2312" w:eastAsia="仿宋_GB2312" w:cs="仿宋_GB2312"/>
              <w:b w:val="0"/>
              <w:bCs w:val="0"/>
              <w:sz w:val="24"/>
              <w:szCs w:val="24"/>
            </w:rPr>
            <w:instrText xml:space="preserve"> PAGEREF _Toc23172 </w:instrText>
          </w:r>
          <w:r>
            <w:rPr>
              <w:rFonts w:hint="eastAsia" w:ascii="仿宋_GB2312" w:hAnsi="仿宋_GB2312" w:eastAsia="仿宋_GB2312" w:cs="仿宋_GB2312"/>
              <w:b w:val="0"/>
              <w:bCs w:val="0"/>
              <w:sz w:val="24"/>
              <w:szCs w:val="24"/>
            </w:rPr>
            <w:fldChar w:fldCharType="separate"/>
          </w:r>
          <w:r>
            <w:rPr>
              <w:rFonts w:hint="eastAsia" w:ascii="仿宋_GB2312" w:hAnsi="仿宋_GB2312" w:eastAsia="仿宋_GB2312" w:cs="仿宋_GB2312"/>
              <w:b w:val="0"/>
              <w:bCs w:val="0"/>
              <w:sz w:val="24"/>
              <w:szCs w:val="24"/>
            </w:rPr>
            <w:t>11</w:t>
          </w:r>
          <w:r>
            <w:rPr>
              <w:rFonts w:hint="eastAsia" w:ascii="仿宋_GB2312" w:hAnsi="仿宋_GB2312" w:eastAsia="仿宋_GB2312" w:cs="仿宋_GB2312"/>
              <w:b w:val="0"/>
              <w:bCs w:val="0"/>
              <w:sz w:val="24"/>
              <w:szCs w:val="24"/>
            </w:rPr>
            <w:fldChar w:fldCharType="end"/>
          </w:r>
          <w:r>
            <w:rPr>
              <w:rFonts w:hint="eastAsia" w:ascii="仿宋_GB2312" w:hAnsi="仿宋_GB2312" w:eastAsia="仿宋_GB2312" w:cs="仿宋_GB2312"/>
              <w:b w:val="0"/>
              <w:bCs w:val="0"/>
              <w:sz w:val="24"/>
              <w:szCs w:val="24"/>
            </w:rPr>
            <w:fldChar w:fldCharType="end"/>
          </w:r>
        </w:p>
        <w:p>
          <w:pPr>
            <w:pStyle w:val="43"/>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fldChar w:fldCharType="begin"/>
          </w:r>
          <w:r>
            <w:rPr>
              <w:rFonts w:hint="eastAsia" w:ascii="仿宋_GB2312" w:hAnsi="仿宋_GB2312" w:eastAsia="仿宋_GB2312" w:cs="仿宋_GB2312"/>
              <w:b w:val="0"/>
              <w:bCs w:val="0"/>
              <w:sz w:val="24"/>
              <w:szCs w:val="24"/>
            </w:rPr>
            <w:instrText xml:space="preserve"> HYPERLINK \l _Toc4623 </w:instrText>
          </w:r>
          <w:r>
            <w:rPr>
              <w:rFonts w:hint="eastAsia" w:ascii="仿宋_GB2312" w:hAnsi="仿宋_GB2312" w:eastAsia="仿宋_GB2312" w:cs="仿宋_GB2312"/>
              <w:b w:val="0"/>
              <w:bCs w:val="0"/>
              <w:sz w:val="24"/>
              <w:szCs w:val="24"/>
            </w:rPr>
            <w:fldChar w:fldCharType="separate"/>
          </w:r>
          <w:r>
            <w:rPr>
              <w:rFonts w:hint="eastAsia" w:ascii="仿宋_GB2312" w:hAnsi="仿宋_GB2312" w:eastAsia="仿宋_GB2312" w:cs="仿宋_GB2312"/>
              <w:b w:val="0"/>
              <w:bCs w:val="0"/>
              <w:sz w:val="24"/>
              <w:szCs w:val="24"/>
            </w:rPr>
            <w:t>九、 国有资本经营预算支出决算情况说明</w:t>
          </w:r>
          <w:r>
            <w:rPr>
              <w:rFonts w:hint="eastAsia" w:ascii="仿宋_GB2312" w:hAnsi="仿宋_GB2312" w:eastAsia="仿宋_GB2312" w:cs="仿宋_GB2312"/>
              <w:b w:val="0"/>
              <w:bCs w:val="0"/>
              <w:sz w:val="24"/>
              <w:szCs w:val="24"/>
            </w:rPr>
            <w:tab/>
          </w:r>
          <w:r>
            <w:rPr>
              <w:rFonts w:hint="eastAsia" w:ascii="仿宋_GB2312" w:hAnsi="仿宋_GB2312" w:eastAsia="仿宋_GB2312" w:cs="仿宋_GB2312"/>
              <w:b w:val="0"/>
              <w:bCs w:val="0"/>
              <w:sz w:val="24"/>
              <w:szCs w:val="24"/>
            </w:rPr>
            <w:fldChar w:fldCharType="begin"/>
          </w:r>
          <w:r>
            <w:rPr>
              <w:rFonts w:hint="eastAsia" w:ascii="仿宋_GB2312" w:hAnsi="仿宋_GB2312" w:eastAsia="仿宋_GB2312" w:cs="仿宋_GB2312"/>
              <w:b w:val="0"/>
              <w:bCs w:val="0"/>
              <w:sz w:val="24"/>
              <w:szCs w:val="24"/>
            </w:rPr>
            <w:instrText xml:space="preserve"> PAGEREF _Toc4623 </w:instrText>
          </w:r>
          <w:r>
            <w:rPr>
              <w:rFonts w:hint="eastAsia" w:ascii="仿宋_GB2312" w:hAnsi="仿宋_GB2312" w:eastAsia="仿宋_GB2312" w:cs="仿宋_GB2312"/>
              <w:b w:val="0"/>
              <w:bCs w:val="0"/>
              <w:sz w:val="24"/>
              <w:szCs w:val="24"/>
            </w:rPr>
            <w:fldChar w:fldCharType="separate"/>
          </w:r>
          <w:r>
            <w:rPr>
              <w:rFonts w:hint="eastAsia" w:ascii="仿宋_GB2312" w:hAnsi="仿宋_GB2312" w:eastAsia="仿宋_GB2312" w:cs="仿宋_GB2312"/>
              <w:b w:val="0"/>
              <w:bCs w:val="0"/>
              <w:sz w:val="24"/>
              <w:szCs w:val="24"/>
            </w:rPr>
            <w:t>12</w:t>
          </w:r>
          <w:r>
            <w:rPr>
              <w:rFonts w:hint="eastAsia" w:ascii="仿宋_GB2312" w:hAnsi="仿宋_GB2312" w:eastAsia="仿宋_GB2312" w:cs="仿宋_GB2312"/>
              <w:b w:val="0"/>
              <w:bCs w:val="0"/>
              <w:sz w:val="24"/>
              <w:szCs w:val="24"/>
            </w:rPr>
            <w:fldChar w:fldCharType="end"/>
          </w:r>
          <w:r>
            <w:rPr>
              <w:rFonts w:hint="eastAsia" w:ascii="仿宋_GB2312" w:hAnsi="仿宋_GB2312" w:eastAsia="仿宋_GB2312" w:cs="仿宋_GB2312"/>
              <w:b w:val="0"/>
              <w:bCs w:val="0"/>
              <w:sz w:val="24"/>
              <w:szCs w:val="24"/>
            </w:rPr>
            <w:fldChar w:fldCharType="end"/>
          </w:r>
        </w:p>
        <w:p>
          <w:pPr>
            <w:pStyle w:val="43"/>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fldChar w:fldCharType="begin"/>
          </w:r>
          <w:r>
            <w:rPr>
              <w:rFonts w:hint="eastAsia" w:ascii="仿宋_GB2312" w:hAnsi="仿宋_GB2312" w:eastAsia="仿宋_GB2312" w:cs="仿宋_GB2312"/>
              <w:b w:val="0"/>
              <w:bCs w:val="0"/>
              <w:sz w:val="24"/>
              <w:szCs w:val="24"/>
            </w:rPr>
            <w:instrText xml:space="preserve"> HYPERLINK \l _Toc14887 </w:instrText>
          </w:r>
          <w:r>
            <w:rPr>
              <w:rFonts w:hint="eastAsia" w:ascii="仿宋_GB2312" w:hAnsi="仿宋_GB2312" w:eastAsia="仿宋_GB2312" w:cs="仿宋_GB2312"/>
              <w:b w:val="0"/>
              <w:bCs w:val="0"/>
              <w:sz w:val="24"/>
              <w:szCs w:val="24"/>
            </w:rPr>
            <w:fldChar w:fldCharType="separate"/>
          </w:r>
          <w:r>
            <w:rPr>
              <w:rFonts w:hint="eastAsia" w:ascii="仿宋_GB2312" w:hAnsi="仿宋_GB2312" w:eastAsia="仿宋_GB2312" w:cs="仿宋_GB2312"/>
              <w:b w:val="0"/>
              <w:bCs w:val="0"/>
              <w:sz w:val="24"/>
              <w:szCs w:val="24"/>
            </w:rPr>
            <w:t>十、 其他重要事项的情况说明</w:t>
          </w:r>
          <w:r>
            <w:rPr>
              <w:rFonts w:hint="eastAsia" w:ascii="仿宋_GB2312" w:hAnsi="仿宋_GB2312" w:eastAsia="仿宋_GB2312" w:cs="仿宋_GB2312"/>
              <w:b w:val="0"/>
              <w:bCs w:val="0"/>
              <w:sz w:val="24"/>
              <w:szCs w:val="24"/>
            </w:rPr>
            <w:tab/>
          </w:r>
          <w:r>
            <w:rPr>
              <w:rFonts w:hint="eastAsia" w:ascii="仿宋_GB2312" w:hAnsi="仿宋_GB2312" w:eastAsia="仿宋_GB2312" w:cs="仿宋_GB2312"/>
              <w:b w:val="0"/>
              <w:bCs w:val="0"/>
              <w:sz w:val="24"/>
              <w:szCs w:val="24"/>
            </w:rPr>
            <w:fldChar w:fldCharType="begin"/>
          </w:r>
          <w:r>
            <w:rPr>
              <w:rFonts w:hint="eastAsia" w:ascii="仿宋_GB2312" w:hAnsi="仿宋_GB2312" w:eastAsia="仿宋_GB2312" w:cs="仿宋_GB2312"/>
              <w:b w:val="0"/>
              <w:bCs w:val="0"/>
              <w:sz w:val="24"/>
              <w:szCs w:val="24"/>
            </w:rPr>
            <w:instrText xml:space="preserve"> PAGEREF _Toc14887 </w:instrText>
          </w:r>
          <w:r>
            <w:rPr>
              <w:rFonts w:hint="eastAsia" w:ascii="仿宋_GB2312" w:hAnsi="仿宋_GB2312" w:eastAsia="仿宋_GB2312" w:cs="仿宋_GB2312"/>
              <w:b w:val="0"/>
              <w:bCs w:val="0"/>
              <w:sz w:val="24"/>
              <w:szCs w:val="24"/>
            </w:rPr>
            <w:fldChar w:fldCharType="separate"/>
          </w:r>
          <w:r>
            <w:rPr>
              <w:rFonts w:hint="eastAsia" w:ascii="仿宋_GB2312" w:hAnsi="仿宋_GB2312" w:eastAsia="仿宋_GB2312" w:cs="仿宋_GB2312"/>
              <w:b w:val="0"/>
              <w:bCs w:val="0"/>
              <w:sz w:val="24"/>
              <w:szCs w:val="24"/>
            </w:rPr>
            <w:t>12</w:t>
          </w:r>
          <w:r>
            <w:rPr>
              <w:rFonts w:hint="eastAsia" w:ascii="仿宋_GB2312" w:hAnsi="仿宋_GB2312" w:eastAsia="仿宋_GB2312" w:cs="仿宋_GB2312"/>
              <w:b w:val="0"/>
              <w:bCs w:val="0"/>
              <w:sz w:val="24"/>
              <w:szCs w:val="24"/>
            </w:rPr>
            <w:fldChar w:fldCharType="end"/>
          </w:r>
          <w:r>
            <w:rPr>
              <w:rFonts w:hint="eastAsia" w:ascii="仿宋_GB2312" w:hAnsi="仿宋_GB2312" w:eastAsia="仿宋_GB2312" w:cs="仿宋_GB2312"/>
              <w:b w:val="0"/>
              <w:bCs w:val="0"/>
              <w:sz w:val="24"/>
              <w:szCs w:val="24"/>
            </w:rPr>
            <w:fldChar w:fldCharType="end"/>
          </w:r>
        </w:p>
        <w:p>
          <w:pPr>
            <w:pStyle w:val="42"/>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黑体" w:hAnsi="黑体" w:eastAsia="黑体" w:cs="黑体"/>
              <w:b w:val="0"/>
              <w:bCs w:val="0"/>
              <w:sz w:val="24"/>
              <w:szCs w:val="24"/>
            </w:rPr>
          </w:pPr>
          <w:r>
            <w:rPr>
              <w:rFonts w:hint="eastAsia" w:ascii="黑体" w:hAnsi="黑体" w:eastAsia="黑体" w:cs="黑体"/>
              <w:b w:val="0"/>
              <w:bCs w:val="0"/>
              <w:sz w:val="24"/>
              <w:szCs w:val="24"/>
            </w:rPr>
            <w:fldChar w:fldCharType="begin"/>
          </w:r>
          <w:r>
            <w:rPr>
              <w:rFonts w:hint="eastAsia" w:ascii="黑体" w:hAnsi="黑体" w:eastAsia="黑体" w:cs="黑体"/>
              <w:b w:val="0"/>
              <w:bCs w:val="0"/>
              <w:sz w:val="24"/>
              <w:szCs w:val="24"/>
            </w:rPr>
            <w:instrText xml:space="preserve"> HYPERLINK \l _Toc26471 </w:instrText>
          </w:r>
          <w:r>
            <w:rPr>
              <w:rFonts w:hint="eastAsia" w:ascii="黑体" w:hAnsi="黑体" w:eastAsia="黑体" w:cs="黑体"/>
              <w:b w:val="0"/>
              <w:bCs w:val="0"/>
              <w:sz w:val="24"/>
              <w:szCs w:val="24"/>
            </w:rPr>
            <w:fldChar w:fldCharType="separate"/>
          </w:r>
          <w:r>
            <w:rPr>
              <w:rFonts w:hint="eastAsia" w:ascii="黑体" w:hAnsi="黑体" w:eastAsia="黑体" w:cs="黑体"/>
              <w:b w:val="0"/>
              <w:bCs w:val="0"/>
              <w:sz w:val="24"/>
              <w:szCs w:val="24"/>
              <w:lang w:eastAsia="zh-CN"/>
            </w:rPr>
            <w:t>第三部分</w:t>
          </w:r>
          <w:r>
            <w:rPr>
              <w:rFonts w:hint="eastAsia" w:ascii="黑体" w:hAnsi="黑体" w:eastAsia="黑体" w:cs="黑体"/>
              <w:b w:val="0"/>
              <w:bCs w:val="0"/>
              <w:sz w:val="24"/>
              <w:szCs w:val="24"/>
              <w:lang w:val="en-US" w:eastAsia="zh-CN"/>
            </w:rPr>
            <w:t xml:space="preserve"> </w:t>
          </w:r>
          <w:r>
            <w:rPr>
              <w:rFonts w:hint="eastAsia" w:ascii="黑体" w:hAnsi="黑体" w:eastAsia="黑体" w:cs="黑体"/>
              <w:b w:val="0"/>
              <w:bCs w:val="0"/>
              <w:sz w:val="24"/>
              <w:szCs w:val="24"/>
            </w:rPr>
            <w:t>名词解释</w:t>
          </w:r>
          <w:r>
            <w:rPr>
              <w:rFonts w:hint="eastAsia" w:ascii="黑体" w:hAnsi="黑体" w:eastAsia="黑体" w:cs="黑体"/>
              <w:b w:val="0"/>
              <w:bCs w:val="0"/>
              <w:sz w:val="24"/>
              <w:szCs w:val="24"/>
            </w:rPr>
            <w:tab/>
          </w:r>
          <w:r>
            <w:rPr>
              <w:rFonts w:hint="eastAsia" w:ascii="黑体" w:hAnsi="黑体" w:eastAsia="黑体" w:cs="黑体"/>
              <w:b w:val="0"/>
              <w:bCs w:val="0"/>
              <w:sz w:val="24"/>
              <w:szCs w:val="24"/>
            </w:rPr>
            <w:fldChar w:fldCharType="begin"/>
          </w:r>
          <w:r>
            <w:rPr>
              <w:rFonts w:hint="eastAsia" w:ascii="黑体" w:hAnsi="黑体" w:eastAsia="黑体" w:cs="黑体"/>
              <w:b w:val="0"/>
              <w:bCs w:val="0"/>
              <w:sz w:val="24"/>
              <w:szCs w:val="24"/>
            </w:rPr>
            <w:instrText xml:space="preserve"> PAGEREF _Toc26471 </w:instrText>
          </w:r>
          <w:r>
            <w:rPr>
              <w:rFonts w:hint="eastAsia" w:ascii="黑体" w:hAnsi="黑体" w:eastAsia="黑体" w:cs="黑体"/>
              <w:b w:val="0"/>
              <w:bCs w:val="0"/>
              <w:sz w:val="24"/>
              <w:szCs w:val="24"/>
            </w:rPr>
            <w:fldChar w:fldCharType="separate"/>
          </w:r>
          <w:r>
            <w:rPr>
              <w:rFonts w:hint="eastAsia" w:ascii="黑体" w:hAnsi="黑体" w:eastAsia="黑体" w:cs="黑体"/>
              <w:b w:val="0"/>
              <w:bCs w:val="0"/>
              <w:sz w:val="24"/>
              <w:szCs w:val="24"/>
            </w:rPr>
            <w:t>14</w:t>
          </w:r>
          <w:r>
            <w:rPr>
              <w:rFonts w:hint="eastAsia" w:ascii="黑体" w:hAnsi="黑体" w:eastAsia="黑体" w:cs="黑体"/>
              <w:b w:val="0"/>
              <w:bCs w:val="0"/>
              <w:sz w:val="24"/>
              <w:szCs w:val="24"/>
            </w:rPr>
            <w:fldChar w:fldCharType="end"/>
          </w:r>
          <w:r>
            <w:rPr>
              <w:rFonts w:hint="eastAsia" w:ascii="黑体" w:hAnsi="黑体" w:eastAsia="黑体" w:cs="黑体"/>
              <w:b w:val="0"/>
              <w:bCs w:val="0"/>
              <w:sz w:val="24"/>
              <w:szCs w:val="24"/>
            </w:rPr>
            <w:fldChar w:fldCharType="end"/>
          </w:r>
        </w:p>
        <w:p>
          <w:pPr>
            <w:pStyle w:val="42"/>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黑体" w:hAnsi="黑体" w:eastAsia="黑体" w:cs="黑体"/>
              <w:b w:val="0"/>
              <w:bCs w:val="0"/>
              <w:sz w:val="24"/>
              <w:szCs w:val="24"/>
            </w:rPr>
          </w:pPr>
          <w:r>
            <w:rPr>
              <w:rFonts w:hint="eastAsia" w:ascii="黑体" w:hAnsi="黑体" w:eastAsia="黑体" w:cs="黑体"/>
              <w:b w:val="0"/>
              <w:bCs w:val="0"/>
              <w:sz w:val="24"/>
              <w:szCs w:val="24"/>
            </w:rPr>
            <w:fldChar w:fldCharType="begin"/>
          </w:r>
          <w:r>
            <w:rPr>
              <w:rFonts w:hint="eastAsia" w:ascii="黑体" w:hAnsi="黑体" w:eastAsia="黑体" w:cs="黑体"/>
              <w:b w:val="0"/>
              <w:bCs w:val="0"/>
              <w:sz w:val="24"/>
              <w:szCs w:val="24"/>
            </w:rPr>
            <w:instrText xml:space="preserve"> HYPERLINK \l _Toc31237 </w:instrText>
          </w:r>
          <w:r>
            <w:rPr>
              <w:rFonts w:hint="eastAsia" w:ascii="黑体" w:hAnsi="黑体" w:eastAsia="黑体" w:cs="黑体"/>
              <w:b w:val="0"/>
              <w:bCs w:val="0"/>
              <w:sz w:val="24"/>
              <w:szCs w:val="24"/>
            </w:rPr>
            <w:fldChar w:fldCharType="separate"/>
          </w:r>
          <w:r>
            <w:rPr>
              <w:rFonts w:hint="eastAsia" w:ascii="黑体" w:hAnsi="黑体" w:eastAsia="黑体" w:cs="黑体"/>
              <w:b w:val="0"/>
              <w:bCs w:val="0"/>
              <w:sz w:val="24"/>
              <w:szCs w:val="24"/>
            </w:rPr>
            <w:t>第四部分 附件</w:t>
          </w:r>
          <w:r>
            <w:rPr>
              <w:rFonts w:hint="eastAsia" w:ascii="黑体" w:hAnsi="黑体" w:eastAsia="黑体" w:cs="黑体"/>
              <w:b w:val="0"/>
              <w:bCs w:val="0"/>
              <w:sz w:val="24"/>
              <w:szCs w:val="24"/>
            </w:rPr>
            <w:tab/>
          </w:r>
          <w:r>
            <w:rPr>
              <w:rFonts w:hint="eastAsia" w:ascii="黑体" w:hAnsi="黑体" w:eastAsia="黑体" w:cs="黑体"/>
              <w:b w:val="0"/>
              <w:bCs w:val="0"/>
              <w:sz w:val="24"/>
              <w:szCs w:val="24"/>
            </w:rPr>
            <w:fldChar w:fldCharType="begin"/>
          </w:r>
          <w:r>
            <w:rPr>
              <w:rFonts w:hint="eastAsia" w:ascii="黑体" w:hAnsi="黑体" w:eastAsia="黑体" w:cs="黑体"/>
              <w:b w:val="0"/>
              <w:bCs w:val="0"/>
              <w:sz w:val="24"/>
              <w:szCs w:val="24"/>
            </w:rPr>
            <w:instrText xml:space="preserve"> PAGEREF _Toc31237 </w:instrText>
          </w:r>
          <w:r>
            <w:rPr>
              <w:rFonts w:hint="eastAsia" w:ascii="黑体" w:hAnsi="黑体" w:eastAsia="黑体" w:cs="黑体"/>
              <w:b w:val="0"/>
              <w:bCs w:val="0"/>
              <w:sz w:val="24"/>
              <w:szCs w:val="24"/>
            </w:rPr>
            <w:fldChar w:fldCharType="separate"/>
          </w:r>
          <w:r>
            <w:rPr>
              <w:rFonts w:hint="eastAsia" w:ascii="黑体" w:hAnsi="黑体" w:eastAsia="黑体" w:cs="黑体"/>
              <w:b w:val="0"/>
              <w:bCs w:val="0"/>
              <w:sz w:val="24"/>
              <w:szCs w:val="24"/>
            </w:rPr>
            <w:t>17</w:t>
          </w:r>
          <w:r>
            <w:rPr>
              <w:rFonts w:hint="eastAsia" w:ascii="黑体" w:hAnsi="黑体" w:eastAsia="黑体" w:cs="黑体"/>
              <w:b w:val="0"/>
              <w:bCs w:val="0"/>
              <w:sz w:val="24"/>
              <w:szCs w:val="24"/>
            </w:rPr>
            <w:fldChar w:fldCharType="end"/>
          </w:r>
          <w:r>
            <w:rPr>
              <w:rFonts w:hint="eastAsia" w:ascii="黑体" w:hAnsi="黑体" w:eastAsia="黑体" w:cs="黑体"/>
              <w:b w:val="0"/>
              <w:bCs w:val="0"/>
              <w:sz w:val="24"/>
              <w:szCs w:val="24"/>
            </w:rPr>
            <w:fldChar w:fldCharType="end"/>
          </w:r>
        </w:p>
        <w:p>
          <w:pPr>
            <w:pStyle w:val="42"/>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黑体" w:hAnsi="黑体" w:eastAsia="黑体" w:cs="黑体"/>
              <w:b w:val="0"/>
              <w:bCs w:val="0"/>
              <w:sz w:val="24"/>
              <w:szCs w:val="24"/>
            </w:rPr>
          </w:pPr>
          <w:r>
            <w:rPr>
              <w:rFonts w:hint="eastAsia" w:ascii="黑体" w:hAnsi="黑体" w:eastAsia="黑体" w:cs="黑体"/>
              <w:b w:val="0"/>
              <w:bCs w:val="0"/>
              <w:sz w:val="24"/>
              <w:szCs w:val="24"/>
            </w:rPr>
            <w:fldChar w:fldCharType="begin"/>
          </w:r>
          <w:r>
            <w:rPr>
              <w:rFonts w:hint="eastAsia" w:ascii="黑体" w:hAnsi="黑体" w:eastAsia="黑体" w:cs="黑体"/>
              <w:b w:val="0"/>
              <w:bCs w:val="0"/>
              <w:sz w:val="24"/>
              <w:szCs w:val="24"/>
            </w:rPr>
            <w:instrText xml:space="preserve"> HYPERLINK \l _Toc15291 </w:instrText>
          </w:r>
          <w:r>
            <w:rPr>
              <w:rFonts w:hint="eastAsia" w:ascii="黑体" w:hAnsi="黑体" w:eastAsia="黑体" w:cs="黑体"/>
              <w:b w:val="0"/>
              <w:bCs w:val="0"/>
              <w:sz w:val="24"/>
              <w:szCs w:val="24"/>
            </w:rPr>
            <w:fldChar w:fldCharType="separate"/>
          </w:r>
          <w:r>
            <w:rPr>
              <w:rFonts w:hint="eastAsia" w:ascii="黑体" w:hAnsi="黑体" w:eastAsia="黑体" w:cs="黑体"/>
              <w:b w:val="0"/>
              <w:bCs w:val="0"/>
              <w:sz w:val="24"/>
              <w:szCs w:val="24"/>
            </w:rPr>
            <w:t>第五部分 附表</w:t>
          </w:r>
          <w:r>
            <w:rPr>
              <w:rFonts w:hint="eastAsia" w:ascii="黑体" w:hAnsi="黑体" w:eastAsia="黑体" w:cs="黑体"/>
              <w:b w:val="0"/>
              <w:bCs w:val="0"/>
              <w:sz w:val="24"/>
              <w:szCs w:val="24"/>
            </w:rPr>
            <w:tab/>
          </w:r>
          <w:r>
            <w:rPr>
              <w:rFonts w:hint="eastAsia" w:ascii="黑体" w:hAnsi="黑体" w:eastAsia="黑体" w:cs="黑体"/>
              <w:b w:val="0"/>
              <w:bCs w:val="0"/>
              <w:sz w:val="24"/>
              <w:szCs w:val="24"/>
            </w:rPr>
            <w:fldChar w:fldCharType="begin"/>
          </w:r>
          <w:r>
            <w:rPr>
              <w:rFonts w:hint="eastAsia" w:ascii="黑体" w:hAnsi="黑体" w:eastAsia="黑体" w:cs="黑体"/>
              <w:b w:val="0"/>
              <w:bCs w:val="0"/>
              <w:sz w:val="24"/>
              <w:szCs w:val="24"/>
            </w:rPr>
            <w:instrText xml:space="preserve"> PAGEREF _Toc15291 </w:instrText>
          </w:r>
          <w:r>
            <w:rPr>
              <w:rFonts w:hint="eastAsia" w:ascii="黑体" w:hAnsi="黑体" w:eastAsia="黑体" w:cs="黑体"/>
              <w:b w:val="0"/>
              <w:bCs w:val="0"/>
              <w:sz w:val="24"/>
              <w:szCs w:val="24"/>
            </w:rPr>
            <w:fldChar w:fldCharType="separate"/>
          </w:r>
          <w:r>
            <w:rPr>
              <w:rFonts w:hint="eastAsia" w:ascii="黑体" w:hAnsi="黑体" w:eastAsia="黑体" w:cs="黑体"/>
              <w:b w:val="0"/>
              <w:bCs w:val="0"/>
              <w:sz w:val="24"/>
              <w:szCs w:val="24"/>
            </w:rPr>
            <w:t>42</w:t>
          </w:r>
          <w:r>
            <w:rPr>
              <w:rFonts w:hint="eastAsia" w:ascii="黑体" w:hAnsi="黑体" w:eastAsia="黑体" w:cs="黑体"/>
              <w:b w:val="0"/>
              <w:bCs w:val="0"/>
              <w:sz w:val="24"/>
              <w:szCs w:val="24"/>
            </w:rPr>
            <w:fldChar w:fldCharType="end"/>
          </w:r>
          <w:r>
            <w:rPr>
              <w:rFonts w:hint="eastAsia" w:ascii="黑体" w:hAnsi="黑体" w:eastAsia="黑体" w:cs="黑体"/>
              <w:b w:val="0"/>
              <w:bCs w:val="0"/>
              <w:sz w:val="24"/>
              <w:szCs w:val="24"/>
            </w:rPr>
            <w:fldChar w:fldCharType="end"/>
          </w:r>
        </w:p>
        <w:p>
          <w:pPr>
            <w:pStyle w:val="43"/>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fldChar w:fldCharType="begin"/>
          </w:r>
          <w:r>
            <w:rPr>
              <w:rFonts w:hint="eastAsia" w:ascii="仿宋_GB2312" w:hAnsi="仿宋_GB2312" w:eastAsia="仿宋_GB2312" w:cs="仿宋_GB2312"/>
              <w:b w:val="0"/>
              <w:bCs w:val="0"/>
              <w:sz w:val="24"/>
              <w:szCs w:val="24"/>
            </w:rPr>
            <w:instrText xml:space="preserve"> HYPERLINK \l _Toc368 </w:instrText>
          </w:r>
          <w:r>
            <w:rPr>
              <w:rFonts w:hint="eastAsia" w:ascii="仿宋_GB2312" w:hAnsi="仿宋_GB2312" w:eastAsia="仿宋_GB2312" w:cs="仿宋_GB2312"/>
              <w:b w:val="0"/>
              <w:bCs w:val="0"/>
              <w:sz w:val="24"/>
              <w:szCs w:val="24"/>
            </w:rPr>
            <w:fldChar w:fldCharType="separate"/>
          </w:r>
          <w:r>
            <w:rPr>
              <w:rFonts w:hint="eastAsia" w:ascii="仿宋_GB2312" w:hAnsi="仿宋_GB2312" w:eastAsia="仿宋_GB2312" w:cs="仿宋_GB2312"/>
              <w:b w:val="0"/>
              <w:bCs w:val="0"/>
              <w:sz w:val="24"/>
              <w:szCs w:val="24"/>
            </w:rPr>
            <w:t>一、收入支出决算总表</w:t>
          </w:r>
          <w:r>
            <w:rPr>
              <w:rFonts w:hint="eastAsia" w:ascii="仿宋_GB2312" w:hAnsi="仿宋_GB2312" w:eastAsia="仿宋_GB2312" w:cs="仿宋_GB2312"/>
              <w:b w:val="0"/>
              <w:bCs w:val="0"/>
              <w:sz w:val="24"/>
              <w:szCs w:val="24"/>
            </w:rPr>
            <w:tab/>
          </w:r>
          <w:r>
            <w:rPr>
              <w:rFonts w:hint="eastAsia" w:ascii="仿宋_GB2312" w:hAnsi="仿宋_GB2312" w:eastAsia="仿宋_GB2312" w:cs="仿宋_GB2312"/>
              <w:b w:val="0"/>
              <w:bCs w:val="0"/>
              <w:sz w:val="24"/>
              <w:szCs w:val="24"/>
            </w:rPr>
            <w:fldChar w:fldCharType="begin"/>
          </w:r>
          <w:r>
            <w:rPr>
              <w:rFonts w:hint="eastAsia" w:ascii="仿宋_GB2312" w:hAnsi="仿宋_GB2312" w:eastAsia="仿宋_GB2312" w:cs="仿宋_GB2312"/>
              <w:b w:val="0"/>
              <w:bCs w:val="0"/>
              <w:sz w:val="24"/>
              <w:szCs w:val="24"/>
            </w:rPr>
            <w:instrText xml:space="preserve"> PAGEREF _Toc368 </w:instrText>
          </w:r>
          <w:r>
            <w:rPr>
              <w:rFonts w:hint="eastAsia" w:ascii="仿宋_GB2312" w:hAnsi="仿宋_GB2312" w:eastAsia="仿宋_GB2312" w:cs="仿宋_GB2312"/>
              <w:b w:val="0"/>
              <w:bCs w:val="0"/>
              <w:sz w:val="24"/>
              <w:szCs w:val="24"/>
            </w:rPr>
            <w:fldChar w:fldCharType="separate"/>
          </w:r>
          <w:r>
            <w:rPr>
              <w:rFonts w:hint="eastAsia" w:ascii="仿宋_GB2312" w:hAnsi="仿宋_GB2312" w:eastAsia="仿宋_GB2312" w:cs="仿宋_GB2312"/>
              <w:b w:val="0"/>
              <w:bCs w:val="0"/>
              <w:sz w:val="24"/>
              <w:szCs w:val="24"/>
            </w:rPr>
            <w:t>42</w:t>
          </w:r>
          <w:r>
            <w:rPr>
              <w:rFonts w:hint="eastAsia" w:ascii="仿宋_GB2312" w:hAnsi="仿宋_GB2312" w:eastAsia="仿宋_GB2312" w:cs="仿宋_GB2312"/>
              <w:b w:val="0"/>
              <w:bCs w:val="0"/>
              <w:sz w:val="24"/>
              <w:szCs w:val="24"/>
            </w:rPr>
            <w:fldChar w:fldCharType="end"/>
          </w:r>
          <w:r>
            <w:rPr>
              <w:rFonts w:hint="eastAsia" w:ascii="仿宋_GB2312" w:hAnsi="仿宋_GB2312" w:eastAsia="仿宋_GB2312" w:cs="仿宋_GB2312"/>
              <w:b w:val="0"/>
              <w:bCs w:val="0"/>
              <w:sz w:val="24"/>
              <w:szCs w:val="24"/>
            </w:rPr>
            <w:fldChar w:fldCharType="end"/>
          </w:r>
        </w:p>
        <w:p>
          <w:pPr>
            <w:pStyle w:val="43"/>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fldChar w:fldCharType="begin"/>
          </w:r>
          <w:r>
            <w:rPr>
              <w:rFonts w:hint="eastAsia" w:ascii="仿宋_GB2312" w:hAnsi="仿宋_GB2312" w:eastAsia="仿宋_GB2312" w:cs="仿宋_GB2312"/>
              <w:b w:val="0"/>
              <w:bCs w:val="0"/>
              <w:sz w:val="24"/>
              <w:szCs w:val="24"/>
            </w:rPr>
            <w:instrText xml:space="preserve"> HYPERLINK \l _Toc24530 </w:instrText>
          </w:r>
          <w:r>
            <w:rPr>
              <w:rFonts w:hint="eastAsia" w:ascii="仿宋_GB2312" w:hAnsi="仿宋_GB2312" w:eastAsia="仿宋_GB2312" w:cs="仿宋_GB2312"/>
              <w:b w:val="0"/>
              <w:bCs w:val="0"/>
              <w:sz w:val="24"/>
              <w:szCs w:val="24"/>
            </w:rPr>
            <w:fldChar w:fldCharType="separate"/>
          </w:r>
          <w:r>
            <w:rPr>
              <w:rFonts w:hint="eastAsia" w:ascii="仿宋_GB2312" w:hAnsi="仿宋_GB2312" w:eastAsia="仿宋_GB2312" w:cs="仿宋_GB2312"/>
              <w:b w:val="0"/>
              <w:bCs w:val="0"/>
              <w:sz w:val="24"/>
              <w:szCs w:val="24"/>
            </w:rPr>
            <w:t>二、收入决算表</w:t>
          </w:r>
          <w:r>
            <w:rPr>
              <w:rFonts w:hint="eastAsia" w:ascii="仿宋_GB2312" w:hAnsi="仿宋_GB2312" w:eastAsia="仿宋_GB2312" w:cs="仿宋_GB2312"/>
              <w:b w:val="0"/>
              <w:bCs w:val="0"/>
              <w:sz w:val="24"/>
              <w:szCs w:val="24"/>
            </w:rPr>
            <w:tab/>
          </w:r>
          <w:r>
            <w:rPr>
              <w:rFonts w:hint="eastAsia" w:ascii="仿宋_GB2312" w:hAnsi="仿宋_GB2312" w:eastAsia="仿宋_GB2312" w:cs="仿宋_GB2312"/>
              <w:b w:val="0"/>
              <w:bCs w:val="0"/>
              <w:sz w:val="24"/>
              <w:szCs w:val="24"/>
            </w:rPr>
            <w:fldChar w:fldCharType="begin"/>
          </w:r>
          <w:r>
            <w:rPr>
              <w:rFonts w:hint="eastAsia" w:ascii="仿宋_GB2312" w:hAnsi="仿宋_GB2312" w:eastAsia="仿宋_GB2312" w:cs="仿宋_GB2312"/>
              <w:b w:val="0"/>
              <w:bCs w:val="0"/>
              <w:sz w:val="24"/>
              <w:szCs w:val="24"/>
            </w:rPr>
            <w:instrText xml:space="preserve"> PAGEREF _Toc24530 </w:instrText>
          </w:r>
          <w:r>
            <w:rPr>
              <w:rFonts w:hint="eastAsia" w:ascii="仿宋_GB2312" w:hAnsi="仿宋_GB2312" w:eastAsia="仿宋_GB2312" w:cs="仿宋_GB2312"/>
              <w:b w:val="0"/>
              <w:bCs w:val="0"/>
              <w:sz w:val="24"/>
              <w:szCs w:val="24"/>
            </w:rPr>
            <w:fldChar w:fldCharType="separate"/>
          </w:r>
          <w:r>
            <w:rPr>
              <w:rFonts w:hint="eastAsia" w:ascii="仿宋_GB2312" w:hAnsi="仿宋_GB2312" w:eastAsia="仿宋_GB2312" w:cs="仿宋_GB2312"/>
              <w:b w:val="0"/>
              <w:bCs w:val="0"/>
              <w:sz w:val="24"/>
              <w:szCs w:val="24"/>
            </w:rPr>
            <w:t>42</w:t>
          </w:r>
          <w:r>
            <w:rPr>
              <w:rFonts w:hint="eastAsia" w:ascii="仿宋_GB2312" w:hAnsi="仿宋_GB2312" w:eastAsia="仿宋_GB2312" w:cs="仿宋_GB2312"/>
              <w:b w:val="0"/>
              <w:bCs w:val="0"/>
              <w:sz w:val="24"/>
              <w:szCs w:val="24"/>
            </w:rPr>
            <w:fldChar w:fldCharType="end"/>
          </w:r>
          <w:r>
            <w:rPr>
              <w:rFonts w:hint="eastAsia" w:ascii="仿宋_GB2312" w:hAnsi="仿宋_GB2312" w:eastAsia="仿宋_GB2312" w:cs="仿宋_GB2312"/>
              <w:b w:val="0"/>
              <w:bCs w:val="0"/>
              <w:sz w:val="24"/>
              <w:szCs w:val="24"/>
            </w:rPr>
            <w:fldChar w:fldCharType="end"/>
          </w:r>
        </w:p>
        <w:p>
          <w:pPr>
            <w:pStyle w:val="43"/>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fldChar w:fldCharType="begin"/>
          </w:r>
          <w:r>
            <w:rPr>
              <w:rFonts w:hint="eastAsia" w:ascii="仿宋_GB2312" w:hAnsi="仿宋_GB2312" w:eastAsia="仿宋_GB2312" w:cs="仿宋_GB2312"/>
              <w:b w:val="0"/>
              <w:bCs w:val="0"/>
              <w:sz w:val="24"/>
              <w:szCs w:val="24"/>
            </w:rPr>
            <w:instrText xml:space="preserve"> HYPERLINK \l _Toc5208 </w:instrText>
          </w:r>
          <w:r>
            <w:rPr>
              <w:rFonts w:hint="eastAsia" w:ascii="仿宋_GB2312" w:hAnsi="仿宋_GB2312" w:eastAsia="仿宋_GB2312" w:cs="仿宋_GB2312"/>
              <w:b w:val="0"/>
              <w:bCs w:val="0"/>
              <w:sz w:val="24"/>
              <w:szCs w:val="24"/>
            </w:rPr>
            <w:fldChar w:fldCharType="separate"/>
          </w:r>
          <w:r>
            <w:rPr>
              <w:rFonts w:hint="eastAsia" w:ascii="仿宋_GB2312" w:hAnsi="仿宋_GB2312" w:eastAsia="仿宋_GB2312" w:cs="仿宋_GB2312"/>
              <w:b w:val="0"/>
              <w:bCs w:val="0"/>
              <w:sz w:val="24"/>
              <w:szCs w:val="24"/>
            </w:rPr>
            <w:t>三、支出决算表</w:t>
          </w:r>
          <w:r>
            <w:rPr>
              <w:rFonts w:hint="eastAsia" w:ascii="仿宋_GB2312" w:hAnsi="仿宋_GB2312" w:eastAsia="仿宋_GB2312" w:cs="仿宋_GB2312"/>
              <w:b w:val="0"/>
              <w:bCs w:val="0"/>
              <w:sz w:val="24"/>
              <w:szCs w:val="24"/>
            </w:rPr>
            <w:tab/>
          </w:r>
          <w:r>
            <w:rPr>
              <w:rFonts w:hint="eastAsia" w:ascii="仿宋_GB2312" w:hAnsi="仿宋_GB2312" w:eastAsia="仿宋_GB2312" w:cs="仿宋_GB2312"/>
              <w:b w:val="0"/>
              <w:bCs w:val="0"/>
              <w:sz w:val="24"/>
              <w:szCs w:val="24"/>
            </w:rPr>
            <w:fldChar w:fldCharType="begin"/>
          </w:r>
          <w:r>
            <w:rPr>
              <w:rFonts w:hint="eastAsia" w:ascii="仿宋_GB2312" w:hAnsi="仿宋_GB2312" w:eastAsia="仿宋_GB2312" w:cs="仿宋_GB2312"/>
              <w:b w:val="0"/>
              <w:bCs w:val="0"/>
              <w:sz w:val="24"/>
              <w:szCs w:val="24"/>
            </w:rPr>
            <w:instrText xml:space="preserve"> PAGEREF _Toc5208 </w:instrText>
          </w:r>
          <w:r>
            <w:rPr>
              <w:rFonts w:hint="eastAsia" w:ascii="仿宋_GB2312" w:hAnsi="仿宋_GB2312" w:eastAsia="仿宋_GB2312" w:cs="仿宋_GB2312"/>
              <w:b w:val="0"/>
              <w:bCs w:val="0"/>
              <w:sz w:val="24"/>
              <w:szCs w:val="24"/>
            </w:rPr>
            <w:fldChar w:fldCharType="separate"/>
          </w:r>
          <w:r>
            <w:rPr>
              <w:rFonts w:hint="eastAsia" w:ascii="仿宋_GB2312" w:hAnsi="仿宋_GB2312" w:eastAsia="仿宋_GB2312" w:cs="仿宋_GB2312"/>
              <w:b w:val="0"/>
              <w:bCs w:val="0"/>
              <w:sz w:val="24"/>
              <w:szCs w:val="24"/>
            </w:rPr>
            <w:t>42</w:t>
          </w:r>
          <w:r>
            <w:rPr>
              <w:rFonts w:hint="eastAsia" w:ascii="仿宋_GB2312" w:hAnsi="仿宋_GB2312" w:eastAsia="仿宋_GB2312" w:cs="仿宋_GB2312"/>
              <w:b w:val="0"/>
              <w:bCs w:val="0"/>
              <w:sz w:val="24"/>
              <w:szCs w:val="24"/>
            </w:rPr>
            <w:fldChar w:fldCharType="end"/>
          </w:r>
          <w:r>
            <w:rPr>
              <w:rFonts w:hint="eastAsia" w:ascii="仿宋_GB2312" w:hAnsi="仿宋_GB2312" w:eastAsia="仿宋_GB2312" w:cs="仿宋_GB2312"/>
              <w:b w:val="0"/>
              <w:bCs w:val="0"/>
              <w:sz w:val="24"/>
              <w:szCs w:val="24"/>
            </w:rPr>
            <w:fldChar w:fldCharType="end"/>
          </w:r>
        </w:p>
        <w:p>
          <w:pPr>
            <w:pStyle w:val="43"/>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fldChar w:fldCharType="begin"/>
          </w:r>
          <w:r>
            <w:rPr>
              <w:rFonts w:hint="eastAsia" w:ascii="仿宋_GB2312" w:hAnsi="仿宋_GB2312" w:eastAsia="仿宋_GB2312" w:cs="仿宋_GB2312"/>
              <w:b w:val="0"/>
              <w:bCs w:val="0"/>
              <w:sz w:val="24"/>
              <w:szCs w:val="24"/>
            </w:rPr>
            <w:instrText xml:space="preserve"> HYPERLINK \l _Toc11573 </w:instrText>
          </w:r>
          <w:r>
            <w:rPr>
              <w:rFonts w:hint="eastAsia" w:ascii="仿宋_GB2312" w:hAnsi="仿宋_GB2312" w:eastAsia="仿宋_GB2312" w:cs="仿宋_GB2312"/>
              <w:b w:val="0"/>
              <w:bCs w:val="0"/>
              <w:sz w:val="24"/>
              <w:szCs w:val="24"/>
            </w:rPr>
            <w:fldChar w:fldCharType="separate"/>
          </w:r>
          <w:r>
            <w:rPr>
              <w:rFonts w:hint="eastAsia" w:ascii="仿宋_GB2312" w:hAnsi="仿宋_GB2312" w:eastAsia="仿宋_GB2312" w:cs="仿宋_GB2312"/>
              <w:b w:val="0"/>
              <w:bCs w:val="0"/>
              <w:sz w:val="24"/>
              <w:szCs w:val="24"/>
            </w:rPr>
            <w:t>四、财政拨款收入支出决算总表</w:t>
          </w:r>
          <w:r>
            <w:rPr>
              <w:rFonts w:hint="eastAsia" w:ascii="仿宋_GB2312" w:hAnsi="仿宋_GB2312" w:eastAsia="仿宋_GB2312" w:cs="仿宋_GB2312"/>
              <w:b w:val="0"/>
              <w:bCs w:val="0"/>
              <w:sz w:val="24"/>
              <w:szCs w:val="24"/>
            </w:rPr>
            <w:tab/>
          </w:r>
          <w:r>
            <w:rPr>
              <w:rFonts w:hint="eastAsia" w:ascii="仿宋_GB2312" w:hAnsi="仿宋_GB2312" w:eastAsia="仿宋_GB2312" w:cs="仿宋_GB2312"/>
              <w:b w:val="0"/>
              <w:bCs w:val="0"/>
              <w:sz w:val="24"/>
              <w:szCs w:val="24"/>
            </w:rPr>
            <w:fldChar w:fldCharType="begin"/>
          </w:r>
          <w:r>
            <w:rPr>
              <w:rFonts w:hint="eastAsia" w:ascii="仿宋_GB2312" w:hAnsi="仿宋_GB2312" w:eastAsia="仿宋_GB2312" w:cs="仿宋_GB2312"/>
              <w:b w:val="0"/>
              <w:bCs w:val="0"/>
              <w:sz w:val="24"/>
              <w:szCs w:val="24"/>
            </w:rPr>
            <w:instrText xml:space="preserve"> PAGEREF _Toc11573 </w:instrText>
          </w:r>
          <w:r>
            <w:rPr>
              <w:rFonts w:hint="eastAsia" w:ascii="仿宋_GB2312" w:hAnsi="仿宋_GB2312" w:eastAsia="仿宋_GB2312" w:cs="仿宋_GB2312"/>
              <w:b w:val="0"/>
              <w:bCs w:val="0"/>
              <w:sz w:val="24"/>
              <w:szCs w:val="24"/>
            </w:rPr>
            <w:fldChar w:fldCharType="separate"/>
          </w:r>
          <w:r>
            <w:rPr>
              <w:rFonts w:hint="eastAsia" w:ascii="仿宋_GB2312" w:hAnsi="仿宋_GB2312" w:eastAsia="仿宋_GB2312" w:cs="仿宋_GB2312"/>
              <w:b w:val="0"/>
              <w:bCs w:val="0"/>
              <w:sz w:val="24"/>
              <w:szCs w:val="24"/>
            </w:rPr>
            <w:t>42</w:t>
          </w:r>
          <w:r>
            <w:rPr>
              <w:rFonts w:hint="eastAsia" w:ascii="仿宋_GB2312" w:hAnsi="仿宋_GB2312" w:eastAsia="仿宋_GB2312" w:cs="仿宋_GB2312"/>
              <w:b w:val="0"/>
              <w:bCs w:val="0"/>
              <w:sz w:val="24"/>
              <w:szCs w:val="24"/>
            </w:rPr>
            <w:fldChar w:fldCharType="end"/>
          </w:r>
          <w:r>
            <w:rPr>
              <w:rFonts w:hint="eastAsia" w:ascii="仿宋_GB2312" w:hAnsi="仿宋_GB2312" w:eastAsia="仿宋_GB2312" w:cs="仿宋_GB2312"/>
              <w:b w:val="0"/>
              <w:bCs w:val="0"/>
              <w:sz w:val="24"/>
              <w:szCs w:val="24"/>
            </w:rPr>
            <w:fldChar w:fldCharType="end"/>
          </w:r>
        </w:p>
        <w:p>
          <w:pPr>
            <w:pStyle w:val="43"/>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fldChar w:fldCharType="begin"/>
          </w:r>
          <w:r>
            <w:rPr>
              <w:rFonts w:hint="eastAsia" w:ascii="仿宋_GB2312" w:hAnsi="仿宋_GB2312" w:eastAsia="仿宋_GB2312" w:cs="仿宋_GB2312"/>
              <w:b w:val="0"/>
              <w:bCs w:val="0"/>
              <w:sz w:val="24"/>
              <w:szCs w:val="24"/>
            </w:rPr>
            <w:instrText xml:space="preserve"> HYPERLINK \l _Toc3839 </w:instrText>
          </w:r>
          <w:r>
            <w:rPr>
              <w:rFonts w:hint="eastAsia" w:ascii="仿宋_GB2312" w:hAnsi="仿宋_GB2312" w:eastAsia="仿宋_GB2312" w:cs="仿宋_GB2312"/>
              <w:b w:val="0"/>
              <w:bCs w:val="0"/>
              <w:sz w:val="24"/>
              <w:szCs w:val="24"/>
            </w:rPr>
            <w:fldChar w:fldCharType="separate"/>
          </w:r>
          <w:r>
            <w:rPr>
              <w:rFonts w:hint="eastAsia" w:ascii="仿宋_GB2312" w:hAnsi="仿宋_GB2312" w:eastAsia="仿宋_GB2312" w:cs="仿宋_GB2312"/>
              <w:b w:val="0"/>
              <w:bCs w:val="0"/>
              <w:sz w:val="24"/>
              <w:szCs w:val="24"/>
            </w:rPr>
            <w:t>五、财政拨款支出决算明细表</w:t>
          </w:r>
          <w:r>
            <w:rPr>
              <w:rFonts w:hint="eastAsia" w:ascii="仿宋_GB2312" w:hAnsi="仿宋_GB2312" w:eastAsia="仿宋_GB2312" w:cs="仿宋_GB2312"/>
              <w:b w:val="0"/>
              <w:bCs w:val="0"/>
              <w:sz w:val="24"/>
              <w:szCs w:val="24"/>
            </w:rPr>
            <w:tab/>
          </w:r>
          <w:r>
            <w:rPr>
              <w:rFonts w:hint="eastAsia" w:ascii="仿宋_GB2312" w:hAnsi="仿宋_GB2312" w:eastAsia="仿宋_GB2312" w:cs="仿宋_GB2312"/>
              <w:b w:val="0"/>
              <w:bCs w:val="0"/>
              <w:sz w:val="24"/>
              <w:szCs w:val="24"/>
            </w:rPr>
            <w:fldChar w:fldCharType="begin"/>
          </w:r>
          <w:r>
            <w:rPr>
              <w:rFonts w:hint="eastAsia" w:ascii="仿宋_GB2312" w:hAnsi="仿宋_GB2312" w:eastAsia="仿宋_GB2312" w:cs="仿宋_GB2312"/>
              <w:b w:val="0"/>
              <w:bCs w:val="0"/>
              <w:sz w:val="24"/>
              <w:szCs w:val="24"/>
            </w:rPr>
            <w:instrText xml:space="preserve"> PAGEREF _Toc3839 </w:instrText>
          </w:r>
          <w:r>
            <w:rPr>
              <w:rFonts w:hint="eastAsia" w:ascii="仿宋_GB2312" w:hAnsi="仿宋_GB2312" w:eastAsia="仿宋_GB2312" w:cs="仿宋_GB2312"/>
              <w:b w:val="0"/>
              <w:bCs w:val="0"/>
              <w:sz w:val="24"/>
              <w:szCs w:val="24"/>
            </w:rPr>
            <w:fldChar w:fldCharType="separate"/>
          </w:r>
          <w:r>
            <w:rPr>
              <w:rFonts w:hint="eastAsia" w:ascii="仿宋_GB2312" w:hAnsi="仿宋_GB2312" w:eastAsia="仿宋_GB2312" w:cs="仿宋_GB2312"/>
              <w:b w:val="0"/>
              <w:bCs w:val="0"/>
              <w:sz w:val="24"/>
              <w:szCs w:val="24"/>
            </w:rPr>
            <w:t>42</w:t>
          </w:r>
          <w:r>
            <w:rPr>
              <w:rFonts w:hint="eastAsia" w:ascii="仿宋_GB2312" w:hAnsi="仿宋_GB2312" w:eastAsia="仿宋_GB2312" w:cs="仿宋_GB2312"/>
              <w:b w:val="0"/>
              <w:bCs w:val="0"/>
              <w:sz w:val="24"/>
              <w:szCs w:val="24"/>
            </w:rPr>
            <w:fldChar w:fldCharType="end"/>
          </w:r>
          <w:r>
            <w:rPr>
              <w:rFonts w:hint="eastAsia" w:ascii="仿宋_GB2312" w:hAnsi="仿宋_GB2312" w:eastAsia="仿宋_GB2312" w:cs="仿宋_GB2312"/>
              <w:b w:val="0"/>
              <w:bCs w:val="0"/>
              <w:sz w:val="24"/>
              <w:szCs w:val="24"/>
            </w:rPr>
            <w:fldChar w:fldCharType="end"/>
          </w:r>
        </w:p>
        <w:p>
          <w:pPr>
            <w:pStyle w:val="43"/>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fldChar w:fldCharType="begin"/>
          </w:r>
          <w:r>
            <w:rPr>
              <w:rFonts w:hint="eastAsia" w:ascii="仿宋_GB2312" w:hAnsi="仿宋_GB2312" w:eastAsia="仿宋_GB2312" w:cs="仿宋_GB2312"/>
              <w:b w:val="0"/>
              <w:bCs w:val="0"/>
              <w:sz w:val="24"/>
              <w:szCs w:val="24"/>
            </w:rPr>
            <w:instrText xml:space="preserve"> HYPERLINK \l _Toc13681 </w:instrText>
          </w:r>
          <w:r>
            <w:rPr>
              <w:rFonts w:hint="eastAsia" w:ascii="仿宋_GB2312" w:hAnsi="仿宋_GB2312" w:eastAsia="仿宋_GB2312" w:cs="仿宋_GB2312"/>
              <w:b w:val="0"/>
              <w:bCs w:val="0"/>
              <w:sz w:val="24"/>
              <w:szCs w:val="24"/>
            </w:rPr>
            <w:fldChar w:fldCharType="separate"/>
          </w:r>
          <w:r>
            <w:rPr>
              <w:rFonts w:hint="eastAsia" w:ascii="仿宋_GB2312" w:hAnsi="仿宋_GB2312" w:eastAsia="仿宋_GB2312" w:cs="仿宋_GB2312"/>
              <w:b w:val="0"/>
              <w:bCs w:val="0"/>
              <w:sz w:val="24"/>
              <w:szCs w:val="24"/>
            </w:rPr>
            <w:t>六、一般公共预算财政拨款支出决算表</w:t>
          </w:r>
          <w:r>
            <w:rPr>
              <w:rFonts w:hint="eastAsia" w:ascii="仿宋_GB2312" w:hAnsi="仿宋_GB2312" w:eastAsia="仿宋_GB2312" w:cs="仿宋_GB2312"/>
              <w:b w:val="0"/>
              <w:bCs w:val="0"/>
              <w:sz w:val="24"/>
              <w:szCs w:val="24"/>
            </w:rPr>
            <w:tab/>
          </w:r>
          <w:r>
            <w:rPr>
              <w:rFonts w:hint="eastAsia" w:ascii="仿宋_GB2312" w:hAnsi="仿宋_GB2312" w:eastAsia="仿宋_GB2312" w:cs="仿宋_GB2312"/>
              <w:b w:val="0"/>
              <w:bCs w:val="0"/>
              <w:sz w:val="24"/>
              <w:szCs w:val="24"/>
            </w:rPr>
            <w:fldChar w:fldCharType="begin"/>
          </w:r>
          <w:r>
            <w:rPr>
              <w:rFonts w:hint="eastAsia" w:ascii="仿宋_GB2312" w:hAnsi="仿宋_GB2312" w:eastAsia="仿宋_GB2312" w:cs="仿宋_GB2312"/>
              <w:b w:val="0"/>
              <w:bCs w:val="0"/>
              <w:sz w:val="24"/>
              <w:szCs w:val="24"/>
            </w:rPr>
            <w:instrText xml:space="preserve"> PAGEREF _Toc13681 </w:instrText>
          </w:r>
          <w:r>
            <w:rPr>
              <w:rFonts w:hint="eastAsia" w:ascii="仿宋_GB2312" w:hAnsi="仿宋_GB2312" w:eastAsia="仿宋_GB2312" w:cs="仿宋_GB2312"/>
              <w:b w:val="0"/>
              <w:bCs w:val="0"/>
              <w:sz w:val="24"/>
              <w:szCs w:val="24"/>
            </w:rPr>
            <w:fldChar w:fldCharType="separate"/>
          </w:r>
          <w:r>
            <w:rPr>
              <w:rFonts w:hint="eastAsia" w:ascii="仿宋_GB2312" w:hAnsi="仿宋_GB2312" w:eastAsia="仿宋_GB2312" w:cs="仿宋_GB2312"/>
              <w:b w:val="0"/>
              <w:bCs w:val="0"/>
              <w:sz w:val="24"/>
              <w:szCs w:val="24"/>
            </w:rPr>
            <w:t>42</w:t>
          </w:r>
          <w:r>
            <w:rPr>
              <w:rFonts w:hint="eastAsia" w:ascii="仿宋_GB2312" w:hAnsi="仿宋_GB2312" w:eastAsia="仿宋_GB2312" w:cs="仿宋_GB2312"/>
              <w:b w:val="0"/>
              <w:bCs w:val="0"/>
              <w:sz w:val="24"/>
              <w:szCs w:val="24"/>
            </w:rPr>
            <w:fldChar w:fldCharType="end"/>
          </w:r>
          <w:r>
            <w:rPr>
              <w:rFonts w:hint="eastAsia" w:ascii="仿宋_GB2312" w:hAnsi="仿宋_GB2312" w:eastAsia="仿宋_GB2312" w:cs="仿宋_GB2312"/>
              <w:b w:val="0"/>
              <w:bCs w:val="0"/>
              <w:sz w:val="24"/>
              <w:szCs w:val="24"/>
            </w:rPr>
            <w:fldChar w:fldCharType="end"/>
          </w:r>
        </w:p>
        <w:p>
          <w:pPr>
            <w:pStyle w:val="43"/>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fldChar w:fldCharType="begin"/>
          </w:r>
          <w:r>
            <w:rPr>
              <w:rFonts w:hint="eastAsia" w:ascii="仿宋_GB2312" w:hAnsi="仿宋_GB2312" w:eastAsia="仿宋_GB2312" w:cs="仿宋_GB2312"/>
              <w:b w:val="0"/>
              <w:bCs w:val="0"/>
              <w:sz w:val="24"/>
              <w:szCs w:val="24"/>
            </w:rPr>
            <w:instrText xml:space="preserve"> HYPERLINK \l _Toc11225 </w:instrText>
          </w:r>
          <w:r>
            <w:rPr>
              <w:rFonts w:hint="eastAsia" w:ascii="仿宋_GB2312" w:hAnsi="仿宋_GB2312" w:eastAsia="仿宋_GB2312" w:cs="仿宋_GB2312"/>
              <w:b w:val="0"/>
              <w:bCs w:val="0"/>
              <w:sz w:val="24"/>
              <w:szCs w:val="24"/>
            </w:rPr>
            <w:fldChar w:fldCharType="separate"/>
          </w:r>
          <w:r>
            <w:rPr>
              <w:rFonts w:hint="eastAsia" w:ascii="仿宋_GB2312" w:hAnsi="仿宋_GB2312" w:eastAsia="仿宋_GB2312" w:cs="仿宋_GB2312"/>
              <w:b w:val="0"/>
              <w:bCs w:val="0"/>
              <w:sz w:val="24"/>
              <w:szCs w:val="24"/>
            </w:rPr>
            <w:t>七、一般公共预算财政拨款支出决算明细表</w:t>
          </w:r>
          <w:r>
            <w:rPr>
              <w:rFonts w:hint="eastAsia" w:ascii="仿宋_GB2312" w:hAnsi="仿宋_GB2312" w:eastAsia="仿宋_GB2312" w:cs="仿宋_GB2312"/>
              <w:b w:val="0"/>
              <w:bCs w:val="0"/>
              <w:sz w:val="24"/>
              <w:szCs w:val="24"/>
            </w:rPr>
            <w:tab/>
          </w:r>
          <w:r>
            <w:rPr>
              <w:rFonts w:hint="eastAsia" w:ascii="仿宋_GB2312" w:hAnsi="仿宋_GB2312" w:eastAsia="仿宋_GB2312" w:cs="仿宋_GB2312"/>
              <w:b w:val="0"/>
              <w:bCs w:val="0"/>
              <w:sz w:val="24"/>
              <w:szCs w:val="24"/>
            </w:rPr>
            <w:fldChar w:fldCharType="begin"/>
          </w:r>
          <w:r>
            <w:rPr>
              <w:rFonts w:hint="eastAsia" w:ascii="仿宋_GB2312" w:hAnsi="仿宋_GB2312" w:eastAsia="仿宋_GB2312" w:cs="仿宋_GB2312"/>
              <w:b w:val="0"/>
              <w:bCs w:val="0"/>
              <w:sz w:val="24"/>
              <w:szCs w:val="24"/>
            </w:rPr>
            <w:instrText xml:space="preserve"> PAGEREF _Toc11225 </w:instrText>
          </w:r>
          <w:r>
            <w:rPr>
              <w:rFonts w:hint="eastAsia" w:ascii="仿宋_GB2312" w:hAnsi="仿宋_GB2312" w:eastAsia="仿宋_GB2312" w:cs="仿宋_GB2312"/>
              <w:b w:val="0"/>
              <w:bCs w:val="0"/>
              <w:sz w:val="24"/>
              <w:szCs w:val="24"/>
            </w:rPr>
            <w:fldChar w:fldCharType="separate"/>
          </w:r>
          <w:r>
            <w:rPr>
              <w:rFonts w:hint="eastAsia" w:ascii="仿宋_GB2312" w:hAnsi="仿宋_GB2312" w:eastAsia="仿宋_GB2312" w:cs="仿宋_GB2312"/>
              <w:b w:val="0"/>
              <w:bCs w:val="0"/>
              <w:sz w:val="24"/>
              <w:szCs w:val="24"/>
            </w:rPr>
            <w:t>42</w:t>
          </w:r>
          <w:r>
            <w:rPr>
              <w:rFonts w:hint="eastAsia" w:ascii="仿宋_GB2312" w:hAnsi="仿宋_GB2312" w:eastAsia="仿宋_GB2312" w:cs="仿宋_GB2312"/>
              <w:b w:val="0"/>
              <w:bCs w:val="0"/>
              <w:sz w:val="24"/>
              <w:szCs w:val="24"/>
            </w:rPr>
            <w:fldChar w:fldCharType="end"/>
          </w:r>
          <w:r>
            <w:rPr>
              <w:rFonts w:hint="eastAsia" w:ascii="仿宋_GB2312" w:hAnsi="仿宋_GB2312" w:eastAsia="仿宋_GB2312" w:cs="仿宋_GB2312"/>
              <w:b w:val="0"/>
              <w:bCs w:val="0"/>
              <w:sz w:val="24"/>
              <w:szCs w:val="24"/>
            </w:rPr>
            <w:fldChar w:fldCharType="end"/>
          </w:r>
        </w:p>
        <w:p>
          <w:pPr>
            <w:pStyle w:val="43"/>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fldChar w:fldCharType="begin"/>
          </w:r>
          <w:r>
            <w:rPr>
              <w:rFonts w:hint="eastAsia" w:ascii="仿宋_GB2312" w:hAnsi="仿宋_GB2312" w:eastAsia="仿宋_GB2312" w:cs="仿宋_GB2312"/>
              <w:b w:val="0"/>
              <w:bCs w:val="0"/>
              <w:sz w:val="24"/>
              <w:szCs w:val="24"/>
            </w:rPr>
            <w:instrText xml:space="preserve"> HYPERLINK \l _Toc25567 </w:instrText>
          </w:r>
          <w:r>
            <w:rPr>
              <w:rFonts w:hint="eastAsia" w:ascii="仿宋_GB2312" w:hAnsi="仿宋_GB2312" w:eastAsia="仿宋_GB2312" w:cs="仿宋_GB2312"/>
              <w:b w:val="0"/>
              <w:bCs w:val="0"/>
              <w:sz w:val="24"/>
              <w:szCs w:val="24"/>
            </w:rPr>
            <w:fldChar w:fldCharType="separate"/>
          </w:r>
          <w:r>
            <w:rPr>
              <w:rFonts w:hint="eastAsia" w:ascii="仿宋_GB2312" w:hAnsi="仿宋_GB2312" w:eastAsia="仿宋_GB2312" w:cs="仿宋_GB2312"/>
              <w:b w:val="0"/>
              <w:bCs w:val="0"/>
              <w:sz w:val="24"/>
              <w:szCs w:val="24"/>
            </w:rPr>
            <w:t>八、一般公共预算财政拨款基本支出决算</w:t>
          </w:r>
          <w:r>
            <w:rPr>
              <w:rFonts w:hint="eastAsia" w:ascii="仿宋_GB2312" w:hAnsi="仿宋_GB2312" w:eastAsia="仿宋_GB2312" w:cs="仿宋_GB2312"/>
              <w:b w:val="0"/>
              <w:bCs w:val="0"/>
              <w:sz w:val="24"/>
              <w:szCs w:val="24"/>
              <w:lang w:eastAsia="zh-CN"/>
            </w:rPr>
            <w:t>明细</w:t>
          </w:r>
          <w:r>
            <w:rPr>
              <w:rFonts w:hint="eastAsia" w:ascii="仿宋_GB2312" w:hAnsi="仿宋_GB2312" w:eastAsia="仿宋_GB2312" w:cs="仿宋_GB2312"/>
              <w:b w:val="0"/>
              <w:bCs w:val="0"/>
              <w:sz w:val="24"/>
              <w:szCs w:val="24"/>
            </w:rPr>
            <w:t>表</w:t>
          </w:r>
          <w:r>
            <w:rPr>
              <w:rFonts w:hint="eastAsia" w:ascii="仿宋_GB2312" w:hAnsi="仿宋_GB2312" w:eastAsia="仿宋_GB2312" w:cs="仿宋_GB2312"/>
              <w:b w:val="0"/>
              <w:bCs w:val="0"/>
              <w:sz w:val="24"/>
              <w:szCs w:val="24"/>
            </w:rPr>
            <w:tab/>
          </w:r>
          <w:r>
            <w:rPr>
              <w:rFonts w:hint="eastAsia" w:ascii="仿宋_GB2312" w:hAnsi="仿宋_GB2312" w:eastAsia="仿宋_GB2312" w:cs="仿宋_GB2312"/>
              <w:b w:val="0"/>
              <w:bCs w:val="0"/>
              <w:sz w:val="24"/>
              <w:szCs w:val="24"/>
            </w:rPr>
            <w:fldChar w:fldCharType="begin"/>
          </w:r>
          <w:r>
            <w:rPr>
              <w:rFonts w:hint="eastAsia" w:ascii="仿宋_GB2312" w:hAnsi="仿宋_GB2312" w:eastAsia="仿宋_GB2312" w:cs="仿宋_GB2312"/>
              <w:b w:val="0"/>
              <w:bCs w:val="0"/>
              <w:sz w:val="24"/>
              <w:szCs w:val="24"/>
            </w:rPr>
            <w:instrText xml:space="preserve"> PAGEREF _Toc25567 </w:instrText>
          </w:r>
          <w:r>
            <w:rPr>
              <w:rFonts w:hint="eastAsia" w:ascii="仿宋_GB2312" w:hAnsi="仿宋_GB2312" w:eastAsia="仿宋_GB2312" w:cs="仿宋_GB2312"/>
              <w:b w:val="0"/>
              <w:bCs w:val="0"/>
              <w:sz w:val="24"/>
              <w:szCs w:val="24"/>
            </w:rPr>
            <w:fldChar w:fldCharType="separate"/>
          </w:r>
          <w:r>
            <w:rPr>
              <w:rFonts w:hint="eastAsia" w:ascii="仿宋_GB2312" w:hAnsi="仿宋_GB2312" w:eastAsia="仿宋_GB2312" w:cs="仿宋_GB2312"/>
              <w:b w:val="0"/>
              <w:bCs w:val="0"/>
              <w:sz w:val="24"/>
              <w:szCs w:val="24"/>
            </w:rPr>
            <w:t>42</w:t>
          </w:r>
          <w:r>
            <w:rPr>
              <w:rFonts w:hint="eastAsia" w:ascii="仿宋_GB2312" w:hAnsi="仿宋_GB2312" w:eastAsia="仿宋_GB2312" w:cs="仿宋_GB2312"/>
              <w:b w:val="0"/>
              <w:bCs w:val="0"/>
              <w:sz w:val="24"/>
              <w:szCs w:val="24"/>
            </w:rPr>
            <w:fldChar w:fldCharType="end"/>
          </w:r>
          <w:r>
            <w:rPr>
              <w:rFonts w:hint="eastAsia" w:ascii="仿宋_GB2312" w:hAnsi="仿宋_GB2312" w:eastAsia="仿宋_GB2312" w:cs="仿宋_GB2312"/>
              <w:b w:val="0"/>
              <w:bCs w:val="0"/>
              <w:sz w:val="24"/>
              <w:szCs w:val="24"/>
            </w:rPr>
            <w:fldChar w:fldCharType="end"/>
          </w:r>
        </w:p>
        <w:p>
          <w:pPr>
            <w:pStyle w:val="43"/>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fldChar w:fldCharType="begin"/>
          </w:r>
          <w:r>
            <w:rPr>
              <w:rFonts w:hint="eastAsia" w:ascii="仿宋_GB2312" w:hAnsi="仿宋_GB2312" w:eastAsia="仿宋_GB2312" w:cs="仿宋_GB2312"/>
              <w:b w:val="0"/>
              <w:bCs w:val="0"/>
              <w:sz w:val="24"/>
              <w:szCs w:val="24"/>
            </w:rPr>
            <w:instrText xml:space="preserve"> HYPERLINK \l _Toc8387 </w:instrText>
          </w:r>
          <w:r>
            <w:rPr>
              <w:rFonts w:hint="eastAsia" w:ascii="仿宋_GB2312" w:hAnsi="仿宋_GB2312" w:eastAsia="仿宋_GB2312" w:cs="仿宋_GB2312"/>
              <w:b w:val="0"/>
              <w:bCs w:val="0"/>
              <w:sz w:val="24"/>
              <w:szCs w:val="24"/>
            </w:rPr>
            <w:fldChar w:fldCharType="separate"/>
          </w:r>
          <w:r>
            <w:rPr>
              <w:rFonts w:hint="eastAsia" w:ascii="仿宋_GB2312" w:hAnsi="仿宋_GB2312" w:eastAsia="仿宋_GB2312" w:cs="仿宋_GB2312"/>
              <w:b w:val="0"/>
              <w:bCs w:val="0"/>
              <w:sz w:val="24"/>
              <w:szCs w:val="24"/>
            </w:rPr>
            <w:t>九、一般公共预算财政拨款项目支出决算表</w:t>
          </w:r>
          <w:r>
            <w:rPr>
              <w:rFonts w:hint="eastAsia" w:ascii="仿宋_GB2312" w:hAnsi="仿宋_GB2312" w:eastAsia="仿宋_GB2312" w:cs="仿宋_GB2312"/>
              <w:b w:val="0"/>
              <w:bCs w:val="0"/>
              <w:sz w:val="24"/>
              <w:szCs w:val="24"/>
            </w:rPr>
            <w:tab/>
          </w:r>
          <w:r>
            <w:rPr>
              <w:rFonts w:hint="eastAsia" w:ascii="仿宋_GB2312" w:hAnsi="仿宋_GB2312" w:eastAsia="仿宋_GB2312" w:cs="仿宋_GB2312"/>
              <w:b w:val="0"/>
              <w:bCs w:val="0"/>
              <w:sz w:val="24"/>
              <w:szCs w:val="24"/>
            </w:rPr>
            <w:fldChar w:fldCharType="begin"/>
          </w:r>
          <w:r>
            <w:rPr>
              <w:rFonts w:hint="eastAsia" w:ascii="仿宋_GB2312" w:hAnsi="仿宋_GB2312" w:eastAsia="仿宋_GB2312" w:cs="仿宋_GB2312"/>
              <w:b w:val="0"/>
              <w:bCs w:val="0"/>
              <w:sz w:val="24"/>
              <w:szCs w:val="24"/>
            </w:rPr>
            <w:instrText xml:space="preserve"> PAGEREF _Toc8387 </w:instrText>
          </w:r>
          <w:r>
            <w:rPr>
              <w:rFonts w:hint="eastAsia" w:ascii="仿宋_GB2312" w:hAnsi="仿宋_GB2312" w:eastAsia="仿宋_GB2312" w:cs="仿宋_GB2312"/>
              <w:b w:val="0"/>
              <w:bCs w:val="0"/>
              <w:sz w:val="24"/>
              <w:szCs w:val="24"/>
            </w:rPr>
            <w:fldChar w:fldCharType="separate"/>
          </w:r>
          <w:r>
            <w:rPr>
              <w:rFonts w:hint="eastAsia" w:ascii="仿宋_GB2312" w:hAnsi="仿宋_GB2312" w:eastAsia="仿宋_GB2312" w:cs="仿宋_GB2312"/>
              <w:b w:val="0"/>
              <w:bCs w:val="0"/>
              <w:sz w:val="24"/>
              <w:szCs w:val="24"/>
            </w:rPr>
            <w:t>42</w:t>
          </w:r>
          <w:r>
            <w:rPr>
              <w:rFonts w:hint="eastAsia" w:ascii="仿宋_GB2312" w:hAnsi="仿宋_GB2312" w:eastAsia="仿宋_GB2312" w:cs="仿宋_GB2312"/>
              <w:b w:val="0"/>
              <w:bCs w:val="0"/>
              <w:sz w:val="24"/>
              <w:szCs w:val="24"/>
            </w:rPr>
            <w:fldChar w:fldCharType="end"/>
          </w:r>
          <w:r>
            <w:rPr>
              <w:rFonts w:hint="eastAsia" w:ascii="仿宋_GB2312" w:hAnsi="仿宋_GB2312" w:eastAsia="仿宋_GB2312" w:cs="仿宋_GB2312"/>
              <w:b w:val="0"/>
              <w:bCs w:val="0"/>
              <w:sz w:val="24"/>
              <w:szCs w:val="24"/>
            </w:rPr>
            <w:fldChar w:fldCharType="end"/>
          </w:r>
        </w:p>
        <w:p>
          <w:pPr>
            <w:pStyle w:val="43"/>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fldChar w:fldCharType="begin"/>
          </w:r>
          <w:r>
            <w:rPr>
              <w:rFonts w:hint="eastAsia" w:ascii="仿宋_GB2312" w:hAnsi="仿宋_GB2312" w:eastAsia="仿宋_GB2312" w:cs="仿宋_GB2312"/>
              <w:b w:val="0"/>
              <w:bCs w:val="0"/>
              <w:sz w:val="24"/>
              <w:szCs w:val="24"/>
            </w:rPr>
            <w:instrText xml:space="preserve"> HYPERLINK \l _Toc22307 </w:instrText>
          </w:r>
          <w:r>
            <w:rPr>
              <w:rFonts w:hint="eastAsia" w:ascii="仿宋_GB2312" w:hAnsi="仿宋_GB2312" w:eastAsia="仿宋_GB2312" w:cs="仿宋_GB2312"/>
              <w:b w:val="0"/>
              <w:bCs w:val="0"/>
              <w:sz w:val="24"/>
              <w:szCs w:val="24"/>
            </w:rPr>
            <w:fldChar w:fldCharType="separate"/>
          </w:r>
          <w:r>
            <w:rPr>
              <w:rFonts w:hint="eastAsia" w:ascii="仿宋_GB2312" w:hAnsi="仿宋_GB2312" w:eastAsia="仿宋_GB2312" w:cs="仿宋_GB2312"/>
              <w:b w:val="0"/>
              <w:bCs w:val="0"/>
              <w:sz w:val="24"/>
              <w:szCs w:val="24"/>
            </w:rPr>
            <w:t>十、政府性基金预算财政拨款收入支出决算表</w:t>
          </w:r>
          <w:r>
            <w:rPr>
              <w:rFonts w:hint="eastAsia" w:ascii="仿宋_GB2312" w:hAnsi="仿宋_GB2312" w:eastAsia="仿宋_GB2312" w:cs="仿宋_GB2312"/>
              <w:b w:val="0"/>
              <w:bCs w:val="0"/>
              <w:sz w:val="24"/>
              <w:szCs w:val="24"/>
            </w:rPr>
            <w:tab/>
          </w:r>
          <w:r>
            <w:rPr>
              <w:rFonts w:hint="eastAsia" w:ascii="仿宋_GB2312" w:hAnsi="仿宋_GB2312" w:eastAsia="仿宋_GB2312" w:cs="仿宋_GB2312"/>
              <w:b w:val="0"/>
              <w:bCs w:val="0"/>
              <w:sz w:val="24"/>
              <w:szCs w:val="24"/>
            </w:rPr>
            <w:fldChar w:fldCharType="begin"/>
          </w:r>
          <w:r>
            <w:rPr>
              <w:rFonts w:hint="eastAsia" w:ascii="仿宋_GB2312" w:hAnsi="仿宋_GB2312" w:eastAsia="仿宋_GB2312" w:cs="仿宋_GB2312"/>
              <w:b w:val="0"/>
              <w:bCs w:val="0"/>
              <w:sz w:val="24"/>
              <w:szCs w:val="24"/>
            </w:rPr>
            <w:instrText xml:space="preserve"> PAGEREF _Toc22307 </w:instrText>
          </w:r>
          <w:r>
            <w:rPr>
              <w:rFonts w:hint="eastAsia" w:ascii="仿宋_GB2312" w:hAnsi="仿宋_GB2312" w:eastAsia="仿宋_GB2312" w:cs="仿宋_GB2312"/>
              <w:b w:val="0"/>
              <w:bCs w:val="0"/>
              <w:sz w:val="24"/>
              <w:szCs w:val="24"/>
            </w:rPr>
            <w:fldChar w:fldCharType="separate"/>
          </w:r>
          <w:r>
            <w:rPr>
              <w:rFonts w:hint="eastAsia" w:ascii="仿宋_GB2312" w:hAnsi="仿宋_GB2312" w:eastAsia="仿宋_GB2312" w:cs="仿宋_GB2312"/>
              <w:b w:val="0"/>
              <w:bCs w:val="0"/>
              <w:sz w:val="24"/>
              <w:szCs w:val="24"/>
            </w:rPr>
            <w:t>42</w:t>
          </w:r>
          <w:r>
            <w:rPr>
              <w:rFonts w:hint="eastAsia" w:ascii="仿宋_GB2312" w:hAnsi="仿宋_GB2312" w:eastAsia="仿宋_GB2312" w:cs="仿宋_GB2312"/>
              <w:b w:val="0"/>
              <w:bCs w:val="0"/>
              <w:sz w:val="24"/>
              <w:szCs w:val="24"/>
            </w:rPr>
            <w:fldChar w:fldCharType="end"/>
          </w:r>
          <w:r>
            <w:rPr>
              <w:rFonts w:hint="eastAsia" w:ascii="仿宋_GB2312" w:hAnsi="仿宋_GB2312" w:eastAsia="仿宋_GB2312" w:cs="仿宋_GB2312"/>
              <w:b w:val="0"/>
              <w:bCs w:val="0"/>
              <w:sz w:val="24"/>
              <w:szCs w:val="24"/>
            </w:rPr>
            <w:fldChar w:fldCharType="end"/>
          </w:r>
        </w:p>
        <w:p>
          <w:pPr>
            <w:pStyle w:val="43"/>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fldChar w:fldCharType="begin"/>
          </w:r>
          <w:r>
            <w:rPr>
              <w:rFonts w:hint="eastAsia" w:ascii="仿宋_GB2312" w:hAnsi="仿宋_GB2312" w:eastAsia="仿宋_GB2312" w:cs="仿宋_GB2312"/>
              <w:b w:val="0"/>
              <w:bCs w:val="0"/>
              <w:sz w:val="24"/>
              <w:szCs w:val="24"/>
            </w:rPr>
            <w:instrText xml:space="preserve"> HYPERLINK \l _Toc22795 </w:instrText>
          </w:r>
          <w:r>
            <w:rPr>
              <w:rFonts w:hint="eastAsia" w:ascii="仿宋_GB2312" w:hAnsi="仿宋_GB2312" w:eastAsia="仿宋_GB2312" w:cs="仿宋_GB2312"/>
              <w:b w:val="0"/>
              <w:bCs w:val="0"/>
              <w:sz w:val="24"/>
              <w:szCs w:val="24"/>
            </w:rPr>
            <w:fldChar w:fldCharType="separate"/>
          </w:r>
          <w:r>
            <w:rPr>
              <w:rFonts w:hint="eastAsia" w:ascii="仿宋_GB2312" w:hAnsi="仿宋_GB2312" w:eastAsia="仿宋_GB2312" w:cs="仿宋_GB2312"/>
              <w:b w:val="0"/>
              <w:bCs w:val="0"/>
              <w:sz w:val="24"/>
              <w:szCs w:val="24"/>
            </w:rPr>
            <w:t>十一、国有资本经营预算财政拨款收入支出决算表</w:t>
          </w:r>
          <w:r>
            <w:rPr>
              <w:rFonts w:hint="eastAsia" w:ascii="仿宋_GB2312" w:hAnsi="仿宋_GB2312" w:eastAsia="仿宋_GB2312" w:cs="仿宋_GB2312"/>
              <w:b w:val="0"/>
              <w:bCs w:val="0"/>
              <w:sz w:val="24"/>
              <w:szCs w:val="24"/>
            </w:rPr>
            <w:tab/>
          </w:r>
          <w:r>
            <w:rPr>
              <w:rFonts w:hint="eastAsia" w:ascii="仿宋_GB2312" w:hAnsi="仿宋_GB2312" w:eastAsia="仿宋_GB2312" w:cs="仿宋_GB2312"/>
              <w:b w:val="0"/>
              <w:bCs w:val="0"/>
              <w:sz w:val="24"/>
              <w:szCs w:val="24"/>
            </w:rPr>
            <w:fldChar w:fldCharType="begin"/>
          </w:r>
          <w:r>
            <w:rPr>
              <w:rFonts w:hint="eastAsia" w:ascii="仿宋_GB2312" w:hAnsi="仿宋_GB2312" w:eastAsia="仿宋_GB2312" w:cs="仿宋_GB2312"/>
              <w:b w:val="0"/>
              <w:bCs w:val="0"/>
              <w:sz w:val="24"/>
              <w:szCs w:val="24"/>
            </w:rPr>
            <w:instrText xml:space="preserve"> PAGEREF _Toc22795 </w:instrText>
          </w:r>
          <w:r>
            <w:rPr>
              <w:rFonts w:hint="eastAsia" w:ascii="仿宋_GB2312" w:hAnsi="仿宋_GB2312" w:eastAsia="仿宋_GB2312" w:cs="仿宋_GB2312"/>
              <w:b w:val="0"/>
              <w:bCs w:val="0"/>
              <w:sz w:val="24"/>
              <w:szCs w:val="24"/>
            </w:rPr>
            <w:fldChar w:fldCharType="separate"/>
          </w:r>
          <w:r>
            <w:rPr>
              <w:rFonts w:hint="eastAsia" w:ascii="仿宋_GB2312" w:hAnsi="仿宋_GB2312" w:eastAsia="仿宋_GB2312" w:cs="仿宋_GB2312"/>
              <w:b w:val="0"/>
              <w:bCs w:val="0"/>
              <w:sz w:val="24"/>
              <w:szCs w:val="24"/>
            </w:rPr>
            <w:t>42</w:t>
          </w:r>
          <w:r>
            <w:rPr>
              <w:rFonts w:hint="eastAsia" w:ascii="仿宋_GB2312" w:hAnsi="仿宋_GB2312" w:eastAsia="仿宋_GB2312" w:cs="仿宋_GB2312"/>
              <w:b w:val="0"/>
              <w:bCs w:val="0"/>
              <w:sz w:val="24"/>
              <w:szCs w:val="24"/>
            </w:rPr>
            <w:fldChar w:fldCharType="end"/>
          </w:r>
          <w:r>
            <w:rPr>
              <w:rFonts w:hint="eastAsia" w:ascii="仿宋_GB2312" w:hAnsi="仿宋_GB2312" w:eastAsia="仿宋_GB2312" w:cs="仿宋_GB2312"/>
              <w:b w:val="0"/>
              <w:bCs w:val="0"/>
              <w:sz w:val="24"/>
              <w:szCs w:val="24"/>
            </w:rPr>
            <w:fldChar w:fldCharType="end"/>
          </w:r>
        </w:p>
        <w:p>
          <w:pPr>
            <w:pStyle w:val="43"/>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fldChar w:fldCharType="begin"/>
          </w:r>
          <w:r>
            <w:rPr>
              <w:rFonts w:hint="eastAsia" w:ascii="仿宋_GB2312" w:hAnsi="仿宋_GB2312" w:eastAsia="仿宋_GB2312" w:cs="仿宋_GB2312"/>
              <w:b w:val="0"/>
              <w:bCs w:val="0"/>
              <w:sz w:val="24"/>
              <w:szCs w:val="24"/>
            </w:rPr>
            <w:instrText xml:space="preserve"> HYPERLINK \l _Toc24491 </w:instrText>
          </w:r>
          <w:r>
            <w:rPr>
              <w:rFonts w:hint="eastAsia" w:ascii="仿宋_GB2312" w:hAnsi="仿宋_GB2312" w:eastAsia="仿宋_GB2312" w:cs="仿宋_GB2312"/>
              <w:b w:val="0"/>
              <w:bCs w:val="0"/>
              <w:sz w:val="24"/>
              <w:szCs w:val="24"/>
            </w:rPr>
            <w:fldChar w:fldCharType="separate"/>
          </w:r>
          <w:r>
            <w:rPr>
              <w:rFonts w:hint="eastAsia" w:ascii="仿宋_GB2312" w:hAnsi="仿宋_GB2312" w:eastAsia="仿宋_GB2312" w:cs="仿宋_GB2312"/>
              <w:b w:val="0"/>
              <w:bCs w:val="0"/>
              <w:sz w:val="24"/>
              <w:szCs w:val="24"/>
            </w:rPr>
            <w:t>十二、国有资本经营预算财政拨款支出决算表</w:t>
          </w:r>
          <w:r>
            <w:rPr>
              <w:rFonts w:hint="eastAsia" w:ascii="仿宋_GB2312" w:hAnsi="仿宋_GB2312" w:eastAsia="仿宋_GB2312" w:cs="仿宋_GB2312"/>
              <w:b w:val="0"/>
              <w:bCs w:val="0"/>
              <w:sz w:val="24"/>
              <w:szCs w:val="24"/>
            </w:rPr>
            <w:tab/>
          </w:r>
          <w:r>
            <w:rPr>
              <w:rFonts w:hint="eastAsia" w:ascii="仿宋_GB2312" w:hAnsi="仿宋_GB2312" w:eastAsia="仿宋_GB2312" w:cs="仿宋_GB2312"/>
              <w:b w:val="0"/>
              <w:bCs w:val="0"/>
              <w:sz w:val="24"/>
              <w:szCs w:val="24"/>
            </w:rPr>
            <w:fldChar w:fldCharType="begin"/>
          </w:r>
          <w:r>
            <w:rPr>
              <w:rFonts w:hint="eastAsia" w:ascii="仿宋_GB2312" w:hAnsi="仿宋_GB2312" w:eastAsia="仿宋_GB2312" w:cs="仿宋_GB2312"/>
              <w:b w:val="0"/>
              <w:bCs w:val="0"/>
              <w:sz w:val="24"/>
              <w:szCs w:val="24"/>
            </w:rPr>
            <w:instrText xml:space="preserve"> PAGEREF _Toc24491 </w:instrText>
          </w:r>
          <w:r>
            <w:rPr>
              <w:rFonts w:hint="eastAsia" w:ascii="仿宋_GB2312" w:hAnsi="仿宋_GB2312" w:eastAsia="仿宋_GB2312" w:cs="仿宋_GB2312"/>
              <w:b w:val="0"/>
              <w:bCs w:val="0"/>
              <w:sz w:val="24"/>
              <w:szCs w:val="24"/>
            </w:rPr>
            <w:fldChar w:fldCharType="separate"/>
          </w:r>
          <w:r>
            <w:rPr>
              <w:rFonts w:hint="eastAsia" w:ascii="仿宋_GB2312" w:hAnsi="仿宋_GB2312" w:eastAsia="仿宋_GB2312" w:cs="仿宋_GB2312"/>
              <w:b w:val="0"/>
              <w:bCs w:val="0"/>
              <w:sz w:val="24"/>
              <w:szCs w:val="24"/>
            </w:rPr>
            <w:t>42</w:t>
          </w:r>
          <w:r>
            <w:rPr>
              <w:rFonts w:hint="eastAsia" w:ascii="仿宋_GB2312" w:hAnsi="仿宋_GB2312" w:eastAsia="仿宋_GB2312" w:cs="仿宋_GB2312"/>
              <w:b w:val="0"/>
              <w:bCs w:val="0"/>
              <w:sz w:val="24"/>
              <w:szCs w:val="24"/>
            </w:rPr>
            <w:fldChar w:fldCharType="end"/>
          </w:r>
          <w:r>
            <w:rPr>
              <w:rFonts w:hint="eastAsia" w:ascii="仿宋_GB2312" w:hAnsi="仿宋_GB2312" w:eastAsia="仿宋_GB2312" w:cs="仿宋_GB2312"/>
              <w:b w:val="0"/>
              <w:bCs w:val="0"/>
              <w:sz w:val="24"/>
              <w:szCs w:val="24"/>
            </w:rPr>
            <w:fldChar w:fldCharType="end"/>
          </w:r>
        </w:p>
        <w:p>
          <w:pPr>
            <w:pStyle w:val="43"/>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fldChar w:fldCharType="begin"/>
          </w:r>
          <w:r>
            <w:rPr>
              <w:rFonts w:hint="eastAsia" w:ascii="仿宋_GB2312" w:hAnsi="仿宋_GB2312" w:eastAsia="仿宋_GB2312" w:cs="仿宋_GB2312"/>
              <w:b w:val="0"/>
              <w:bCs w:val="0"/>
              <w:sz w:val="24"/>
              <w:szCs w:val="24"/>
            </w:rPr>
            <w:instrText xml:space="preserve"> HYPERLINK \l _Toc29812 </w:instrText>
          </w:r>
          <w:r>
            <w:rPr>
              <w:rFonts w:hint="eastAsia" w:ascii="仿宋_GB2312" w:hAnsi="仿宋_GB2312" w:eastAsia="仿宋_GB2312" w:cs="仿宋_GB2312"/>
              <w:b w:val="0"/>
              <w:bCs w:val="0"/>
              <w:sz w:val="24"/>
              <w:szCs w:val="24"/>
            </w:rPr>
            <w:fldChar w:fldCharType="separate"/>
          </w:r>
          <w:r>
            <w:rPr>
              <w:rFonts w:hint="eastAsia" w:ascii="仿宋_GB2312" w:hAnsi="仿宋_GB2312" w:eastAsia="仿宋_GB2312" w:cs="仿宋_GB2312"/>
              <w:b w:val="0"/>
              <w:bCs w:val="0"/>
              <w:sz w:val="24"/>
              <w:szCs w:val="24"/>
            </w:rPr>
            <w:t>十三、财政拨款“三公”经费支出决算表</w:t>
          </w:r>
          <w:r>
            <w:rPr>
              <w:rFonts w:hint="eastAsia" w:ascii="仿宋_GB2312" w:hAnsi="仿宋_GB2312" w:eastAsia="仿宋_GB2312" w:cs="仿宋_GB2312"/>
              <w:b w:val="0"/>
              <w:bCs w:val="0"/>
              <w:sz w:val="24"/>
              <w:szCs w:val="24"/>
            </w:rPr>
            <w:tab/>
          </w:r>
          <w:r>
            <w:rPr>
              <w:rFonts w:hint="eastAsia" w:ascii="仿宋_GB2312" w:hAnsi="仿宋_GB2312" w:eastAsia="仿宋_GB2312" w:cs="仿宋_GB2312"/>
              <w:b w:val="0"/>
              <w:bCs w:val="0"/>
              <w:sz w:val="24"/>
              <w:szCs w:val="24"/>
            </w:rPr>
            <w:fldChar w:fldCharType="begin"/>
          </w:r>
          <w:r>
            <w:rPr>
              <w:rFonts w:hint="eastAsia" w:ascii="仿宋_GB2312" w:hAnsi="仿宋_GB2312" w:eastAsia="仿宋_GB2312" w:cs="仿宋_GB2312"/>
              <w:b w:val="0"/>
              <w:bCs w:val="0"/>
              <w:sz w:val="24"/>
              <w:szCs w:val="24"/>
            </w:rPr>
            <w:instrText xml:space="preserve"> PAGEREF _Toc29812 </w:instrText>
          </w:r>
          <w:r>
            <w:rPr>
              <w:rFonts w:hint="eastAsia" w:ascii="仿宋_GB2312" w:hAnsi="仿宋_GB2312" w:eastAsia="仿宋_GB2312" w:cs="仿宋_GB2312"/>
              <w:b w:val="0"/>
              <w:bCs w:val="0"/>
              <w:sz w:val="24"/>
              <w:szCs w:val="24"/>
            </w:rPr>
            <w:fldChar w:fldCharType="separate"/>
          </w:r>
          <w:r>
            <w:rPr>
              <w:rFonts w:hint="eastAsia" w:ascii="仿宋_GB2312" w:hAnsi="仿宋_GB2312" w:eastAsia="仿宋_GB2312" w:cs="仿宋_GB2312"/>
              <w:b w:val="0"/>
              <w:bCs w:val="0"/>
              <w:sz w:val="24"/>
              <w:szCs w:val="24"/>
            </w:rPr>
            <w:t>42</w:t>
          </w:r>
          <w:r>
            <w:rPr>
              <w:rFonts w:hint="eastAsia" w:ascii="仿宋_GB2312" w:hAnsi="仿宋_GB2312" w:eastAsia="仿宋_GB2312" w:cs="仿宋_GB2312"/>
              <w:b w:val="0"/>
              <w:bCs w:val="0"/>
              <w:sz w:val="24"/>
              <w:szCs w:val="24"/>
            </w:rPr>
            <w:fldChar w:fldCharType="end"/>
          </w:r>
          <w:r>
            <w:rPr>
              <w:rFonts w:hint="eastAsia" w:ascii="仿宋_GB2312" w:hAnsi="仿宋_GB2312" w:eastAsia="仿宋_GB2312" w:cs="仿宋_GB2312"/>
              <w:b w:val="0"/>
              <w:bCs w:val="0"/>
              <w:sz w:val="24"/>
              <w:szCs w:val="24"/>
            </w:rPr>
            <w:fldChar w:fldCharType="end"/>
          </w:r>
        </w:p>
        <w:p>
          <w:pPr>
            <w:keepNext w:val="0"/>
            <w:keepLines w:val="0"/>
            <w:pageBreakBefore w:val="0"/>
            <w:widowControl w:val="0"/>
            <w:kinsoku/>
            <w:wordWrap/>
            <w:overflowPunct/>
            <w:topLinePunct w:val="0"/>
            <w:autoSpaceDE/>
            <w:autoSpaceDN/>
            <w:bidi w:val="0"/>
            <w:adjustRightInd/>
            <w:snapToGrid/>
            <w:spacing w:line="20" w:lineRule="exact"/>
            <w:textAlignment w:val="auto"/>
          </w:pPr>
          <w:r>
            <w:rPr>
              <w:rFonts w:hint="eastAsia" w:ascii="仿宋_GB2312" w:hAnsi="仿宋_GB2312" w:eastAsia="仿宋_GB2312" w:cs="仿宋_GB2312"/>
              <w:b w:val="0"/>
              <w:bCs w:val="0"/>
              <w:sz w:val="24"/>
              <w:szCs w:val="24"/>
            </w:rPr>
            <w:fldChar w:fldCharType="end"/>
          </w:r>
          <w:bookmarkStart w:id="14" w:name="_Toc15396599"/>
          <w:bookmarkStart w:id="15" w:name="_Toc18414"/>
          <w:bookmarkStart w:id="16" w:name="_Toc15377196"/>
        </w:p>
      </w:sdtContent>
    </w:sdt>
    <w:p>
      <w:pPr>
        <w:jc w:val="center"/>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第一部分 部门概况</w:t>
      </w:r>
      <w:bookmarkEnd w:id="14"/>
      <w:bookmarkEnd w:id="15"/>
      <w:bookmarkEnd w:id="16"/>
    </w:p>
    <w:p/>
    <w:p>
      <w:pPr>
        <w:ind w:firstLine="640" w:firstLineChars="200"/>
        <w:rPr>
          <w:rFonts w:hint="eastAsia" w:ascii="黑体" w:hAnsi="黑体" w:eastAsia="黑体" w:cs="黑体"/>
          <w:sz w:val="32"/>
          <w:szCs w:val="32"/>
        </w:rPr>
      </w:pPr>
      <w:bookmarkStart w:id="17" w:name="_Toc16071"/>
      <w:r>
        <w:rPr>
          <w:rFonts w:hint="eastAsia" w:ascii="黑体" w:hAnsi="黑体" w:eastAsia="黑体" w:cs="黑体"/>
          <w:sz w:val="32"/>
          <w:szCs w:val="32"/>
          <w:lang w:eastAsia="zh-CN"/>
        </w:rPr>
        <w:t>一、</w:t>
      </w:r>
      <w:r>
        <w:rPr>
          <w:rFonts w:hint="eastAsia" w:ascii="黑体" w:hAnsi="黑体" w:eastAsia="黑体" w:cs="黑体"/>
          <w:sz w:val="32"/>
          <w:szCs w:val="32"/>
        </w:rPr>
        <w:t>部门职责</w:t>
      </w:r>
      <w:bookmarkEnd w:id="17"/>
    </w:p>
    <w:p>
      <w:p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市财政局基本职能为贯彻执行国家、省财税方面的方针、政策和法律、法规，按照管理权限管理全市税政事项，拟订全市财税（含财政、预算、税收、非税收入、财务、会计等）发展战略、规划、政策和改革方案并组织实施，分析预测宏观经济形势，参与制定各项宏观经济政策。承担各项财政收支管理的责任，按规定开展国库现金管理工作。负责制定政府采购制度，监督管理全市政府采购工作。组织实施企业财务制度。负责管理政府债务，防范财政风险。负责管理全市的会计工作，组织和管理全市财政业务培训，监督和规范会计行为，协助指导和管理社会审计。依法查处违反财经法纪的行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bookmarkStart w:id="18" w:name="_Toc15396601"/>
      <w:bookmarkStart w:id="19" w:name="_Toc15377200"/>
      <w:bookmarkStart w:id="20" w:name="_Toc30915"/>
      <w:r>
        <w:rPr>
          <w:rFonts w:hint="eastAsia" w:ascii="黑体" w:hAnsi="黑体" w:eastAsia="黑体" w:cs="黑体"/>
          <w:sz w:val="32"/>
          <w:szCs w:val="32"/>
        </w:rPr>
        <w:t>二、机构设置</w:t>
      </w:r>
      <w:bookmarkEnd w:id="18"/>
      <w:bookmarkEnd w:id="19"/>
      <w:bookmarkEnd w:id="20"/>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峨眉山市财政局</w:t>
      </w:r>
      <w:r>
        <w:rPr>
          <w:rFonts w:hint="eastAsia" w:ascii="仿宋_GB2312" w:hAnsi="仿宋_GB2312" w:eastAsia="仿宋_GB2312" w:cs="仿宋_GB2312"/>
          <w:sz w:val="32"/>
          <w:szCs w:val="32"/>
        </w:rPr>
        <w:t>下属二级预算单位</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个，其中行政单位</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个，其他事业单位</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个。</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纳入</w:t>
      </w:r>
      <w:r>
        <w:rPr>
          <w:rFonts w:hint="eastAsia" w:ascii="仿宋_GB2312" w:hAnsi="仿宋_GB2312" w:eastAsia="仿宋_GB2312" w:cs="仿宋_GB2312"/>
          <w:sz w:val="32"/>
          <w:szCs w:val="32"/>
          <w:lang w:val="en-US" w:eastAsia="zh-CN"/>
        </w:rPr>
        <w:t>峨眉山市财政局</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年度部门决算编制范围的二级预算单位包括：</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（一）峨眉山市财政局（本级）</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（二）峨眉山市财政投资评审中心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（三）峨眉山市会计服务中心</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pPr>
        <w:jc w:val="center"/>
        <w:rPr>
          <w:rFonts w:hint="eastAsia" w:ascii="方正小标宋_GBK" w:hAnsi="方正小标宋_GBK" w:eastAsia="方正小标宋_GBK" w:cs="方正小标宋_GBK"/>
          <w:sz w:val="36"/>
          <w:szCs w:val="36"/>
        </w:rPr>
      </w:pPr>
      <w:bookmarkStart w:id="21" w:name="_Toc15396602"/>
      <w:bookmarkStart w:id="22" w:name="_Toc29289"/>
      <w:bookmarkStart w:id="23" w:name="_Toc15377204"/>
      <w:r>
        <w:rPr>
          <w:rFonts w:hint="eastAsia" w:ascii="方正小标宋_GBK" w:hAnsi="方正小标宋_GBK" w:eastAsia="方正小标宋_GBK" w:cs="方正小标宋_GBK"/>
          <w:sz w:val="36"/>
          <w:szCs w:val="36"/>
        </w:rPr>
        <w:t>第二部分 202</w:t>
      </w:r>
      <w:r>
        <w:rPr>
          <w:rFonts w:hint="eastAsia" w:ascii="方正小标宋_GBK" w:hAnsi="方正小标宋_GBK" w:eastAsia="方正小标宋_GBK" w:cs="方正小标宋_GBK"/>
          <w:sz w:val="36"/>
          <w:szCs w:val="36"/>
          <w:lang w:val="en-US" w:eastAsia="zh-CN"/>
        </w:rPr>
        <w:t>4</w:t>
      </w:r>
      <w:r>
        <w:rPr>
          <w:rFonts w:hint="eastAsia" w:ascii="方正小标宋_GBK" w:hAnsi="方正小标宋_GBK" w:eastAsia="方正小标宋_GBK" w:cs="方正小标宋_GBK"/>
          <w:sz w:val="36"/>
          <w:szCs w:val="36"/>
        </w:rPr>
        <w:t>年度部门决算情况说明</w:t>
      </w:r>
      <w:bookmarkEnd w:id="21"/>
      <w:bookmarkEnd w:id="22"/>
      <w:bookmarkEnd w:id="23"/>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val="0"/>
          <w:sz w:val="32"/>
          <w:szCs w:val="32"/>
        </w:rPr>
      </w:pPr>
      <w:bookmarkStart w:id="24" w:name="_Toc15396603"/>
      <w:bookmarkStart w:id="25" w:name="_Toc17685"/>
      <w:bookmarkStart w:id="26" w:name="_Toc15377205"/>
      <w:r>
        <w:rPr>
          <w:rFonts w:hint="eastAsia" w:ascii="黑体" w:hAnsi="黑体" w:eastAsia="黑体" w:cs="黑体"/>
          <w:b w:val="0"/>
          <w:bCs w:val="0"/>
          <w:sz w:val="32"/>
          <w:szCs w:val="32"/>
          <w:lang w:eastAsia="zh-CN"/>
        </w:rPr>
        <w:t>一、</w:t>
      </w:r>
      <w:r>
        <w:rPr>
          <w:rFonts w:hint="eastAsia" w:ascii="黑体" w:hAnsi="黑体" w:eastAsia="黑体" w:cs="黑体"/>
          <w:b w:val="0"/>
          <w:bCs w:val="0"/>
          <w:sz w:val="32"/>
          <w:szCs w:val="32"/>
        </w:rPr>
        <w:t>收入支出决算总体情况说明</w:t>
      </w:r>
      <w:bookmarkEnd w:id="24"/>
      <w:bookmarkEnd w:id="25"/>
      <w:bookmarkEnd w:id="26"/>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年度收、支总计</w:t>
      </w:r>
      <w:r>
        <w:rPr>
          <w:rFonts w:hint="eastAsia" w:ascii="仿宋_GB2312" w:hAnsi="仿宋_GB2312" w:eastAsia="仿宋_GB2312" w:cs="仿宋_GB2312"/>
          <w:sz w:val="32"/>
          <w:szCs w:val="32"/>
          <w:lang w:eastAsia="zh-CN"/>
        </w:rPr>
        <w:t>均为</w:t>
      </w:r>
      <w:r>
        <w:rPr>
          <w:rFonts w:hint="eastAsia" w:ascii="仿宋_GB2312" w:hAnsi="仿宋_GB2312" w:eastAsia="仿宋_GB2312" w:cs="仿宋_GB2312"/>
          <w:sz w:val="32"/>
          <w:szCs w:val="32"/>
          <w:lang w:val="en-US" w:eastAsia="zh-CN"/>
        </w:rPr>
        <w:t>2338.25</w:t>
      </w:r>
      <w:r>
        <w:rPr>
          <w:rFonts w:hint="eastAsia" w:ascii="仿宋_GB2312" w:hAnsi="仿宋_GB2312" w:eastAsia="仿宋_GB2312" w:cs="仿宋_GB2312"/>
          <w:sz w:val="32"/>
          <w:szCs w:val="32"/>
        </w:rPr>
        <w:t>万元。与202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度</w:t>
      </w:r>
      <w:r>
        <w:rPr>
          <w:rFonts w:hint="eastAsia" w:ascii="仿宋_GB2312" w:hAnsi="仿宋_GB2312" w:eastAsia="仿宋_GB2312" w:cs="仿宋_GB2312"/>
          <w:sz w:val="32"/>
          <w:szCs w:val="32"/>
        </w:rPr>
        <w:t>相比，收、支总计</w:t>
      </w:r>
      <w:r>
        <w:rPr>
          <w:rFonts w:hint="eastAsia" w:ascii="仿宋_GB2312" w:hAnsi="仿宋_GB2312" w:eastAsia="仿宋_GB2312" w:cs="仿宋_GB2312"/>
          <w:sz w:val="32"/>
          <w:szCs w:val="32"/>
          <w:lang w:eastAsia="zh-CN"/>
        </w:rPr>
        <w:t>各减少</w:t>
      </w:r>
      <w:r>
        <w:rPr>
          <w:rFonts w:hint="eastAsia" w:ascii="仿宋_GB2312" w:hAnsi="仿宋_GB2312" w:eastAsia="仿宋_GB2312" w:cs="仿宋_GB2312"/>
          <w:sz w:val="32"/>
          <w:szCs w:val="32"/>
          <w:lang w:val="en-US" w:eastAsia="zh-CN"/>
        </w:rPr>
        <w:t>838.02</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降低</w:t>
      </w:r>
      <w:r>
        <w:rPr>
          <w:rFonts w:hint="eastAsia" w:ascii="仿宋_GB2312" w:hAnsi="仿宋_GB2312" w:eastAsia="仿宋_GB2312" w:cs="仿宋_GB2312"/>
          <w:sz w:val="32"/>
          <w:szCs w:val="32"/>
          <w:lang w:val="en-US" w:eastAsia="zh-CN"/>
        </w:rPr>
        <w:t>26.38</w:t>
      </w:r>
      <w:r>
        <w:rPr>
          <w:rFonts w:hint="eastAsia" w:ascii="仿宋_GB2312" w:hAnsi="仿宋_GB2312" w:eastAsia="仿宋_GB2312" w:cs="仿宋_GB2312"/>
          <w:sz w:val="32"/>
          <w:szCs w:val="32"/>
        </w:rPr>
        <w:t>%。主要变动原因是</w:t>
      </w:r>
      <w:r>
        <w:rPr>
          <w:rFonts w:hint="eastAsia" w:ascii="仿宋_GB2312" w:hAnsi="仿宋_GB2312" w:eastAsia="仿宋_GB2312" w:cs="仿宋_GB2312"/>
          <w:sz w:val="32"/>
          <w:szCs w:val="32"/>
          <w:lang w:val="en-US" w:eastAsia="zh-CN"/>
        </w:rPr>
        <w:t>特定目标类项目减少，同时我单位秉持厉行节约的原则，节省开支，据实支付</w:t>
      </w:r>
      <w:r>
        <w:rPr>
          <w:rFonts w:hint="eastAsia" w:ascii="仿宋_GB2312" w:hAnsi="仿宋_GB2312" w:eastAsia="仿宋_GB2312" w:cs="仿宋_GB2312"/>
          <w:sz w:val="32"/>
          <w:szCs w:val="32"/>
        </w:rPr>
        <w:t>。</w:t>
      </w:r>
    </w:p>
    <w:p>
      <w:pPr>
        <w:pStyle w:val="2"/>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sz w:val="32"/>
          <w:szCs w:val="32"/>
        </w:rPr>
      </w:pPr>
      <w:r>
        <w:rPr>
          <w:rFonts w:hint="eastAsia" w:ascii="仿宋" w:hAnsi="仿宋" w:eastAsia="仿宋"/>
          <w:sz w:val="32"/>
          <w:szCs w:val="32"/>
          <w:lang w:eastAsia="zh-CN"/>
        </w:rPr>
        <w:drawing>
          <wp:anchor distT="0" distB="0" distL="114300" distR="114300" simplePos="0" relativeHeight="251659264" behindDoc="0" locked="0" layoutInCell="1" allowOverlap="1">
            <wp:simplePos x="0" y="0"/>
            <wp:positionH relativeFrom="column">
              <wp:posOffset>699770</wp:posOffset>
            </wp:positionH>
            <wp:positionV relativeFrom="paragraph">
              <wp:posOffset>19050</wp:posOffset>
            </wp:positionV>
            <wp:extent cx="4657090" cy="2892425"/>
            <wp:effectExtent l="4445" t="4445" r="5715" b="17780"/>
            <wp:wrapNone/>
            <wp:docPr id="1027" name="Image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pPr>
        <w:pStyle w:val="2"/>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sz w:val="32"/>
          <w:szCs w:val="32"/>
        </w:rPr>
      </w:pPr>
    </w:p>
    <w:p>
      <w:pPr>
        <w:pStyle w:val="2"/>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sz w:val="32"/>
          <w:szCs w:val="32"/>
        </w:rPr>
      </w:pPr>
    </w:p>
    <w:p>
      <w:pPr>
        <w:pStyle w:val="2"/>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sz w:val="32"/>
          <w:szCs w:val="32"/>
        </w:rPr>
      </w:pPr>
    </w:p>
    <w:p>
      <w:pPr>
        <w:pStyle w:val="2"/>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sz w:val="32"/>
          <w:szCs w:val="32"/>
        </w:rPr>
      </w:pPr>
    </w:p>
    <w:p>
      <w:pPr>
        <w:pStyle w:val="2"/>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sz w:val="32"/>
          <w:szCs w:val="32"/>
        </w:rPr>
      </w:pPr>
    </w:p>
    <w:p>
      <w:pPr>
        <w:pStyle w:val="2"/>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sz w:val="32"/>
          <w:szCs w:val="32"/>
        </w:rPr>
      </w:pPr>
    </w:p>
    <w:p>
      <w:pPr>
        <w:pStyle w:val="2"/>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sz w:val="32"/>
          <w:szCs w:val="32"/>
        </w:rPr>
      </w:pPr>
    </w:p>
    <w:p>
      <w:pPr>
        <w:spacing w:line="600" w:lineRule="exact"/>
        <w:jc w:val="cente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w:t>
      </w:r>
      <w:r>
        <w:rPr>
          <w:rFonts w:hint="eastAsia" w:ascii="仿宋_GB2312" w:hAnsi="仿宋_GB2312" w:eastAsia="仿宋_GB2312" w:cs="仿宋_GB2312"/>
          <w:sz w:val="32"/>
          <w:szCs w:val="32"/>
          <w:lang w:eastAsia="zh-CN"/>
        </w:rPr>
        <w:t>图</w:t>
      </w:r>
      <w:r>
        <w:rPr>
          <w:rFonts w:hint="eastAsia" w:ascii="仿宋_GB2312" w:hAnsi="仿宋_GB2312" w:eastAsia="仿宋_GB2312" w:cs="仿宋_GB2312"/>
          <w:sz w:val="32"/>
          <w:szCs w:val="32"/>
          <w:lang w:val="en-US" w:eastAsia="zh-CN"/>
        </w:rPr>
        <w:t>1：收、支决算总计变动情况图</w:t>
      </w:r>
      <w:r>
        <w:rPr>
          <w:rFonts w:hint="eastAsia" w:ascii="楷体_GB2312" w:hAnsi="楷体_GB2312" w:eastAsia="楷体_GB2312" w:cs="楷体_GB2312"/>
          <w:sz w:val="32"/>
          <w:szCs w:val="32"/>
        </w:rPr>
        <w:t>）</w:t>
      </w:r>
    </w:p>
    <w:p>
      <w:pPr>
        <w:pStyle w:val="31"/>
        <w:keepNext w:val="0"/>
        <w:keepLines w:val="0"/>
        <w:pageBreakBefore w:val="0"/>
        <w:widowControl w:val="0"/>
        <w:numPr>
          <w:ilvl w:val="0"/>
          <w:numId w:val="0"/>
        </w:numPr>
        <w:kinsoku/>
        <w:wordWrap/>
        <w:overflowPunct/>
        <w:topLinePunct w:val="0"/>
        <w:autoSpaceDE/>
        <w:autoSpaceDN/>
        <w:bidi w:val="0"/>
        <w:adjustRightInd/>
        <w:snapToGrid/>
        <w:spacing w:line="600" w:lineRule="exact"/>
        <w:ind w:left="640" w:leftChars="0"/>
        <w:textAlignment w:val="auto"/>
        <w:outlineLvl w:val="1"/>
        <w:rPr>
          <w:rStyle w:val="33"/>
          <w:rFonts w:hint="eastAsia" w:ascii="黑体" w:hAnsi="黑体" w:eastAsia="黑体" w:cs="黑体"/>
          <w:b w:val="0"/>
          <w:bCs w:val="0"/>
        </w:rPr>
      </w:pPr>
      <w:bookmarkStart w:id="27" w:name="_Toc10980"/>
      <w:bookmarkStart w:id="28" w:name="_Toc15377206"/>
      <w:bookmarkStart w:id="29" w:name="_Toc15396604"/>
      <w:r>
        <w:rPr>
          <w:rFonts w:hint="eastAsia" w:ascii="黑体" w:hAnsi="黑体" w:eastAsia="黑体" w:cs="黑体"/>
          <w:b w:val="0"/>
          <w:bCs w:val="0"/>
          <w:sz w:val="32"/>
          <w:szCs w:val="32"/>
          <w:lang w:eastAsia="zh-CN"/>
        </w:rPr>
        <w:t>二、</w:t>
      </w:r>
      <w:r>
        <w:rPr>
          <w:rFonts w:hint="eastAsia" w:ascii="黑体" w:hAnsi="黑体" w:eastAsia="黑体" w:cs="黑体"/>
          <w:b w:val="0"/>
          <w:bCs w:val="0"/>
          <w:sz w:val="32"/>
          <w:szCs w:val="32"/>
        </w:rPr>
        <w:t>收</w:t>
      </w:r>
      <w:r>
        <w:rPr>
          <w:rStyle w:val="33"/>
          <w:rFonts w:hint="eastAsia" w:ascii="黑体" w:hAnsi="黑体" w:eastAsia="黑体" w:cs="黑体"/>
          <w:b w:val="0"/>
          <w:bCs w:val="0"/>
        </w:rPr>
        <w:t>入决算情况说明</w:t>
      </w:r>
      <w:bookmarkEnd w:id="27"/>
      <w:bookmarkEnd w:id="28"/>
      <w:bookmarkEnd w:id="29"/>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Fonts w:hint="eastAsia" w:ascii="仿宋_GB2312" w:hAnsi="仿宋_GB2312" w:eastAsia="仿宋_GB2312" w:cs="仿宋_GB2312"/>
          <w:sz w:val="32"/>
          <w:szCs w:val="32"/>
        </w:rPr>
      </w:pPr>
      <w:bookmarkStart w:id="30" w:name="_Toc18929"/>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度</w:t>
      </w:r>
      <w:r>
        <w:rPr>
          <w:rFonts w:hint="eastAsia" w:ascii="仿宋_GB2312" w:hAnsi="仿宋_GB2312" w:eastAsia="仿宋_GB2312" w:cs="仿宋_GB2312"/>
          <w:sz w:val="32"/>
          <w:szCs w:val="32"/>
        </w:rPr>
        <w:t>本年收入合计</w:t>
      </w:r>
      <w:r>
        <w:rPr>
          <w:rFonts w:hint="eastAsia" w:ascii="仿宋_GB2312" w:hAnsi="仿宋_GB2312" w:eastAsia="仿宋_GB2312" w:cs="仿宋_GB2312"/>
          <w:sz w:val="32"/>
          <w:szCs w:val="32"/>
          <w:lang w:val="en-US" w:eastAsia="zh-CN"/>
        </w:rPr>
        <w:t>2338.25</w:t>
      </w:r>
      <w:r>
        <w:rPr>
          <w:rFonts w:hint="eastAsia" w:ascii="仿宋_GB2312" w:hAnsi="仿宋_GB2312" w:eastAsia="仿宋_GB2312" w:cs="仿宋_GB2312"/>
          <w:sz w:val="32"/>
          <w:szCs w:val="32"/>
        </w:rPr>
        <w:t>万元，其中：一般公共预算财政拨款收入</w:t>
      </w:r>
      <w:r>
        <w:rPr>
          <w:rFonts w:hint="eastAsia" w:ascii="仿宋_GB2312" w:hAnsi="仿宋_GB2312" w:eastAsia="仿宋_GB2312" w:cs="仿宋_GB2312"/>
          <w:sz w:val="32"/>
          <w:szCs w:val="32"/>
          <w:lang w:val="en-US" w:eastAsia="zh-CN"/>
        </w:rPr>
        <w:t>2327.65</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99.55</w:t>
      </w:r>
      <w:r>
        <w:rPr>
          <w:rFonts w:hint="eastAsia" w:ascii="仿宋_GB2312" w:hAnsi="仿宋_GB2312" w:eastAsia="仿宋_GB2312" w:cs="仿宋_GB2312"/>
          <w:sz w:val="32"/>
          <w:szCs w:val="32"/>
        </w:rPr>
        <w:t>%；政府性基金预算财政拨款收入</w:t>
      </w:r>
      <w:r>
        <w:rPr>
          <w:rFonts w:hint="eastAsia" w:ascii="仿宋_GB2312" w:hAnsi="仿宋_GB2312" w:eastAsia="仿宋_GB2312" w:cs="仿宋_GB2312"/>
          <w:sz w:val="32"/>
          <w:szCs w:val="32"/>
          <w:lang w:val="en-US" w:eastAsia="zh-CN"/>
        </w:rPr>
        <w:t>10.6</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0.45</w:t>
      </w:r>
      <w:r>
        <w:rPr>
          <w:rFonts w:hint="eastAsia" w:ascii="仿宋_GB2312" w:hAnsi="仿宋_GB2312" w:eastAsia="仿宋_GB2312" w:cs="仿宋_GB2312"/>
          <w:sz w:val="32"/>
          <w:szCs w:val="32"/>
        </w:rPr>
        <w:t>%；国有资本经营预算财政拨款收入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%；上级补助收入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%；事业收入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%；经营收入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%；附属单位上缴收入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%；其他收入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bookmarkEnd w:id="30"/>
    </w:p>
    <w:p>
      <w:pPr>
        <w:pStyle w:val="6"/>
        <w:rPr>
          <w:rFonts w:hint="default"/>
          <w:lang w:val="en-US" w:eastAsia="zh-CN"/>
        </w:rPr>
      </w:pPr>
    </w:p>
    <w:p>
      <w:pPr>
        <w:pStyle w:val="10"/>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 w:hAnsi="仿宋" w:eastAsia="仿宋"/>
          <w:sz w:val="32"/>
          <w:szCs w:val="32"/>
          <w:lang w:eastAsia="zh-CN"/>
        </w:rPr>
        <w:drawing>
          <wp:anchor distT="0" distB="0" distL="114300" distR="114300" simplePos="0" relativeHeight="251660288" behindDoc="0" locked="0" layoutInCell="1" allowOverlap="1">
            <wp:simplePos x="0" y="0"/>
            <wp:positionH relativeFrom="column">
              <wp:posOffset>556895</wp:posOffset>
            </wp:positionH>
            <wp:positionV relativeFrom="paragraph">
              <wp:posOffset>139700</wp:posOffset>
            </wp:positionV>
            <wp:extent cx="4998085" cy="2950845"/>
            <wp:effectExtent l="4445" t="4445" r="7620" b="16510"/>
            <wp:wrapNone/>
            <wp:docPr id="1029" name="Image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pPr>
        <w:pStyle w:val="10"/>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pPr>
        <w:pStyle w:val="10"/>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pPr>
        <w:pStyle w:val="10"/>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pPr>
        <w:pStyle w:val="10"/>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pPr>
        <w:pStyle w:val="10"/>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pPr>
        <w:pStyle w:val="10"/>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sz w:val="32"/>
          <w:szCs w:val="32"/>
          <w:lang w:eastAsia="zh-CN"/>
        </w:rPr>
      </w:pPr>
    </w:p>
    <w:p>
      <w:pPr>
        <w:spacing w:line="600" w:lineRule="exact"/>
        <w:jc w:val="cente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w:t>
      </w:r>
      <w:r>
        <w:rPr>
          <w:rFonts w:hint="eastAsia" w:ascii="仿宋_GB2312" w:hAnsi="仿宋_GB2312" w:eastAsia="仿宋_GB2312" w:cs="仿宋_GB2312"/>
          <w:sz w:val="32"/>
          <w:szCs w:val="32"/>
          <w:lang w:eastAsia="zh-CN"/>
        </w:rPr>
        <w:t>图</w:t>
      </w:r>
      <w:r>
        <w:rPr>
          <w:rFonts w:hint="eastAsia" w:ascii="仿宋_GB2312" w:hAnsi="仿宋_GB2312" w:eastAsia="仿宋_GB2312" w:cs="仿宋_GB2312"/>
          <w:sz w:val="32"/>
          <w:szCs w:val="32"/>
          <w:lang w:val="en-US" w:eastAsia="zh-CN"/>
        </w:rPr>
        <w:t>2：收入决算结构图</w:t>
      </w:r>
      <w:r>
        <w:rPr>
          <w:rFonts w:hint="eastAsia" w:ascii="楷体_GB2312" w:hAnsi="楷体_GB2312" w:eastAsia="楷体_GB2312" w:cs="楷体_GB2312"/>
          <w:sz w:val="32"/>
          <w:szCs w:val="32"/>
        </w:rPr>
        <w:t>）</w:t>
      </w:r>
    </w:p>
    <w:p>
      <w:pPr>
        <w:pStyle w:val="31"/>
        <w:numPr>
          <w:ilvl w:val="0"/>
          <w:numId w:val="0"/>
        </w:numPr>
        <w:spacing w:line="600" w:lineRule="exact"/>
        <w:ind w:left="640" w:leftChars="0"/>
        <w:outlineLvl w:val="1"/>
        <w:rPr>
          <w:rStyle w:val="33"/>
          <w:rFonts w:ascii="黑体" w:hAnsi="黑体" w:eastAsia="黑体"/>
          <w:b w:val="0"/>
        </w:rPr>
      </w:pPr>
      <w:bookmarkStart w:id="31" w:name="_Toc15377207"/>
      <w:bookmarkStart w:id="32" w:name="_Toc15396605"/>
      <w:bookmarkStart w:id="33" w:name="_Toc32139"/>
      <w:r>
        <w:rPr>
          <w:rFonts w:hint="eastAsia" w:ascii="黑体" w:hAnsi="黑体" w:eastAsia="黑体"/>
          <w:sz w:val="32"/>
          <w:szCs w:val="32"/>
          <w:lang w:eastAsia="zh-CN"/>
        </w:rPr>
        <w:t>三、</w:t>
      </w:r>
      <w:r>
        <w:rPr>
          <w:rFonts w:hint="eastAsia" w:ascii="黑体" w:hAnsi="黑体" w:eastAsia="黑体"/>
          <w:sz w:val="32"/>
          <w:szCs w:val="32"/>
        </w:rPr>
        <w:t>支</w:t>
      </w:r>
      <w:r>
        <w:rPr>
          <w:rStyle w:val="33"/>
          <w:rFonts w:hint="eastAsia" w:ascii="黑体" w:hAnsi="黑体" w:eastAsia="黑体"/>
          <w:b w:val="0"/>
        </w:rPr>
        <w:t>出决算情况说明</w:t>
      </w:r>
      <w:bookmarkEnd w:id="31"/>
      <w:bookmarkEnd w:id="32"/>
      <w:bookmarkEnd w:id="33"/>
    </w:p>
    <w:p>
      <w:pPr>
        <w:spacing w:line="600" w:lineRule="exact"/>
        <w:ind w:firstLine="640" w:firstLineChars="200"/>
        <w:outlineLvl w:val="1"/>
        <w:rPr>
          <w:rFonts w:hint="default" w:ascii="仿宋_GB2312" w:hAnsi="仿宋_GB2312" w:eastAsia="仿宋_GB2312" w:cs="仿宋_GB2312"/>
          <w:sz w:val="32"/>
          <w:szCs w:val="32"/>
          <w:lang w:val="en-US" w:eastAsia="zh-CN"/>
        </w:rPr>
      </w:pPr>
      <w:bookmarkStart w:id="34" w:name="_Toc27118"/>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度</w:t>
      </w:r>
      <w:r>
        <w:rPr>
          <w:rFonts w:hint="eastAsia" w:ascii="仿宋_GB2312" w:hAnsi="仿宋_GB2312" w:eastAsia="仿宋_GB2312" w:cs="仿宋_GB2312"/>
          <w:sz w:val="32"/>
          <w:szCs w:val="32"/>
        </w:rPr>
        <w:t>本年支出合计</w:t>
      </w:r>
      <w:r>
        <w:rPr>
          <w:rFonts w:hint="eastAsia" w:ascii="仿宋_GB2312" w:hAnsi="仿宋_GB2312" w:eastAsia="仿宋_GB2312" w:cs="仿宋_GB2312"/>
          <w:color w:val="auto"/>
          <w:sz w:val="32"/>
          <w:szCs w:val="32"/>
          <w:lang w:val="en-US" w:eastAsia="zh-CN"/>
        </w:rPr>
        <w:t>2338.25</w:t>
      </w:r>
      <w:r>
        <w:rPr>
          <w:rFonts w:hint="eastAsia" w:ascii="仿宋_GB2312" w:hAnsi="仿宋_GB2312" w:eastAsia="仿宋_GB2312" w:cs="仿宋_GB2312"/>
          <w:sz w:val="32"/>
          <w:szCs w:val="32"/>
        </w:rPr>
        <w:t>万元，其中：基本支出</w:t>
      </w:r>
      <w:r>
        <w:rPr>
          <w:rFonts w:hint="eastAsia" w:ascii="仿宋_GB2312" w:hAnsi="仿宋_GB2312" w:eastAsia="仿宋_GB2312" w:cs="仿宋_GB2312"/>
          <w:color w:val="auto"/>
          <w:sz w:val="32"/>
          <w:szCs w:val="32"/>
          <w:lang w:val="en-US" w:eastAsia="zh-CN"/>
        </w:rPr>
        <w:t>2102.35</w:t>
      </w:r>
      <w:r>
        <w:rPr>
          <w:rFonts w:hint="eastAsia" w:ascii="仿宋_GB2312" w:hAnsi="仿宋_GB2312" w:eastAsia="仿宋_GB2312" w:cs="仿宋_GB2312"/>
          <w:color w:val="auto"/>
          <w:sz w:val="32"/>
          <w:szCs w:val="32"/>
        </w:rPr>
        <w:t>万元，占</w:t>
      </w:r>
      <w:r>
        <w:rPr>
          <w:rFonts w:hint="eastAsia" w:ascii="仿宋_GB2312" w:hAnsi="仿宋_GB2312" w:eastAsia="仿宋_GB2312" w:cs="仿宋_GB2312"/>
          <w:color w:val="auto"/>
          <w:sz w:val="32"/>
          <w:szCs w:val="32"/>
          <w:lang w:val="en-US" w:eastAsia="zh-CN"/>
        </w:rPr>
        <w:t>89.91</w:t>
      </w:r>
      <w:r>
        <w:rPr>
          <w:rFonts w:hint="eastAsia" w:ascii="仿宋_GB2312" w:hAnsi="仿宋_GB2312" w:eastAsia="仿宋_GB2312" w:cs="仿宋_GB2312"/>
          <w:color w:val="auto"/>
          <w:sz w:val="32"/>
          <w:szCs w:val="32"/>
        </w:rPr>
        <w:t>%；项目支出</w:t>
      </w:r>
      <w:r>
        <w:rPr>
          <w:rFonts w:hint="eastAsia" w:ascii="仿宋_GB2312" w:hAnsi="仿宋_GB2312" w:eastAsia="仿宋_GB2312" w:cs="仿宋_GB2312"/>
          <w:color w:val="auto"/>
          <w:sz w:val="32"/>
          <w:szCs w:val="32"/>
          <w:lang w:val="en-US" w:eastAsia="zh-CN"/>
        </w:rPr>
        <w:t>235.9</w:t>
      </w:r>
      <w:r>
        <w:rPr>
          <w:rFonts w:hint="eastAsia" w:ascii="仿宋_GB2312" w:hAnsi="仿宋_GB2312" w:eastAsia="仿宋_GB2312" w:cs="仿宋_GB2312"/>
          <w:color w:val="auto"/>
          <w:sz w:val="32"/>
          <w:szCs w:val="32"/>
        </w:rPr>
        <w:t>万</w:t>
      </w:r>
      <w:r>
        <w:rPr>
          <w:rFonts w:hint="eastAsia" w:ascii="仿宋_GB2312" w:hAnsi="仿宋_GB2312" w:eastAsia="仿宋_GB2312" w:cs="仿宋_GB2312"/>
          <w:sz w:val="32"/>
          <w:szCs w:val="32"/>
        </w:rPr>
        <w:t>元，占</w:t>
      </w:r>
      <w:r>
        <w:rPr>
          <w:rFonts w:hint="eastAsia" w:ascii="仿宋_GB2312" w:hAnsi="仿宋_GB2312" w:eastAsia="仿宋_GB2312" w:cs="仿宋_GB2312"/>
          <w:sz w:val="32"/>
          <w:szCs w:val="32"/>
          <w:lang w:val="en-US" w:eastAsia="zh-CN"/>
        </w:rPr>
        <w:t>10.09</w:t>
      </w:r>
      <w:r>
        <w:rPr>
          <w:rFonts w:hint="eastAsia" w:ascii="仿宋_GB2312" w:hAnsi="仿宋_GB2312" w:eastAsia="仿宋_GB2312" w:cs="仿宋_GB2312"/>
          <w:sz w:val="32"/>
          <w:szCs w:val="32"/>
        </w:rPr>
        <w:t>%；上缴上级支出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%；经营支出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%；对附属单位补助支出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bookmarkEnd w:id="34"/>
    </w:p>
    <w:p>
      <w:pPr>
        <w:spacing w:line="600" w:lineRule="exact"/>
        <w:ind w:firstLine="640"/>
        <w:rPr>
          <w:rFonts w:ascii="仿宋" w:hAnsi="仿宋" w:eastAsia="仿宋"/>
          <w:sz w:val="32"/>
          <w:szCs w:val="32"/>
          <w:shd w:val="pct10" w:color="auto" w:fill="FFFFFF"/>
        </w:rPr>
      </w:pPr>
      <w:r>
        <w:rPr>
          <w:rFonts w:hint="eastAsia" w:ascii="仿宋" w:hAnsi="仿宋" w:eastAsia="仿宋"/>
          <w:sz w:val="32"/>
          <w:szCs w:val="32"/>
          <w:shd w:val="pct10" w:color="auto" w:fill="FFFFFF"/>
          <w:lang w:eastAsia="zh-CN"/>
        </w:rPr>
        <w:drawing>
          <wp:anchor distT="0" distB="0" distL="114300" distR="114300" simplePos="0" relativeHeight="251661312" behindDoc="0" locked="0" layoutInCell="1" allowOverlap="1">
            <wp:simplePos x="0" y="0"/>
            <wp:positionH relativeFrom="column">
              <wp:posOffset>476250</wp:posOffset>
            </wp:positionH>
            <wp:positionV relativeFrom="paragraph">
              <wp:posOffset>92075</wp:posOffset>
            </wp:positionV>
            <wp:extent cx="4856480" cy="2264410"/>
            <wp:effectExtent l="4445" t="4445" r="15875" b="17145"/>
            <wp:wrapNone/>
            <wp:docPr id="1031" name="Image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pPr>
        <w:pStyle w:val="10"/>
        <w:rPr>
          <w:rFonts w:ascii="仿宋" w:hAnsi="仿宋" w:eastAsia="仿宋"/>
          <w:sz w:val="32"/>
          <w:szCs w:val="32"/>
          <w:shd w:val="pct10" w:color="auto" w:fill="FFFFFF"/>
        </w:rPr>
      </w:pPr>
    </w:p>
    <w:p>
      <w:pPr>
        <w:pStyle w:val="10"/>
        <w:rPr>
          <w:rFonts w:ascii="仿宋" w:hAnsi="仿宋" w:eastAsia="仿宋"/>
          <w:sz w:val="32"/>
          <w:szCs w:val="32"/>
          <w:shd w:val="pct10" w:color="auto" w:fill="FFFFFF"/>
        </w:rPr>
      </w:pPr>
    </w:p>
    <w:p>
      <w:pPr>
        <w:pStyle w:val="10"/>
        <w:rPr>
          <w:rFonts w:ascii="仿宋" w:hAnsi="仿宋" w:eastAsia="仿宋"/>
          <w:sz w:val="32"/>
          <w:szCs w:val="32"/>
          <w:shd w:val="pct10" w:color="auto" w:fill="FFFFFF"/>
        </w:rPr>
      </w:pPr>
    </w:p>
    <w:p>
      <w:pPr>
        <w:pStyle w:val="10"/>
        <w:rPr>
          <w:rFonts w:ascii="仿宋" w:hAnsi="仿宋" w:eastAsia="仿宋"/>
          <w:sz w:val="32"/>
          <w:szCs w:val="32"/>
          <w:shd w:val="pct10" w:color="auto" w:fill="FFFFFF"/>
        </w:rPr>
      </w:pPr>
    </w:p>
    <w:p>
      <w:pPr>
        <w:pStyle w:val="10"/>
        <w:rPr>
          <w:rFonts w:ascii="仿宋" w:hAnsi="仿宋" w:eastAsia="仿宋"/>
          <w:sz w:val="32"/>
          <w:szCs w:val="32"/>
          <w:shd w:val="pct10" w:color="auto" w:fill="FFFFFF"/>
        </w:rPr>
      </w:pPr>
    </w:p>
    <w:p>
      <w:pPr>
        <w:spacing w:line="600" w:lineRule="exact"/>
        <w:jc w:val="cente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w:t>
      </w:r>
      <w:r>
        <w:rPr>
          <w:rFonts w:hint="eastAsia" w:ascii="仿宋_GB2312" w:hAnsi="仿宋_GB2312" w:eastAsia="仿宋_GB2312" w:cs="仿宋_GB2312"/>
          <w:sz w:val="32"/>
          <w:szCs w:val="32"/>
          <w:lang w:val="en-US" w:eastAsia="zh-CN"/>
        </w:rPr>
        <w:t>图3：支出决算结构图</w:t>
      </w:r>
      <w:r>
        <w:rPr>
          <w:rFonts w:hint="eastAsia" w:ascii="楷体_GB2312" w:hAnsi="楷体_GB2312" w:eastAsia="楷体_GB2312" w:cs="楷体_GB2312"/>
          <w:sz w:val="32"/>
          <w:szCs w:val="32"/>
        </w:rPr>
        <w:t>）</w:t>
      </w:r>
    </w:p>
    <w:p>
      <w:pPr>
        <w:spacing w:line="600" w:lineRule="exact"/>
        <w:ind w:firstLine="640" w:firstLineChars="200"/>
        <w:outlineLvl w:val="1"/>
        <w:rPr>
          <w:rStyle w:val="33"/>
          <w:rFonts w:ascii="黑体" w:hAnsi="黑体" w:eastAsia="黑体"/>
          <w:b w:val="0"/>
        </w:rPr>
      </w:pPr>
      <w:bookmarkStart w:id="35" w:name="_Toc8928"/>
      <w:bookmarkStart w:id="36" w:name="_Toc15396606"/>
      <w:bookmarkStart w:id="37" w:name="_Toc15377208"/>
      <w:r>
        <w:rPr>
          <w:rFonts w:hint="eastAsia" w:ascii="黑体" w:hAnsi="黑体" w:eastAsia="黑体"/>
          <w:sz w:val="32"/>
          <w:szCs w:val="32"/>
        </w:rPr>
        <w:t>四、财</w:t>
      </w:r>
      <w:r>
        <w:rPr>
          <w:rStyle w:val="33"/>
          <w:rFonts w:hint="eastAsia" w:ascii="黑体" w:hAnsi="黑体" w:eastAsia="黑体"/>
          <w:b w:val="0"/>
        </w:rPr>
        <w:t>政拨款收入支出决算总体情况说明</w:t>
      </w:r>
      <w:bookmarkEnd w:id="35"/>
      <w:bookmarkEnd w:id="36"/>
      <w:bookmarkEnd w:id="37"/>
    </w:p>
    <w:p>
      <w:pPr>
        <w:spacing w:line="600" w:lineRule="exact"/>
        <w:ind w:firstLine="64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度</w:t>
      </w:r>
      <w:r>
        <w:rPr>
          <w:rFonts w:hint="eastAsia" w:ascii="仿宋_GB2312" w:hAnsi="仿宋_GB2312" w:eastAsia="仿宋_GB2312" w:cs="仿宋_GB2312"/>
          <w:sz w:val="32"/>
          <w:szCs w:val="32"/>
        </w:rPr>
        <w:t>财政拨款收、支总计</w:t>
      </w:r>
      <w:r>
        <w:rPr>
          <w:rFonts w:hint="eastAsia" w:ascii="仿宋_GB2312" w:hAnsi="仿宋_GB2312" w:eastAsia="仿宋_GB2312" w:cs="仿宋_GB2312"/>
          <w:sz w:val="32"/>
          <w:szCs w:val="32"/>
          <w:lang w:eastAsia="zh-CN"/>
        </w:rPr>
        <w:t>均为</w:t>
      </w:r>
      <w:r>
        <w:rPr>
          <w:rFonts w:hint="eastAsia" w:ascii="仿宋_GB2312" w:hAnsi="仿宋_GB2312" w:eastAsia="仿宋_GB2312" w:cs="仿宋_GB2312"/>
          <w:sz w:val="32"/>
          <w:szCs w:val="32"/>
          <w:lang w:val="en-US" w:eastAsia="zh-CN"/>
        </w:rPr>
        <w:t>2338.25</w:t>
      </w:r>
      <w:r>
        <w:rPr>
          <w:rFonts w:hint="eastAsia" w:ascii="仿宋_GB2312" w:hAnsi="仿宋_GB2312" w:eastAsia="仿宋_GB2312" w:cs="仿宋_GB2312"/>
          <w:sz w:val="32"/>
          <w:szCs w:val="32"/>
        </w:rPr>
        <w:t>万元。与202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度</w:t>
      </w:r>
      <w:r>
        <w:rPr>
          <w:rFonts w:hint="eastAsia" w:ascii="仿宋_GB2312" w:hAnsi="仿宋_GB2312" w:eastAsia="仿宋_GB2312" w:cs="仿宋_GB2312"/>
          <w:sz w:val="32"/>
          <w:szCs w:val="32"/>
        </w:rPr>
        <w:t>相比，财政拨款收、支总计</w:t>
      </w:r>
      <w:r>
        <w:rPr>
          <w:rFonts w:hint="eastAsia" w:ascii="仿宋_GB2312" w:hAnsi="仿宋_GB2312" w:eastAsia="仿宋_GB2312" w:cs="仿宋_GB2312"/>
          <w:sz w:val="32"/>
          <w:szCs w:val="32"/>
          <w:lang w:eastAsia="zh-CN"/>
        </w:rPr>
        <w:t>各减少</w:t>
      </w:r>
      <w:r>
        <w:rPr>
          <w:rFonts w:hint="eastAsia" w:ascii="仿宋_GB2312" w:hAnsi="仿宋_GB2312" w:eastAsia="仿宋_GB2312" w:cs="仿宋_GB2312"/>
          <w:sz w:val="32"/>
          <w:szCs w:val="32"/>
          <w:lang w:val="en-US" w:eastAsia="zh-CN"/>
        </w:rPr>
        <w:t>834.8</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降低</w:t>
      </w:r>
      <w:r>
        <w:rPr>
          <w:rFonts w:hint="eastAsia" w:ascii="仿宋_GB2312" w:hAnsi="仿宋_GB2312" w:eastAsia="仿宋_GB2312" w:cs="仿宋_GB2312"/>
          <w:sz w:val="32"/>
          <w:szCs w:val="32"/>
          <w:lang w:val="en-US" w:eastAsia="zh-CN"/>
        </w:rPr>
        <w:t>26.31</w:t>
      </w:r>
      <w:r>
        <w:rPr>
          <w:rFonts w:hint="eastAsia" w:ascii="仿宋_GB2312" w:hAnsi="仿宋_GB2312" w:eastAsia="仿宋_GB2312" w:cs="仿宋_GB2312"/>
          <w:sz w:val="32"/>
          <w:szCs w:val="32"/>
        </w:rPr>
        <w:t>%。主要变动原因是</w:t>
      </w:r>
      <w:r>
        <w:rPr>
          <w:rFonts w:hint="eastAsia" w:ascii="仿宋_GB2312" w:hAnsi="仿宋_GB2312" w:eastAsia="仿宋_GB2312" w:cs="仿宋_GB2312"/>
          <w:sz w:val="32"/>
          <w:szCs w:val="32"/>
          <w:lang w:val="en-US" w:eastAsia="zh-CN"/>
        </w:rPr>
        <w:t>特定目标类项目减少，同时我单位秉持厉行节约的原则，节省开支，据实支付。</w:t>
      </w:r>
    </w:p>
    <w:p>
      <w:pPr>
        <w:spacing w:line="600" w:lineRule="exact"/>
        <w:ind w:firstLine="640"/>
        <w:rPr>
          <w:rFonts w:ascii="仿宋" w:hAnsi="仿宋" w:eastAsia="仿宋"/>
          <w:b/>
          <w:sz w:val="32"/>
          <w:szCs w:val="32"/>
        </w:rPr>
      </w:pPr>
      <w:r>
        <w:rPr>
          <w:rFonts w:hint="eastAsia" w:ascii="仿宋" w:hAnsi="仿宋" w:eastAsia="仿宋"/>
          <w:b/>
          <w:sz w:val="32"/>
          <w:szCs w:val="32"/>
          <w:lang w:eastAsia="zh-CN"/>
        </w:rPr>
        <w:drawing>
          <wp:anchor distT="0" distB="0" distL="114300" distR="114300" simplePos="0" relativeHeight="251662336" behindDoc="0" locked="0" layoutInCell="1" allowOverlap="1">
            <wp:simplePos x="0" y="0"/>
            <wp:positionH relativeFrom="column">
              <wp:posOffset>609600</wp:posOffset>
            </wp:positionH>
            <wp:positionV relativeFrom="paragraph">
              <wp:posOffset>23495</wp:posOffset>
            </wp:positionV>
            <wp:extent cx="4448175" cy="2112645"/>
            <wp:effectExtent l="4445" t="4445" r="5080" b="16510"/>
            <wp:wrapNone/>
            <wp:docPr id="1033" name="Image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pPr>
        <w:pStyle w:val="10"/>
        <w:rPr>
          <w:rFonts w:ascii="仿宋" w:hAnsi="仿宋" w:eastAsia="仿宋"/>
          <w:b/>
          <w:sz w:val="32"/>
          <w:szCs w:val="32"/>
        </w:rPr>
      </w:pPr>
    </w:p>
    <w:p>
      <w:pPr>
        <w:pStyle w:val="10"/>
        <w:rPr>
          <w:rFonts w:ascii="仿宋" w:hAnsi="仿宋" w:eastAsia="仿宋"/>
          <w:b/>
          <w:sz w:val="32"/>
          <w:szCs w:val="32"/>
        </w:rPr>
      </w:pPr>
    </w:p>
    <w:p>
      <w:pPr>
        <w:pStyle w:val="10"/>
        <w:rPr>
          <w:rFonts w:ascii="仿宋" w:hAnsi="仿宋" w:eastAsia="仿宋"/>
          <w:b/>
          <w:sz w:val="32"/>
          <w:szCs w:val="32"/>
        </w:rPr>
      </w:pPr>
    </w:p>
    <w:p>
      <w:pPr>
        <w:pStyle w:val="2"/>
        <w:rPr>
          <w:rFonts w:hint="eastAsia" w:ascii="仿宋" w:hAnsi="仿宋" w:eastAsia="仿宋"/>
          <w:b/>
          <w:sz w:val="32"/>
          <w:szCs w:val="32"/>
          <w:lang w:eastAsia="zh-CN"/>
        </w:rPr>
      </w:pPr>
    </w:p>
    <w:p>
      <w:pPr>
        <w:spacing w:line="600" w:lineRule="exact"/>
        <w:ind w:firstLine="1280" w:firstLineChars="4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w:t>
      </w:r>
      <w:r>
        <w:rPr>
          <w:rFonts w:hint="eastAsia" w:ascii="仿宋_GB2312" w:hAnsi="仿宋_GB2312" w:eastAsia="仿宋_GB2312" w:cs="仿宋_GB2312"/>
          <w:sz w:val="32"/>
          <w:szCs w:val="32"/>
          <w:lang w:val="en-US" w:eastAsia="zh-CN"/>
        </w:rPr>
        <w:t>图4：财政拨款收、支决算总计变动情况</w:t>
      </w:r>
      <w:r>
        <w:rPr>
          <w:rFonts w:hint="eastAsia" w:ascii="楷体_GB2312" w:hAnsi="楷体_GB2312" w:eastAsia="楷体_GB2312" w:cs="楷体_GB2312"/>
          <w:sz w:val="32"/>
          <w:szCs w:val="32"/>
        </w:rPr>
        <w:t>）</w:t>
      </w:r>
    </w:p>
    <w:p>
      <w:pPr>
        <w:spacing w:line="600" w:lineRule="exact"/>
        <w:ind w:firstLine="640" w:firstLineChars="200"/>
        <w:outlineLvl w:val="1"/>
        <w:rPr>
          <w:rStyle w:val="33"/>
          <w:rFonts w:ascii="黑体" w:hAnsi="黑体" w:eastAsia="黑体"/>
          <w:b w:val="0"/>
        </w:rPr>
      </w:pPr>
      <w:bookmarkStart w:id="38" w:name="_Toc15377209"/>
      <w:bookmarkStart w:id="39" w:name="_Toc677"/>
      <w:bookmarkStart w:id="40" w:name="_Toc15396607"/>
      <w:r>
        <w:rPr>
          <w:rFonts w:hint="eastAsia" w:ascii="黑体" w:hAnsi="黑体" w:eastAsia="黑体"/>
          <w:sz w:val="32"/>
          <w:szCs w:val="32"/>
        </w:rPr>
        <w:t>五、</w:t>
      </w:r>
      <w:r>
        <w:rPr>
          <w:rFonts w:hint="eastAsia" w:ascii="黑体" w:hAnsi="黑体" w:eastAsia="黑体"/>
          <w:b/>
          <w:sz w:val="32"/>
          <w:szCs w:val="32"/>
        </w:rPr>
        <w:t>一</w:t>
      </w:r>
      <w:r>
        <w:rPr>
          <w:rStyle w:val="33"/>
          <w:rFonts w:hint="eastAsia" w:ascii="黑体" w:hAnsi="黑体" w:eastAsia="黑体"/>
          <w:b w:val="0"/>
        </w:rPr>
        <w:t>般公共预算财政拨款支出决算情况说明</w:t>
      </w:r>
      <w:bookmarkEnd w:id="38"/>
      <w:bookmarkEnd w:id="39"/>
      <w:bookmarkEnd w:id="40"/>
    </w:p>
    <w:p>
      <w:pPr>
        <w:spacing w:line="600" w:lineRule="exact"/>
        <w:ind w:firstLine="640" w:firstLineChars="200"/>
        <w:outlineLvl w:val="2"/>
        <w:rPr>
          <w:rFonts w:hint="eastAsia" w:ascii="仿宋_GB2312" w:hAnsi="仿宋_GB2312" w:eastAsia="仿宋_GB2312" w:cs="仿宋_GB2312"/>
          <w:sz w:val="32"/>
          <w:szCs w:val="32"/>
        </w:rPr>
      </w:pPr>
      <w:bookmarkStart w:id="41" w:name="_Toc15377210"/>
      <w:r>
        <w:rPr>
          <w:rFonts w:hint="eastAsia" w:ascii="仿宋_GB2312" w:hAnsi="仿宋_GB2312" w:eastAsia="仿宋_GB2312" w:cs="仿宋_GB2312"/>
          <w:sz w:val="32"/>
          <w:szCs w:val="32"/>
        </w:rPr>
        <w:t>（一）一般公共预算财政拨款支出决算总体情况</w:t>
      </w:r>
      <w:bookmarkEnd w:id="41"/>
    </w:p>
    <w:p>
      <w:pPr>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度</w:t>
      </w:r>
      <w:r>
        <w:rPr>
          <w:rFonts w:hint="eastAsia" w:ascii="仿宋_GB2312" w:hAnsi="仿宋_GB2312" w:eastAsia="仿宋_GB2312" w:cs="仿宋_GB2312"/>
          <w:sz w:val="32"/>
          <w:szCs w:val="32"/>
        </w:rPr>
        <w:t>一般公共预算财政拨款支出</w:t>
      </w:r>
      <w:r>
        <w:rPr>
          <w:rFonts w:hint="eastAsia" w:ascii="仿宋_GB2312" w:hAnsi="仿宋_GB2312" w:eastAsia="仿宋_GB2312" w:cs="仿宋_GB2312"/>
          <w:sz w:val="32"/>
          <w:szCs w:val="32"/>
          <w:lang w:val="en-US" w:eastAsia="zh-CN"/>
        </w:rPr>
        <w:t>2327.65</w:t>
      </w:r>
      <w:r>
        <w:rPr>
          <w:rFonts w:hint="eastAsia" w:ascii="仿宋_GB2312" w:hAnsi="仿宋_GB2312" w:eastAsia="仿宋_GB2312" w:cs="仿宋_GB2312"/>
          <w:sz w:val="32"/>
          <w:szCs w:val="32"/>
        </w:rPr>
        <w:t>万元，占本年支出合计的</w:t>
      </w:r>
      <w:r>
        <w:rPr>
          <w:rFonts w:hint="eastAsia" w:ascii="仿宋_GB2312" w:hAnsi="仿宋_GB2312" w:eastAsia="仿宋_GB2312" w:cs="仿宋_GB2312"/>
          <w:sz w:val="32"/>
          <w:szCs w:val="32"/>
          <w:lang w:val="en-US" w:eastAsia="zh-CN"/>
        </w:rPr>
        <w:t>99.55</w:t>
      </w:r>
      <w:r>
        <w:rPr>
          <w:rFonts w:hint="eastAsia" w:ascii="仿宋_GB2312" w:hAnsi="仿宋_GB2312" w:eastAsia="仿宋_GB2312" w:cs="仿宋_GB2312"/>
          <w:sz w:val="32"/>
          <w:szCs w:val="32"/>
        </w:rPr>
        <w:t>%。与202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度</w:t>
      </w:r>
      <w:r>
        <w:rPr>
          <w:rFonts w:hint="eastAsia" w:ascii="仿宋_GB2312" w:hAnsi="仿宋_GB2312" w:eastAsia="仿宋_GB2312" w:cs="仿宋_GB2312"/>
          <w:sz w:val="32"/>
          <w:szCs w:val="32"/>
        </w:rPr>
        <w:t>相比，一般公共预算财政拨款支出</w:t>
      </w:r>
      <w:r>
        <w:rPr>
          <w:rFonts w:hint="eastAsia" w:ascii="仿宋_GB2312" w:hAnsi="仿宋_GB2312" w:eastAsia="仿宋_GB2312" w:cs="仿宋_GB2312"/>
          <w:sz w:val="32"/>
          <w:szCs w:val="32"/>
          <w:lang w:eastAsia="zh-CN"/>
        </w:rPr>
        <w:t>减少</w:t>
      </w:r>
      <w:r>
        <w:rPr>
          <w:rFonts w:hint="eastAsia" w:ascii="仿宋_GB2312" w:hAnsi="仿宋_GB2312" w:eastAsia="仿宋_GB2312" w:cs="仿宋_GB2312"/>
          <w:sz w:val="32"/>
          <w:szCs w:val="32"/>
          <w:lang w:val="en-US" w:eastAsia="zh-CN"/>
        </w:rPr>
        <w:t>814.8</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降低</w:t>
      </w:r>
      <w:r>
        <w:rPr>
          <w:rFonts w:hint="eastAsia" w:ascii="仿宋_GB2312" w:hAnsi="仿宋_GB2312" w:eastAsia="仿宋_GB2312" w:cs="仿宋_GB2312"/>
          <w:sz w:val="32"/>
          <w:szCs w:val="32"/>
          <w:lang w:val="en-US" w:eastAsia="zh-CN"/>
        </w:rPr>
        <w:t>25.93</w:t>
      </w:r>
      <w:r>
        <w:rPr>
          <w:rFonts w:hint="eastAsia" w:ascii="仿宋_GB2312" w:hAnsi="仿宋_GB2312" w:eastAsia="仿宋_GB2312" w:cs="仿宋_GB2312"/>
          <w:sz w:val="32"/>
          <w:szCs w:val="32"/>
        </w:rPr>
        <w:t>%。主要变动原因是</w:t>
      </w:r>
      <w:r>
        <w:rPr>
          <w:rFonts w:hint="eastAsia" w:ascii="仿宋_GB2312" w:hAnsi="仿宋_GB2312" w:eastAsia="仿宋_GB2312" w:cs="仿宋_GB2312"/>
          <w:sz w:val="32"/>
          <w:szCs w:val="32"/>
          <w:lang w:val="en-US" w:eastAsia="zh-CN"/>
        </w:rPr>
        <w:t>特定目标类项目减少，同时我单位秉持厉行节约的原则，节省开支，据实支付。</w:t>
      </w:r>
    </w:p>
    <w:p>
      <w:pPr>
        <w:pStyle w:val="15"/>
        <w:rPr>
          <w:rFonts w:hint="eastAsia" w:ascii="仿宋_GB2312" w:hAnsi="仿宋_GB2312" w:eastAsia="仿宋_GB2312" w:cs="仿宋_GB2312"/>
          <w:sz w:val="32"/>
          <w:szCs w:val="32"/>
          <w:lang w:val="en-US" w:eastAsia="zh-CN"/>
        </w:rPr>
      </w:pPr>
    </w:p>
    <w:p>
      <w:pPr>
        <w:pStyle w:val="8"/>
        <w:ind w:left="0" w:leftChars="0" w:firstLine="0" w:firstLineChars="0"/>
        <w:rPr>
          <w:rFonts w:hint="default" w:ascii="仿宋_GB2312" w:hAnsi="仿宋_GB2312" w:eastAsia="仿宋_GB2312" w:cs="仿宋_GB2312"/>
          <w:sz w:val="32"/>
          <w:szCs w:val="32"/>
          <w:lang w:val="en-US" w:eastAsia="zh-CN"/>
        </w:rPr>
      </w:pPr>
    </w:p>
    <w:p>
      <w:pPr>
        <w:spacing w:line="600" w:lineRule="exact"/>
        <w:ind w:firstLine="640" w:firstLineChars="200"/>
        <w:rPr>
          <w:rFonts w:ascii="仿宋" w:hAnsi="仿宋" w:eastAsia="仿宋"/>
          <w:sz w:val="32"/>
          <w:szCs w:val="32"/>
        </w:rPr>
      </w:pPr>
      <w:r>
        <w:rPr>
          <w:rFonts w:hint="eastAsia" w:ascii="仿宋" w:hAnsi="仿宋" w:eastAsia="仿宋"/>
          <w:sz w:val="32"/>
          <w:szCs w:val="32"/>
          <w:lang w:eastAsia="zh-CN"/>
        </w:rPr>
        <w:drawing>
          <wp:anchor distT="0" distB="0" distL="114300" distR="114300" simplePos="0" relativeHeight="251663360" behindDoc="0" locked="0" layoutInCell="1" allowOverlap="1">
            <wp:simplePos x="0" y="0"/>
            <wp:positionH relativeFrom="column">
              <wp:posOffset>690880</wp:posOffset>
            </wp:positionH>
            <wp:positionV relativeFrom="paragraph">
              <wp:posOffset>66040</wp:posOffset>
            </wp:positionV>
            <wp:extent cx="4361180" cy="2092960"/>
            <wp:effectExtent l="4445" t="4445" r="15875" b="17145"/>
            <wp:wrapNone/>
            <wp:docPr id="1035" name="Image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pPr>
        <w:pStyle w:val="10"/>
        <w:rPr>
          <w:rFonts w:ascii="仿宋" w:hAnsi="仿宋" w:eastAsia="仿宋"/>
          <w:sz w:val="32"/>
          <w:szCs w:val="32"/>
        </w:rPr>
      </w:pPr>
    </w:p>
    <w:p>
      <w:pPr>
        <w:pStyle w:val="10"/>
        <w:rPr>
          <w:rFonts w:ascii="仿宋" w:hAnsi="仿宋" w:eastAsia="仿宋"/>
          <w:sz w:val="32"/>
          <w:szCs w:val="32"/>
        </w:rPr>
      </w:pPr>
    </w:p>
    <w:p>
      <w:pPr>
        <w:pStyle w:val="10"/>
        <w:rPr>
          <w:rFonts w:ascii="仿宋" w:hAnsi="仿宋" w:eastAsia="仿宋"/>
          <w:sz w:val="32"/>
          <w:szCs w:val="32"/>
        </w:rPr>
      </w:pPr>
    </w:p>
    <w:p>
      <w:pPr>
        <w:pStyle w:val="10"/>
        <w:rPr>
          <w:rFonts w:ascii="仿宋" w:hAnsi="仿宋" w:eastAsia="仿宋"/>
          <w:sz w:val="32"/>
          <w:szCs w:val="32"/>
        </w:rPr>
      </w:pPr>
    </w:p>
    <w:p>
      <w:pPr>
        <w:spacing w:line="600" w:lineRule="exact"/>
        <w:jc w:val="both"/>
        <w:rPr>
          <w:rFonts w:hint="eastAsia" w:ascii="楷体_GB2312" w:hAnsi="楷体_GB2312" w:eastAsia="楷体_GB2312" w:cs="楷体_GB2312"/>
          <w:sz w:val="32"/>
          <w:szCs w:val="32"/>
        </w:rPr>
      </w:pPr>
    </w:p>
    <w:p>
      <w:pPr>
        <w:spacing w:line="600" w:lineRule="exact"/>
        <w:ind w:firstLine="960" w:firstLineChars="300"/>
        <w:jc w:val="both"/>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w:t>
      </w:r>
      <w:r>
        <w:rPr>
          <w:rFonts w:hint="eastAsia" w:ascii="仿宋_GB2312" w:hAnsi="仿宋_GB2312" w:eastAsia="仿宋_GB2312" w:cs="仿宋_GB2312"/>
          <w:b w:val="0"/>
          <w:bCs w:val="0"/>
          <w:sz w:val="32"/>
          <w:szCs w:val="32"/>
          <w:lang w:eastAsia="zh-CN"/>
        </w:rPr>
        <w:t>图</w:t>
      </w:r>
      <w:r>
        <w:rPr>
          <w:rFonts w:hint="eastAsia" w:ascii="仿宋_GB2312" w:hAnsi="仿宋_GB2312" w:eastAsia="仿宋_GB2312" w:cs="仿宋_GB2312"/>
          <w:b w:val="0"/>
          <w:bCs w:val="0"/>
          <w:sz w:val="32"/>
          <w:szCs w:val="32"/>
          <w:lang w:val="en-US" w:eastAsia="zh-CN"/>
        </w:rPr>
        <w:t>5：一般公共预算财政拨款支出决算变动情况</w:t>
      </w:r>
      <w:r>
        <w:rPr>
          <w:rFonts w:hint="eastAsia" w:ascii="楷体_GB2312" w:hAnsi="楷体_GB2312" w:eastAsia="楷体_GB2312" w:cs="楷体_GB2312"/>
          <w:sz w:val="32"/>
          <w:szCs w:val="32"/>
        </w:rPr>
        <w:t>）</w:t>
      </w:r>
    </w:p>
    <w:p>
      <w:pPr>
        <w:spacing w:line="600" w:lineRule="exact"/>
        <w:ind w:firstLine="640" w:firstLineChars="200"/>
        <w:outlineLvl w:val="2"/>
        <w:rPr>
          <w:rFonts w:hint="eastAsia" w:ascii="仿宋_GB2312" w:hAnsi="仿宋_GB2312" w:eastAsia="仿宋_GB2312" w:cs="仿宋_GB2312"/>
          <w:sz w:val="32"/>
          <w:szCs w:val="32"/>
        </w:rPr>
      </w:pPr>
      <w:bookmarkStart w:id="42" w:name="_Toc15377211"/>
      <w:r>
        <w:rPr>
          <w:rFonts w:hint="eastAsia" w:ascii="仿宋_GB2312" w:hAnsi="仿宋_GB2312" w:eastAsia="仿宋_GB2312" w:cs="仿宋_GB2312"/>
          <w:sz w:val="32"/>
          <w:szCs w:val="32"/>
        </w:rPr>
        <w:t>（二）一般公共预算财政拨款支出决算结构情况</w:t>
      </w:r>
      <w:bookmarkEnd w:id="42"/>
    </w:p>
    <w:p>
      <w:pPr>
        <w:spacing w:line="600" w:lineRule="exact"/>
        <w:ind w:firstLine="640"/>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rPr>
        <w:t>202</w:t>
      </w:r>
      <w:r>
        <w:rPr>
          <w:rFonts w:hint="eastAsia" w:ascii="仿宋_GB2312" w:hAnsi="仿宋_GB2312" w:eastAsia="仿宋_GB2312" w:cs="仿宋_GB2312"/>
          <w:b w:val="0"/>
          <w:bCs w:val="0"/>
          <w:sz w:val="32"/>
          <w:szCs w:val="32"/>
          <w:lang w:val="en-US" w:eastAsia="zh-CN"/>
        </w:rPr>
        <w:t>4</w:t>
      </w:r>
      <w:r>
        <w:rPr>
          <w:rFonts w:hint="eastAsia" w:ascii="仿宋_GB2312" w:hAnsi="仿宋_GB2312" w:eastAsia="仿宋_GB2312" w:cs="仿宋_GB2312"/>
          <w:b w:val="0"/>
          <w:bCs w:val="0"/>
          <w:sz w:val="32"/>
          <w:szCs w:val="32"/>
        </w:rPr>
        <w:t>年</w:t>
      </w:r>
      <w:r>
        <w:rPr>
          <w:rFonts w:hint="eastAsia" w:ascii="仿宋_GB2312" w:hAnsi="仿宋_GB2312" w:eastAsia="仿宋_GB2312" w:cs="仿宋_GB2312"/>
          <w:b w:val="0"/>
          <w:bCs w:val="0"/>
          <w:sz w:val="32"/>
          <w:szCs w:val="32"/>
          <w:lang w:eastAsia="zh-CN"/>
        </w:rPr>
        <w:t>度</w:t>
      </w:r>
      <w:r>
        <w:rPr>
          <w:rFonts w:hint="eastAsia" w:ascii="仿宋_GB2312" w:hAnsi="仿宋_GB2312" w:eastAsia="仿宋_GB2312" w:cs="仿宋_GB2312"/>
          <w:b w:val="0"/>
          <w:bCs w:val="0"/>
          <w:sz w:val="32"/>
          <w:szCs w:val="32"/>
        </w:rPr>
        <w:t>一般公共预算财政拨款支出</w:t>
      </w:r>
      <w:r>
        <w:rPr>
          <w:rFonts w:hint="eastAsia" w:ascii="仿宋_GB2312" w:hAnsi="仿宋_GB2312" w:eastAsia="仿宋_GB2312" w:cs="仿宋_GB2312"/>
          <w:b w:val="0"/>
          <w:bCs w:val="0"/>
          <w:sz w:val="32"/>
          <w:szCs w:val="32"/>
          <w:lang w:val="en-US" w:eastAsia="zh-CN"/>
        </w:rPr>
        <w:t>2327.65</w:t>
      </w:r>
      <w:r>
        <w:rPr>
          <w:rFonts w:hint="eastAsia" w:ascii="仿宋_GB2312" w:hAnsi="仿宋_GB2312" w:eastAsia="仿宋_GB2312" w:cs="仿宋_GB2312"/>
          <w:b w:val="0"/>
          <w:bCs w:val="0"/>
          <w:sz w:val="32"/>
          <w:szCs w:val="32"/>
        </w:rPr>
        <w:t>万元，主要用于以下方面:一般公共服务支出</w:t>
      </w:r>
      <w:r>
        <w:rPr>
          <w:rFonts w:hint="eastAsia" w:ascii="仿宋_GB2312" w:hAnsi="仿宋_GB2312" w:eastAsia="仿宋_GB2312" w:cs="仿宋_GB2312"/>
          <w:b w:val="0"/>
          <w:bCs w:val="0"/>
          <w:sz w:val="32"/>
          <w:szCs w:val="32"/>
          <w:highlight w:val="none"/>
          <w:lang w:val="en-US" w:eastAsia="zh-CN"/>
        </w:rPr>
        <w:t>1904.42</w:t>
      </w:r>
      <w:r>
        <w:rPr>
          <w:rFonts w:hint="eastAsia" w:ascii="仿宋_GB2312" w:hAnsi="仿宋_GB2312" w:eastAsia="仿宋_GB2312" w:cs="仿宋_GB2312"/>
          <w:b w:val="0"/>
          <w:bCs w:val="0"/>
          <w:sz w:val="32"/>
          <w:szCs w:val="32"/>
        </w:rPr>
        <w:t>万元，占</w:t>
      </w:r>
      <w:r>
        <w:rPr>
          <w:rFonts w:hint="eastAsia" w:ascii="仿宋_GB2312" w:hAnsi="仿宋_GB2312" w:eastAsia="仿宋_GB2312" w:cs="仿宋_GB2312"/>
          <w:b w:val="0"/>
          <w:bCs w:val="0"/>
          <w:sz w:val="32"/>
          <w:szCs w:val="32"/>
          <w:lang w:val="en-US" w:eastAsia="zh-CN"/>
        </w:rPr>
        <w:t>81.82</w:t>
      </w:r>
      <w:r>
        <w:rPr>
          <w:rFonts w:hint="eastAsia" w:ascii="仿宋_GB2312" w:hAnsi="仿宋_GB2312" w:eastAsia="仿宋_GB2312" w:cs="仿宋_GB2312"/>
          <w:b w:val="0"/>
          <w:bCs w:val="0"/>
          <w:sz w:val="32"/>
          <w:szCs w:val="32"/>
        </w:rPr>
        <w:t>%；教育支出</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万元，占</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%；科学技术支出</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万元，占</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%；文化旅游体育与传媒支出</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万元，占</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%；社会保障和就业支出</w:t>
      </w:r>
      <w:r>
        <w:rPr>
          <w:rFonts w:hint="eastAsia" w:ascii="仿宋_GB2312" w:hAnsi="仿宋_GB2312" w:eastAsia="仿宋_GB2312" w:cs="仿宋_GB2312"/>
          <w:b w:val="0"/>
          <w:bCs w:val="0"/>
          <w:color w:val="auto"/>
          <w:sz w:val="32"/>
          <w:szCs w:val="32"/>
          <w:highlight w:val="none"/>
          <w:lang w:val="en-US" w:eastAsia="zh-CN"/>
        </w:rPr>
        <w:t>236.33</w:t>
      </w:r>
      <w:r>
        <w:rPr>
          <w:rFonts w:hint="eastAsia" w:ascii="仿宋_GB2312" w:hAnsi="仿宋_GB2312" w:eastAsia="仿宋_GB2312" w:cs="仿宋_GB2312"/>
          <w:b w:val="0"/>
          <w:bCs w:val="0"/>
          <w:sz w:val="32"/>
          <w:szCs w:val="32"/>
        </w:rPr>
        <w:t>万元，占</w:t>
      </w:r>
      <w:r>
        <w:rPr>
          <w:rFonts w:hint="eastAsia" w:ascii="仿宋_GB2312" w:hAnsi="仿宋_GB2312" w:eastAsia="仿宋_GB2312" w:cs="仿宋_GB2312"/>
          <w:b w:val="0"/>
          <w:bCs w:val="0"/>
          <w:sz w:val="32"/>
          <w:szCs w:val="32"/>
          <w:lang w:val="en-US" w:eastAsia="zh-CN"/>
        </w:rPr>
        <w:t>10.15</w:t>
      </w:r>
      <w:r>
        <w:rPr>
          <w:rFonts w:hint="eastAsia" w:ascii="仿宋_GB2312" w:hAnsi="仿宋_GB2312" w:eastAsia="仿宋_GB2312" w:cs="仿宋_GB2312"/>
          <w:b w:val="0"/>
          <w:bCs w:val="0"/>
          <w:sz w:val="32"/>
          <w:szCs w:val="32"/>
        </w:rPr>
        <w:t>%；卫生健康支出</w:t>
      </w:r>
      <w:r>
        <w:rPr>
          <w:rFonts w:hint="eastAsia" w:ascii="仿宋_GB2312" w:hAnsi="仿宋_GB2312" w:eastAsia="仿宋_GB2312" w:cs="仿宋_GB2312"/>
          <w:b w:val="0"/>
          <w:bCs w:val="0"/>
          <w:sz w:val="32"/>
          <w:szCs w:val="32"/>
          <w:highlight w:val="none"/>
          <w:lang w:val="en-US" w:eastAsia="zh-CN"/>
        </w:rPr>
        <w:t>68.19</w:t>
      </w:r>
      <w:r>
        <w:rPr>
          <w:rFonts w:hint="eastAsia" w:ascii="仿宋_GB2312" w:hAnsi="仿宋_GB2312" w:eastAsia="仿宋_GB2312" w:cs="仿宋_GB2312"/>
          <w:b w:val="0"/>
          <w:bCs w:val="0"/>
          <w:sz w:val="32"/>
          <w:szCs w:val="32"/>
        </w:rPr>
        <w:t>万元，占</w:t>
      </w:r>
      <w:r>
        <w:rPr>
          <w:rFonts w:hint="eastAsia" w:ascii="仿宋_GB2312" w:hAnsi="仿宋_GB2312" w:eastAsia="仿宋_GB2312" w:cs="仿宋_GB2312"/>
          <w:b w:val="0"/>
          <w:bCs w:val="0"/>
          <w:sz w:val="32"/>
          <w:szCs w:val="32"/>
          <w:lang w:val="en-US" w:eastAsia="zh-CN"/>
        </w:rPr>
        <w:t>2.93</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eastAsia="zh-CN"/>
        </w:rPr>
        <w:t>农林水支出</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lang w:eastAsia="zh-CN"/>
        </w:rPr>
        <w:t>万元，占</w:t>
      </w:r>
      <w:r>
        <w:rPr>
          <w:rFonts w:hint="eastAsia" w:ascii="仿宋_GB2312" w:hAnsi="仿宋_GB2312" w:eastAsia="仿宋_GB2312" w:cs="仿宋_GB2312"/>
          <w:b w:val="0"/>
          <w:bCs w:val="0"/>
          <w:sz w:val="32"/>
          <w:szCs w:val="32"/>
          <w:lang w:val="en-US" w:eastAsia="zh-CN"/>
        </w:rPr>
        <w:t>0%；金融支出0万元，占0%；</w:t>
      </w:r>
      <w:r>
        <w:rPr>
          <w:rFonts w:hint="eastAsia" w:ascii="仿宋_GB2312" w:hAnsi="仿宋_GB2312" w:eastAsia="仿宋_GB2312" w:cs="仿宋_GB2312"/>
          <w:b w:val="0"/>
          <w:bCs w:val="0"/>
          <w:sz w:val="32"/>
          <w:szCs w:val="32"/>
        </w:rPr>
        <w:t>住房保障支出</w:t>
      </w:r>
      <w:r>
        <w:rPr>
          <w:rFonts w:hint="eastAsia" w:ascii="仿宋_GB2312" w:hAnsi="仿宋_GB2312" w:eastAsia="仿宋_GB2312" w:cs="仿宋_GB2312"/>
          <w:b w:val="0"/>
          <w:bCs w:val="0"/>
          <w:sz w:val="32"/>
          <w:szCs w:val="32"/>
          <w:lang w:val="en-US" w:eastAsia="zh-CN"/>
        </w:rPr>
        <w:t>118.7</w:t>
      </w:r>
      <w:r>
        <w:rPr>
          <w:rFonts w:hint="eastAsia" w:ascii="仿宋_GB2312" w:hAnsi="仿宋_GB2312" w:eastAsia="仿宋_GB2312" w:cs="仿宋_GB2312"/>
          <w:b w:val="0"/>
          <w:bCs w:val="0"/>
          <w:sz w:val="32"/>
          <w:szCs w:val="32"/>
        </w:rPr>
        <w:t>万元，占</w:t>
      </w:r>
      <w:r>
        <w:rPr>
          <w:rFonts w:hint="eastAsia" w:ascii="仿宋_GB2312" w:hAnsi="仿宋_GB2312" w:eastAsia="仿宋_GB2312" w:cs="仿宋_GB2312"/>
          <w:b w:val="0"/>
          <w:bCs w:val="0"/>
          <w:sz w:val="32"/>
          <w:szCs w:val="32"/>
          <w:lang w:val="en-US" w:eastAsia="zh-CN"/>
        </w:rPr>
        <w:t>5.1</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val="en-US" w:eastAsia="zh-CN"/>
        </w:rPr>
        <w:t xml:space="preserve"> </w:t>
      </w: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b/>
          <w:sz w:val="32"/>
          <w:szCs w:val="32"/>
          <w:lang w:eastAsia="zh-CN"/>
        </w:rPr>
      </w:pPr>
      <w:r>
        <w:rPr>
          <w:rFonts w:hint="eastAsia" w:ascii="仿宋" w:hAnsi="仿宋" w:eastAsia="仿宋"/>
          <w:b/>
          <w:sz w:val="32"/>
          <w:szCs w:val="32"/>
          <w:lang w:eastAsia="zh-CN"/>
        </w:rPr>
        <w:drawing>
          <wp:anchor distT="0" distB="0" distL="114300" distR="114300" simplePos="0" relativeHeight="251664384" behindDoc="0" locked="0" layoutInCell="1" allowOverlap="1">
            <wp:simplePos x="0" y="0"/>
            <wp:positionH relativeFrom="column">
              <wp:posOffset>548005</wp:posOffset>
            </wp:positionH>
            <wp:positionV relativeFrom="paragraph">
              <wp:posOffset>60325</wp:posOffset>
            </wp:positionV>
            <wp:extent cx="4695190" cy="2664460"/>
            <wp:effectExtent l="5080" t="4445" r="5080" b="17145"/>
            <wp:wrapNone/>
            <wp:docPr id="1037" name="Image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b/>
          <w:sz w:val="32"/>
          <w:szCs w:val="32"/>
          <w:lang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b/>
          <w:sz w:val="32"/>
          <w:szCs w:val="32"/>
          <w:lang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b/>
          <w:sz w:val="32"/>
          <w:szCs w:val="32"/>
          <w:lang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b/>
          <w:sz w:val="32"/>
          <w:szCs w:val="32"/>
          <w:lang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b/>
          <w:sz w:val="32"/>
          <w:szCs w:val="32"/>
          <w:lang w:eastAsia="zh-CN"/>
        </w:rPr>
      </w:pPr>
    </w:p>
    <w:p>
      <w:pPr>
        <w:spacing w:line="600" w:lineRule="exact"/>
        <w:jc w:val="cente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w:t>
      </w:r>
      <w:r>
        <w:rPr>
          <w:rFonts w:hint="eastAsia" w:ascii="仿宋_GB2312" w:hAnsi="仿宋_GB2312" w:eastAsia="仿宋_GB2312" w:cs="仿宋_GB2312"/>
          <w:sz w:val="32"/>
          <w:szCs w:val="32"/>
        </w:rPr>
        <w:t>图6：一般公共预算财政拨款支出决算结构</w:t>
      </w:r>
      <w:r>
        <w:rPr>
          <w:rFonts w:hint="eastAsia" w:ascii="楷体_GB2312" w:hAnsi="楷体_GB2312" w:eastAsia="楷体_GB2312" w:cs="楷体_GB2312"/>
          <w:sz w:val="32"/>
          <w:szCs w:val="32"/>
        </w:rPr>
        <w:t>）</w:t>
      </w:r>
    </w:p>
    <w:p>
      <w:pPr>
        <w:spacing w:line="600" w:lineRule="exact"/>
        <w:ind w:firstLine="640" w:firstLineChars="200"/>
        <w:outlineLvl w:val="2"/>
        <w:rPr>
          <w:rFonts w:hint="eastAsia" w:ascii="仿宋_GB2312" w:hAnsi="仿宋_GB2312" w:eastAsia="仿宋_GB2312" w:cs="仿宋_GB2312"/>
          <w:sz w:val="32"/>
          <w:szCs w:val="32"/>
        </w:rPr>
      </w:pPr>
      <w:bookmarkStart w:id="43" w:name="_Toc15377212"/>
      <w:r>
        <w:rPr>
          <w:rFonts w:hint="eastAsia" w:ascii="仿宋_GB2312" w:hAnsi="仿宋_GB2312" w:eastAsia="仿宋_GB2312" w:cs="仿宋_GB2312"/>
          <w:color w:val="auto"/>
          <w:sz w:val="32"/>
          <w:szCs w:val="32"/>
        </w:rPr>
        <w:t>（三）</w:t>
      </w:r>
      <w:r>
        <w:rPr>
          <w:rFonts w:hint="eastAsia" w:ascii="仿宋_GB2312" w:hAnsi="仿宋_GB2312" w:eastAsia="仿宋_GB2312" w:cs="仿宋_GB2312"/>
          <w:sz w:val="32"/>
          <w:szCs w:val="32"/>
        </w:rPr>
        <w:t>一般公共预算财政拨款支出决算具体情况</w:t>
      </w:r>
      <w:bookmarkEnd w:id="43"/>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2"/>
        <w:rPr>
          <w:rFonts w:hint="eastAsia" w:ascii="仿宋_GB2312" w:hAnsi="仿宋_GB2312" w:eastAsia="仿宋_GB2312" w:cs="仿宋_GB2312"/>
          <w:b w:val="0"/>
          <w:bCs/>
          <w:sz w:val="32"/>
          <w:szCs w:val="32"/>
        </w:rPr>
      </w:pPr>
      <w:bookmarkStart w:id="44" w:name="_Toc15377213"/>
      <w:bookmarkStart w:id="45" w:name="_Toc15377444"/>
      <w:bookmarkStart w:id="46" w:name="_Toc15378460"/>
      <w:r>
        <w:rPr>
          <w:rFonts w:hint="eastAsia" w:ascii="仿宋_GB2312" w:hAnsi="仿宋_GB2312" w:eastAsia="仿宋_GB2312" w:cs="仿宋_GB2312"/>
          <w:b w:val="0"/>
          <w:bCs/>
          <w:sz w:val="32"/>
          <w:szCs w:val="32"/>
        </w:rPr>
        <w:t>202</w:t>
      </w:r>
      <w:r>
        <w:rPr>
          <w:rFonts w:hint="eastAsia" w:ascii="仿宋_GB2312" w:hAnsi="仿宋_GB2312" w:eastAsia="仿宋_GB2312" w:cs="仿宋_GB2312"/>
          <w:b w:val="0"/>
          <w:bCs/>
          <w:sz w:val="32"/>
          <w:szCs w:val="32"/>
          <w:lang w:val="en-US" w:eastAsia="zh-CN"/>
        </w:rPr>
        <w:t>4</w:t>
      </w:r>
      <w:r>
        <w:rPr>
          <w:rFonts w:hint="eastAsia" w:ascii="仿宋_GB2312" w:hAnsi="仿宋_GB2312" w:eastAsia="仿宋_GB2312" w:cs="仿宋_GB2312"/>
          <w:b w:val="0"/>
          <w:bCs/>
          <w:sz w:val="32"/>
          <w:szCs w:val="32"/>
        </w:rPr>
        <w:t>年</w:t>
      </w:r>
      <w:r>
        <w:rPr>
          <w:rFonts w:hint="eastAsia" w:ascii="仿宋_GB2312" w:hAnsi="仿宋_GB2312" w:eastAsia="仿宋_GB2312" w:cs="仿宋_GB2312"/>
          <w:b w:val="0"/>
          <w:bCs/>
          <w:sz w:val="32"/>
          <w:szCs w:val="32"/>
          <w:lang w:eastAsia="zh-CN"/>
        </w:rPr>
        <w:t>度</w:t>
      </w:r>
      <w:r>
        <w:rPr>
          <w:rFonts w:hint="eastAsia" w:ascii="仿宋_GB2312" w:hAnsi="仿宋_GB2312" w:eastAsia="仿宋_GB2312" w:cs="仿宋_GB2312"/>
          <w:b w:val="0"/>
          <w:bCs/>
          <w:sz w:val="32"/>
          <w:szCs w:val="32"/>
        </w:rPr>
        <w:t>一般公共预算支出决算数为</w:t>
      </w:r>
      <w:r>
        <w:rPr>
          <w:rFonts w:hint="eastAsia" w:ascii="仿宋_GB2312" w:hAnsi="仿宋_GB2312" w:eastAsia="仿宋_GB2312" w:cs="仿宋_GB2312"/>
          <w:b w:val="0"/>
          <w:bCs/>
          <w:sz w:val="32"/>
          <w:szCs w:val="32"/>
          <w:lang w:val="en-US" w:eastAsia="zh-CN"/>
        </w:rPr>
        <w:t>2327.65</w:t>
      </w:r>
      <w:r>
        <w:rPr>
          <w:rFonts w:hint="eastAsia" w:ascii="仿宋_GB2312" w:hAnsi="仿宋_GB2312" w:eastAsia="仿宋_GB2312" w:cs="仿宋_GB2312"/>
          <w:b w:val="0"/>
          <w:bCs/>
          <w:sz w:val="32"/>
          <w:szCs w:val="32"/>
        </w:rPr>
        <w:t>万元，</w:t>
      </w:r>
      <w:r>
        <w:rPr>
          <w:rStyle w:val="21"/>
          <w:rFonts w:hint="eastAsia" w:ascii="仿宋_GB2312" w:hAnsi="仿宋_GB2312" w:eastAsia="仿宋_GB2312" w:cs="仿宋_GB2312"/>
          <w:b w:val="0"/>
          <w:bCs/>
          <w:sz w:val="32"/>
          <w:szCs w:val="32"/>
        </w:rPr>
        <w:t>完成预算</w:t>
      </w:r>
      <w:r>
        <w:rPr>
          <w:rStyle w:val="21"/>
          <w:rFonts w:hint="eastAsia" w:ascii="仿宋_GB2312" w:hAnsi="仿宋_GB2312" w:eastAsia="仿宋_GB2312" w:cs="仿宋_GB2312"/>
          <w:b w:val="0"/>
          <w:bCs/>
          <w:sz w:val="32"/>
          <w:szCs w:val="32"/>
          <w:lang w:val="en-US" w:eastAsia="zh-CN"/>
        </w:rPr>
        <w:t>100</w:t>
      </w:r>
      <w:r>
        <w:rPr>
          <w:rStyle w:val="21"/>
          <w:rFonts w:hint="eastAsia" w:ascii="仿宋_GB2312" w:hAnsi="仿宋_GB2312" w:eastAsia="仿宋_GB2312" w:cs="仿宋_GB2312"/>
          <w:b w:val="0"/>
          <w:bCs/>
          <w:sz w:val="32"/>
          <w:szCs w:val="32"/>
        </w:rPr>
        <w:t>%。其中：</w:t>
      </w:r>
      <w:bookmarkEnd w:id="44"/>
      <w:bookmarkEnd w:id="45"/>
      <w:bookmarkEnd w:id="46"/>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sz w:val="32"/>
          <w:szCs w:val="32"/>
        </w:rPr>
      </w:pPr>
      <w:r>
        <w:rPr>
          <w:rStyle w:val="21"/>
          <w:rFonts w:hint="eastAsia" w:ascii="仿宋_GB2312" w:hAnsi="仿宋_GB2312" w:eastAsia="仿宋_GB2312" w:cs="仿宋_GB2312"/>
          <w:b w:val="0"/>
          <w:bCs/>
          <w:sz w:val="32"/>
          <w:szCs w:val="32"/>
        </w:rPr>
        <w:t>1.一般公共服务</w:t>
      </w:r>
      <w:r>
        <w:rPr>
          <w:rStyle w:val="21"/>
          <w:rFonts w:hint="eastAsia" w:ascii="仿宋_GB2312" w:hAnsi="仿宋_GB2312" w:eastAsia="仿宋_GB2312" w:cs="仿宋_GB2312"/>
          <w:b w:val="0"/>
          <w:bCs/>
          <w:sz w:val="32"/>
          <w:szCs w:val="32"/>
          <w:lang w:eastAsia="zh-CN"/>
        </w:rPr>
        <w:t>支出</w:t>
      </w:r>
      <w:r>
        <w:rPr>
          <w:rStyle w:val="21"/>
          <w:rFonts w:hint="eastAsia" w:ascii="仿宋_GB2312" w:hAnsi="仿宋_GB2312" w:eastAsia="仿宋_GB2312" w:cs="仿宋_GB2312"/>
          <w:b w:val="0"/>
          <w:bCs/>
          <w:sz w:val="32"/>
          <w:szCs w:val="32"/>
        </w:rPr>
        <w:t>（类）</w:t>
      </w:r>
      <w:r>
        <w:rPr>
          <w:rStyle w:val="21"/>
          <w:rFonts w:hint="eastAsia" w:ascii="仿宋_GB2312" w:hAnsi="仿宋_GB2312" w:eastAsia="仿宋_GB2312" w:cs="仿宋_GB2312"/>
          <w:b w:val="0"/>
          <w:bCs/>
          <w:sz w:val="32"/>
          <w:szCs w:val="32"/>
          <w:lang w:val="en-US" w:eastAsia="zh-CN"/>
        </w:rPr>
        <w:t>财政事务</w:t>
      </w:r>
      <w:r>
        <w:rPr>
          <w:rStyle w:val="21"/>
          <w:rFonts w:hint="eastAsia" w:ascii="仿宋_GB2312" w:hAnsi="仿宋_GB2312" w:eastAsia="仿宋_GB2312" w:cs="仿宋_GB2312"/>
          <w:b w:val="0"/>
          <w:bCs/>
          <w:sz w:val="32"/>
          <w:szCs w:val="32"/>
        </w:rPr>
        <w:t>（款）</w:t>
      </w:r>
      <w:r>
        <w:rPr>
          <w:rStyle w:val="21"/>
          <w:rFonts w:hint="eastAsia" w:ascii="仿宋_GB2312" w:hAnsi="仿宋_GB2312" w:eastAsia="仿宋_GB2312" w:cs="仿宋_GB2312"/>
          <w:b w:val="0"/>
          <w:bCs/>
          <w:sz w:val="32"/>
          <w:szCs w:val="32"/>
          <w:lang w:val="en-US" w:eastAsia="zh-CN"/>
        </w:rPr>
        <w:t>行政运行</w:t>
      </w:r>
      <w:r>
        <w:rPr>
          <w:rStyle w:val="21"/>
          <w:rFonts w:hint="eastAsia" w:ascii="仿宋_GB2312" w:hAnsi="仿宋_GB2312" w:eastAsia="仿宋_GB2312" w:cs="仿宋_GB2312"/>
          <w:b w:val="0"/>
          <w:bCs/>
          <w:sz w:val="32"/>
          <w:szCs w:val="32"/>
        </w:rPr>
        <w:t>（项）: 支出决算为</w:t>
      </w:r>
      <w:r>
        <w:rPr>
          <w:rStyle w:val="21"/>
          <w:rFonts w:hint="eastAsia" w:ascii="仿宋_GB2312" w:hAnsi="仿宋_GB2312" w:eastAsia="仿宋_GB2312" w:cs="仿宋_GB2312"/>
          <w:b w:val="0"/>
          <w:bCs/>
          <w:sz w:val="32"/>
          <w:szCs w:val="32"/>
          <w:lang w:val="en-US" w:eastAsia="zh-CN"/>
        </w:rPr>
        <w:t>984.91</w:t>
      </w:r>
      <w:r>
        <w:rPr>
          <w:rStyle w:val="21"/>
          <w:rFonts w:hint="eastAsia" w:ascii="仿宋_GB2312" w:hAnsi="仿宋_GB2312" w:eastAsia="仿宋_GB2312" w:cs="仿宋_GB2312"/>
          <w:b w:val="0"/>
          <w:bCs/>
          <w:sz w:val="32"/>
          <w:szCs w:val="32"/>
        </w:rPr>
        <w:t>万元，完成预算</w:t>
      </w:r>
      <w:r>
        <w:rPr>
          <w:rStyle w:val="21"/>
          <w:rFonts w:hint="eastAsia" w:ascii="仿宋_GB2312" w:hAnsi="仿宋_GB2312" w:eastAsia="仿宋_GB2312" w:cs="仿宋_GB2312"/>
          <w:b w:val="0"/>
          <w:bCs/>
          <w:sz w:val="32"/>
          <w:szCs w:val="32"/>
          <w:lang w:val="en-US" w:eastAsia="zh-CN"/>
        </w:rPr>
        <w:t>100</w:t>
      </w:r>
      <w:r>
        <w:rPr>
          <w:rStyle w:val="21"/>
          <w:rFonts w:hint="eastAsia" w:ascii="仿宋_GB2312" w:hAnsi="仿宋_GB2312" w:eastAsia="仿宋_GB2312" w:cs="仿宋_GB2312"/>
          <w:b w:val="0"/>
          <w:bCs/>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sz w:val="32"/>
          <w:szCs w:val="32"/>
        </w:rPr>
      </w:pPr>
      <w:r>
        <w:rPr>
          <w:rStyle w:val="21"/>
          <w:rFonts w:hint="eastAsia" w:ascii="仿宋_GB2312" w:hAnsi="仿宋_GB2312" w:eastAsia="仿宋_GB2312" w:cs="仿宋_GB2312"/>
          <w:b w:val="0"/>
          <w:bCs/>
          <w:sz w:val="32"/>
          <w:szCs w:val="32"/>
        </w:rPr>
        <w:t>2.一般公共服务</w:t>
      </w:r>
      <w:r>
        <w:rPr>
          <w:rStyle w:val="21"/>
          <w:rFonts w:hint="eastAsia" w:ascii="仿宋_GB2312" w:hAnsi="仿宋_GB2312" w:eastAsia="仿宋_GB2312" w:cs="仿宋_GB2312"/>
          <w:b w:val="0"/>
          <w:bCs/>
          <w:sz w:val="32"/>
          <w:szCs w:val="32"/>
          <w:lang w:eastAsia="zh-CN"/>
        </w:rPr>
        <w:t>支出</w:t>
      </w:r>
      <w:r>
        <w:rPr>
          <w:rStyle w:val="21"/>
          <w:rFonts w:hint="eastAsia" w:ascii="仿宋_GB2312" w:hAnsi="仿宋_GB2312" w:eastAsia="仿宋_GB2312" w:cs="仿宋_GB2312"/>
          <w:b w:val="0"/>
          <w:bCs/>
          <w:sz w:val="32"/>
          <w:szCs w:val="32"/>
        </w:rPr>
        <w:t>（类）</w:t>
      </w:r>
      <w:r>
        <w:rPr>
          <w:rStyle w:val="21"/>
          <w:rFonts w:hint="eastAsia" w:ascii="仿宋_GB2312" w:hAnsi="仿宋_GB2312" w:eastAsia="仿宋_GB2312" w:cs="仿宋_GB2312"/>
          <w:b w:val="0"/>
          <w:bCs/>
          <w:sz w:val="32"/>
          <w:szCs w:val="32"/>
          <w:lang w:val="en-US" w:eastAsia="zh-CN"/>
        </w:rPr>
        <w:t>财政事务</w:t>
      </w:r>
      <w:r>
        <w:rPr>
          <w:rStyle w:val="21"/>
          <w:rFonts w:hint="eastAsia" w:ascii="仿宋_GB2312" w:hAnsi="仿宋_GB2312" w:eastAsia="仿宋_GB2312" w:cs="仿宋_GB2312"/>
          <w:b w:val="0"/>
          <w:bCs/>
          <w:sz w:val="32"/>
          <w:szCs w:val="32"/>
        </w:rPr>
        <w:t>（款）</w:t>
      </w:r>
      <w:r>
        <w:rPr>
          <w:rStyle w:val="21"/>
          <w:rFonts w:hint="eastAsia" w:ascii="仿宋_GB2312" w:hAnsi="仿宋_GB2312" w:eastAsia="仿宋_GB2312" w:cs="仿宋_GB2312"/>
          <w:b w:val="0"/>
          <w:bCs/>
          <w:sz w:val="32"/>
          <w:szCs w:val="32"/>
          <w:lang w:val="en-US" w:eastAsia="zh-CN"/>
        </w:rPr>
        <w:t>一般行政管理事务</w:t>
      </w:r>
      <w:r>
        <w:rPr>
          <w:rStyle w:val="21"/>
          <w:rFonts w:hint="eastAsia" w:ascii="仿宋_GB2312" w:hAnsi="仿宋_GB2312" w:eastAsia="仿宋_GB2312" w:cs="仿宋_GB2312"/>
          <w:b w:val="0"/>
          <w:bCs/>
          <w:sz w:val="32"/>
          <w:szCs w:val="32"/>
        </w:rPr>
        <w:t>（项）: 支出决算为</w:t>
      </w:r>
      <w:r>
        <w:rPr>
          <w:rStyle w:val="21"/>
          <w:rFonts w:hint="eastAsia" w:ascii="仿宋_GB2312" w:hAnsi="仿宋_GB2312" w:eastAsia="仿宋_GB2312" w:cs="仿宋_GB2312"/>
          <w:b w:val="0"/>
          <w:bCs/>
          <w:sz w:val="32"/>
          <w:szCs w:val="32"/>
          <w:lang w:val="en-US" w:eastAsia="zh-CN"/>
        </w:rPr>
        <w:t>170.9</w:t>
      </w:r>
      <w:r>
        <w:rPr>
          <w:rStyle w:val="21"/>
          <w:rFonts w:hint="eastAsia" w:ascii="仿宋_GB2312" w:hAnsi="仿宋_GB2312" w:eastAsia="仿宋_GB2312" w:cs="仿宋_GB2312"/>
          <w:b w:val="0"/>
          <w:bCs/>
          <w:sz w:val="32"/>
          <w:szCs w:val="32"/>
        </w:rPr>
        <w:t>万元，完成预算</w:t>
      </w:r>
      <w:r>
        <w:rPr>
          <w:rStyle w:val="21"/>
          <w:rFonts w:hint="eastAsia" w:ascii="仿宋_GB2312" w:hAnsi="仿宋_GB2312" w:eastAsia="仿宋_GB2312" w:cs="仿宋_GB2312"/>
          <w:b w:val="0"/>
          <w:bCs/>
          <w:sz w:val="32"/>
          <w:szCs w:val="32"/>
          <w:lang w:val="en-US" w:eastAsia="zh-CN"/>
        </w:rPr>
        <w:t>100</w:t>
      </w:r>
      <w:r>
        <w:rPr>
          <w:rStyle w:val="21"/>
          <w:rFonts w:hint="eastAsia" w:ascii="仿宋_GB2312" w:hAnsi="仿宋_GB2312" w:eastAsia="仿宋_GB2312" w:cs="仿宋_GB2312"/>
          <w:b w:val="0"/>
          <w:bCs/>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sz w:val="32"/>
          <w:szCs w:val="32"/>
        </w:rPr>
      </w:pPr>
      <w:r>
        <w:rPr>
          <w:rStyle w:val="21"/>
          <w:rFonts w:hint="eastAsia" w:ascii="仿宋_GB2312" w:hAnsi="仿宋_GB2312" w:eastAsia="仿宋_GB2312" w:cs="仿宋_GB2312"/>
          <w:b w:val="0"/>
          <w:bCs/>
          <w:sz w:val="32"/>
          <w:szCs w:val="32"/>
        </w:rPr>
        <w:t>3.一般公共服务</w:t>
      </w:r>
      <w:r>
        <w:rPr>
          <w:rStyle w:val="21"/>
          <w:rFonts w:hint="eastAsia" w:ascii="仿宋_GB2312" w:hAnsi="仿宋_GB2312" w:eastAsia="仿宋_GB2312" w:cs="仿宋_GB2312"/>
          <w:b w:val="0"/>
          <w:bCs/>
          <w:sz w:val="32"/>
          <w:szCs w:val="32"/>
          <w:lang w:eastAsia="zh-CN"/>
        </w:rPr>
        <w:t>支出</w:t>
      </w:r>
      <w:r>
        <w:rPr>
          <w:rStyle w:val="21"/>
          <w:rFonts w:hint="eastAsia" w:ascii="仿宋_GB2312" w:hAnsi="仿宋_GB2312" w:eastAsia="仿宋_GB2312" w:cs="仿宋_GB2312"/>
          <w:b w:val="0"/>
          <w:bCs/>
          <w:sz w:val="32"/>
          <w:szCs w:val="32"/>
        </w:rPr>
        <w:t>（类）</w:t>
      </w:r>
      <w:r>
        <w:rPr>
          <w:rStyle w:val="21"/>
          <w:rFonts w:hint="eastAsia" w:ascii="仿宋_GB2312" w:hAnsi="仿宋_GB2312" w:eastAsia="仿宋_GB2312" w:cs="仿宋_GB2312"/>
          <w:b w:val="0"/>
          <w:bCs/>
          <w:sz w:val="32"/>
          <w:szCs w:val="32"/>
          <w:lang w:val="en-US" w:eastAsia="zh-CN"/>
        </w:rPr>
        <w:t>财政事务</w:t>
      </w:r>
      <w:r>
        <w:rPr>
          <w:rStyle w:val="21"/>
          <w:rFonts w:hint="eastAsia" w:ascii="仿宋_GB2312" w:hAnsi="仿宋_GB2312" w:eastAsia="仿宋_GB2312" w:cs="仿宋_GB2312"/>
          <w:b w:val="0"/>
          <w:bCs/>
          <w:sz w:val="32"/>
          <w:szCs w:val="32"/>
        </w:rPr>
        <w:t>（款）</w:t>
      </w:r>
      <w:r>
        <w:rPr>
          <w:rStyle w:val="21"/>
          <w:rFonts w:hint="eastAsia" w:ascii="仿宋_GB2312" w:hAnsi="仿宋_GB2312" w:eastAsia="仿宋_GB2312" w:cs="仿宋_GB2312"/>
          <w:b w:val="0"/>
          <w:bCs/>
          <w:sz w:val="32"/>
          <w:szCs w:val="32"/>
          <w:lang w:val="en-US" w:eastAsia="zh-CN"/>
        </w:rPr>
        <w:t>事业运行</w:t>
      </w:r>
      <w:r>
        <w:rPr>
          <w:rStyle w:val="21"/>
          <w:rFonts w:hint="eastAsia" w:ascii="仿宋_GB2312" w:hAnsi="仿宋_GB2312" w:eastAsia="仿宋_GB2312" w:cs="仿宋_GB2312"/>
          <w:b w:val="0"/>
          <w:bCs/>
          <w:sz w:val="32"/>
          <w:szCs w:val="32"/>
        </w:rPr>
        <w:t>（项）: 支出决算为</w:t>
      </w:r>
      <w:r>
        <w:rPr>
          <w:rStyle w:val="21"/>
          <w:rFonts w:hint="eastAsia" w:ascii="仿宋_GB2312" w:hAnsi="仿宋_GB2312" w:eastAsia="仿宋_GB2312" w:cs="仿宋_GB2312"/>
          <w:b w:val="0"/>
          <w:bCs/>
          <w:sz w:val="32"/>
          <w:szCs w:val="32"/>
          <w:lang w:val="en-US" w:eastAsia="zh-CN"/>
        </w:rPr>
        <w:t>687.82</w:t>
      </w:r>
      <w:r>
        <w:rPr>
          <w:rStyle w:val="21"/>
          <w:rFonts w:hint="eastAsia" w:ascii="仿宋_GB2312" w:hAnsi="仿宋_GB2312" w:eastAsia="仿宋_GB2312" w:cs="仿宋_GB2312"/>
          <w:b w:val="0"/>
          <w:bCs/>
          <w:sz w:val="32"/>
          <w:szCs w:val="32"/>
        </w:rPr>
        <w:t>万元，完成预算</w:t>
      </w:r>
      <w:r>
        <w:rPr>
          <w:rStyle w:val="21"/>
          <w:rFonts w:hint="eastAsia" w:ascii="仿宋_GB2312" w:hAnsi="仿宋_GB2312" w:eastAsia="仿宋_GB2312" w:cs="仿宋_GB2312"/>
          <w:b w:val="0"/>
          <w:bCs/>
          <w:sz w:val="32"/>
          <w:szCs w:val="32"/>
          <w:lang w:val="en-US" w:eastAsia="zh-CN"/>
        </w:rPr>
        <w:t>100</w:t>
      </w:r>
      <w:r>
        <w:rPr>
          <w:rStyle w:val="21"/>
          <w:rFonts w:hint="eastAsia" w:ascii="仿宋_GB2312" w:hAnsi="仿宋_GB2312" w:eastAsia="仿宋_GB2312" w:cs="仿宋_GB2312"/>
          <w:b w:val="0"/>
          <w:bCs/>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sz w:val="32"/>
          <w:szCs w:val="32"/>
        </w:rPr>
      </w:pPr>
      <w:r>
        <w:rPr>
          <w:rStyle w:val="21"/>
          <w:rFonts w:hint="eastAsia" w:ascii="仿宋_GB2312" w:hAnsi="仿宋_GB2312" w:eastAsia="仿宋_GB2312" w:cs="仿宋_GB2312"/>
          <w:b w:val="0"/>
          <w:bCs/>
          <w:sz w:val="32"/>
          <w:szCs w:val="32"/>
        </w:rPr>
        <w:t>4.一般公共服务</w:t>
      </w:r>
      <w:r>
        <w:rPr>
          <w:rStyle w:val="21"/>
          <w:rFonts w:hint="eastAsia" w:ascii="仿宋_GB2312" w:hAnsi="仿宋_GB2312" w:eastAsia="仿宋_GB2312" w:cs="仿宋_GB2312"/>
          <w:b w:val="0"/>
          <w:bCs/>
          <w:sz w:val="32"/>
          <w:szCs w:val="32"/>
          <w:lang w:eastAsia="zh-CN"/>
        </w:rPr>
        <w:t>支出</w:t>
      </w:r>
      <w:r>
        <w:rPr>
          <w:rStyle w:val="21"/>
          <w:rFonts w:hint="eastAsia" w:ascii="仿宋_GB2312" w:hAnsi="仿宋_GB2312" w:eastAsia="仿宋_GB2312" w:cs="仿宋_GB2312"/>
          <w:b w:val="0"/>
          <w:bCs/>
          <w:sz w:val="32"/>
          <w:szCs w:val="32"/>
        </w:rPr>
        <w:t>（类）</w:t>
      </w:r>
      <w:r>
        <w:rPr>
          <w:rStyle w:val="21"/>
          <w:rFonts w:hint="eastAsia" w:ascii="仿宋_GB2312" w:hAnsi="仿宋_GB2312" w:eastAsia="仿宋_GB2312" w:cs="仿宋_GB2312"/>
          <w:b w:val="0"/>
          <w:bCs/>
          <w:sz w:val="32"/>
          <w:szCs w:val="32"/>
          <w:lang w:val="en-US" w:eastAsia="zh-CN"/>
        </w:rPr>
        <w:t>财政事务</w:t>
      </w:r>
      <w:r>
        <w:rPr>
          <w:rStyle w:val="21"/>
          <w:rFonts w:hint="eastAsia" w:ascii="仿宋_GB2312" w:hAnsi="仿宋_GB2312" w:eastAsia="仿宋_GB2312" w:cs="仿宋_GB2312"/>
          <w:b w:val="0"/>
          <w:bCs/>
          <w:sz w:val="32"/>
          <w:szCs w:val="32"/>
        </w:rPr>
        <w:t>（款）</w:t>
      </w:r>
      <w:r>
        <w:rPr>
          <w:rStyle w:val="21"/>
          <w:rFonts w:hint="eastAsia" w:ascii="仿宋_GB2312" w:hAnsi="仿宋_GB2312" w:eastAsia="仿宋_GB2312" w:cs="仿宋_GB2312"/>
          <w:b w:val="0"/>
          <w:bCs/>
          <w:sz w:val="32"/>
          <w:szCs w:val="32"/>
          <w:lang w:val="en-US" w:eastAsia="zh-CN"/>
        </w:rPr>
        <w:t>其他财政事务支出</w:t>
      </w:r>
      <w:r>
        <w:rPr>
          <w:rStyle w:val="21"/>
          <w:rFonts w:hint="eastAsia" w:ascii="仿宋_GB2312" w:hAnsi="仿宋_GB2312" w:eastAsia="仿宋_GB2312" w:cs="仿宋_GB2312"/>
          <w:b w:val="0"/>
          <w:bCs/>
          <w:sz w:val="32"/>
          <w:szCs w:val="32"/>
        </w:rPr>
        <w:t>（项）: 支出决算为</w:t>
      </w:r>
      <w:r>
        <w:rPr>
          <w:rStyle w:val="21"/>
          <w:rFonts w:hint="eastAsia" w:ascii="仿宋_GB2312" w:hAnsi="仿宋_GB2312" w:eastAsia="仿宋_GB2312" w:cs="仿宋_GB2312"/>
          <w:b w:val="0"/>
          <w:bCs/>
          <w:sz w:val="32"/>
          <w:szCs w:val="32"/>
          <w:lang w:val="en-US" w:eastAsia="zh-CN"/>
        </w:rPr>
        <w:t>60.79</w:t>
      </w:r>
      <w:r>
        <w:rPr>
          <w:rStyle w:val="21"/>
          <w:rFonts w:hint="eastAsia" w:ascii="仿宋_GB2312" w:hAnsi="仿宋_GB2312" w:eastAsia="仿宋_GB2312" w:cs="仿宋_GB2312"/>
          <w:b w:val="0"/>
          <w:bCs/>
          <w:sz w:val="32"/>
          <w:szCs w:val="32"/>
        </w:rPr>
        <w:t>万元，完成预算</w:t>
      </w:r>
      <w:r>
        <w:rPr>
          <w:rStyle w:val="21"/>
          <w:rFonts w:hint="eastAsia" w:ascii="仿宋_GB2312" w:hAnsi="仿宋_GB2312" w:eastAsia="仿宋_GB2312" w:cs="仿宋_GB2312"/>
          <w:b w:val="0"/>
          <w:bCs/>
          <w:sz w:val="32"/>
          <w:szCs w:val="32"/>
          <w:lang w:val="en-US" w:eastAsia="zh-CN"/>
        </w:rPr>
        <w:t>100</w:t>
      </w:r>
      <w:r>
        <w:rPr>
          <w:rStyle w:val="21"/>
          <w:rFonts w:hint="eastAsia" w:ascii="仿宋_GB2312" w:hAnsi="仿宋_GB2312" w:eastAsia="仿宋_GB2312" w:cs="仿宋_GB2312"/>
          <w:b w:val="0"/>
          <w:bCs/>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sz w:val="32"/>
          <w:szCs w:val="32"/>
        </w:rPr>
      </w:pPr>
      <w:r>
        <w:rPr>
          <w:rStyle w:val="21"/>
          <w:rFonts w:hint="eastAsia" w:ascii="仿宋_GB2312" w:hAnsi="仿宋_GB2312" w:eastAsia="仿宋_GB2312" w:cs="仿宋_GB2312"/>
          <w:b w:val="0"/>
          <w:bCs/>
          <w:sz w:val="32"/>
          <w:szCs w:val="32"/>
        </w:rPr>
        <w:t>5.社会保障和就业支出（类）行政事业单位养老支出（款）  机关事业单位基本养老保险缴费支出（项）: 支出决算为</w:t>
      </w:r>
      <w:r>
        <w:rPr>
          <w:rStyle w:val="21"/>
          <w:rFonts w:hint="eastAsia" w:ascii="仿宋_GB2312" w:hAnsi="仿宋_GB2312" w:eastAsia="仿宋_GB2312" w:cs="仿宋_GB2312"/>
          <w:b w:val="0"/>
          <w:bCs/>
          <w:sz w:val="32"/>
          <w:szCs w:val="32"/>
          <w:lang w:val="en-US" w:eastAsia="zh-CN"/>
        </w:rPr>
        <w:t>137.94</w:t>
      </w:r>
      <w:r>
        <w:rPr>
          <w:rStyle w:val="21"/>
          <w:rFonts w:hint="eastAsia" w:ascii="仿宋_GB2312" w:hAnsi="仿宋_GB2312" w:eastAsia="仿宋_GB2312" w:cs="仿宋_GB2312"/>
          <w:b w:val="0"/>
          <w:bCs/>
          <w:sz w:val="32"/>
          <w:szCs w:val="32"/>
        </w:rPr>
        <w:t>万元，完成预算</w:t>
      </w:r>
      <w:r>
        <w:rPr>
          <w:rStyle w:val="21"/>
          <w:rFonts w:hint="eastAsia" w:ascii="仿宋_GB2312" w:hAnsi="仿宋_GB2312" w:eastAsia="仿宋_GB2312" w:cs="仿宋_GB2312"/>
          <w:b w:val="0"/>
          <w:bCs/>
          <w:sz w:val="32"/>
          <w:szCs w:val="32"/>
          <w:lang w:val="en-US" w:eastAsia="zh-CN"/>
        </w:rPr>
        <w:t>100</w:t>
      </w:r>
      <w:r>
        <w:rPr>
          <w:rStyle w:val="21"/>
          <w:rFonts w:hint="eastAsia" w:ascii="仿宋_GB2312" w:hAnsi="仿宋_GB2312" w:eastAsia="仿宋_GB2312" w:cs="仿宋_GB2312"/>
          <w:b w:val="0"/>
          <w:bCs/>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Style w:val="21"/>
          <w:rFonts w:hint="eastAsia" w:ascii="仿宋_GB2312" w:hAnsi="仿宋_GB2312" w:eastAsia="仿宋_GB2312" w:cs="仿宋_GB2312"/>
          <w:b w:val="0"/>
          <w:bCs/>
          <w:sz w:val="32"/>
          <w:szCs w:val="32"/>
        </w:rPr>
      </w:pPr>
      <w:r>
        <w:rPr>
          <w:rStyle w:val="21"/>
          <w:rFonts w:hint="eastAsia" w:ascii="仿宋_GB2312" w:hAnsi="仿宋_GB2312" w:eastAsia="仿宋_GB2312" w:cs="仿宋_GB2312"/>
          <w:b w:val="0"/>
          <w:bCs/>
          <w:sz w:val="32"/>
          <w:szCs w:val="32"/>
        </w:rPr>
        <w:t>6.社会保障和就业支出（类）行政事业单位养老支出（款）机关事业单位职业年金缴费支出（项）:支出决算为</w:t>
      </w:r>
      <w:r>
        <w:rPr>
          <w:rStyle w:val="21"/>
          <w:rFonts w:hint="eastAsia" w:ascii="仿宋_GB2312" w:hAnsi="仿宋_GB2312" w:eastAsia="仿宋_GB2312" w:cs="仿宋_GB2312"/>
          <w:b w:val="0"/>
          <w:bCs/>
          <w:sz w:val="32"/>
          <w:szCs w:val="32"/>
          <w:lang w:val="en-US" w:eastAsia="zh-CN"/>
        </w:rPr>
        <w:t>75.62</w:t>
      </w:r>
      <w:r>
        <w:rPr>
          <w:rStyle w:val="21"/>
          <w:rFonts w:hint="eastAsia" w:ascii="仿宋_GB2312" w:hAnsi="仿宋_GB2312" w:eastAsia="仿宋_GB2312" w:cs="仿宋_GB2312"/>
          <w:b w:val="0"/>
          <w:bCs/>
          <w:sz w:val="32"/>
          <w:szCs w:val="32"/>
        </w:rPr>
        <w:t>万元，完成预算</w:t>
      </w:r>
      <w:r>
        <w:rPr>
          <w:rStyle w:val="21"/>
          <w:rFonts w:hint="eastAsia" w:ascii="仿宋_GB2312" w:hAnsi="仿宋_GB2312" w:eastAsia="仿宋_GB2312" w:cs="仿宋_GB2312"/>
          <w:b w:val="0"/>
          <w:bCs/>
          <w:sz w:val="32"/>
          <w:szCs w:val="32"/>
          <w:lang w:val="en-US" w:eastAsia="zh-CN"/>
        </w:rPr>
        <w:t>100</w:t>
      </w:r>
      <w:r>
        <w:rPr>
          <w:rStyle w:val="21"/>
          <w:rFonts w:hint="eastAsia" w:ascii="仿宋_GB2312" w:hAnsi="仿宋_GB2312" w:eastAsia="仿宋_GB2312" w:cs="仿宋_GB2312"/>
          <w:b w:val="0"/>
          <w:bCs/>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Style w:val="21"/>
          <w:rFonts w:hint="eastAsia" w:ascii="仿宋_GB2312" w:hAnsi="仿宋_GB2312" w:eastAsia="仿宋_GB2312" w:cs="仿宋_GB2312"/>
          <w:b w:val="0"/>
          <w:bCs/>
          <w:sz w:val="32"/>
          <w:szCs w:val="32"/>
        </w:rPr>
      </w:pPr>
      <w:r>
        <w:rPr>
          <w:rStyle w:val="21"/>
          <w:rFonts w:hint="eastAsia" w:ascii="仿宋_GB2312" w:hAnsi="仿宋_GB2312" w:eastAsia="仿宋_GB2312" w:cs="仿宋_GB2312"/>
          <w:b w:val="0"/>
          <w:bCs/>
          <w:sz w:val="32"/>
          <w:szCs w:val="32"/>
          <w:lang w:val="en-US" w:eastAsia="zh-CN"/>
        </w:rPr>
        <w:t>7.</w:t>
      </w:r>
      <w:r>
        <w:rPr>
          <w:rStyle w:val="21"/>
          <w:rFonts w:hint="eastAsia" w:ascii="仿宋_GB2312" w:hAnsi="仿宋_GB2312" w:eastAsia="仿宋_GB2312" w:cs="仿宋_GB2312"/>
          <w:b w:val="0"/>
          <w:bCs/>
          <w:sz w:val="32"/>
          <w:szCs w:val="32"/>
        </w:rPr>
        <w:t>社会保障和就业支出（类）</w:t>
      </w:r>
      <w:r>
        <w:rPr>
          <w:rStyle w:val="21"/>
          <w:rFonts w:hint="eastAsia" w:ascii="仿宋_GB2312" w:hAnsi="仿宋_GB2312" w:eastAsia="仿宋_GB2312" w:cs="仿宋_GB2312"/>
          <w:b w:val="0"/>
          <w:bCs/>
          <w:sz w:val="32"/>
          <w:szCs w:val="32"/>
          <w:lang w:val="en-US" w:eastAsia="zh-CN"/>
        </w:rPr>
        <w:t>其他社会保障和就业支出</w:t>
      </w:r>
      <w:r>
        <w:rPr>
          <w:rStyle w:val="21"/>
          <w:rFonts w:hint="eastAsia" w:ascii="仿宋_GB2312" w:hAnsi="仿宋_GB2312" w:eastAsia="仿宋_GB2312" w:cs="仿宋_GB2312"/>
          <w:b w:val="0"/>
          <w:bCs/>
          <w:sz w:val="32"/>
          <w:szCs w:val="32"/>
        </w:rPr>
        <w:t>（款）</w:t>
      </w:r>
      <w:r>
        <w:rPr>
          <w:rStyle w:val="21"/>
          <w:rFonts w:hint="eastAsia" w:ascii="仿宋_GB2312" w:hAnsi="仿宋_GB2312" w:eastAsia="仿宋_GB2312" w:cs="仿宋_GB2312"/>
          <w:b w:val="0"/>
          <w:bCs/>
          <w:sz w:val="32"/>
          <w:szCs w:val="32"/>
          <w:lang w:eastAsia="zh-CN"/>
        </w:rPr>
        <w:t>其他社会保障和就业支出</w:t>
      </w:r>
      <w:r>
        <w:rPr>
          <w:rStyle w:val="21"/>
          <w:rFonts w:hint="eastAsia" w:ascii="仿宋_GB2312" w:hAnsi="仿宋_GB2312" w:eastAsia="仿宋_GB2312" w:cs="仿宋_GB2312"/>
          <w:b w:val="0"/>
          <w:bCs/>
          <w:sz w:val="32"/>
          <w:szCs w:val="32"/>
        </w:rPr>
        <w:t>（项）:支出决算为</w:t>
      </w:r>
      <w:r>
        <w:rPr>
          <w:rStyle w:val="21"/>
          <w:rFonts w:hint="eastAsia" w:ascii="仿宋_GB2312" w:hAnsi="仿宋_GB2312" w:eastAsia="仿宋_GB2312" w:cs="仿宋_GB2312"/>
          <w:b w:val="0"/>
          <w:bCs/>
          <w:sz w:val="32"/>
          <w:szCs w:val="32"/>
          <w:lang w:val="en-US" w:eastAsia="zh-CN"/>
        </w:rPr>
        <w:t>22.77</w:t>
      </w:r>
      <w:r>
        <w:rPr>
          <w:rStyle w:val="21"/>
          <w:rFonts w:hint="eastAsia" w:ascii="仿宋_GB2312" w:hAnsi="仿宋_GB2312" w:eastAsia="仿宋_GB2312" w:cs="仿宋_GB2312"/>
          <w:b w:val="0"/>
          <w:bCs/>
          <w:sz w:val="32"/>
          <w:szCs w:val="32"/>
        </w:rPr>
        <w:t>万元，完成预算</w:t>
      </w:r>
      <w:r>
        <w:rPr>
          <w:rStyle w:val="21"/>
          <w:rFonts w:hint="eastAsia" w:ascii="仿宋_GB2312" w:hAnsi="仿宋_GB2312" w:eastAsia="仿宋_GB2312" w:cs="仿宋_GB2312"/>
          <w:b w:val="0"/>
          <w:bCs/>
          <w:sz w:val="32"/>
          <w:szCs w:val="32"/>
          <w:lang w:val="en-US" w:eastAsia="zh-CN"/>
        </w:rPr>
        <w:t>100</w:t>
      </w:r>
      <w:r>
        <w:rPr>
          <w:rStyle w:val="21"/>
          <w:rFonts w:hint="eastAsia" w:ascii="仿宋_GB2312" w:hAnsi="仿宋_GB2312" w:eastAsia="仿宋_GB2312" w:cs="仿宋_GB2312"/>
          <w:b w:val="0"/>
          <w:bCs/>
          <w:sz w:val="32"/>
          <w:szCs w:val="32"/>
        </w:rPr>
        <w:t>%。</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Style w:val="21"/>
          <w:rFonts w:hint="eastAsia" w:ascii="仿宋_GB2312" w:hAnsi="仿宋_GB2312" w:eastAsia="仿宋_GB2312" w:cs="仿宋_GB2312"/>
          <w:b w:val="0"/>
          <w:bCs/>
          <w:sz w:val="32"/>
          <w:szCs w:val="32"/>
        </w:rPr>
      </w:pPr>
      <w:r>
        <w:rPr>
          <w:rStyle w:val="21"/>
          <w:rFonts w:hint="eastAsia" w:hAnsi="仿宋_GB2312" w:cs="仿宋_GB2312"/>
          <w:b w:val="0"/>
          <w:bCs/>
          <w:sz w:val="32"/>
          <w:szCs w:val="32"/>
          <w:lang w:val="en-US" w:eastAsia="zh-CN"/>
        </w:rPr>
        <w:t>8</w:t>
      </w:r>
      <w:r>
        <w:rPr>
          <w:rStyle w:val="21"/>
          <w:rFonts w:hint="eastAsia" w:ascii="仿宋_GB2312" w:hAnsi="仿宋_GB2312" w:eastAsia="仿宋_GB2312" w:cs="仿宋_GB2312"/>
          <w:b w:val="0"/>
          <w:bCs/>
          <w:sz w:val="32"/>
          <w:szCs w:val="32"/>
          <w:lang w:val="en-US" w:eastAsia="zh-CN"/>
        </w:rPr>
        <w:t>.</w:t>
      </w:r>
      <w:r>
        <w:rPr>
          <w:rStyle w:val="21"/>
          <w:rFonts w:hint="eastAsia" w:ascii="仿宋_GB2312" w:hAnsi="仿宋_GB2312" w:eastAsia="仿宋_GB2312" w:cs="仿宋_GB2312"/>
          <w:b w:val="0"/>
          <w:bCs/>
          <w:sz w:val="32"/>
          <w:szCs w:val="32"/>
        </w:rPr>
        <w:t>卫生健康支出（类）</w:t>
      </w:r>
      <w:r>
        <w:rPr>
          <w:rStyle w:val="21"/>
          <w:rFonts w:hint="eastAsia" w:ascii="仿宋_GB2312" w:hAnsi="仿宋_GB2312" w:eastAsia="仿宋_GB2312" w:cs="仿宋_GB2312"/>
          <w:b w:val="0"/>
          <w:bCs/>
          <w:sz w:val="32"/>
          <w:szCs w:val="32"/>
          <w:lang w:val="en-US" w:eastAsia="zh-CN"/>
        </w:rPr>
        <w:t>行政事业单位医疗</w:t>
      </w:r>
      <w:r>
        <w:rPr>
          <w:rStyle w:val="21"/>
          <w:rFonts w:hint="eastAsia" w:ascii="仿宋_GB2312" w:hAnsi="仿宋_GB2312" w:eastAsia="仿宋_GB2312" w:cs="仿宋_GB2312"/>
          <w:b w:val="0"/>
          <w:bCs/>
          <w:sz w:val="32"/>
          <w:szCs w:val="32"/>
        </w:rPr>
        <w:t>（款）行政单位医疗（项）:支出决算为</w:t>
      </w:r>
      <w:r>
        <w:rPr>
          <w:rStyle w:val="21"/>
          <w:rFonts w:hint="eastAsia" w:hAnsi="仿宋_GB2312" w:cs="仿宋_GB2312"/>
          <w:b w:val="0"/>
          <w:bCs/>
          <w:sz w:val="32"/>
          <w:szCs w:val="32"/>
          <w:highlight w:val="none"/>
          <w:lang w:val="en-US" w:eastAsia="zh-CN"/>
        </w:rPr>
        <w:t>34.96</w:t>
      </w:r>
      <w:r>
        <w:rPr>
          <w:rStyle w:val="21"/>
          <w:rFonts w:hint="eastAsia" w:ascii="仿宋_GB2312" w:hAnsi="仿宋_GB2312" w:eastAsia="仿宋_GB2312" w:cs="仿宋_GB2312"/>
          <w:b w:val="0"/>
          <w:bCs/>
          <w:sz w:val="32"/>
          <w:szCs w:val="32"/>
        </w:rPr>
        <w:t>万元，完成预算</w:t>
      </w:r>
      <w:r>
        <w:rPr>
          <w:rStyle w:val="21"/>
          <w:rFonts w:hint="eastAsia" w:ascii="仿宋_GB2312" w:hAnsi="仿宋_GB2312" w:eastAsia="仿宋_GB2312" w:cs="仿宋_GB2312"/>
          <w:b w:val="0"/>
          <w:bCs/>
          <w:sz w:val="32"/>
          <w:szCs w:val="32"/>
          <w:lang w:val="en-US" w:eastAsia="zh-CN"/>
        </w:rPr>
        <w:t>100</w:t>
      </w:r>
      <w:r>
        <w:rPr>
          <w:rStyle w:val="21"/>
          <w:rFonts w:hint="eastAsia" w:ascii="仿宋_GB2312" w:hAnsi="仿宋_GB2312" w:eastAsia="仿宋_GB2312" w:cs="仿宋_GB2312"/>
          <w:b w:val="0"/>
          <w:bCs/>
          <w:sz w:val="32"/>
          <w:szCs w:val="32"/>
        </w:rPr>
        <w:t>%。</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Style w:val="21"/>
          <w:rFonts w:hint="eastAsia" w:ascii="仿宋_GB2312" w:hAnsi="仿宋_GB2312" w:eastAsia="仿宋_GB2312" w:cs="仿宋_GB2312"/>
          <w:b w:val="0"/>
          <w:bCs/>
          <w:sz w:val="32"/>
          <w:szCs w:val="32"/>
        </w:rPr>
      </w:pPr>
      <w:r>
        <w:rPr>
          <w:rStyle w:val="21"/>
          <w:rFonts w:hint="eastAsia" w:hAnsi="仿宋_GB2312" w:cs="仿宋_GB2312"/>
          <w:b w:val="0"/>
          <w:bCs/>
          <w:sz w:val="32"/>
          <w:szCs w:val="32"/>
          <w:lang w:val="en-US" w:eastAsia="zh-CN"/>
        </w:rPr>
        <w:t>9</w:t>
      </w:r>
      <w:r>
        <w:rPr>
          <w:rStyle w:val="21"/>
          <w:rFonts w:hint="eastAsia" w:ascii="仿宋_GB2312" w:hAnsi="仿宋_GB2312" w:eastAsia="仿宋_GB2312" w:cs="仿宋_GB2312"/>
          <w:b w:val="0"/>
          <w:bCs/>
          <w:sz w:val="32"/>
          <w:szCs w:val="32"/>
          <w:lang w:val="en-US" w:eastAsia="zh-CN"/>
        </w:rPr>
        <w:t>.</w:t>
      </w:r>
      <w:r>
        <w:rPr>
          <w:rStyle w:val="21"/>
          <w:rFonts w:hint="eastAsia" w:ascii="仿宋_GB2312" w:hAnsi="仿宋_GB2312" w:eastAsia="仿宋_GB2312" w:cs="仿宋_GB2312"/>
          <w:b w:val="0"/>
          <w:bCs/>
          <w:sz w:val="32"/>
          <w:szCs w:val="32"/>
        </w:rPr>
        <w:t>卫生健康支出（类）</w:t>
      </w:r>
      <w:r>
        <w:rPr>
          <w:rStyle w:val="21"/>
          <w:rFonts w:hint="eastAsia" w:ascii="仿宋_GB2312" w:hAnsi="仿宋_GB2312" w:eastAsia="仿宋_GB2312" w:cs="仿宋_GB2312"/>
          <w:b w:val="0"/>
          <w:bCs/>
          <w:sz w:val="32"/>
          <w:szCs w:val="32"/>
          <w:lang w:val="en-US" w:eastAsia="zh-CN"/>
        </w:rPr>
        <w:t>行政事业单位医疗</w:t>
      </w:r>
      <w:r>
        <w:rPr>
          <w:rStyle w:val="21"/>
          <w:rFonts w:hint="eastAsia" w:ascii="仿宋_GB2312" w:hAnsi="仿宋_GB2312" w:eastAsia="仿宋_GB2312" w:cs="仿宋_GB2312"/>
          <w:b w:val="0"/>
          <w:bCs/>
          <w:sz w:val="32"/>
          <w:szCs w:val="32"/>
        </w:rPr>
        <w:t>（款）</w:t>
      </w:r>
      <w:r>
        <w:rPr>
          <w:rStyle w:val="21"/>
          <w:rFonts w:hint="eastAsia" w:ascii="仿宋_GB2312" w:hAnsi="仿宋_GB2312" w:eastAsia="仿宋_GB2312" w:cs="仿宋_GB2312"/>
          <w:b w:val="0"/>
          <w:bCs/>
          <w:sz w:val="32"/>
          <w:szCs w:val="32"/>
          <w:lang w:val="en-US" w:eastAsia="zh-CN"/>
        </w:rPr>
        <w:t>事业</w:t>
      </w:r>
      <w:r>
        <w:rPr>
          <w:rStyle w:val="21"/>
          <w:rFonts w:hint="eastAsia" w:ascii="仿宋_GB2312" w:hAnsi="仿宋_GB2312" w:eastAsia="仿宋_GB2312" w:cs="仿宋_GB2312"/>
          <w:b w:val="0"/>
          <w:bCs/>
          <w:sz w:val="32"/>
          <w:szCs w:val="32"/>
        </w:rPr>
        <w:t>单位医疗（项）:支出决算为</w:t>
      </w:r>
      <w:r>
        <w:rPr>
          <w:rStyle w:val="21"/>
          <w:rFonts w:hint="eastAsia" w:hAnsi="仿宋_GB2312" w:cs="仿宋_GB2312"/>
          <w:b w:val="0"/>
          <w:bCs/>
          <w:sz w:val="32"/>
          <w:szCs w:val="32"/>
          <w:lang w:val="en-US" w:eastAsia="zh-CN"/>
        </w:rPr>
        <w:t>17.64</w:t>
      </w:r>
      <w:r>
        <w:rPr>
          <w:rStyle w:val="21"/>
          <w:rFonts w:hint="eastAsia" w:ascii="仿宋_GB2312" w:hAnsi="仿宋_GB2312" w:eastAsia="仿宋_GB2312" w:cs="仿宋_GB2312"/>
          <w:b w:val="0"/>
          <w:bCs/>
          <w:sz w:val="32"/>
          <w:szCs w:val="32"/>
        </w:rPr>
        <w:t>万元，完成预算</w:t>
      </w:r>
      <w:r>
        <w:rPr>
          <w:rStyle w:val="21"/>
          <w:rFonts w:hint="eastAsia" w:ascii="仿宋_GB2312" w:hAnsi="仿宋_GB2312" w:eastAsia="仿宋_GB2312" w:cs="仿宋_GB2312"/>
          <w:b w:val="0"/>
          <w:bCs/>
          <w:sz w:val="32"/>
          <w:szCs w:val="32"/>
          <w:lang w:val="en-US" w:eastAsia="zh-CN"/>
        </w:rPr>
        <w:t>100</w:t>
      </w:r>
      <w:r>
        <w:rPr>
          <w:rStyle w:val="21"/>
          <w:rFonts w:hint="eastAsia" w:ascii="仿宋_GB2312" w:hAnsi="仿宋_GB2312" w:eastAsia="仿宋_GB2312" w:cs="仿宋_GB2312"/>
          <w:b w:val="0"/>
          <w:bCs/>
          <w:sz w:val="32"/>
          <w:szCs w:val="32"/>
        </w:rPr>
        <w:t>%。</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Style w:val="21"/>
          <w:rFonts w:hint="eastAsia" w:ascii="仿宋_GB2312" w:hAnsi="仿宋_GB2312" w:eastAsia="仿宋_GB2312" w:cs="仿宋_GB2312"/>
          <w:b w:val="0"/>
          <w:bCs/>
          <w:sz w:val="32"/>
          <w:szCs w:val="32"/>
        </w:rPr>
      </w:pPr>
      <w:r>
        <w:rPr>
          <w:rStyle w:val="21"/>
          <w:rFonts w:hint="eastAsia" w:ascii="仿宋_GB2312" w:hAnsi="仿宋_GB2312" w:eastAsia="仿宋_GB2312" w:cs="仿宋_GB2312"/>
          <w:b w:val="0"/>
          <w:bCs/>
          <w:sz w:val="32"/>
          <w:szCs w:val="32"/>
          <w:lang w:val="en-US" w:eastAsia="zh-CN"/>
        </w:rPr>
        <w:t>1</w:t>
      </w:r>
      <w:r>
        <w:rPr>
          <w:rStyle w:val="21"/>
          <w:rFonts w:hint="eastAsia" w:hAnsi="仿宋_GB2312" w:cs="仿宋_GB2312"/>
          <w:b w:val="0"/>
          <w:bCs/>
          <w:sz w:val="32"/>
          <w:szCs w:val="32"/>
          <w:lang w:val="en-US" w:eastAsia="zh-CN"/>
        </w:rPr>
        <w:t>0</w:t>
      </w:r>
      <w:r>
        <w:rPr>
          <w:rStyle w:val="21"/>
          <w:rFonts w:hint="eastAsia" w:ascii="仿宋_GB2312" w:hAnsi="仿宋_GB2312" w:eastAsia="仿宋_GB2312" w:cs="仿宋_GB2312"/>
          <w:b w:val="0"/>
          <w:bCs/>
          <w:sz w:val="32"/>
          <w:szCs w:val="32"/>
          <w:lang w:val="en-US" w:eastAsia="zh-CN"/>
        </w:rPr>
        <w:t>.</w:t>
      </w:r>
      <w:r>
        <w:rPr>
          <w:rStyle w:val="21"/>
          <w:rFonts w:hint="eastAsia" w:ascii="仿宋_GB2312" w:hAnsi="仿宋_GB2312" w:eastAsia="仿宋_GB2312" w:cs="仿宋_GB2312"/>
          <w:b w:val="0"/>
          <w:bCs/>
          <w:sz w:val="32"/>
          <w:szCs w:val="32"/>
        </w:rPr>
        <w:t>卫生健康支出（类）</w:t>
      </w:r>
      <w:r>
        <w:rPr>
          <w:rStyle w:val="21"/>
          <w:rFonts w:hint="eastAsia" w:ascii="仿宋_GB2312" w:hAnsi="仿宋_GB2312" w:eastAsia="仿宋_GB2312" w:cs="仿宋_GB2312"/>
          <w:b w:val="0"/>
          <w:bCs/>
          <w:sz w:val="32"/>
          <w:szCs w:val="32"/>
          <w:lang w:val="en-US" w:eastAsia="zh-CN"/>
        </w:rPr>
        <w:t>行政事业单位医疗</w:t>
      </w:r>
      <w:r>
        <w:rPr>
          <w:rStyle w:val="21"/>
          <w:rFonts w:hint="eastAsia" w:ascii="仿宋_GB2312" w:hAnsi="仿宋_GB2312" w:eastAsia="仿宋_GB2312" w:cs="仿宋_GB2312"/>
          <w:b w:val="0"/>
          <w:bCs/>
          <w:sz w:val="32"/>
          <w:szCs w:val="32"/>
        </w:rPr>
        <w:t>（款）</w:t>
      </w:r>
      <w:r>
        <w:rPr>
          <w:rStyle w:val="21"/>
          <w:rFonts w:hint="eastAsia" w:ascii="仿宋_GB2312" w:hAnsi="仿宋_GB2312" w:eastAsia="仿宋_GB2312" w:cs="仿宋_GB2312"/>
          <w:b w:val="0"/>
          <w:bCs/>
          <w:sz w:val="32"/>
          <w:szCs w:val="32"/>
          <w:lang w:val="en-US" w:eastAsia="zh-CN"/>
        </w:rPr>
        <w:t>公务员医疗补助</w:t>
      </w:r>
      <w:r>
        <w:rPr>
          <w:rStyle w:val="21"/>
          <w:rFonts w:hint="eastAsia" w:ascii="仿宋_GB2312" w:hAnsi="仿宋_GB2312" w:eastAsia="仿宋_GB2312" w:cs="仿宋_GB2312"/>
          <w:b w:val="0"/>
          <w:bCs/>
          <w:sz w:val="32"/>
          <w:szCs w:val="32"/>
        </w:rPr>
        <w:t>（项）:支出决算为</w:t>
      </w:r>
      <w:r>
        <w:rPr>
          <w:rStyle w:val="21"/>
          <w:rFonts w:hint="eastAsia" w:hAnsi="仿宋_GB2312" w:cs="仿宋_GB2312"/>
          <w:b w:val="0"/>
          <w:bCs/>
          <w:sz w:val="32"/>
          <w:szCs w:val="32"/>
          <w:lang w:val="en-US" w:eastAsia="zh-CN"/>
        </w:rPr>
        <w:t>15.6</w:t>
      </w:r>
      <w:r>
        <w:rPr>
          <w:rStyle w:val="21"/>
          <w:rFonts w:hint="eastAsia" w:ascii="仿宋_GB2312" w:hAnsi="仿宋_GB2312" w:eastAsia="仿宋_GB2312" w:cs="仿宋_GB2312"/>
          <w:b w:val="0"/>
          <w:bCs/>
          <w:sz w:val="32"/>
          <w:szCs w:val="32"/>
        </w:rPr>
        <w:t>万元，完成预算</w:t>
      </w:r>
      <w:r>
        <w:rPr>
          <w:rStyle w:val="21"/>
          <w:rFonts w:hint="eastAsia" w:ascii="仿宋_GB2312" w:hAnsi="仿宋_GB2312" w:eastAsia="仿宋_GB2312" w:cs="仿宋_GB2312"/>
          <w:b w:val="0"/>
          <w:bCs/>
          <w:sz w:val="32"/>
          <w:szCs w:val="32"/>
          <w:lang w:val="en-US" w:eastAsia="zh-CN"/>
        </w:rPr>
        <w:t>100</w:t>
      </w:r>
      <w:r>
        <w:rPr>
          <w:rStyle w:val="21"/>
          <w:rFonts w:hint="eastAsia" w:ascii="仿宋_GB2312" w:hAnsi="仿宋_GB2312" w:eastAsia="仿宋_GB2312" w:cs="仿宋_GB2312"/>
          <w:b w:val="0"/>
          <w:bCs/>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sz w:val="32"/>
          <w:szCs w:val="32"/>
        </w:rPr>
      </w:pPr>
      <w:r>
        <w:rPr>
          <w:rStyle w:val="21"/>
          <w:rFonts w:hint="eastAsia" w:ascii="仿宋_GB2312" w:hAnsi="仿宋_GB2312" w:eastAsia="仿宋_GB2312" w:cs="仿宋_GB2312"/>
          <w:b w:val="0"/>
          <w:bCs/>
          <w:sz w:val="32"/>
          <w:szCs w:val="32"/>
          <w:lang w:val="en-US" w:eastAsia="zh-CN"/>
        </w:rPr>
        <w:t>11.</w:t>
      </w:r>
      <w:r>
        <w:rPr>
          <w:rStyle w:val="21"/>
          <w:rFonts w:hint="eastAsia" w:ascii="仿宋_GB2312" w:hAnsi="仿宋_GB2312" w:eastAsia="仿宋_GB2312" w:cs="仿宋_GB2312"/>
          <w:b w:val="0"/>
          <w:bCs/>
          <w:sz w:val="32"/>
          <w:szCs w:val="32"/>
        </w:rPr>
        <w:t>住房保障支出（类）</w:t>
      </w:r>
      <w:r>
        <w:rPr>
          <w:rStyle w:val="21"/>
          <w:rFonts w:hint="eastAsia" w:ascii="仿宋_GB2312" w:hAnsi="仿宋_GB2312" w:eastAsia="仿宋_GB2312" w:cs="仿宋_GB2312"/>
          <w:b w:val="0"/>
          <w:bCs/>
          <w:sz w:val="32"/>
          <w:szCs w:val="32"/>
          <w:lang w:val="en-US" w:eastAsia="zh-CN"/>
        </w:rPr>
        <w:t>住房改革支出</w:t>
      </w:r>
      <w:r>
        <w:rPr>
          <w:rStyle w:val="21"/>
          <w:rFonts w:hint="eastAsia" w:ascii="仿宋_GB2312" w:hAnsi="仿宋_GB2312" w:eastAsia="仿宋_GB2312" w:cs="仿宋_GB2312"/>
          <w:b w:val="0"/>
          <w:bCs/>
          <w:sz w:val="32"/>
          <w:szCs w:val="32"/>
        </w:rPr>
        <w:t>（款）</w:t>
      </w:r>
      <w:r>
        <w:rPr>
          <w:rStyle w:val="21"/>
          <w:rFonts w:hint="eastAsia" w:ascii="仿宋_GB2312" w:hAnsi="仿宋_GB2312" w:eastAsia="仿宋_GB2312" w:cs="仿宋_GB2312"/>
          <w:b w:val="0"/>
          <w:bCs/>
          <w:sz w:val="32"/>
          <w:szCs w:val="32"/>
          <w:lang w:val="en-US" w:eastAsia="zh-CN"/>
        </w:rPr>
        <w:t>住房公积金</w:t>
      </w:r>
      <w:r>
        <w:rPr>
          <w:rStyle w:val="21"/>
          <w:rFonts w:hint="eastAsia" w:ascii="仿宋_GB2312" w:hAnsi="仿宋_GB2312" w:eastAsia="仿宋_GB2312" w:cs="仿宋_GB2312"/>
          <w:b w:val="0"/>
          <w:bCs/>
          <w:sz w:val="32"/>
          <w:szCs w:val="32"/>
        </w:rPr>
        <w:t>（项）:支出决算为</w:t>
      </w:r>
      <w:r>
        <w:rPr>
          <w:rStyle w:val="21"/>
          <w:rFonts w:hint="eastAsia" w:ascii="仿宋_GB2312" w:hAnsi="仿宋_GB2312" w:eastAsia="仿宋_GB2312" w:cs="仿宋_GB2312"/>
          <w:b w:val="0"/>
          <w:bCs/>
          <w:sz w:val="32"/>
          <w:szCs w:val="32"/>
          <w:lang w:val="en-US" w:eastAsia="zh-CN"/>
        </w:rPr>
        <w:t>118.7</w:t>
      </w:r>
      <w:r>
        <w:rPr>
          <w:rStyle w:val="21"/>
          <w:rFonts w:hint="eastAsia" w:ascii="仿宋_GB2312" w:hAnsi="仿宋_GB2312" w:eastAsia="仿宋_GB2312" w:cs="仿宋_GB2312"/>
          <w:b w:val="0"/>
          <w:bCs/>
          <w:sz w:val="32"/>
          <w:szCs w:val="32"/>
        </w:rPr>
        <w:t>万元，完成预算</w:t>
      </w:r>
      <w:r>
        <w:rPr>
          <w:rStyle w:val="21"/>
          <w:rFonts w:hint="eastAsia" w:ascii="仿宋_GB2312" w:hAnsi="仿宋_GB2312" w:eastAsia="仿宋_GB2312" w:cs="仿宋_GB2312"/>
          <w:b w:val="0"/>
          <w:bCs/>
          <w:sz w:val="32"/>
          <w:szCs w:val="32"/>
          <w:lang w:val="en-US" w:eastAsia="zh-CN"/>
        </w:rPr>
        <w:t>100</w:t>
      </w:r>
      <w:r>
        <w:rPr>
          <w:rStyle w:val="21"/>
          <w:rFonts w:hint="eastAsia" w:ascii="仿宋_GB2312" w:hAnsi="仿宋_GB2312" w:eastAsia="仿宋_GB2312" w:cs="仿宋_GB2312"/>
          <w:b w:val="0"/>
          <w:bCs/>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bookmarkStart w:id="47" w:name="_Toc15377214"/>
      <w:bookmarkStart w:id="48" w:name="_Toc29879"/>
      <w:bookmarkStart w:id="49" w:name="_Toc15396608"/>
      <w:r>
        <w:rPr>
          <w:rFonts w:hint="eastAsia" w:ascii="黑体" w:hAnsi="黑体" w:eastAsia="黑体" w:cs="黑体"/>
          <w:sz w:val="32"/>
          <w:szCs w:val="32"/>
        </w:rPr>
        <w:t>六、一般公共预算财政拨款基本支出决算情况说明</w:t>
      </w:r>
      <w:bookmarkEnd w:id="47"/>
      <w:bookmarkEnd w:id="48"/>
      <w:bookmarkEnd w:id="49"/>
      <w:r>
        <w:rPr>
          <w:rFonts w:hint="eastAsia" w:ascii="仿宋_GB2312" w:hAnsi="仿宋_GB2312" w:eastAsia="仿宋_GB2312" w:cs="仿宋_GB2312"/>
          <w:sz w:val="32"/>
          <w:szCs w:val="32"/>
        </w:rPr>
        <w:tab/>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度</w:t>
      </w:r>
      <w:r>
        <w:rPr>
          <w:rFonts w:hint="eastAsia" w:ascii="仿宋_GB2312" w:hAnsi="仿宋_GB2312" w:eastAsia="仿宋_GB2312" w:cs="仿宋_GB2312"/>
          <w:sz w:val="32"/>
          <w:szCs w:val="32"/>
        </w:rPr>
        <w:t>一般公共预算财政拨款基本支出</w:t>
      </w:r>
      <w:r>
        <w:rPr>
          <w:rFonts w:hint="eastAsia" w:ascii="仿宋_GB2312" w:hAnsi="仿宋_GB2312" w:eastAsia="仿宋_GB2312" w:cs="仿宋_GB2312"/>
          <w:sz w:val="32"/>
          <w:szCs w:val="32"/>
          <w:highlight w:val="none"/>
          <w:lang w:val="en-US" w:eastAsia="zh-CN"/>
        </w:rPr>
        <w:t>2102.35</w:t>
      </w:r>
      <w:r>
        <w:rPr>
          <w:rFonts w:hint="eastAsia" w:ascii="仿宋_GB2312" w:hAnsi="仿宋_GB2312" w:eastAsia="仿宋_GB2312" w:cs="仿宋_GB2312"/>
          <w:sz w:val="32"/>
          <w:szCs w:val="32"/>
        </w:rPr>
        <w:t>万元，其中：人员经费</w:t>
      </w:r>
      <w:r>
        <w:rPr>
          <w:rFonts w:hint="eastAsia" w:ascii="仿宋_GB2312" w:hAnsi="仿宋_GB2312" w:eastAsia="仿宋_GB2312" w:cs="仿宋_GB2312"/>
          <w:color w:val="auto"/>
          <w:sz w:val="32"/>
          <w:szCs w:val="32"/>
          <w:lang w:val="en-US" w:eastAsia="zh-CN"/>
        </w:rPr>
        <w:t>1794.2</w:t>
      </w:r>
      <w:r>
        <w:rPr>
          <w:rFonts w:hint="eastAsia" w:ascii="仿宋_GB2312" w:hAnsi="仿宋_GB2312" w:eastAsia="仿宋_GB2312" w:cs="仿宋_GB2312"/>
          <w:color w:val="auto"/>
          <w:sz w:val="32"/>
          <w:szCs w:val="32"/>
        </w:rPr>
        <w:t>万元，主要包括：基本工资、津贴补贴、奖金</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绩效工资、机关事业单位基本养老保险缴费、职业年金缴费、 职工基本医疗保险缴费</w:t>
      </w:r>
      <w:r>
        <w:rPr>
          <w:rFonts w:hint="eastAsia" w:ascii="仿宋_GB2312" w:hAnsi="仿宋_GB2312" w:eastAsia="仿宋_GB2312" w:cs="仿宋_GB2312"/>
          <w:color w:val="auto"/>
          <w:sz w:val="32"/>
          <w:szCs w:val="32"/>
          <w:lang w:eastAsia="zh-CN"/>
        </w:rPr>
        <w:t>、公务员医疗补助缴费、</w:t>
      </w:r>
      <w:r>
        <w:rPr>
          <w:rFonts w:hint="eastAsia" w:ascii="仿宋_GB2312" w:hAnsi="仿宋_GB2312" w:eastAsia="仿宋_GB2312" w:cs="仿宋_GB2312"/>
          <w:color w:val="auto"/>
          <w:sz w:val="32"/>
          <w:szCs w:val="32"/>
        </w:rPr>
        <w:t>其他社会保障缴费、住房公积金</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其他工资福利支出、生活补助、奖励金、其他对个人和家庭的补助支出。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rPr>
        <w:t>公用经费</w:t>
      </w:r>
      <w:r>
        <w:rPr>
          <w:rFonts w:hint="eastAsia" w:ascii="仿宋_GB2312" w:hAnsi="仿宋_GB2312" w:eastAsia="仿宋_GB2312" w:cs="仿宋_GB2312"/>
          <w:color w:val="auto"/>
          <w:sz w:val="32"/>
          <w:szCs w:val="32"/>
          <w:lang w:val="en-US" w:eastAsia="zh-CN"/>
        </w:rPr>
        <w:t>308.15</w:t>
      </w:r>
      <w:r>
        <w:rPr>
          <w:rFonts w:hint="eastAsia" w:ascii="仿宋_GB2312" w:hAnsi="仿宋_GB2312" w:eastAsia="仿宋_GB2312" w:cs="仿宋_GB2312"/>
          <w:sz w:val="32"/>
          <w:szCs w:val="32"/>
        </w:rPr>
        <w:t>万元，主要包括：办公费、</w:t>
      </w:r>
      <w:r>
        <w:rPr>
          <w:rFonts w:hint="eastAsia" w:ascii="仿宋_GB2312" w:hAnsi="仿宋_GB2312" w:eastAsia="仿宋_GB2312" w:cs="仿宋_GB2312"/>
          <w:sz w:val="32"/>
          <w:szCs w:val="32"/>
          <w:lang w:eastAsia="zh-CN"/>
        </w:rPr>
        <w:t>印刷费、</w:t>
      </w:r>
      <w:r>
        <w:rPr>
          <w:rFonts w:hint="eastAsia" w:ascii="仿宋_GB2312" w:hAnsi="仿宋_GB2312" w:eastAsia="仿宋_GB2312" w:cs="仿宋_GB2312"/>
          <w:sz w:val="32"/>
          <w:szCs w:val="32"/>
        </w:rPr>
        <w:t>水费、电费、邮电费、差旅费、维修（护）费、公务接待费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劳务费、</w:t>
      </w:r>
      <w:r>
        <w:rPr>
          <w:rFonts w:hint="eastAsia" w:ascii="仿宋_GB2312" w:hAnsi="仿宋_GB2312" w:eastAsia="仿宋_GB2312" w:cs="仿宋_GB2312"/>
          <w:sz w:val="32"/>
          <w:szCs w:val="32"/>
          <w:lang w:eastAsia="zh-CN"/>
        </w:rPr>
        <w:t>委托业务费、</w:t>
      </w:r>
      <w:r>
        <w:rPr>
          <w:rFonts w:hint="eastAsia" w:ascii="仿宋_GB2312" w:hAnsi="仿宋_GB2312" w:eastAsia="仿宋_GB2312" w:cs="仿宋_GB2312"/>
          <w:sz w:val="32"/>
          <w:szCs w:val="32"/>
        </w:rPr>
        <w:t>工会经费、公务用车运行维护费、其他交通费</w:t>
      </w:r>
      <w:r>
        <w:rPr>
          <w:rFonts w:hint="eastAsia" w:ascii="仿宋_GB2312" w:hAnsi="仿宋_GB2312" w:eastAsia="仿宋_GB2312" w:cs="仿宋_GB2312"/>
          <w:sz w:val="32"/>
          <w:szCs w:val="32"/>
          <w:lang w:eastAsia="zh-CN"/>
        </w:rPr>
        <w:t>用</w:t>
      </w:r>
      <w:r>
        <w:rPr>
          <w:rFonts w:hint="eastAsia" w:ascii="仿宋_GB2312" w:hAnsi="仿宋_GB2312" w:eastAsia="仿宋_GB2312" w:cs="仿宋_GB2312"/>
          <w:sz w:val="32"/>
          <w:szCs w:val="32"/>
        </w:rPr>
        <w:t>、其他商品和服务支出、办公设备购置。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bookmarkStart w:id="50" w:name="_Toc5840"/>
      <w:bookmarkStart w:id="51" w:name="_Toc15377215"/>
      <w:bookmarkStart w:id="52" w:name="_Toc15396609"/>
      <w:r>
        <w:rPr>
          <w:rFonts w:hint="eastAsia" w:ascii="黑体" w:hAnsi="黑体" w:eastAsia="黑体" w:cs="黑体"/>
          <w:sz w:val="32"/>
          <w:szCs w:val="32"/>
        </w:rPr>
        <w:t>七、财政拨款“三公”经费支出决算情况说明</w:t>
      </w:r>
      <w:bookmarkEnd w:id="50"/>
      <w:bookmarkEnd w:id="51"/>
      <w:bookmarkEnd w:id="52"/>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sz w:val="32"/>
          <w:szCs w:val="32"/>
        </w:rPr>
      </w:pPr>
      <w:bookmarkStart w:id="53" w:name="_Toc15377216"/>
      <w:r>
        <w:rPr>
          <w:rFonts w:hint="eastAsia" w:ascii="仿宋_GB2312" w:hAnsi="仿宋_GB2312" w:eastAsia="仿宋_GB2312" w:cs="仿宋_GB2312"/>
          <w:sz w:val="32"/>
          <w:szCs w:val="32"/>
        </w:rPr>
        <w:t>（一）“三公”经费财政拨款支出决算总体情况说明</w:t>
      </w:r>
      <w:bookmarkEnd w:id="53"/>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eastAsia="zh-CN"/>
        </w:rPr>
        <w:t>度</w:t>
      </w:r>
      <w:r>
        <w:rPr>
          <w:rFonts w:hint="eastAsia" w:ascii="仿宋_GB2312" w:hAnsi="仿宋_GB2312" w:eastAsia="仿宋_GB2312" w:cs="仿宋_GB2312"/>
          <w:color w:val="auto"/>
          <w:sz w:val="32"/>
          <w:szCs w:val="32"/>
        </w:rPr>
        <w:t>“三公”经费财政拨款支出决算为</w:t>
      </w:r>
      <w:r>
        <w:rPr>
          <w:rFonts w:hint="eastAsia" w:ascii="仿宋_GB2312" w:hAnsi="仿宋_GB2312" w:eastAsia="仿宋_GB2312" w:cs="仿宋_GB2312"/>
          <w:color w:val="auto"/>
          <w:sz w:val="32"/>
          <w:szCs w:val="32"/>
          <w:lang w:val="en-US" w:eastAsia="zh-CN"/>
        </w:rPr>
        <w:t>8.39</w:t>
      </w:r>
      <w:r>
        <w:rPr>
          <w:rFonts w:hint="eastAsia" w:ascii="仿宋_GB2312" w:hAnsi="仿宋_GB2312" w:eastAsia="仿宋_GB2312" w:cs="仿宋_GB2312"/>
          <w:color w:val="auto"/>
          <w:sz w:val="32"/>
          <w:szCs w:val="32"/>
        </w:rPr>
        <w:t>万元，完成预算</w:t>
      </w:r>
      <w:r>
        <w:rPr>
          <w:rFonts w:hint="eastAsia" w:ascii="仿宋_GB2312" w:hAnsi="仿宋_GB2312" w:eastAsia="仿宋_GB2312" w:cs="仿宋_GB2312"/>
          <w:color w:val="auto"/>
          <w:sz w:val="32"/>
          <w:szCs w:val="32"/>
          <w:lang w:val="en-US" w:eastAsia="zh-CN"/>
        </w:rPr>
        <w:t>100</w:t>
      </w:r>
      <w:r>
        <w:rPr>
          <w:rFonts w:hint="eastAsia" w:ascii="仿宋_GB2312" w:hAnsi="仿宋_GB2312" w:eastAsia="仿宋_GB2312" w:cs="仿宋_GB2312"/>
          <w:color w:val="auto"/>
          <w:sz w:val="32"/>
          <w:szCs w:val="32"/>
        </w:rPr>
        <w:t>%，较上年</w:t>
      </w:r>
      <w:r>
        <w:rPr>
          <w:rFonts w:hint="eastAsia" w:ascii="仿宋_GB2312" w:hAnsi="仿宋_GB2312" w:eastAsia="仿宋_GB2312" w:cs="仿宋_GB2312"/>
          <w:color w:val="auto"/>
          <w:sz w:val="32"/>
          <w:szCs w:val="32"/>
          <w:lang w:eastAsia="zh-CN"/>
        </w:rPr>
        <w:t>度增加</w:t>
      </w:r>
      <w:r>
        <w:rPr>
          <w:rFonts w:hint="eastAsia" w:ascii="仿宋_GB2312" w:hAnsi="仿宋_GB2312" w:eastAsia="仿宋_GB2312" w:cs="仿宋_GB2312"/>
          <w:color w:val="auto"/>
          <w:sz w:val="32"/>
          <w:szCs w:val="32"/>
          <w:lang w:val="en-US" w:eastAsia="zh-CN"/>
        </w:rPr>
        <w:t>0.6</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增长</w:t>
      </w:r>
      <w:r>
        <w:rPr>
          <w:rFonts w:hint="eastAsia" w:ascii="仿宋_GB2312" w:hAnsi="仿宋_GB2312" w:eastAsia="仿宋_GB2312" w:cs="仿宋_GB2312"/>
          <w:color w:val="auto"/>
          <w:sz w:val="32"/>
          <w:szCs w:val="32"/>
          <w:lang w:val="en-US" w:eastAsia="zh-CN"/>
        </w:rPr>
        <w:t>7.7</w:t>
      </w:r>
      <w:r>
        <w:rPr>
          <w:rFonts w:hint="eastAsia" w:ascii="仿宋_GB2312" w:hAnsi="仿宋_GB2312" w:eastAsia="仿宋_GB2312" w:cs="仿宋_GB2312"/>
          <w:color w:val="auto"/>
          <w:sz w:val="32"/>
          <w:szCs w:val="32"/>
        </w:rPr>
        <w:t>%。决算数</w:t>
      </w:r>
      <w:r>
        <w:rPr>
          <w:rFonts w:hint="eastAsia" w:ascii="仿宋_GB2312" w:hAnsi="仿宋_GB2312" w:eastAsia="仿宋_GB2312" w:cs="仿宋_GB2312"/>
          <w:color w:val="auto"/>
          <w:sz w:val="32"/>
          <w:szCs w:val="32"/>
          <w:lang w:eastAsia="zh-CN"/>
        </w:rPr>
        <w:t>与</w:t>
      </w:r>
      <w:r>
        <w:rPr>
          <w:rFonts w:hint="eastAsia" w:ascii="仿宋_GB2312" w:hAnsi="仿宋_GB2312" w:eastAsia="仿宋_GB2312" w:cs="仿宋_GB2312"/>
          <w:color w:val="auto"/>
          <w:sz w:val="32"/>
          <w:szCs w:val="32"/>
        </w:rPr>
        <w:t>预算数</w:t>
      </w:r>
      <w:r>
        <w:rPr>
          <w:rFonts w:hint="eastAsia" w:ascii="仿宋_GB2312" w:hAnsi="仿宋_GB2312" w:eastAsia="仿宋_GB2312" w:cs="仿宋_GB2312"/>
          <w:color w:val="auto"/>
          <w:sz w:val="32"/>
          <w:szCs w:val="32"/>
          <w:lang w:eastAsia="zh-CN"/>
        </w:rPr>
        <w:t>持平的</w:t>
      </w:r>
      <w:r>
        <w:rPr>
          <w:rFonts w:hint="eastAsia" w:ascii="仿宋_GB2312" w:hAnsi="仿宋_GB2312" w:eastAsia="仿宋_GB2312" w:cs="仿宋_GB2312"/>
          <w:color w:val="auto"/>
          <w:sz w:val="32"/>
          <w:szCs w:val="32"/>
        </w:rPr>
        <w:t>主要原因是</w:t>
      </w:r>
      <w:r>
        <w:rPr>
          <w:rFonts w:hint="eastAsia" w:ascii="仿宋_GB2312" w:hAnsi="仿宋_GB2312" w:eastAsia="仿宋_GB2312" w:cs="仿宋_GB2312"/>
          <w:color w:val="auto"/>
          <w:sz w:val="32"/>
          <w:szCs w:val="32"/>
          <w:lang w:eastAsia="zh-CN"/>
        </w:rPr>
        <w:t>预算数为调整预算数，与决算数一致。</w:t>
      </w:r>
    </w:p>
    <w:p>
      <w:pPr>
        <w:spacing w:line="600" w:lineRule="exact"/>
        <w:ind w:firstLine="640" w:firstLineChars="200"/>
        <w:outlineLvl w:val="2"/>
        <w:rPr>
          <w:rFonts w:hint="eastAsia" w:ascii="仿宋_GB2312" w:hAnsi="仿宋_GB2312" w:eastAsia="仿宋_GB2312" w:cs="仿宋_GB2312"/>
          <w:sz w:val="32"/>
          <w:szCs w:val="32"/>
        </w:rPr>
      </w:pPr>
      <w:bookmarkStart w:id="54" w:name="_Toc15377217"/>
      <w:r>
        <w:rPr>
          <w:rFonts w:hint="eastAsia" w:ascii="仿宋_GB2312" w:hAnsi="仿宋_GB2312" w:eastAsia="仿宋_GB2312" w:cs="仿宋_GB2312"/>
          <w:sz w:val="32"/>
          <w:szCs w:val="32"/>
        </w:rPr>
        <w:t>（二）“三公”经费财政拨款支出决算具体情况说明</w:t>
      </w:r>
      <w:bookmarkEnd w:id="54"/>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度</w:t>
      </w:r>
      <w:r>
        <w:rPr>
          <w:rFonts w:hint="eastAsia" w:ascii="仿宋_GB2312" w:hAnsi="仿宋_GB2312" w:eastAsia="仿宋_GB2312" w:cs="仿宋_GB2312"/>
          <w:sz w:val="32"/>
          <w:szCs w:val="32"/>
        </w:rPr>
        <w:t>“三公”经费财政拨款支出决算中，因公出国（境）费支出决算</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%；公务用车购置及运行维护费支出决算</w:t>
      </w:r>
      <w:r>
        <w:rPr>
          <w:rFonts w:hint="eastAsia" w:ascii="仿宋_GB2312" w:hAnsi="仿宋_GB2312" w:eastAsia="仿宋_GB2312" w:cs="仿宋_GB2312"/>
          <w:sz w:val="32"/>
          <w:szCs w:val="32"/>
          <w:lang w:val="en-US" w:eastAsia="zh-CN"/>
        </w:rPr>
        <w:t>8.24</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98.21</w:t>
      </w:r>
      <w:r>
        <w:rPr>
          <w:rFonts w:hint="eastAsia" w:ascii="仿宋_GB2312" w:hAnsi="仿宋_GB2312" w:eastAsia="仿宋_GB2312" w:cs="仿宋_GB2312"/>
          <w:sz w:val="32"/>
          <w:szCs w:val="32"/>
        </w:rPr>
        <w:t>%；公务接待费支出决算</w:t>
      </w:r>
      <w:r>
        <w:rPr>
          <w:rFonts w:hint="eastAsia" w:ascii="仿宋_GB2312" w:hAnsi="仿宋_GB2312" w:eastAsia="仿宋_GB2312" w:cs="仿宋_GB2312"/>
          <w:sz w:val="32"/>
          <w:szCs w:val="32"/>
          <w:lang w:val="en-US" w:eastAsia="zh-CN"/>
        </w:rPr>
        <w:t>0.15</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1.79</w:t>
      </w:r>
      <w:r>
        <w:rPr>
          <w:rFonts w:hint="eastAsia" w:ascii="仿宋_GB2312" w:hAnsi="仿宋_GB2312" w:eastAsia="仿宋_GB2312" w:cs="仿宋_GB2312"/>
          <w:sz w:val="32"/>
          <w:szCs w:val="32"/>
        </w:rPr>
        <w:t>%。具体情况如下：</w:t>
      </w: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sz w:val="32"/>
          <w:szCs w:val="32"/>
        </w:rPr>
      </w:pPr>
      <w:r>
        <w:rPr>
          <w:rFonts w:hint="eastAsia" w:ascii="仿宋" w:hAnsi="仿宋" w:eastAsia="仿宋"/>
          <w:sz w:val="32"/>
          <w:szCs w:val="32"/>
          <w:lang w:eastAsia="zh-CN"/>
        </w:rPr>
        <w:drawing>
          <wp:anchor distT="0" distB="0" distL="114300" distR="114300" simplePos="0" relativeHeight="251665408" behindDoc="1" locked="0" layoutInCell="1" allowOverlap="1">
            <wp:simplePos x="0" y="0"/>
            <wp:positionH relativeFrom="column">
              <wp:posOffset>485775</wp:posOffset>
            </wp:positionH>
            <wp:positionV relativeFrom="paragraph">
              <wp:posOffset>175895</wp:posOffset>
            </wp:positionV>
            <wp:extent cx="4771390" cy="2283460"/>
            <wp:effectExtent l="4445" t="5080" r="62865" b="16510"/>
            <wp:wrapThrough wrapText="bothSides">
              <wp:wrapPolygon>
                <wp:start x="-20" y="-48"/>
                <wp:lineTo x="-20" y="21396"/>
                <wp:lineTo x="21540" y="21396"/>
                <wp:lineTo x="21540" y="-48"/>
                <wp:lineTo x="-20" y="-48"/>
              </wp:wrapPolygon>
            </wp:wrapThrough>
            <wp:docPr id="1039" name="Image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sz w:val="32"/>
          <w:szCs w:val="32"/>
        </w:rPr>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sz w:val="32"/>
          <w:szCs w:val="32"/>
        </w:rPr>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sz w:val="32"/>
          <w:szCs w:val="32"/>
        </w:rPr>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w:t>
      </w:r>
      <w:r>
        <w:rPr>
          <w:rFonts w:hint="eastAsia" w:ascii="仿宋_GB2312" w:hAnsi="仿宋_GB2312" w:eastAsia="仿宋_GB2312" w:cs="仿宋_GB2312"/>
          <w:sz w:val="32"/>
          <w:szCs w:val="32"/>
        </w:rPr>
        <w:t>图7：“三公”经费财政拨款支出结构</w:t>
      </w:r>
      <w:r>
        <w:rPr>
          <w:rFonts w:hint="eastAsia" w:ascii="楷体_GB2312" w:hAnsi="楷体_GB2312" w:eastAsia="楷体_GB2312" w:cs="楷体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default" w:ascii="仿宋_GB2312" w:eastAsia="仿宋_GB2312"/>
          <w:b w:val="0"/>
          <w:bCs/>
          <w:sz w:val="32"/>
          <w:szCs w:val="32"/>
          <w:highlight w:val="none"/>
          <w:lang w:val="en-US" w:eastAsia="zh-CN"/>
        </w:rPr>
      </w:pPr>
      <w:r>
        <w:rPr>
          <w:rFonts w:ascii="仿宋_GB2312" w:eastAsia="仿宋_GB2312"/>
          <w:b w:val="0"/>
          <w:bCs/>
          <w:sz w:val="32"/>
          <w:szCs w:val="32"/>
        </w:rPr>
        <w:t>1.</w:t>
      </w:r>
      <w:r>
        <w:rPr>
          <w:rFonts w:hint="eastAsia" w:ascii="仿宋_GB2312" w:eastAsia="仿宋_GB2312"/>
          <w:b w:val="0"/>
          <w:bCs/>
          <w:sz w:val="32"/>
          <w:szCs w:val="32"/>
        </w:rPr>
        <w:t>因公出国（境）经费支出</w:t>
      </w:r>
      <w:r>
        <w:rPr>
          <w:rFonts w:hint="eastAsia" w:ascii="仿宋_GB2312" w:eastAsia="仿宋_GB2312"/>
          <w:b w:val="0"/>
          <w:bCs/>
          <w:sz w:val="32"/>
          <w:szCs w:val="32"/>
          <w:lang w:val="en-US" w:eastAsia="zh-CN"/>
        </w:rPr>
        <w:t>0</w:t>
      </w:r>
      <w:r>
        <w:rPr>
          <w:rFonts w:hint="eastAsia" w:ascii="仿宋_GB2312" w:eastAsia="仿宋_GB2312"/>
          <w:b w:val="0"/>
          <w:bCs/>
          <w:sz w:val="32"/>
          <w:szCs w:val="32"/>
        </w:rPr>
        <w:t>万元，</w:t>
      </w:r>
      <w:r>
        <w:rPr>
          <w:rStyle w:val="21"/>
          <w:rFonts w:hint="eastAsia" w:ascii="仿宋" w:hAnsi="仿宋" w:eastAsia="仿宋"/>
          <w:b w:val="0"/>
          <w:bCs/>
          <w:sz w:val="32"/>
          <w:szCs w:val="32"/>
        </w:rPr>
        <w:t>完成预算</w:t>
      </w:r>
      <w:r>
        <w:rPr>
          <w:rStyle w:val="21"/>
          <w:rFonts w:hint="eastAsia" w:ascii="仿宋" w:hAnsi="仿宋" w:eastAsia="仿宋"/>
          <w:b w:val="0"/>
          <w:bCs/>
          <w:sz w:val="32"/>
          <w:szCs w:val="32"/>
          <w:lang w:val="en-US" w:eastAsia="zh-CN"/>
        </w:rPr>
        <w:t>0</w:t>
      </w:r>
      <w:r>
        <w:rPr>
          <w:rStyle w:val="21"/>
          <w:rFonts w:ascii="仿宋" w:hAnsi="仿宋" w:eastAsia="仿宋"/>
          <w:b w:val="0"/>
          <w:bCs/>
          <w:sz w:val="32"/>
          <w:szCs w:val="32"/>
        </w:rPr>
        <w:t>%</w:t>
      </w:r>
      <w:r>
        <w:rPr>
          <w:rStyle w:val="21"/>
          <w:rFonts w:hint="eastAsia" w:ascii="仿宋" w:hAnsi="仿宋" w:eastAsia="仿宋"/>
          <w:b w:val="0"/>
          <w:bCs/>
          <w:sz w:val="32"/>
          <w:szCs w:val="32"/>
        </w:rPr>
        <w:t>。</w:t>
      </w:r>
      <w:r>
        <w:rPr>
          <w:rFonts w:hint="eastAsia" w:ascii="仿宋_GB2312" w:eastAsia="仿宋_GB2312"/>
          <w:b w:val="0"/>
          <w:bCs/>
          <w:sz w:val="32"/>
          <w:szCs w:val="32"/>
        </w:rPr>
        <w:t>全年安排因公出国（境）团组</w:t>
      </w:r>
      <w:r>
        <w:rPr>
          <w:rFonts w:hint="eastAsia" w:ascii="仿宋_GB2312" w:eastAsia="仿宋_GB2312"/>
          <w:b w:val="0"/>
          <w:bCs/>
          <w:sz w:val="32"/>
          <w:szCs w:val="32"/>
          <w:lang w:val="en-US" w:eastAsia="zh-CN"/>
        </w:rPr>
        <w:t>0</w:t>
      </w:r>
      <w:r>
        <w:rPr>
          <w:rFonts w:hint="eastAsia" w:ascii="仿宋_GB2312" w:eastAsia="仿宋_GB2312"/>
          <w:b w:val="0"/>
          <w:bCs/>
          <w:sz w:val="32"/>
          <w:szCs w:val="32"/>
        </w:rPr>
        <w:t>次，出国（境）</w:t>
      </w:r>
      <w:r>
        <w:rPr>
          <w:rFonts w:hint="eastAsia" w:ascii="仿宋_GB2312" w:eastAsia="仿宋_GB2312"/>
          <w:b w:val="0"/>
          <w:bCs/>
          <w:sz w:val="32"/>
          <w:szCs w:val="32"/>
          <w:lang w:val="en-US" w:eastAsia="zh-CN"/>
        </w:rPr>
        <w:t>0</w:t>
      </w:r>
      <w:r>
        <w:rPr>
          <w:rFonts w:hint="eastAsia" w:ascii="仿宋_GB2312" w:eastAsia="仿宋_GB2312"/>
          <w:b w:val="0"/>
          <w:bCs/>
          <w:sz w:val="32"/>
          <w:szCs w:val="32"/>
        </w:rPr>
        <w:t>人。</w:t>
      </w:r>
      <w:r>
        <w:rPr>
          <w:rFonts w:hint="eastAsia" w:ascii="仿宋_GB2312" w:eastAsia="仿宋_GB2312"/>
          <w:b w:val="0"/>
          <w:bCs/>
          <w:sz w:val="32"/>
          <w:szCs w:val="32"/>
          <w:highlight w:val="none"/>
          <w:lang w:eastAsia="zh-CN"/>
        </w:rPr>
        <w:t>因公出国（境）支出决算比</w:t>
      </w:r>
      <w:r>
        <w:rPr>
          <w:rFonts w:hint="eastAsia" w:ascii="仿宋_GB2312" w:eastAsia="仿宋_GB2312"/>
          <w:b w:val="0"/>
          <w:bCs/>
          <w:sz w:val="32"/>
          <w:szCs w:val="32"/>
          <w:highlight w:val="none"/>
          <w:lang w:val="en-US" w:eastAsia="zh-CN"/>
        </w:rPr>
        <w:t>2023年增加0万元，增长0%。</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ascii="仿宋_GB2312" w:eastAsia="仿宋_GB2312"/>
          <w:b w:val="0"/>
          <w:bCs/>
          <w:sz w:val="32"/>
          <w:szCs w:val="32"/>
          <w:highlight w:val="none"/>
        </w:rPr>
      </w:pPr>
      <w:r>
        <w:rPr>
          <w:rFonts w:ascii="仿宋_GB2312" w:eastAsia="仿宋_GB2312"/>
          <w:b w:val="0"/>
          <w:bCs/>
          <w:sz w:val="32"/>
          <w:szCs w:val="32"/>
        </w:rPr>
        <w:t>2.</w:t>
      </w:r>
      <w:r>
        <w:rPr>
          <w:rFonts w:hint="eastAsia" w:ascii="仿宋_GB2312" w:eastAsia="仿宋_GB2312"/>
          <w:b w:val="0"/>
          <w:bCs/>
          <w:sz w:val="32"/>
          <w:szCs w:val="32"/>
        </w:rPr>
        <w:t>公务用车购置及运行维护费支出</w:t>
      </w:r>
      <w:r>
        <w:rPr>
          <w:rFonts w:hint="eastAsia" w:ascii="仿宋_GB2312" w:eastAsia="仿宋_GB2312"/>
          <w:b w:val="0"/>
          <w:bCs/>
          <w:sz w:val="32"/>
          <w:szCs w:val="32"/>
          <w:lang w:val="en-US" w:eastAsia="zh-CN"/>
        </w:rPr>
        <w:t>8.24</w:t>
      </w:r>
      <w:r>
        <w:rPr>
          <w:rFonts w:hint="eastAsia" w:ascii="仿宋_GB2312" w:eastAsia="仿宋_GB2312"/>
          <w:b w:val="0"/>
          <w:bCs/>
          <w:sz w:val="32"/>
          <w:szCs w:val="32"/>
        </w:rPr>
        <w:t>万元,</w:t>
      </w:r>
      <w:r>
        <w:rPr>
          <w:rStyle w:val="21"/>
          <w:rFonts w:hint="eastAsia" w:ascii="仿宋" w:hAnsi="仿宋" w:eastAsia="仿宋"/>
          <w:b w:val="0"/>
          <w:bCs/>
          <w:sz w:val="32"/>
          <w:szCs w:val="32"/>
        </w:rPr>
        <w:t>完成预算</w:t>
      </w:r>
      <w:r>
        <w:rPr>
          <w:rStyle w:val="21"/>
          <w:rFonts w:hint="eastAsia" w:ascii="仿宋" w:hAnsi="仿宋" w:eastAsia="仿宋"/>
          <w:b w:val="0"/>
          <w:bCs/>
          <w:sz w:val="32"/>
          <w:szCs w:val="32"/>
          <w:lang w:val="en-US" w:eastAsia="zh-CN"/>
        </w:rPr>
        <w:t>100</w:t>
      </w:r>
      <w:r>
        <w:rPr>
          <w:rStyle w:val="21"/>
          <w:rFonts w:ascii="仿宋" w:hAnsi="仿宋" w:eastAsia="仿宋"/>
          <w:b w:val="0"/>
          <w:bCs/>
          <w:sz w:val="32"/>
          <w:szCs w:val="32"/>
        </w:rPr>
        <w:t>%</w:t>
      </w:r>
      <w:r>
        <w:rPr>
          <w:rStyle w:val="21"/>
          <w:rFonts w:hint="eastAsia" w:ascii="仿宋" w:hAnsi="仿宋" w:eastAsia="仿宋"/>
          <w:b w:val="0"/>
          <w:bCs/>
          <w:sz w:val="32"/>
          <w:szCs w:val="32"/>
        </w:rPr>
        <w:t>。</w:t>
      </w:r>
      <w:r>
        <w:rPr>
          <w:rFonts w:hint="eastAsia" w:ascii="仿宋_GB2312" w:eastAsia="仿宋_GB2312"/>
          <w:b w:val="0"/>
          <w:bCs/>
          <w:sz w:val="32"/>
          <w:szCs w:val="32"/>
        </w:rPr>
        <w:t>公务用车购置及运行维护费支出决算比</w:t>
      </w:r>
      <w:r>
        <w:rPr>
          <w:rFonts w:ascii="仿宋_GB2312" w:eastAsia="仿宋_GB2312"/>
          <w:b w:val="0"/>
          <w:bCs/>
          <w:sz w:val="32"/>
          <w:szCs w:val="32"/>
        </w:rPr>
        <w:t>20</w:t>
      </w:r>
      <w:r>
        <w:rPr>
          <w:rFonts w:hint="eastAsia" w:ascii="仿宋_GB2312" w:eastAsia="仿宋_GB2312"/>
          <w:b w:val="0"/>
          <w:bCs/>
          <w:sz w:val="32"/>
          <w:szCs w:val="32"/>
        </w:rPr>
        <w:t>2</w:t>
      </w:r>
      <w:r>
        <w:rPr>
          <w:rFonts w:hint="eastAsia" w:ascii="仿宋_GB2312" w:eastAsia="仿宋_GB2312"/>
          <w:b w:val="0"/>
          <w:bCs/>
          <w:sz w:val="32"/>
          <w:szCs w:val="32"/>
          <w:lang w:val="en-US" w:eastAsia="zh-CN"/>
        </w:rPr>
        <w:t>3</w:t>
      </w:r>
      <w:r>
        <w:rPr>
          <w:rFonts w:hint="eastAsia" w:ascii="仿宋_GB2312" w:eastAsia="仿宋_GB2312"/>
          <w:b w:val="0"/>
          <w:bCs/>
          <w:sz w:val="32"/>
          <w:szCs w:val="32"/>
        </w:rPr>
        <w:t>年</w:t>
      </w:r>
      <w:r>
        <w:rPr>
          <w:rFonts w:hint="eastAsia" w:ascii="仿宋_GB2312" w:eastAsia="仿宋_GB2312"/>
          <w:b w:val="0"/>
          <w:bCs/>
          <w:sz w:val="32"/>
          <w:szCs w:val="32"/>
          <w:lang w:eastAsia="zh-CN"/>
        </w:rPr>
        <w:t>度增加</w:t>
      </w:r>
      <w:r>
        <w:rPr>
          <w:rFonts w:hint="eastAsia" w:ascii="仿宋_GB2312" w:eastAsia="仿宋_GB2312"/>
          <w:b w:val="0"/>
          <w:bCs/>
          <w:sz w:val="32"/>
          <w:szCs w:val="32"/>
          <w:lang w:val="en-US" w:eastAsia="zh-CN"/>
        </w:rPr>
        <w:t>0.55</w:t>
      </w:r>
      <w:r>
        <w:rPr>
          <w:rFonts w:hint="eastAsia" w:ascii="仿宋_GB2312" w:eastAsia="仿宋_GB2312"/>
          <w:b w:val="0"/>
          <w:bCs/>
          <w:sz w:val="32"/>
          <w:szCs w:val="32"/>
        </w:rPr>
        <w:t>万元，</w:t>
      </w:r>
      <w:r>
        <w:rPr>
          <w:rFonts w:hint="eastAsia" w:ascii="仿宋_GB2312" w:eastAsia="仿宋_GB2312"/>
          <w:b w:val="0"/>
          <w:bCs/>
          <w:sz w:val="32"/>
          <w:szCs w:val="32"/>
          <w:lang w:eastAsia="zh-CN"/>
        </w:rPr>
        <w:t>增长</w:t>
      </w:r>
      <w:r>
        <w:rPr>
          <w:rFonts w:hint="eastAsia" w:ascii="仿宋_GB2312" w:eastAsia="仿宋_GB2312"/>
          <w:b w:val="0"/>
          <w:bCs/>
          <w:sz w:val="32"/>
          <w:szCs w:val="32"/>
          <w:lang w:val="en-US" w:eastAsia="zh-CN"/>
        </w:rPr>
        <w:t>7.15</w:t>
      </w:r>
      <w:r>
        <w:rPr>
          <w:rFonts w:ascii="仿宋_GB2312" w:eastAsia="仿宋_GB2312"/>
          <w:b w:val="0"/>
          <w:bCs/>
          <w:sz w:val="32"/>
          <w:szCs w:val="32"/>
        </w:rPr>
        <w:t>%</w:t>
      </w:r>
      <w:r>
        <w:rPr>
          <w:rFonts w:hint="eastAsia" w:ascii="仿宋_GB2312" w:eastAsia="仿宋_GB2312"/>
          <w:b w:val="0"/>
          <w:bCs/>
          <w:sz w:val="32"/>
          <w:szCs w:val="32"/>
        </w:rPr>
        <w:t>。</w:t>
      </w:r>
      <w:r>
        <w:rPr>
          <w:rFonts w:hint="eastAsia" w:ascii="仿宋_GB2312" w:eastAsia="仿宋_GB2312"/>
          <w:b w:val="0"/>
          <w:bCs/>
          <w:sz w:val="32"/>
          <w:szCs w:val="32"/>
          <w:highlight w:val="none"/>
        </w:rPr>
        <w:t>主要原因是</w:t>
      </w:r>
      <w:r>
        <w:rPr>
          <w:rFonts w:hint="eastAsia" w:ascii="仿宋_GB2312" w:eastAsia="仿宋_GB2312"/>
          <w:b w:val="0"/>
          <w:bCs/>
          <w:sz w:val="32"/>
          <w:szCs w:val="32"/>
          <w:highlight w:val="none"/>
          <w:lang w:val="en-US" w:eastAsia="zh-CN"/>
        </w:rPr>
        <w:t>根据工作需要，据实支付</w:t>
      </w:r>
      <w:r>
        <w:rPr>
          <w:rFonts w:hint="eastAsia" w:ascii="仿宋_GB2312" w:eastAsia="仿宋_GB2312"/>
          <w:b w:val="0"/>
          <w:bCs/>
          <w:sz w:val="32"/>
          <w:szCs w:val="32"/>
          <w:highlight w:val="none"/>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b w:val="0"/>
          <w:bCs/>
          <w:sz w:val="32"/>
          <w:szCs w:val="32"/>
          <w:lang w:eastAsia="zh-CN"/>
        </w:rPr>
      </w:pPr>
      <w:r>
        <w:rPr>
          <w:rFonts w:hint="eastAsia" w:ascii="仿宋_GB2312" w:eastAsia="仿宋_GB2312"/>
          <w:b w:val="0"/>
          <w:bCs/>
          <w:sz w:val="32"/>
          <w:szCs w:val="32"/>
        </w:rPr>
        <w:t>其中：公务用车购置支出</w:t>
      </w:r>
      <w:r>
        <w:rPr>
          <w:rFonts w:hint="eastAsia" w:ascii="仿宋_GB2312" w:eastAsia="仿宋_GB2312"/>
          <w:b w:val="0"/>
          <w:bCs/>
          <w:sz w:val="32"/>
          <w:szCs w:val="32"/>
          <w:lang w:val="en-US" w:eastAsia="zh-CN"/>
        </w:rPr>
        <w:t>0</w:t>
      </w:r>
      <w:r>
        <w:rPr>
          <w:rFonts w:hint="eastAsia" w:ascii="仿宋_GB2312" w:eastAsia="仿宋_GB2312"/>
          <w:b w:val="0"/>
          <w:bCs/>
          <w:sz w:val="32"/>
          <w:szCs w:val="32"/>
        </w:rPr>
        <w:t>万元。全年按规定更新购置公务用车</w:t>
      </w:r>
      <w:r>
        <w:rPr>
          <w:rFonts w:hint="eastAsia" w:ascii="仿宋_GB2312" w:eastAsia="仿宋_GB2312"/>
          <w:b w:val="0"/>
          <w:bCs/>
          <w:sz w:val="32"/>
          <w:szCs w:val="32"/>
          <w:lang w:val="en-US" w:eastAsia="zh-CN"/>
        </w:rPr>
        <w:t>0</w:t>
      </w:r>
      <w:r>
        <w:rPr>
          <w:rFonts w:hint="eastAsia" w:ascii="仿宋_GB2312" w:eastAsia="仿宋_GB2312"/>
          <w:b w:val="0"/>
          <w:bCs/>
          <w:sz w:val="32"/>
          <w:szCs w:val="32"/>
        </w:rPr>
        <w:t>辆，其中：轿车</w:t>
      </w:r>
      <w:r>
        <w:rPr>
          <w:rFonts w:hint="eastAsia" w:ascii="仿宋_GB2312" w:eastAsia="仿宋_GB2312"/>
          <w:b w:val="0"/>
          <w:bCs/>
          <w:sz w:val="32"/>
          <w:szCs w:val="32"/>
          <w:lang w:val="en-US" w:eastAsia="zh-CN"/>
        </w:rPr>
        <w:t>0</w:t>
      </w:r>
      <w:r>
        <w:rPr>
          <w:rFonts w:hint="eastAsia" w:ascii="仿宋_GB2312" w:eastAsia="仿宋_GB2312"/>
          <w:b w:val="0"/>
          <w:bCs/>
          <w:sz w:val="32"/>
          <w:szCs w:val="32"/>
        </w:rPr>
        <w:t>辆、金额</w:t>
      </w:r>
      <w:r>
        <w:rPr>
          <w:rFonts w:hint="eastAsia" w:ascii="仿宋_GB2312" w:eastAsia="仿宋_GB2312"/>
          <w:b w:val="0"/>
          <w:bCs/>
          <w:sz w:val="32"/>
          <w:szCs w:val="32"/>
          <w:lang w:val="en-US" w:eastAsia="zh-CN"/>
        </w:rPr>
        <w:t>0</w:t>
      </w:r>
      <w:r>
        <w:rPr>
          <w:rFonts w:hint="eastAsia" w:ascii="仿宋_GB2312" w:eastAsia="仿宋_GB2312"/>
          <w:b w:val="0"/>
          <w:bCs/>
          <w:sz w:val="32"/>
          <w:szCs w:val="32"/>
        </w:rPr>
        <w:t>万元，越野车</w:t>
      </w:r>
      <w:r>
        <w:rPr>
          <w:rFonts w:hint="eastAsia" w:ascii="仿宋_GB2312" w:eastAsia="仿宋_GB2312"/>
          <w:b w:val="0"/>
          <w:bCs/>
          <w:sz w:val="32"/>
          <w:szCs w:val="32"/>
          <w:lang w:val="en-US" w:eastAsia="zh-CN"/>
        </w:rPr>
        <w:t>0</w:t>
      </w:r>
      <w:r>
        <w:rPr>
          <w:rFonts w:hint="eastAsia" w:ascii="仿宋_GB2312" w:eastAsia="仿宋_GB2312"/>
          <w:b w:val="0"/>
          <w:bCs/>
          <w:sz w:val="32"/>
          <w:szCs w:val="32"/>
        </w:rPr>
        <w:t>辆、金额</w:t>
      </w:r>
      <w:r>
        <w:rPr>
          <w:rFonts w:hint="eastAsia" w:ascii="仿宋_GB2312" w:eastAsia="仿宋_GB2312"/>
          <w:b w:val="0"/>
          <w:bCs/>
          <w:sz w:val="32"/>
          <w:szCs w:val="32"/>
          <w:lang w:val="en-US" w:eastAsia="zh-CN"/>
        </w:rPr>
        <w:t>0</w:t>
      </w:r>
      <w:r>
        <w:rPr>
          <w:rFonts w:hint="eastAsia" w:ascii="仿宋_GB2312" w:eastAsia="仿宋_GB2312"/>
          <w:b w:val="0"/>
          <w:bCs/>
          <w:sz w:val="32"/>
          <w:szCs w:val="32"/>
        </w:rPr>
        <w:t>万元，载客汽车</w:t>
      </w:r>
      <w:r>
        <w:rPr>
          <w:rFonts w:hint="eastAsia" w:ascii="仿宋_GB2312" w:eastAsia="仿宋_GB2312"/>
          <w:b w:val="0"/>
          <w:bCs/>
          <w:sz w:val="32"/>
          <w:szCs w:val="32"/>
          <w:lang w:val="en-US" w:eastAsia="zh-CN"/>
        </w:rPr>
        <w:t>0</w:t>
      </w:r>
      <w:r>
        <w:rPr>
          <w:rFonts w:hint="eastAsia" w:ascii="仿宋_GB2312" w:eastAsia="仿宋_GB2312"/>
          <w:b w:val="0"/>
          <w:bCs/>
          <w:sz w:val="32"/>
          <w:szCs w:val="32"/>
        </w:rPr>
        <w:t>辆、金额</w:t>
      </w:r>
      <w:r>
        <w:rPr>
          <w:rFonts w:hint="eastAsia" w:ascii="仿宋_GB2312" w:eastAsia="仿宋_GB2312"/>
          <w:b w:val="0"/>
          <w:bCs/>
          <w:sz w:val="32"/>
          <w:szCs w:val="32"/>
          <w:lang w:val="en-US" w:eastAsia="zh-CN"/>
        </w:rPr>
        <w:t>0</w:t>
      </w:r>
      <w:r>
        <w:rPr>
          <w:rFonts w:hint="eastAsia" w:ascii="仿宋_GB2312" w:eastAsia="仿宋_GB2312"/>
          <w:b w:val="0"/>
          <w:bCs/>
          <w:sz w:val="32"/>
          <w:szCs w:val="32"/>
        </w:rPr>
        <w:t>万元。截至</w:t>
      </w:r>
      <w:r>
        <w:rPr>
          <w:rFonts w:ascii="仿宋_GB2312" w:eastAsia="仿宋_GB2312"/>
          <w:b w:val="0"/>
          <w:bCs/>
          <w:sz w:val="32"/>
          <w:szCs w:val="32"/>
        </w:rPr>
        <w:t>20</w:t>
      </w:r>
      <w:r>
        <w:rPr>
          <w:rFonts w:hint="eastAsia" w:ascii="仿宋_GB2312" w:eastAsia="仿宋_GB2312"/>
          <w:b w:val="0"/>
          <w:bCs/>
          <w:sz w:val="32"/>
          <w:szCs w:val="32"/>
        </w:rPr>
        <w:t>2</w:t>
      </w:r>
      <w:r>
        <w:rPr>
          <w:rFonts w:hint="eastAsia" w:ascii="仿宋_GB2312" w:eastAsia="仿宋_GB2312"/>
          <w:b w:val="0"/>
          <w:bCs/>
          <w:sz w:val="32"/>
          <w:szCs w:val="32"/>
          <w:lang w:val="en-US" w:eastAsia="zh-CN"/>
        </w:rPr>
        <w:t>4</w:t>
      </w:r>
      <w:r>
        <w:rPr>
          <w:rFonts w:hint="eastAsia" w:ascii="仿宋_GB2312" w:eastAsia="仿宋_GB2312"/>
          <w:b w:val="0"/>
          <w:bCs/>
          <w:sz w:val="32"/>
          <w:szCs w:val="32"/>
        </w:rPr>
        <w:t>年</w:t>
      </w:r>
      <w:r>
        <w:rPr>
          <w:rFonts w:ascii="仿宋_GB2312" w:eastAsia="仿宋_GB2312"/>
          <w:b w:val="0"/>
          <w:bCs/>
          <w:sz w:val="32"/>
          <w:szCs w:val="32"/>
        </w:rPr>
        <w:t>12</w:t>
      </w:r>
      <w:r>
        <w:rPr>
          <w:rFonts w:hint="eastAsia" w:ascii="仿宋_GB2312" w:eastAsia="仿宋_GB2312"/>
          <w:b w:val="0"/>
          <w:bCs/>
          <w:sz w:val="32"/>
          <w:szCs w:val="32"/>
        </w:rPr>
        <w:t>月</w:t>
      </w:r>
      <w:r>
        <w:rPr>
          <w:rFonts w:hint="eastAsia" w:ascii="仿宋_GB2312" w:eastAsia="仿宋_GB2312"/>
          <w:b w:val="0"/>
          <w:bCs/>
          <w:sz w:val="32"/>
          <w:szCs w:val="32"/>
          <w:lang w:val="en-US" w:eastAsia="zh-CN"/>
        </w:rPr>
        <w:t>31日</w:t>
      </w:r>
      <w:r>
        <w:rPr>
          <w:rFonts w:hint="eastAsia" w:ascii="仿宋_GB2312" w:eastAsia="仿宋_GB2312"/>
          <w:b w:val="0"/>
          <w:bCs/>
          <w:sz w:val="32"/>
          <w:szCs w:val="32"/>
        </w:rPr>
        <w:t>，</w:t>
      </w:r>
      <w:r>
        <w:rPr>
          <w:rFonts w:hint="eastAsia" w:ascii="仿宋_GB2312" w:hAnsi="仿宋_GB2312" w:eastAsia="仿宋_GB2312" w:cs="仿宋_GB2312"/>
          <w:b w:val="0"/>
          <w:bCs/>
          <w:sz w:val="32"/>
          <w:szCs w:val="32"/>
          <w:highlight w:val="none"/>
        </w:rPr>
        <w:t>单位共有公务用车7辆，其中：轿车</w:t>
      </w:r>
      <w:r>
        <w:rPr>
          <w:rFonts w:hint="eastAsia" w:ascii="仿宋_GB2312" w:hAnsi="仿宋_GB2312" w:eastAsia="仿宋_GB2312" w:cs="仿宋_GB2312"/>
          <w:b w:val="0"/>
          <w:bCs/>
          <w:sz w:val="32"/>
          <w:szCs w:val="32"/>
          <w:highlight w:val="none"/>
          <w:lang w:val="en-US" w:eastAsia="zh-CN"/>
        </w:rPr>
        <w:t>3</w:t>
      </w:r>
      <w:r>
        <w:rPr>
          <w:rFonts w:hint="eastAsia" w:ascii="仿宋_GB2312" w:hAnsi="仿宋_GB2312" w:eastAsia="仿宋_GB2312" w:cs="仿宋_GB2312"/>
          <w:b w:val="0"/>
          <w:bCs/>
          <w:sz w:val="32"/>
          <w:szCs w:val="32"/>
          <w:highlight w:val="none"/>
        </w:rPr>
        <w:t>辆、越野车</w:t>
      </w:r>
      <w:r>
        <w:rPr>
          <w:rFonts w:hint="eastAsia" w:ascii="仿宋_GB2312" w:hAnsi="仿宋_GB2312" w:eastAsia="仿宋_GB2312" w:cs="仿宋_GB2312"/>
          <w:b w:val="0"/>
          <w:bCs/>
          <w:sz w:val="32"/>
          <w:szCs w:val="32"/>
          <w:highlight w:val="none"/>
          <w:lang w:val="en-US" w:eastAsia="zh-CN"/>
        </w:rPr>
        <w:t>3</w:t>
      </w:r>
      <w:r>
        <w:rPr>
          <w:rFonts w:hint="eastAsia" w:ascii="仿宋_GB2312" w:hAnsi="仿宋_GB2312" w:eastAsia="仿宋_GB2312" w:cs="仿宋_GB2312"/>
          <w:b w:val="0"/>
          <w:bCs/>
          <w:sz w:val="32"/>
          <w:szCs w:val="32"/>
          <w:highlight w:val="none"/>
        </w:rPr>
        <w:t>辆</w:t>
      </w:r>
      <w:r>
        <w:rPr>
          <w:rFonts w:hint="eastAsia" w:ascii="仿宋_GB2312" w:hAnsi="仿宋_GB2312" w:eastAsia="仿宋_GB2312" w:cs="仿宋_GB2312"/>
          <w:b w:val="0"/>
          <w:bCs/>
          <w:sz w:val="32"/>
          <w:szCs w:val="32"/>
          <w:highlight w:val="none"/>
          <w:lang w:eastAsia="zh-CN"/>
        </w:rPr>
        <w:t>、</w:t>
      </w:r>
      <w:r>
        <w:rPr>
          <w:rFonts w:hint="eastAsia" w:ascii="仿宋_GB2312" w:hAnsi="仿宋_GB2312" w:eastAsia="仿宋_GB2312" w:cs="仿宋_GB2312"/>
          <w:b w:val="0"/>
          <w:bCs/>
          <w:sz w:val="32"/>
          <w:szCs w:val="32"/>
          <w:highlight w:val="none"/>
        </w:rPr>
        <w:t>载客汽车</w:t>
      </w:r>
      <w:r>
        <w:rPr>
          <w:rFonts w:hint="eastAsia" w:ascii="仿宋_GB2312" w:hAnsi="仿宋_GB2312" w:eastAsia="仿宋_GB2312" w:cs="仿宋_GB2312"/>
          <w:b w:val="0"/>
          <w:bCs/>
          <w:sz w:val="32"/>
          <w:szCs w:val="32"/>
          <w:highlight w:val="none"/>
          <w:lang w:val="en-US" w:eastAsia="zh-CN"/>
        </w:rPr>
        <w:t>1</w:t>
      </w:r>
      <w:r>
        <w:rPr>
          <w:rFonts w:hint="eastAsia" w:ascii="仿宋_GB2312" w:hAnsi="仿宋_GB2312" w:eastAsia="仿宋_GB2312" w:cs="仿宋_GB2312"/>
          <w:b w:val="0"/>
          <w:bCs/>
          <w:sz w:val="32"/>
          <w:szCs w:val="32"/>
          <w:highlight w:val="none"/>
        </w:rPr>
        <w:t>辆。</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b w:val="0"/>
          <w:bCs/>
          <w:sz w:val="32"/>
          <w:szCs w:val="32"/>
          <w:highlight w:val="none"/>
          <w:lang w:val="en-US" w:eastAsia="zh-CN"/>
        </w:rPr>
      </w:pPr>
      <w:r>
        <w:rPr>
          <w:rFonts w:hint="eastAsia" w:ascii="仿宋_GB2312" w:eastAsia="仿宋_GB2312"/>
          <w:b w:val="0"/>
          <w:bCs/>
          <w:sz w:val="32"/>
          <w:szCs w:val="32"/>
        </w:rPr>
        <w:t>公务用车运行维护费支出</w:t>
      </w:r>
      <w:r>
        <w:rPr>
          <w:rFonts w:hint="eastAsia" w:ascii="仿宋_GB2312" w:eastAsia="仿宋_GB2312"/>
          <w:b w:val="0"/>
          <w:bCs/>
          <w:sz w:val="32"/>
          <w:szCs w:val="32"/>
          <w:lang w:val="en-US" w:eastAsia="zh-CN"/>
        </w:rPr>
        <w:t>8.24</w:t>
      </w:r>
      <w:r>
        <w:rPr>
          <w:rFonts w:hint="eastAsia" w:ascii="仿宋_GB2312" w:eastAsia="仿宋_GB2312"/>
          <w:b w:val="0"/>
          <w:bCs/>
          <w:sz w:val="32"/>
          <w:szCs w:val="32"/>
        </w:rPr>
        <w:t>万元。主要用于</w:t>
      </w:r>
      <w:r>
        <w:rPr>
          <w:rFonts w:hint="eastAsia" w:ascii="仿宋_GB2312" w:hAnsi="仿宋_GB2312" w:eastAsia="仿宋_GB2312" w:cs="仿宋_GB2312"/>
          <w:b w:val="0"/>
          <w:bCs/>
          <w:color w:val="000000"/>
          <w:sz w:val="32"/>
          <w:szCs w:val="32"/>
          <w:highlight w:val="none"/>
        </w:rPr>
        <w:t>乡村振兴、赴上级财政部门</w:t>
      </w:r>
      <w:r>
        <w:rPr>
          <w:rFonts w:hint="eastAsia" w:ascii="仿宋_GB2312" w:hAnsi="仿宋_GB2312" w:eastAsia="仿宋_GB2312" w:cs="仿宋_GB2312"/>
          <w:b w:val="0"/>
          <w:bCs/>
          <w:sz w:val="32"/>
          <w:szCs w:val="32"/>
          <w:highlight w:val="none"/>
        </w:rPr>
        <w:t>等所需的公务用车燃料费、维修费、过路过桥费、保险费等支出。</w:t>
      </w:r>
      <w:r>
        <w:rPr>
          <w:rFonts w:hint="eastAsia" w:ascii="仿宋_GB2312" w:hAnsi="仿宋_GB2312" w:eastAsia="仿宋_GB2312" w:cs="仿宋_GB2312"/>
          <w:b w:val="0"/>
          <w:bCs/>
          <w:sz w:val="32"/>
          <w:szCs w:val="32"/>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ascii="仿宋_GB2312" w:eastAsia="仿宋_GB2312"/>
          <w:b w:val="0"/>
          <w:bCs/>
          <w:sz w:val="32"/>
          <w:szCs w:val="32"/>
          <w:highlight w:val="none"/>
        </w:rPr>
      </w:pPr>
      <w:r>
        <w:rPr>
          <w:rFonts w:ascii="仿宋_GB2312" w:eastAsia="仿宋_GB2312"/>
          <w:b w:val="0"/>
          <w:bCs/>
          <w:sz w:val="32"/>
          <w:szCs w:val="32"/>
        </w:rPr>
        <w:t>3.</w:t>
      </w:r>
      <w:r>
        <w:rPr>
          <w:rFonts w:hint="eastAsia" w:ascii="仿宋_GB2312" w:eastAsia="仿宋_GB2312"/>
          <w:b w:val="0"/>
          <w:bCs/>
          <w:sz w:val="32"/>
          <w:szCs w:val="32"/>
        </w:rPr>
        <w:t>公务接待费支出</w:t>
      </w:r>
      <w:r>
        <w:rPr>
          <w:rFonts w:hint="eastAsia" w:ascii="仿宋_GB2312" w:eastAsia="仿宋_GB2312"/>
          <w:b w:val="0"/>
          <w:bCs/>
          <w:sz w:val="32"/>
          <w:szCs w:val="32"/>
          <w:lang w:val="en-US" w:eastAsia="zh-CN"/>
        </w:rPr>
        <w:t>0.15</w:t>
      </w:r>
      <w:r>
        <w:rPr>
          <w:rFonts w:hint="eastAsia" w:ascii="仿宋_GB2312" w:eastAsia="仿宋_GB2312"/>
          <w:b w:val="0"/>
          <w:bCs/>
          <w:sz w:val="32"/>
          <w:szCs w:val="32"/>
        </w:rPr>
        <w:t>万元，</w:t>
      </w:r>
      <w:r>
        <w:rPr>
          <w:rStyle w:val="21"/>
          <w:rFonts w:hint="eastAsia" w:ascii="仿宋" w:hAnsi="仿宋" w:eastAsia="仿宋"/>
          <w:b w:val="0"/>
          <w:bCs/>
          <w:sz w:val="32"/>
          <w:szCs w:val="32"/>
        </w:rPr>
        <w:t>完成预算</w:t>
      </w:r>
      <w:r>
        <w:rPr>
          <w:rFonts w:hint="eastAsia" w:ascii="仿宋_GB2312" w:eastAsia="仿宋_GB2312"/>
          <w:b w:val="0"/>
          <w:bCs/>
          <w:sz w:val="32"/>
          <w:szCs w:val="32"/>
          <w:lang w:val="en-US" w:eastAsia="zh-CN"/>
        </w:rPr>
        <w:t>100</w:t>
      </w:r>
      <w:r>
        <w:rPr>
          <w:rStyle w:val="21"/>
          <w:rFonts w:ascii="仿宋" w:hAnsi="仿宋" w:eastAsia="仿宋"/>
          <w:b w:val="0"/>
          <w:bCs/>
          <w:sz w:val="32"/>
          <w:szCs w:val="32"/>
        </w:rPr>
        <w:t>%</w:t>
      </w:r>
      <w:r>
        <w:rPr>
          <w:rStyle w:val="21"/>
          <w:rFonts w:hint="eastAsia" w:ascii="仿宋" w:hAnsi="仿宋" w:eastAsia="仿宋"/>
          <w:b w:val="0"/>
          <w:bCs/>
          <w:sz w:val="32"/>
          <w:szCs w:val="32"/>
        </w:rPr>
        <w:t>。</w:t>
      </w:r>
      <w:r>
        <w:rPr>
          <w:rFonts w:hint="eastAsia" w:ascii="仿宋_GB2312" w:eastAsia="仿宋_GB2312"/>
          <w:b w:val="0"/>
          <w:bCs/>
          <w:sz w:val="32"/>
          <w:szCs w:val="32"/>
        </w:rPr>
        <w:t>公务接待费支出决算比</w:t>
      </w:r>
      <w:r>
        <w:rPr>
          <w:rFonts w:ascii="仿宋_GB2312" w:eastAsia="仿宋_GB2312"/>
          <w:b w:val="0"/>
          <w:bCs/>
          <w:sz w:val="32"/>
          <w:szCs w:val="32"/>
        </w:rPr>
        <w:t>20</w:t>
      </w:r>
      <w:r>
        <w:rPr>
          <w:rFonts w:hint="eastAsia" w:ascii="仿宋_GB2312" w:eastAsia="仿宋_GB2312"/>
          <w:b w:val="0"/>
          <w:bCs/>
          <w:sz w:val="32"/>
          <w:szCs w:val="32"/>
        </w:rPr>
        <w:t>2</w:t>
      </w:r>
      <w:r>
        <w:rPr>
          <w:rFonts w:hint="eastAsia" w:ascii="仿宋_GB2312" w:eastAsia="仿宋_GB2312"/>
          <w:b w:val="0"/>
          <w:bCs/>
          <w:sz w:val="32"/>
          <w:szCs w:val="32"/>
          <w:lang w:val="en-US" w:eastAsia="zh-CN"/>
        </w:rPr>
        <w:t>3</w:t>
      </w:r>
      <w:r>
        <w:rPr>
          <w:rFonts w:hint="eastAsia" w:ascii="仿宋_GB2312" w:eastAsia="仿宋_GB2312"/>
          <w:b w:val="0"/>
          <w:bCs/>
          <w:sz w:val="32"/>
          <w:szCs w:val="32"/>
        </w:rPr>
        <w:t>年</w:t>
      </w:r>
      <w:r>
        <w:rPr>
          <w:rFonts w:hint="eastAsia" w:ascii="仿宋_GB2312" w:eastAsia="仿宋_GB2312"/>
          <w:b w:val="0"/>
          <w:bCs/>
          <w:sz w:val="32"/>
          <w:szCs w:val="32"/>
          <w:lang w:eastAsia="zh-CN"/>
        </w:rPr>
        <w:t>度增加</w:t>
      </w:r>
      <w:r>
        <w:rPr>
          <w:rFonts w:hint="eastAsia" w:ascii="仿宋_GB2312" w:eastAsia="仿宋_GB2312"/>
          <w:b w:val="0"/>
          <w:bCs/>
          <w:sz w:val="32"/>
          <w:szCs w:val="32"/>
          <w:lang w:val="en-US" w:eastAsia="zh-CN"/>
        </w:rPr>
        <w:t>0.05</w:t>
      </w:r>
      <w:r>
        <w:rPr>
          <w:rFonts w:hint="eastAsia" w:ascii="仿宋_GB2312" w:eastAsia="仿宋_GB2312"/>
          <w:b w:val="0"/>
          <w:bCs/>
          <w:sz w:val="32"/>
          <w:szCs w:val="32"/>
        </w:rPr>
        <w:t>万元，</w:t>
      </w:r>
      <w:r>
        <w:rPr>
          <w:rFonts w:hint="eastAsia" w:ascii="仿宋_GB2312" w:eastAsia="仿宋_GB2312"/>
          <w:b w:val="0"/>
          <w:bCs/>
          <w:sz w:val="32"/>
          <w:szCs w:val="32"/>
          <w:lang w:eastAsia="zh-CN"/>
        </w:rPr>
        <w:t>增长</w:t>
      </w:r>
      <w:r>
        <w:rPr>
          <w:rFonts w:hint="eastAsia" w:ascii="仿宋_GB2312" w:eastAsia="仿宋_GB2312"/>
          <w:b w:val="0"/>
          <w:bCs/>
          <w:sz w:val="32"/>
          <w:szCs w:val="32"/>
          <w:lang w:val="en-US" w:eastAsia="zh-CN"/>
        </w:rPr>
        <w:t>50</w:t>
      </w:r>
      <w:r>
        <w:rPr>
          <w:rFonts w:ascii="仿宋_GB2312" w:eastAsia="仿宋_GB2312"/>
          <w:b w:val="0"/>
          <w:bCs/>
          <w:sz w:val="32"/>
          <w:szCs w:val="32"/>
        </w:rPr>
        <w:t>%</w:t>
      </w:r>
      <w:r>
        <w:rPr>
          <w:rFonts w:hint="eastAsia" w:ascii="仿宋_GB2312" w:eastAsia="仿宋_GB2312"/>
          <w:b w:val="0"/>
          <w:bCs/>
          <w:sz w:val="32"/>
          <w:szCs w:val="32"/>
        </w:rPr>
        <w:t>。</w:t>
      </w:r>
      <w:r>
        <w:rPr>
          <w:rFonts w:hint="eastAsia" w:ascii="仿宋_GB2312" w:eastAsia="仿宋_GB2312"/>
          <w:b w:val="0"/>
          <w:bCs/>
          <w:sz w:val="32"/>
          <w:szCs w:val="32"/>
          <w:highlight w:val="none"/>
        </w:rPr>
        <w:t>主要原因是</w:t>
      </w:r>
      <w:r>
        <w:rPr>
          <w:rFonts w:hint="eastAsia" w:ascii="仿宋_GB2312" w:eastAsia="仿宋_GB2312"/>
          <w:b w:val="0"/>
          <w:bCs/>
          <w:sz w:val="32"/>
          <w:szCs w:val="32"/>
          <w:highlight w:val="none"/>
          <w:lang w:val="en-US" w:eastAsia="zh-CN"/>
        </w:rPr>
        <w:t>根据工作需要，据实支付。</w:t>
      </w:r>
      <w:r>
        <w:rPr>
          <w:rFonts w:hint="eastAsia" w:ascii="仿宋_GB2312" w:eastAsia="仿宋_GB2312"/>
          <w:b w:val="0"/>
          <w:bCs/>
          <w:sz w:val="32"/>
          <w:szCs w:val="32"/>
          <w:highlight w:val="none"/>
        </w:rPr>
        <w:t>其中：</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b w:val="0"/>
          <w:bCs/>
          <w:sz w:val="32"/>
          <w:szCs w:val="32"/>
          <w:highlight w:val="none"/>
          <w:lang w:eastAsia="zh-CN"/>
        </w:rPr>
      </w:pPr>
      <w:bookmarkStart w:id="55" w:name="_Toc15396610"/>
      <w:bookmarkStart w:id="56" w:name="_Toc15377218"/>
      <w:r>
        <w:rPr>
          <w:rFonts w:hint="eastAsia" w:ascii="仿宋" w:hAnsi="仿宋" w:eastAsia="仿宋"/>
          <w:b w:val="0"/>
          <w:bCs/>
          <w:sz w:val="32"/>
          <w:szCs w:val="32"/>
          <w:highlight w:val="none"/>
        </w:rPr>
        <w:t>国内公务接待支出</w:t>
      </w:r>
      <w:r>
        <w:rPr>
          <w:rFonts w:hint="eastAsia" w:ascii="仿宋" w:hAnsi="仿宋" w:eastAsia="仿宋"/>
          <w:b w:val="0"/>
          <w:bCs/>
          <w:sz w:val="32"/>
          <w:szCs w:val="32"/>
          <w:highlight w:val="none"/>
          <w:lang w:val="en-US" w:eastAsia="zh-CN"/>
        </w:rPr>
        <w:t>0.15</w:t>
      </w:r>
      <w:r>
        <w:rPr>
          <w:rFonts w:hint="eastAsia" w:ascii="仿宋_GB2312" w:eastAsia="仿宋_GB2312"/>
          <w:b w:val="0"/>
          <w:bCs/>
          <w:sz w:val="32"/>
          <w:szCs w:val="32"/>
          <w:highlight w:val="none"/>
        </w:rPr>
        <w:t>万元</w:t>
      </w:r>
      <w:r>
        <w:rPr>
          <w:rFonts w:hint="eastAsia" w:ascii="仿宋_GB2312" w:eastAsia="仿宋_GB2312"/>
          <w:b w:val="0"/>
          <w:bCs/>
          <w:sz w:val="32"/>
          <w:szCs w:val="32"/>
          <w:highlight w:val="none"/>
          <w:lang w:eastAsia="zh-CN"/>
        </w:rPr>
        <w:t>，</w:t>
      </w:r>
      <w:r>
        <w:rPr>
          <w:rFonts w:hint="eastAsia" w:ascii="仿宋_GB2312" w:eastAsia="仿宋_GB2312"/>
          <w:sz w:val="32"/>
          <w:szCs w:val="32"/>
          <w:highlight w:val="none"/>
        </w:rPr>
        <w:t>主要用于</w:t>
      </w:r>
      <w:r>
        <w:rPr>
          <w:rFonts w:ascii="仿宋_GB2312" w:hAnsi="仿宋_GB2312" w:eastAsia="仿宋_GB2312" w:cs="仿宋_GB2312"/>
          <w:color w:val="000000"/>
          <w:kern w:val="0"/>
          <w:sz w:val="31"/>
          <w:szCs w:val="31"/>
          <w:lang w:val="en-US" w:eastAsia="zh-CN" w:bidi="ar"/>
        </w:rPr>
        <w:t>对国内相关单位来我</w:t>
      </w:r>
      <w:r>
        <w:rPr>
          <w:rFonts w:hint="eastAsia" w:ascii="仿宋_GB2312" w:hAnsi="仿宋_GB2312" w:eastAsia="仿宋_GB2312" w:cs="仿宋_GB2312"/>
          <w:color w:val="000000"/>
          <w:kern w:val="0"/>
          <w:sz w:val="31"/>
          <w:szCs w:val="31"/>
          <w:lang w:val="en-US" w:eastAsia="zh-CN" w:bidi="ar"/>
        </w:rPr>
        <w:t>单位</w:t>
      </w:r>
      <w:r>
        <w:rPr>
          <w:rFonts w:ascii="仿宋_GB2312" w:hAnsi="仿宋_GB2312" w:eastAsia="仿宋_GB2312" w:cs="仿宋_GB2312"/>
          <w:color w:val="000000"/>
          <w:kern w:val="0"/>
          <w:sz w:val="31"/>
          <w:szCs w:val="31"/>
          <w:lang w:val="en-US" w:eastAsia="zh-CN" w:bidi="ar"/>
        </w:rPr>
        <w:t>开展业务检查、工作调研等活动，按规定安排的工作餐发生的接待支出</w:t>
      </w:r>
      <w:r>
        <w:rPr>
          <w:rFonts w:hint="eastAsia" w:ascii="仿宋_GB2312" w:eastAsia="仿宋_GB2312"/>
          <w:b w:val="0"/>
          <w:bCs/>
          <w:sz w:val="32"/>
          <w:szCs w:val="32"/>
          <w:highlight w:val="none"/>
        </w:rPr>
        <w:t>。国内公务接待</w:t>
      </w:r>
      <w:r>
        <w:rPr>
          <w:rFonts w:hint="eastAsia" w:ascii="仿宋_GB2312" w:eastAsia="仿宋_GB2312"/>
          <w:b w:val="0"/>
          <w:bCs/>
          <w:sz w:val="32"/>
          <w:szCs w:val="32"/>
          <w:highlight w:val="none"/>
          <w:lang w:val="en-US" w:eastAsia="zh-CN"/>
        </w:rPr>
        <w:t>1</w:t>
      </w:r>
      <w:r>
        <w:rPr>
          <w:rFonts w:hint="eastAsia" w:ascii="仿宋_GB2312" w:eastAsia="仿宋_GB2312"/>
          <w:b w:val="0"/>
          <w:bCs/>
          <w:sz w:val="32"/>
          <w:szCs w:val="32"/>
          <w:highlight w:val="none"/>
        </w:rPr>
        <w:t>批次，</w:t>
      </w:r>
      <w:r>
        <w:rPr>
          <w:rFonts w:hint="eastAsia" w:ascii="仿宋_GB2312" w:eastAsia="仿宋_GB2312"/>
          <w:b w:val="0"/>
          <w:bCs/>
          <w:sz w:val="32"/>
          <w:szCs w:val="32"/>
          <w:highlight w:val="none"/>
          <w:lang w:val="en-US" w:eastAsia="zh-CN"/>
        </w:rPr>
        <w:t>12</w:t>
      </w:r>
      <w:r>
        <w:rPr>
          <w:rFonts w:hint="eastAsia" w:ascii="仿宋_GB2312" w:eastAsia="仿宋_GB2312"/>
          <w:b w:val="0"/>
          <w:bCs/>
          <w:sz w:val="32"/>
          <w:szCs w:val="32"/>
          <w:highlight w:val="none"/>
        </w:rPr>
        <w:t>人次</w:t>
      </w:r>
      <w:r>
        <w:rPr>
          <w:rFonts w:hint="eastAsia" w:ascii="仿宋_GB2312" w:hAnsi="仿宋_GB2312" w:eastAsia="仿宋_GB2312" w:cs="仿宋_GB2312"/>
          <w:color w:val="000000"/>
          <w:kern w:val="0"/>
          <w:sz w:val="31"/>
          <w:szCs w:val="31"/>
          <w:lang w:val="en-US" w:eastAsia="zh-CN" w:bidi="ar"/>
        </w:rPr>
        <w:t>(不包括陪同人员)</w:t>
      </w:r>
      <w:r>
        <w:rPr>
          <w:rFonts w:hint="eastAsia" w:ascii="仿宋_GB2312" w:eastAsia="仿宋_GB2312"/>
          <w:b w:val="0"/>
          <w:bCs/>
          <w:sz w:val="32"/>
          <w:szCs w:val="32"/>
          <w:highlight w:val="none"/>
        </w:rPr>
        <w:t>，共计支出</w:t>
      </w:r>
      <w:r>
        <w:rPr>
          <w:rFonts w:hint="eastAsia" w:ascii="仿宋_GB2312" w:eastAsia="仿宋_GB2312"/>
          <w:b w:val="0"/>
          <w:bCs/>
          <w:sz w:val="32"/>
          <w:szCs w:val="32"/>
          <w:highlight w:val="none"/>
          <w:lang w:val="en-US" w:eastAsia="zh-CN"/>
        </w:rPr>
        <w:t>0.15</w:t>
      </w:r>
      <w:r>
        <w:rPr>
          <w:rFonts w:hint="eastAsia" w:ascii="仿宋_GB2312" w:eastAsia="仿宋_GB2312"/>
          <w:b w:val="0"/>
          <w:bCs/>
          <w:sz w:val="32"/>
          <w:szCs w:val="32"/>
          <w:highlight w:val="none"/>
        </w:rPr>
        <w:t>万元。</w:t>
      </w:r>
      <w:r>
        <w:rPr>
          <w:rFonts w:hint="eastAsia" w:ascii="仿宋_GB2312" w:eastAsia="仿宋_GB2312"/>
          <w:sz w:val="32"/>
          <w:szCs w:val="32"/>
          <w:highlight w:val="none"/>
        </w:rPr>
        <w:t>具体内容包括：</w:t>
      </w:r>
      <w:r>
        <w:rPr>
          <w:rFonts w:hint="eastAsia" w:ascii="仿宋_GB2312" w:hAnsi="仿宋_GB2312" w:eastAsia="仿宋_GB2312" w:cs="仿宋_GB2312"/>
          <w:sz w:val="32"/>
          <w:szCs w:val="32"/>
          <w:lang w:eastAsia="zh-CN"/>
        </w:rPr>
        <w:t>接待国内相关单位来我单位交流学习产生公务接待费0.15万元。</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1"/>
        <w:rPr>
          <w:rFonts w:ascii="黑体" w:eastAsia="黑体"/>
          <w:b w:val="0"/>
          <w:bCs/>
          <w:sz w:val="32"/>
          <w:szCs w:val="32"/>
          <w:highlight w:val="none"/>
        </w:rPr>
      </w:pPr>
      <w:bookmarkStart w:id="57" w:name="_Toc585"/>
      <w:r>
        <w:rPr>
          <w:rFonts w:hint="eastAsia" w:ascii="仿宋" w:hAnsi="仿宋" w:eastAsia="仿宋"/>
          <w:b w:val="0"/>
          <w:bCs/>
          <w:sz w:val="32"/>
          <w:szCs w:val="32"/>
          <w:highlight w:val="none"/>
        </w:rPr>
        <w:t>外事接待支出</w:t>
      </w:r>
      <w:r>
        <w:rPr>
          <w:rFonts w:hint="eastAsia" w:ascii="仿宋" w:hAnsi="仿宋" w:eastAsia="仿宋"/>
          <w:b w:val="0"/>
          <w:bCs/>
          <w:sz w:val="32"/>
          <w:szCs w:val="32"/>
          <w:highlight w:val="none"/>
          <w:lang w:val="en-US" w:eastAsia="zh-CN"/>
        </w:rPr>
        <w:t>0</w:t>
      </w:r>
      <w:r>
        <w:rPr>
          <w:rFonts w:hint="eastAsia" w:ascii="仿宋_GB2312" w:eastAsia="仿宋_GB2312"/>
          <w:b w:val="0"/>
          <w:bCs/>
          <w:sz w:val="32"/>
          <w:szCs w:val="32"/>
          <w:highlight w:val="none"/>
        </w:rPr>
        <w:t>万元。外事接待</w:t>
      </w:r>
      <w:r>
        <w:rPr>
          <w:rFonts w:hint="eastAsia" w:ascii="仿宋_GB2312" w:eastAsia="仿宋_GB2312"/>
          <w:b w:val="0"/>
          <w:bCs/>
          <w:sz w:val="32"/>
          <w:szCs w:val="32"/>
          <w:highlight w:val="none"/>
          <w:lang w:val="en-US" w:eastAsia="zh-CN"/>
        </w:rPr>
        <w:t>0</w:t>
      </w:r>
      <w:r>
        <w:rPr>
          <w:rFonts w:hint="eastAsia" w:ascii="仿宋_GB2312" w:eastAsia="仿宋_GB2312"/>
          <w:b w:val="0"/>
          <w:bCs/>
          <w:sz w:val="32"/>
          <w:szCs w:val="32"/>
          <w:highlight w:val="none"/>
        </w:rPr>
        <w:t>批次，</w:t>
      </w:r>
      <w:r>
        <w:rPr>
          <w:rFonts w:hint="eastAsia" w:ascii="仿宋_GB2312" w:eastAsia="仿宋_GB2312"/>
          <w:b w:val="0"/>
          <w:bCs/>
          <w:sz w:val="32"/>
          <w:szCs w:val="32"/>
          <w:highlight w:val="none"/>
          <w:lang w:val="en-US" w:eastAsia="zh-CN"/>
        </w:rPr>
        <w:t>0</w:t>
      </w:r>
      <w:r>
        <w:rPr>
          <w:rFonts w:hint="eastAsia" w:ascii="仿宋_GB2312" w:eastAsia="仿宋_GB2312"/>
          <w:b w:val="0"/>
          <w:bCs/>
          <w:sz w:val="32"/>
          <w:szCs w:val="32"/>
          <w:highlight w:val="none"/>
        </w:rPr>
        <w:t>人次，共计支出</w:t>
      </w:r>
      <w:r>
        <w:rPr>
          <w:rFonts w:hint="eastAsia" w:ascii="仿宋_GB2312" w:eastAsia="仿宋_GB2312"/>
          <w:b w:val="0"/>
          <w:bCs/>
          <w:sz w:val="32"/>
          <w:szCs w:val="32"/>
          <w:highlight w:val="none"/>
          <w:lang w:val="en-US" w:eastAsia="zh-CN"/>
        </w:rPr>
        <w:t>0</w:t>
      </w:r>
      <w:r>
        <w:rPr>
          <w:rFonts w:hint="eastAsia" w:ascii="仿宋_GB2312" w:eastAsia="仿宋_GB2312"/>
          <w:b w:val="0"/>
          <w:bCs/>
          <w:sz w:val="32"/>
          <w:szCs w:val="32"/>
          <w:highlight w:val="none"/>
        </w:rPr>
        <w:t>万元。</w:t>
      </w:r>
      <w:bookmarkEnd w:id="57"/>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1"/>
        <w:rPr>
          <w:rStyle w:val="33"/>
          <w:rFonts w:ascii="黑体" w:hAnsi="黑体" w:eastAsia="黑体"/>
          <w:b w:val="0"/>
          <w:bCs/>
        </w:rPr>
      </w:pPr>
      <w:bookmarkStart w:id="58" w:name="_Toc23172"/>
      <w:r>
        <w:rPr>
          <w:rFonts w:hint="eastAsia" w:ascii="黑体" w:eastAsia="黑体"/>
          <w:b w:val="0"/>
          <w:bCs/>
          <w:sz w:val="32"/>
          <w:szCs w:val="32"/>
        </w:rPr>
        <w:t>八、</w:t>
      </w:r>
      <w:r>
        <w:rPr>
          <w:rStyle w:val="33"/>
          <w:rFonts w:hint="eastAsia" w:ascii="黑体" w:hAnsi="黑体" w:eastAsia="黑体"/>
          <w:b w:val="0"/>
          <w:bCs/>
        </w:rPr>
        <w:t>政府性基金预算支出决算情况说明</w:t>
      </w:r>
      <w:bookmarkEnd w:id="55"/>
      <w:bookmarkEnd w:id="56"/>
      <w:bookmarkEnd w:id="58"/>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ascii="仿宋_GB2312" w:eastAsia="仿宋_GB2312"/>
          <w:b w:val="0"/>
          <w:bCs/>
          <w:sz w:val="32"/>
          <w:szCs w:val="32"/>
        </w:rPr>
      </w:pPr>
      <w:r>
        <w:rPr>
          <w:rFonts w:hint="eastAsia" w:ascii="仿宋_GB2312" w:eastAsia="仿宋_GB2312"/>
          <w:b w:val="0"/>
          <w:bCs/>
          <w:sz w:val="32"/>
          <w:szCs w:val="32"/>
        </w:rPr>
        <w:t>2024年度政府性基金预算财政拨款支出10.6万元，占本年支出合计的0.73%。与2023年度相比，政府性基金预算财政拨款支出减少20万元，下降65.36%。主要变动原因是根据工作业务需要，据实支付。</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textAlignment w:val="auto"/>
        <w:outlineLvl w:val="1"/>
        <w:rPr>
          <w:rStyle w:val="33"/>
          <w:rFonts w:ascii="黑体" w:hAnsi="黑体" w:eastAsia="黑体"/>
          <w:b w:val="0"/>
          <w:bCs/>
        </w:rPr>
      </w:pPr>
      <w:bookmarkStart w:id="59" w:name="_Toc4623"/>
      <w:bookmarkStart w:id="60" w:name="_Toc15396611"/>
      <w:bookmarkStart w:id="61" w:name="_Toc15377219"/>
      <w:r>
        <w:rPr>
          <w:rStyle w:val="33"/>
          <w:rFonts w:hint="eastAsia" w:ascii="黑体" w:hAnsi="黑体" w:eastAsia="黑体"/>
          <w:b w:val="0"/>
          <w:bCs/>
        </w:rPr>
        <w:t>国有资本经营预算支出决算情况说明</w:t>
      </w:r>
      <w:bookmarkEnd w:id="59"/>
      <w:bookmarkEnd w:id="60"/>
      <w:bookmarkEnd w:id="61"/>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eastAsia="仿宋_GB2312"/>
          <w:b w:val="0"/>
          <w:bCs/>
          <w:sz w:val="32"/>
          <w:szCs w:val="32"/>
          <w:lang w:eastAsia="zh-CN"/>
        </w:rPr>
      </w:pPr>
      <w:r>
        <w:rPr>
          <w:rFonts w:hint="eastAsia" w:ascii="仿宋_GB2312" w:eastAsia="仿宋_GB2312"/>
          <w:b w:val="0"/>
          <w:bCs/>
          <w:sz w:val="32"/>
          <w:szCs w:val="32"/>
        </w:rPr>
        <w:t>2024年度国有资本经营预算财政拨款支出0万元，占本年支出合计的0%。与2023年度相比，国有资本经营预算财政拨款支出无变化</w:t>
      </w:r>
      <w:r>
        <w:rPr>
          <w:rFonts w:hint="eastAsia" w:ascii="仿宋_GB2312" w:eastAsia="仿宋_GB2312"/>
          <w:b w:val="0"/>
          <w:bCs/>
          <w:sz w:val="32"/>
          <w:szCs w:val="32"/>
          <w:lang w:eastAsia="zh-CN"/>
        </w:rPr>
        <w:t>。</w:t>
      </w:r>
    </w:p>
    <w:p>
      <w:pPr>
        <w:numPr>
          <w:ilvl w:val="0"/>
          <w:numId w:val="1"/>
        </w:numPr>
        <w:spacing w:line="600" w:lineRule="exact"/>
        <w:ind w:firstLine="640"/>
        <w:outlineLvl w:val="1"/>
        <w:rPr>
          <w:rStyle w:val="33"/>
          <w:rFonts w:ascii="黑体" w:hAnsi="黑体" w:eastAsia="黑体"/>
          <w:b w:val="0"/>
        </w:rPr>
      </w:pPr>
      <w:bookmarkStart w:id="62" w:name="_Toc15377221"/>
      <w:bookmarkStart w:id="63" w:name="_Toc15396612"/>
      <w:bookmarkStart w:id="64" w:name="_Toc14887"/>
      <w:r>
        <w:rPr>
          <w:rStyle w:val="33"/>
          <w:rFonts w:hint="eastAsia" w:ascii="黑体" w:hAnsi="黑体" w:eastAsia="黑体"/>
          <w:b w:val="0"/>
        </w:rPr>
        <w:t>其他重要事项的情况说明</w:t>
      </w:r>
      <w:bookmarkEnd w:id="62"/>
      <w:bookmarkEnd w:id="63"/>
      <w:bookmarkEnd w:id="64"/>
    </w:p>
    <w:p>
      <w:pPr>
        <w:spacing w:line="600" w:lineRule="exact"/>
        <w:ind w:firstLine="640" w:firstLineChars="200"/>
        <w:outlineLvl w:val="2"/>
        <w:rPr>
          <w:rFonts w:hint="eastAsia" w:ascii="仿宋_GB2312" w:hAnsi="仿宋_GB2312" w:eastAsia="仿宋_GB2312" w:cs="仿宋_GB2312"/>
          <w:sz w:val="32"/>
          <w:szCs w:val="32"/>
        </w:rPr>
      </w:pPr>
      <w:bookmarkStart w:id="65" w:name="_Toc15377222"/>
      <w:r>
        <w:rPr>
          <w:rFonts w:hint="eastAsia" w:ascii="仿宋_GB2312" w:hAnsi="仿宋_GB2312" w:eastAsia="仿宋_GB2312" w:cs="仿宋_GB2312"/>
          <w:color w:val="auto"/>
          <w:sz w:val="32"/>
          <w:szCs w:val="32"/>
        </w:rPr>
        <w:t>（一）</w:t>
      </w:r>
      <w:r>
        <w:rPr>
          <w:rFonts w:hint="eastAsia" w:ascii="仿宋_GB2312" w:hAnsi="仿宋_GB2312" w:eastAsia="仿宋_GB2312" w:cs="仿宋_GB2312"/>
          <w:sz w:val="32"/>
          <w:szCs w:val="32"/>
        </w:rPr>
        <w:t>机关运行经费支出情况</w:t>
      </w:r>
      <w:bookmarkEnd w:id="65"/>
    </w:p>
    <w:p>
      <w:pPr>
        <w:spacing w:line="60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4</w:t>
      </w:r>
      <w:r>
        <w:rPr>
          <w:rFonts w:hint="eastAsia" w:ascii="仿宋_GB2312" w:eastAsia="仿宋_GB2312"/>
          <w:sz w:val="32"/>
          <w:szCs w:val="32"/>
        </w:rPr>
        <w:t>年</w:t>
      </w:r>
      <w:r>
        <w:rPr>
          <w:rFonts w:hint="eastAsia" w:ascii="仿宋_GB2312" w:eastAsia="仿宋_GB2312"/>
          <w:sz w:val="32"/>
          <w:szCs w:val="32"/>
          <w:lang w:eastAsia="zh-CN"/>
        </w:rPr>
        <w:t>度</w:t>
      </w:r>
      <w:r>
        <w:rPr>
          <w:rFonts w:hint="eastAsia" w:ascii="仿宋_GB2312" w:eastAsia="仿宋_GB2312"/>
          <w:sz w:val="32"/>
          <w:szCs w:val="32"/>
        </w:rPr>
        <w:t>，</w:t>
      </w:r>
      <w:r>
        <w:rPr>
          <w:rFonts w:hint="eastAsia" w:ascii="仿宋_GB2312" w:eastAsia="仿宋_GB2312"/>
          <w:sz w:val="32"/>
          <w:szCs w:val="32"/>
          <w:lang w:val="en-US" w:eastAsia="zh-CN"/>
        </w:rPr>
        <w:t>峨眉山市财政局</w:t>
      </w:r>
      <w:r>
        <w:rPr>
          <w:rFonts w:hint="eastAsia" w:ascii="仿宋_GB2312" w:eastAsia="仿宋_GB2312"/>
          <w:sz w:val="32"/>
          <w:szCs w:val="32"/>
        </w:rPr>
        <w:t>机关运行经费支出</w:t>
      </w:r>
      <w:r>
        <w:rPr>
          <w:rFonts w:hint="eastAsia" w:ascii="仿宋_GB2312" w:eastAsia="仿宋_GB2312"/>
          <w:sz w:val="32"/>
          <w:szCs w:val="32"/>
          <w:lang w:val="en-US" w:eastAsia="zh-CN"/>
        </w:rPr>
        <w:t>308.15</w:t>
      </w:r>
      <w:r>
        <w:rPr>
          <w:rFonts w:hint="eastAsia" w:ascii="仿宋_GB2312" w:eastAsia="仿宋_GB2312"/>
          <w:sz w:val="32"/>
          <w:szCs w:val="32"/>
        </w:rPr>
        <w:t>万元，比</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3</w:t>
      </w:r>
      <w:r>
        <w:rPr>
          <w:rFonts w:hint="eastAsia" w:ascii="仿宋_GB2312" w:eastAsia="仿宋_GB2312"/>
          <w:sz w:val="32"/>
          <w:szCs w:val="32"/>
        </w:rPr>
        <w:t>年</w:t>
      </w:r>
      <w:r>
        <w:rPr>
          <w:rFonts w:hint="eastAsia" w:ascii="仿宋_GB2312" w:eastAsia="仿宋_GB2312"/>
          <w:sz w:val="32"/>
          <w:szCs w:val="32"/>
          <w:lang w:eastAsia="zh-CN"/>
        </w:rPr>
        <w:t>度增加</w:t>
      </w:r>
      <w:r>
        <w:rPr>
          <w:rFonts w:hint="eastAsia" w:ascii="仿宋_GB2312" w:eastAsia="仿宋_GB2312"/>
          <w:sz w:val="32"/>
          <w:szCs w:val="32"/>
          <w:lang w:val="en-US" w:eastAsia="zh-CN"/>
        </w:rPr>
        <w:t>119.99</w:t>
      </w:r>
      <w:r>
        <w:rPr>
          <w:rFonts w:hint="eastAsia" w:ascii="仿宋_GB2312" w:eastAsia="仿宋_GB2312"/>
          <w:sz w:val="32"/>
          <w:szCs w:val="32"/>
        </w:rPr>
        <w:t>万元，</w:t>
      </w:r>
      <w:r>
        <w:rPr>
          <w:rFonts w:hint="eastAsia" w:ascii="仿宋_GB2312" w:eastAsia="仿宋_GB2312"/>
          <w:sz w:val="32"/>
          <w:szCs w:val="32"/>
          <w:lang w:eastAsia="zh-CN"/>
        </w:rPr>
        <w:t>增长</w:t>
      </w:r>
      <w:r>
        <w:rPr>
          <w:rFonts w:hint="eastAsia" w:ascii="仿宋_GB2312" w:eastAsia="仿宋_GB2312"/>
          <w:sz w:val="32"/>
          <w:szCs w:val="32"/>
          <w:lang w:val="en-US" w:eastAsia="zh-CN"/>
        </w:rPr>
        <w:t>63.77</w:t>
      </w:r>
      <w:r>
        <w:rPr>
          <w:rFonts w:ascii="仿宋_GB2312" w:eastAsia="仿宋_GB2312"/>
          <w:sz w:val="32"/>
          <w:szCs w:val="32"/>
        </w:rPr>
        <w:t>%</w:t>
      </w:r>
      <w:r>
        <w:rPr>
          <w:rFonts w:hint="eastAsia" w:ascii="仿宋_GB2312" w:eastAsia="仿宋_GB2312"/>
          <w:sz w:val="32"/>
          <w:szCs w:val="32"/>
          <w:lang w:eastAsia="zh-CN"/>
        </w:rPr>
        <w:t>。</w:t>
      </w:r>
      <w:r>
        <w:rPr>
          <w:rFonts w:hint="eastAsia" w:ascii="仿宋_GB2312" w:eastAsia="仿宋_GB2312"/>
          <w:sz w:val="32"/>
          <w:szCs w:val="32"/>
        </w:rPr>
        <w:t>主要原因是</w:t>
      </w:r>
      <w:r>
        <w:rPr>
          <w:rFonts w:hint="eastAsia" w:ascii="仿宋_GB2312" w:eastAsia="仿宋_GB2312"/>
          <w:sz w:val="32"/>
          <w:szCs w:val="32"/>
          <w:lang w:eastAsia="zh-CN"/>
        </w:rPr>
        <w:t>根据工作业务需要，据实支付</w:t>
      </w:r>
      <w:r>
        <w:rPr>
          <w:rFonts w:hint="eastAsia" w:ascii="仿宋_GB2312" w:eastAsia="仿宋_GB2312"/>
          <w:sz w:val="32"/>
          <w:szCs w:val="32"/>
        </w:rPr>
        <w:t>。</w:t>
      </w:r>
    </w:p>
    <w:p>
      <w:pPr>
        <w:spacing w:line="600" w:lineRule="exact"/>
        <w:ind w:firstLine="640" w:firstLineChars="200"/>
        <w:outlineLvl w:val="2"/>
        <w:rPr>
          <w:rFonts w:hint="eastAsia" w:ascii="仿宋_GB2312" w:hAnsi="仿宋_GB2312" w:eastAsia="仿宋_GB2312" w:cs="仿宋_GB2312"/>
          <w:sz w:val="32"/>
          <w:szCs w:val="32"/>
        </w:rPr>
      </w:pPr>
      <w:bookmarkStart w:id="66" w:name="_Toc15377223"/>
      <w:r>
        <w:rPr>
          <w:rFonts w:hint="eastAsia" w:ascii="仿宋_GB2312" w:hAnsi="仿宋_GB2312" w:eastAsia="仿宋_GB2312" w:cs="仿宋_GB2312"/>
          <w:sz w:val="32"/>
          <w:szCs w:val="32"/>
        </w:rPr>
        <w:t>（二）政府采购支出情况</w:t>
      </w:r>
      <w:bookmarkEnd w:id="66"/>
    </w:p>
    <w:p>
      <w:pPr>
        <w:spacing w:line="60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4</w:t>
      </w:r>
      <w:r>
        <w:rPr>
          <w:rFonts w:hint="eastAsia" w:ascii="仿宋_GB2312" w:eastAsia="仿宋_GB2312"/>
          <w:sz w:val="32"/>
          <w:szCs w:val="32"/>
        </w:rPr>
        <w:t>年</w:t>
      </w:r>
      <w:r>
        <w:rPr>
          <w:rFonts w:hint="eastAsia" w:ascii="仿宋_GB2312" w:eastAsia="仿宋_GB2312"/>
          <w:sz w:val="32"/>
          <w:szCs w:val="32"/>
          <w:lang w:eastAsia="zh-CN"/>
        </w:rPr>
        <w:t>度</w:t>
      </w:r>
      <w:r>
        <w:rPr>
          <w:rFonts w:hint="eastAsia" w:ascii="仿宋_GB2312" w:eastAsia="仿宋_GB2312"/>
          <w:sz w:val="32"/>
          <w:szCs w:val="32"/>
        </w:rPr>
        <w:t>，</w:t>
      </w:r>
      <w:r>
        <w:rPr>
          <w:rFonts w:hint="eastAsia" w:ascii="仿宋_GB2312" w:eastAsia="仿宋_GB2312"/>
          <w:sz w:val="32"/>
          <w:szCs w:val="32"/>
          <w:lang w:val="en-US" w:eastAsia="zh-CN"/>
        </w:rPr>
        <w:t>峨眉山市财政局</w:t>
      </w:r>
      <w:r>
        <w:rPr>
          <w:rFonts w:hint="eastAsia" w:ascii="仿宋_GB2312" w:eastAsia="仿宋_GB2312"/>
          <w:sz w:val="32"/>
          <w:szCs w:val="32"/>
        </w:rPr>
        <w:t>政府采购支出总额</w:t>
      </w:r>
      <w:r>
        <w:rPr>
          <w:rFonts w:hint="eastAsia" w:ascii="仿宋_GB2312" w:eastAsia="仿宋_GB2312"/>
          <w:sz w:val="32"/>
          <w:szCs w:val="32"/>
          <w:lang w:val="en-US" w:eastAsia="zh-CN"/>
        </w:rPr>
        <w:t>8.86</w:t>
      </w:r>
      <w:r>
        <w:rPr>
          <w:rFonts w:hint="eastAsia" w:ascii="仿宋_GB2312" w:eastAsia="仿宋_GB2312"/>
          <w:sz w:val="32"/>
          <w:szCs w:val="32"/>
        </w:rPr>
        <w:t>万元，其中：政府采购货物支出</w:t>
      </w:r>
      <w:r>
        <w:rPr>
          <w:rFonts w:hint="eastAsia" w:ascii="仿宋_GB2312" w:eastAsia="仿宋_GB2312"/>
          <w:sz w:val="32"/>
          <w:szCs w:val="32"/>
          <w:lang w:val="en-US" w:eastAsia="zh-CN"/>
        </w:rPr>
        <w:t>1.69</w:t>
      </w:r>
      <w:r>
        <w:rPr>
          <w:rFonts w:hint="eastAsia" w:ascii="仿宋_GB2312" w:eastAsia="仿宋_GB2312"/>
          <w:sz w:val="32"/>
          <w:szCs w:val="32"/>
        </w:rPr>
        <w:t>万元、政府采购工程支出</w:t>
      </w:r>
      <w:r>
        <w:rPr>
          <w:rFonts w:hint="eastAsia" w:ascii="仿宋_GB2312" w:eastAsia="仿宋_GB2312"/>
          <w:sz w:val="32"/>
          <w:szCs w:val="32"/>
          <w:lang w:val="en-US" w:eastAsia="zh-CN"/>
        </w:rPr>
        <w:t>0</w:t>
      </w:r>
      <w:r>
        <w:rPr>
          <w:rFonts w:hint="eastAsia" w:ascii="仿宋_GB2312" w:eastAsia="仿宋_GB2312"/>
          <w:sz w:val="32"/>
          <w:szCs w:val="32"/>
        </w:rPr>
        <w:t>万元、政府采购服务支出</w:t>
      </w:r>
      <w:r>
        <w:rPr>
          <w:rFonts w:hint="eastAsia" w:ascii="仿宋_GB2312" w:eastAsia="仿宋_GB2312"/>
          <w:sz w:val="32"/>
          <w:szCs w:val="32"/>
          <w:lang w:val="en-US" w:eastAsia="zh-CN"/>
        </w:rPr>
        <w:t>7.17</w:t>
      </w:r>
      <w:r>
        <w:rPr>
          <w:rFonts w:hint="eastAsia" w:ascii="仿宋_GB2312" w:eastAsia="仿宋_GB2312"/>
          <w:sz w:val="32"/>
          <w:szCs w:val="32"/>
        </w:rPr>
        <w:t>万元。主要用于</w:t>
      </w:r>
      <w:r>
        <w:rPr>
          <w:rFonts w:hint="eastAsia" w:ascii="仿宋_GB2312" w:eastAsia="仿宋_GB2312"/>
          <w:sz w:val="32"/>
          <w:szCs w:val="32"/>
          <w:lang w:eastAsia="zh-CN"/>
        </w:rPr>
        <w:t>公车维修、购买车辆保险、车辆加油、办公设备采购等</w:t>
      </w:r>
      <w:r>
        <w:rPr>
          <w:rFonts w:hint="eastAsia" w:ascii="仿宋_GB2312" w:eastAsia="仿宋_GB2312"/>
          <w:sz w:val="32"/>
          <w:szCs w:val="32"/>
        </w:rPr>
        <w:t>。授予中小企业合同金额</w:t>
      </w:r>
      <w:r>
        <w:rPr>
          <w:rFonts w:hint="eastAsia" w:ascii="仿宋_GB2312" w:eastAsia="仿宋_GB2312"/>
          <w:sz w:val="32"/>
          <w:szCs w:val="32"/>
          <w:lang w:val="en-US" w:eastAsia="zh-CN"/>
        </w:rPr>
        <w:t>2.79</w:t>
      </w:r>
      <w:r>
        <w:rPr>
          <w:rFonts w:hint="eastAsia" w:ascii="仿宋_GB2312" w:eastAsia="仿宋_GB2312"/>
          <w:sz w:val="32"/>
          <w:szCs w:val="32"/>
        </w:rPr>
        <w:t>万元，占政府采购支出总额的</w:t>
      </w:r>
      <w:r>
        <w:rPr>
          <w:rFonts w:hint="eastAsia" w:ascii="仿宋_GB2312" w:eastAsia="仿宋_GB2312"/>
          <w:sz w:val="32"/>
          <w:szCs w:val="32"/>
          <w:lang w:val="en-US" w:eastAsia="zh-CN"/>
        </w:rPr>
        <w:t>31.49</w:t>
      </w:r>
      <w:r>
        <w:rPr>
          <w:rFonts w:ascii="仿宋_GB2312" w:eastAsia="仿宋_GB2312"/>
          <w:sz w:val="32"/>
          <w:szCs w:val="32"/>
        </w:rPr>
        <w:t>%</w:t>
      </w:r>
      <w:r>
        <w:rPr>
          <w:rFonts w:hint="eastAsia" w:ascii="仿宋_GB2312" w:eastAsia="仿宋_GB2312"/>
          <w:sz w:val="32"/>
          <w:szCs w:val="32"/>
        </w:rPr>
        <w:t>，其中：授予小微企业合同金额</w:t>
      </w:r>
      <w:r>
        <w:rPr>
          <w:rFonts w:hint="eastAsia" w:ascii="仿宋_GB2312" w:eastAsia="仿宋_GB2312"/>
          <w:sz w:val="32"/>
          <w:szCs w:val="32"/>
          <w:lang w:val="en-US" w:eastAsia="zh-CN"/>
        </w:rPr>
        <w:t>2.79</w:t>
      </w:r>
      <w:r>
        <w:rPr>
          <w:rFonts w:hint="eastAsia" w:ascii="仿宋_GB2312" w:eastAsia="仿宋_GB2312"/>
          <w:sz w:val="32"/>
          <w:szCs w:val="32"/>
        </w:rPr>
        <w:t>万元，占政府采购支出总额的</w:t>
      </w:r>
      <w:r>
        <w:rPr>
          <w:rFonts w:hint="eastAsia" w:ascii="仿宋_GB2312" w:eastAsia="仿宋_GB2312"/>
          <w:sz w:val="32"/>
          <w:szCs w:val="32"/>
          <w:lang w:val="en-US" w:eastAsia="zh-CN"/>
        </w:rPr>
        <w:t>31.49</w:t>
      </w:r>
      <w:r>
        <w:rPr>
          <w:rFonts w:ascii="仿宋_GB2312" w:eastAsia="仿宋_GB2312"/>
          <w:sz w:val="32"/>
          <w:szCs w:val="32"/>
        </w:rPr>
        <w:t>%</w:t>
      </w:r>
      <w:r>
        <w:rPr>
          <w:rFonts w:hint="eastAsia" w:ascii="仿宋_GB2312" w:eastAsia="仿宋_GB2312"/>
          <w:sz w:val="32"/>
          <w:szCs w:val="32"/>
        </w:rPr>
        <w:t>。</w:t>
      </w:r>
    </w:p>
    <w:p>
      <w:pPr>
        <w:spacing w:line="600" w:lineRule="exact"/>
        <w:ind w:firstLine="640" w:firstLineChars="200"/>
        <w:outlineLvl w:val="2"/>
        <w:rPr>
          <w:rFonts w:hint="eastAsia" w:ascii="仿宋_GB2312" w:hAnsi="仿宋_GB2312" w:eastAsia="仿宋_GB2312" w:cs="仿宋_GB2312"/>
          <w:sz w:val="32"/>
          <w:szCs w:val="32"/>
        </w:rPr>
      </w:pPr>
      <w:bookmarkStart w:id="67" w:name="_Toc15377224"/>
      <w:r>
        <w:rPr>
          <w:rFonts w:hint="eastAsia" w:ascii="仿宋_GB2312" w:hAnsi="仿宋_GB2312" w:eastAsia="仿宋_GB2312" w:cs="仿宋_GB2312"/>
          <w:sz w:val="32"/>
          <w:szCs w:val="32"/>
        </w:rPr>
        <w:t>（三）国有资产占有使用情况</w:t>
      </w:r>
      <w:bookmarkEnd w:id="67"/>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截至202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年12月31日，</w:t>
      </w:r>
      <w:r>
        <w:rPr>
          <w:rFonts w:hint="eastAsia" w:ascii="仿宋_GB2312" w:hAnsi="仿宋_GB2312" w:eastAsia="仿宋_GB2312" w:cs="仿宋_GB2312"/>
          <w:sz w:val="32"/>
          <w:szCs w:val="32"/>
          <w:lang w:val="en-US" w:eastAsia="zh-CN"/>
        </w:rPr>
        <w:t>峨眉山市财政局</w:t>
      </w:r>
      <w:r>
        <w:rPr>
          <w:rFonts w:hint="eastAsia" w:ascii="仿宋_GB2312" w:hAnsi="仿宋_GB2312" w:eastAsia="仿宋_GB2312" w:cs="仿宋_GB2312"/>
          <w:sz w:val="32"/>
          <w:szCs w:val="32"/>
        </w:rPr>
        <w:t>共有车辆</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辆，其中：主要领导干部用车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辆、机要通信用车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辆、应急保障用车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辆、其他用车</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辆，其他用车主要是用于</w:t>
      </w:r>
      <w:r>
        <w:rPr>
          <w:rFonts w:hint="eastAsia" w:ascii="仿宋_GB2312" w:hAnsi="仿宋_GB2312" w:eastAsia="仿宋_GB2312" w:cs="仿宋_GB2312"/>
          <w:sz w:val="32"/>
          <w:szCs w:val="32"/>
          <w:lang w:val="en-US" w:eastAsia="zh-CN"/>
        </w:rPr>
        <w:t>满足平时工作开展需要</w:t>
      </w:r>
      <w:r>
        <w:rPr>
          <w:rFonts w:hint="eastAsia" w:ascii="仿宋_GB2312" w:hAnsi="仿宋_GB2312" w:eastAsia="仿宋_GB2312" w:cs="仿宋_GB2312"/>
          <w:sz w:val="32"/>
          <w:szCs w:val="32"/>
        </w:rPr>
        <w:t>。</w:t>
      </w:r>
      <w:r>
        <w:rPr>
          <w:rFonts w:hint="eastAsia" w:ascii="仿宋_GB2312" w:eastAsia="仿宋_GB2312"/>
          <w:sz w:val="32"/>
          <w:szCs w:val="32"/>
        </w:rPr>
        <w:t>单价</w:t>
      </w:r>
      <w:r>
        <w:rPr>
          <w:rFonts w:ascii="仿宋_GB2312" w:eastAsia="仿宋_GB2312"/>
          <w:sz w:val="32"/>
          <w:szCs w:val="32"/>
        </w:rPr>
        <w:t>100</w:t>
      </w:r>
      <w:r>
        <w:rPr>
          <w:rFonts w:hint="eastAsia" w:ascii="仿宋_GB2312" w:eastAsia="仿宋_GB2312"/>
          <w:sz w:val="32"/>
          <w:szCs w:val="32"/>
        </w:rPr>
        <w:t>万元以上设备（不含车辆）</w:t>
      </w:r>
      <w:r>
        <w:rPr>
          <w:rFonts w:hint="eastAsia" w:ascii="仿宋_GB2312" w:eastAsia="仿宋_GB2312"/>
          <w:sz w:val="32"/>
          <w:szCs w:val="32"/>
          <w:lang w:val="en-US" w:eastAsia="zh-CN"/>
        </w:rPr>
        <w:t>1</w:t>
      </w:r>
      <w:r>
        <w:rPr>
          <w:rFonts w:hint="eastAsia" w:ascii="仿宋_GB2312" w:eastAsia="仿宋_GB2312"/>
          <w:sz w:val="32"/>
          <w:szCs w:val="32"/>
        </w:rPr>
        <w:t>套。</w:t>
      </w:r>
    </w:p>
    <w:p>
      <w:pPr>
        <w:spacing w:line="600" w:lineRule="exact"/>
        <w:ind w:firstLine="640" w:firstLineChars="200"/>
        <w:outlineLvl w:val="2"/>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（四）预算绩效管理情况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Times New Roman" w:eastAsia="仿宋_GB2312"/>
          <w:sz w:val="32"/>
          <w:szCs w:val="32"/>
        </w:rPr>
      </w:pPr>
      <w:r>
        <w:rPr>
          <w:rFonts w:hint="eastAsia" w:ascii="仿宋_GB2312" w:hAnsi="Times New Roman" w:eastAsia="仿宋_GB2312"/>
          <w:sz w:val="32"/>
          <w:szCs w:val="32"/>
        </w:rPr>
        <w:t>根据预算绩效管理要求，本部门在</w:t>
      </w:r>
      <w:r>
        <w:rPr>
          <w:rFonts w:hint="eastAsia" w:ascii="仿宋_GB2312" w:eastAsia="仿宋_GB2312"/>
          <w:sz w:val="32"/>
          <w:szCs w:val="32"/>
          <w:lang w:val="en-US" w:eastAsia="zh-CN"/>
        </w:rPr>
        <w:t>2024</w:t>
      </w:r>
      <w:r>
        <w:rPr>
          <w:rFonts w:hint="eastAsia" w:ascii="仿宋_GB2312" w:hAnsi="Times New Roman" w:eastAsia="仿宋_GB2312"/>
          <w:sz w:val="32"/>
          <w:szCs w:val="32"/>
        </w:rPr>
        <w:t>年度预算编制阶段，组织对会服中心代理记账业务费等</w:t>
      </w:r>
      <w:r>
        <w:rPr>
          <w:rFonts w:hint="eastAsia" w:ascii="仿宋_GB2312" w:eastAsia="仿宋_GB2312"/>
          <w:sz w:val="32"/>
          <w:szCs w:val="32"/>
          <w:lang w:val="en-US" w:eastAsia="zh-CN"/>
        </w:rPr>
        <w:t>1</w:t>
      </w:r>
      <w:r>
        <w:rPr>
          <w:rFonts w:hint="eastAsia" w:ascii="仿宋_GB2312" w:hAnsi="Times New Roman" w:eastAsia="仿宋_GB2312"/>
          <w:sz w:val="32"/>
          <w:szCs w:val="32"/>
        </w:rPr>
        <w:t>个项目开展了预算事前绩效评估，对财政金财网信息化建设及运维等经费、全市执法执勤车车辆GPS服务等费用等</w:t>
      </w:r>
      <w:r>
        <w:rPr>
          <w:rFonts w:hint="eastAsia" w:ascii="仿宋_GB2312" w:eastAsia="仿宋_GB2312"/>
          <w:sz w:val="32"/>
          <w:szCs w:val="32"/>
          <w:lang w:val="en-US" w:eastAsia="zh-CN"/>
        </w:rPr>
        <w:t>13</w:t>
      </w:r>
      <w:r>
        <w:rPr>
          <w:rFonts w:hint="eastAsia" w:ascii="仿宋_GB2312" w:hAnsi="Times New Roman" w:eastAsia="仿宋_GB2312"/>
          <w:sz w:val="32"/>
          <w:szCs w:val="32"/>
        </w:rPr>
        <w:t>个项目编制了绩效目标，预算执行过程中，选取</w:t>
      </w:r>
      <w:r>
        <w:rPr>
          <w:rFonts w:hint="eastAsia" w:ascii="仿宋_GB2312" w:eastAsia="仿宋_GB2312"/>
          <w:sz w:val="32"/>
          <w:szCs w:val="32"/>
          <w:lang w:val="en-US" w:eastAsia="zh-CN"/>
        </w:rPr>
        <w:t>12</w:t>
      </w:r>
      <w:r>
        <w:rPr>
          <w:rFonts w:hint="eastAsia" w:ascii="仿宋_GB2312" w:hAnsi="Times New Roman" w:eastAsia="仿宋_GB2312"/>
          <w:sz w:val="32"/>
          <w:szCs w:val="32"/>
        </w:rPr>
        <w:t>个项目开展绩效监控。</w:t>
      </w:r>
    </w:p>
    <w:p>
      <w:pPr>
        <w:keepNext w:val="0"/>
        <w:keepLines w:val="0"/>
        <w:pageBreakBefore w:val="0"/>
        <w:widowControl/>
        <w:kinsoku/>
        <w:wordWrap/>
        <w:overflowPunct/>
        <w:topLinePunct w:val="0"/>
        <w:autoSpaceDE/>
        <w:autoSpaceDN/>
        <w:bidi w:val="0"/>
        <w:adjustRightInd w:val="0"/>
        <w:snapToGrid w:val="0"/>
        <w:spacing w:line="600" w:lineRule="exact"/>
        <w:ind w:firstLine="72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组织对202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年度一般公共预算、政府性基金预算、国有资本经营预算、社会保险基金预算以及资本资产、债券资金等全面开展绩效自评，形成</w:t>
      </w:r>
      <w:r>
        <w:rPr>
          <w:rFonts w:hint="eastAsia" w:ascii="仿宋_GB2312" w:hAnsi="仿宋_GB2312" w:eastAsia="仿宋_GB2312" w:cs="仿宋_GB2312"/>
          <w:sz w:val="32"/>
          <w:szCs w:val="32"/>
          <w:lang w:val="en-US" w:eastAsia="zh-CN"/>
        </w:rPr>
        <w:t>峨眉山市财政局</w:t>
      </w:r>
      <w:r>
        <w:rPr>
          <w:rFonts w:hint="eastAsia" w:ascii="仿宋_GB2312" w:hAnsi="仿宋_GB2312" w:eastAsia="仿宋_GB2312" w:cs="仿宋_GB2312"/>
          <w:sz w:val="32"/>
          <w:szCs w:val="32"/>
        </w:rPr>
        <w:t>部门整体（含部门预算项目）绩效自评报告</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rPr>
        <w:t>其中，</w:t>
      </w:r>
      <w:r>
        <w:rPr>
          <w:rFonts w:hint="eastAsia" w:ascii="仿宋_GB2312" w:hAnsi="仿宋_GB2312" w:eastAsia="仿宋_GB2312" w:cs="仿宋_GB2312"/>
          <w:sz w:val="32"/>
          <w:szCs w:val="32"/>
          <w:lang w:val="en-US" w:eastAsia="zh-CN"/>
        </w:rPr>
        <w:t>峨眉山市财政局</w:t>
      </w:r>
      <w:r>
        <w:rPr>
          <w:rFonts w:hint="eastAsia" w:ascii="仿宋_GB2312" w:hAnsi="仿宋_GB2312" w:eastAsia="仿宋_GB2312" w:cs="仿宋_GB2312"/>
          <w:sz w:val="32"/>
          <w:szCs w:val="32"/>
        </w:rPr>
        <w:t>部门整体（含部门预算项目）绩效自评得分为</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分，绩效自评综述：</w:t>
      </w:r>
      <w:r>
        <w:rPr>
          <w:rFonts w:hint="eastAsia" w:ascii="仿宋_GB2312" w:hAnsi="Calibri" w:eastAsia="仿宋_GB2312" w:cs="仿宋"/>
          <w:color w:val="000000"/>
          <w:kern w:val="0"/>
          <w:sz w:val="32"/>
          <w:szCs w:val="32"/>
          <w:lang w:val="zh-CN" w:eastAsia="zh-CN" w:bidi="ar-SA"/>
        </w:rPr>
        <w:t>优，</w:t>
      </w:r>
      <w:r>
        <w:rPr>
          <w:rFonts w:hint="eastAsia" w:ascii="仿宋_GB2312" w:hAnsi="Calibri" w:eastAsia="仿宋_GB2312" w:cs="仿宋"/>
          <w:color w:val="000000"/>
          <w:kern w:val="0"/>
          <w:sz w:val="32"/>
          <w:szCs w:val="32"/>
          <w:lang w:val="en-US" w:eastAsia="zh-CN" w:bidi="ar-SA"/>
        </w:rPr>
        <w:t>100</w:t>
      </w:r>
      <w:r>
        <w:rPr>
          <w:rFonts w:hint="eastAsia" w:ascii="仿宋_GB2312" w:hAnsi="Calibri" w:eastAsia="仿宋_GB2312" w:cs="仿宋"/>
          <w:color w:val="000000"/>
          <w:kern w:val="0"/>
          <w:sz w:val="32"/>
          <w:szCs w:val="32"/>
          <w:lang w:val="zh-CN" w:eastAsia="zh-CN" w:bidi="ar-SA"/>
        </w:rPr>
        <w:t>分。预算管理25分，其中：预算编制质量6分、非税收入4分、政府购买服务政策执行2分、支出执行情况4分、预算分配进度4分、严控一般性支出5分；财务管理6分，其中：财务岗位设置2分、财务管理规范4分；资产管理8分，其中：资产利用率2分、账账相符2分、资产管理规范4分；采购管理6分，其中：支持中小企业发展2分、采购管理规范4分；项目决策12分，其中：决策程序4分、目标设置4分、项目入库4分；项目执行12分，其中：执行同向4分、项目调整4分、执行结果4分；目标实现11分，其中：目标完成4分、目标偏离4分、实现效果3分；内控管理5分，履职效能15分。本部门无专项预算项目。</w:t>
      </w:r>
      <w:r>
        <w:rPr>
          <w:rFonts w:hint="eastAsia" w:ascii="仿宋_GB2312" w:hAnsi="仿宋_GB2312" w:eastAsia="仿宋_GB2312" w:cs="仿宋_GB2312"/>
          <w:sz w:val="32"/>
          <w:szCs w:val="32"/>
        </w:rPr>
        <w:t>绩效自评报告详见附件</w:t>
      </w:r>
      <w:r>
        <w:rPr>
          <w:rFonts w:hint="eastAsia" w:ascii="仿宋_GB2312" w:hAnsi="仿宋_GB2312" w:eastAsia="仿宋_GB2312" w:cs="仿宋_GB2312"/>
          <w:sz w:val="32"/>
          <w:szCs w:val="32"/>
          <w:lang w:eastAsia="zh-CN"/>
        </w:rPr>
        <w:t>。</w:t>
      </w:r>
    </w:p>
    <w:p>
      <w:pPr>
        <w:widowControl/>
        <w:adjustRightInd w:val="0"/>
        <w:snapToGrid w:val="0"/>
        <w:spacing w:line="578" w:lineRule="exact"/>
        <w:contextualSpacing/>
        <w:jc w:val="center"/>
        <w:outlineLvl w:val="0"/>
        <w:rPr>
          <w:rFonts w:hint="eastAsia" w:ascii="黑体" w:hAnsi="黑体" w:eastAsia="黑体"/>
          <w:sz w:val="44"/>
          <w:szCs w:val="44"/>
        </w:rPr>
      </w:pPr>
      <w:r>
        <w:rPr>
          <w:rFonts w:ascii="仿宋_GB2312" w:eastAsia="仿宋_GB2312"/>
          <w:b/>
          <w:sz w:val="32"/>
          <w:szCs w:val="32"/>
        </w:rPr>
        <w:br w:type="page"/>
      </w:r>
      <w:bookmarkStart w:id="68" w:name="_Toc26471"/>
      <w:bookmarkStart w:id="69" w:name="_Toc15396613"/>
      <w:bookmarkStart w:id="70" w:name="_Toc15377225"/>
      <w:r>
        <w:rPr>
          <w:rFonts w:hint="eastAsia" w:ascii="方正小标宋_GBK" w:hAnsi="方正小标宋_GBK" w:eastAsia="方正小标宋_GBK" w:cs="方正小标宋_GBK"/>
          <w:sz w:val="36"/>
          <w:szCs w:val="36"/>
          <w:lang w:eastAsia="zh-CN"/>
        </w:rPr>
        <w:t>第三部分</w:t>
      </w:r>
      <w:r>
        <w:rPr>
          <w:rFonts w:hint="eastAsia" w:ascii="方正小标宋_GBK" w:hAnsi="方正小标宋_GBK" w:eastAsia="方正小标宋_GBK" w:cs="方正小标宋_GBK"/>
          <w:sz w:val="36"/>
          <w:szCs w:val="36"/>
          <w:lang w:val="en-US" w:eastAsia="zh-CN"/>
        </w:rPr>
        <w:t xml:space="preserve"> </w:t>
      </w:r>
      <w:r>
        <w:rPr>
          <w:rFonts w:hint="eastAsia" w:ascii="方正小标宋_GBK" w:hAnsi="方正小标宋_GBK" w:eastAsia="方正小标宋_GBK" w:cs="方正小标宋_GBK"/>
          <w:sz w:val="36"/>
          <w:szCs w:val="36"/>
        </w:rPr>
        <w:t>名词解释</w:t>
      </w:r>
      <w:bookmarkEnd w:id="68"/>
      <w:bookmarkEnd w:id="69"/>
      <w:bookmarkEnd w:id="70"/>
    </w:p>
    <w:p>
      <w:pPr>
        <w:spacing w:line="600" w:lineRule="exact"/>
        <w:jc w:val="left"/>
        <w:rPr>
          <w:rFonts w:ascii="宋体"/>
          <w:b/>
          <w:sz w:val="44"/>
          <w:szCs w:val="44"/>
        </w:rPr>
      </w:pPr>
    </w:p>
    <w:p>
      <w:pPr>
        <w:pStyle w:val="30"/>
        <w:keepNext w:val="0"/>
        <w:keepLines w:val="0"/>
        <w:pageBreakBefore w:val="0"/>
        <w:widowControl w:val="0"/>
        <w:kinsoku/>
        <w:wordWrap/>
        <w:overflowPunct/>
        <w:bidi w:val="0"/>
        <w:snapToGrid/>
        <w:spacing w:line="560" w:lineRule="exact"/>
        <w:ind w:firstLine="640" w:firstLineChars="200"/>
        <w:textAlignment w:val="auto"/>
        <w:rPr>
          <w:rFonts w:ascii="仿宋_GB2312" w:eastAsia="仿宋_GB2312"/>
          <w:sz w:val="32"/>
          <w:szCs w:val="32"/>
          <w:highlight w:val="none"/>
        </w:rPr>
      </w:pPr>
      <w:r>
        <w:rPr>
          <w:rFonts w:hint="eastAsia" w:ascii="黑体" w:hAnsi="黑体" w:eastAsia="黑体" w:cs="黑体"/>
          <w:sz w:val="32"/>
          <w:szCs w:val="32"/>
          <w:highlight w:val="none"/>
          <w:lang w:eastAsia="zh-CN"/>
        </w:rPr>
        <w:t>一、</w:t>
      </w:r>
      <w:r>
        <w:rPr>
          <w:rFonts w:hint="eastAsia" w:ascii="黑体" w:hAnsi="黑体" w:eastAsia="黑体" w:cs="黑体"/>
          <w:sz w:val="32"/>
          <w:szCs w:val="32"/>
          <w:highlight w:val="none"/>
        </w:rPr>
        <w:t>财政拨款收入：</w:t>
      </w:r>
      <w:r>
        <w:rPr>
          <w:rFonts w:hint="eastAsia" w:ascii="仿宋_GB2312" w:eastAsia="仿宋_GB2312"/>
          <w:sz w:val="32"/>
          <w:szCs w:val="32"/>
          <w:highlight w:val="none"/>
        </w:rPr>
        <w:t>指单位从同级财政部门取得的财政预算资金。</w:t>
      </w:r>
    </w:p>
    <w:p>
      <w:pPr>
        <w:pStyle w:val="30"/>
        <w:keepNext w:val="0"/>
        <w:keepLines w:val="0"/>
        <w:pageBreakBefore w:val="0"/>
        <w:widowControl w:val="0"/>
        <w:kinsoku/>
        <w:wordWrap/>
        <w:overflowPunct/>
        <w:bidi w:val="0"/>
        <w:snapToGrid/>
        <w:spacing w:line="560" w:lineRule="exact"/>
        <w:ind w:firstLine="640" w:firstLineChars="200"/>
        <w:textAlignment w:val="auto"/>
        <w:rPr>
          <w:rFonts w:ascii="仿宋_GB2312" w:eastAsia="仿宋_GB2312"/>
          <w:sz w:val="32"/>
          <w:szCs w:val="32"/>
          <w:highlight w:val="none"/>
        </w:rPr>
      </w:pPr>
      <w:r>
        <w:rPr>
          <w:rFonts w:hint="eastAsia" w:ascii="黑体" w:hAnsi="黑体" w:eastAsia="黑体" w:cs="黑体"/>
          <w:sz w:val="32"/>
          <w:szCs w:val="32"/>
          <w:highlight w:val="none"/>
          <w:lang w:eastAsia="zh-CN"/>
        </w:rPr>
        <w:t>二、</w:t>
      </w:r>
      <w:r>
        <w:rPr>
          <w:rFonts w:hint="eastAsia" w:ascii="黑体" w:hAnsi="黑体" w:eastAsia="黑体" w:cs="黑体"/>
          <w:sz w:val="32"/>
          <w:szCs w:val="32"/>
          <w:highlight w:val="none"/>
        </w:rPr>
        <w:t>其他收入：</w:t>
      </w:r>
      <w:r>
        <w:rPr>
          <w:rFonts w:hint="eastAsia" w:ascii="仿宋_GB2312" w:eastAsia="仿宋_GB2312"/>
          <w:sz w:val="32"/>
          <w:szCs w:val="32"/>
          <w:highlight w:val="none"/>
        </w:rPr>
        <w:t>指单位取得的除上述收入以外的各项收入。主要是利息收入、国有资产出租收入等。</w:t>
      </w:r>
      <w:r>
        <w:rPr>
          <w:rFonts w:ascii="仿宋_GB2312" w:eastAsia="仿宋_GB2312"/>
          <w:sz w:val="32"/>
          <w:szCs w:val="32"/>
          <w:highlight w:val="none"/>
        </w:rPr>
        <w:t xml:space="preserve"> </w:t>
      </w:r>
    </w:p>
    <w:p>
      <w:pPr>
        <w:pStyle w:val="30"/>
        <w:keepNext w:val="0"/>
        <w:keepLines w:val="0"/>
        <w:pageBreakBefore w:val="0"/>
        <w:widowControl w:val="0"/>
        <w:kinsoku/>
        <w:wordWrap/>
        <w:overflowPunct/>
        <w:bidi w:val="0"/>
        <w:snapToGrid/>
        <w:spacing w:line="560" w:lineRule="exact"/>
        <w:ind w:firstLine="640" w:firstLineChars="200"/>
        <w:textAlignment w:val="auto"/>
        <w:rPr>
          <w:rFonts w:ascii="仿宋_GB2312" w:eastAsia="仿宋_GB2312"/>
          <w:sz w:val="32"/>
          <w:szCs w:val="32"/>
          <w:highlight w:val="none"/>
        </w:rPr>
      </w:pPr>
      <w:r>
        <w:rPr>
          <w:rFonts w:hint="eastAsia" w:ascii="黑体" w:hAnsi="黑体" w:eastAsia="黑体" w:cs="黑体"/>
          <w:sz w:val="32"/>
          <w:szCs w:val="32"/>
          <w:highlight w:val="none"/>
          <w:lang w:val="en-US" w:eastAsia="zh-CN"/>
        </w:rPr>
        <w:t>三、</w:t>
      </w:r>
      <w:r>
        <w:rPr>
          <w:rFonts w:hint="eastAsia" w:ascii="黑体" w:hAnsi="黑体" w:eastAsia="黑体" w:cs="黑体"/>
          <w:sz w:val="32"/>
          <w:szCs w:val="32"/>
          <w:highlight w:val="none"/>
        </w:rPr>
        <w:t>用事业基金弥补收支差额：</w:t>
      </w:r>
      <w:r>
        <w:rPr>
          <w:rFonts w:hint="eastAsia" w:ascii="仿宋_GB2312" w:eastAsia="仿宋_GB2312"/>
          <w:sz w:val="32"/>
          <w:szCs w:val="32"/>
          <w:highlight w:val="none"/>
        </w:rPr>
        <w:t>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ascii="仿宋_GB2312" w:eastAsia="仿宋_GB2312"/>
          <w:sz w:val="32"/>
          <w:szCs w:val="32"/>
          <w:highlight w:val="none"/>
        </w:rPr>
        <w:t xml:space="preserve"> </w:t>
      </w:r>
    </w:p>
    <w:p>
      <w:pPr>
        <w:pStyle w:val="30"/>
        <w:keepNext w:val="0"/>
        <w:keepLines w:val="0"/>
        <w:pageBreakBefore w:val="0"/>
        <w:widowControl w:val="0"/>
        <w:kinsoku/>
        <w:wordWrap/>
        <w:overflowPunct/>
        <w:bidi w:val="0"/>
        <w:snapToGrid/>
        <w:spacing w:line="560" w:lineRule="exact"/>
        <w:ind w:firstLine="640" w:firstLineChars="200"/>
        <w:textAlignment w:val="auto"/>
        <w:rPr>
          <w:rFonts w:ascii="仿宋_GB2312" w:eastAsia="仿宋_GB2312"/>
          <w:sz w:val="32"/>
          <w:szCs w:val="32"/>
          <w:highlight w:val="none"/>
        </w:rPr>
      </w:pPr>
      <w:r>
        <w:rPr>
          <w:rFonts w:hint="eastAsia" w:ascii="黑体" w:hAnsi="黑体" w:eastAsia="黑体" w:cs="黑体"/>
          <w:sz w:val="32"/>
          <w:szCs w:val="32"/>
          <w:highlight w:val="none"/>
          <w:lang w:val="en-US" w:eastAsia="zh-CN"/>
        </w:rPr>
        <w:t>四、</w:t>
      </w:r>
      <w:r>
        <w:rPr>
          <w:rFonts w:hint="eastAsia" w:ascii="黑体" w:hAnsi="黑体" w:eastAsia="黑体" w:cs="黑体"/>
          <w:sz w:val="32"/>
          <w:szCs w:val="32"/>
          <w:highlight w:val="none"/>
        </w:rPr>
        <w:t>年初结转和结余：</w:t>
      </w:r>
      <w:r>
        <w:rPr>
          <w:rFonts w:hint="eastAsia" w:ascii="仿宋_GB2312" w:eastAsia="仿宋_GB2312"/>
          <w:sz w:val="32"/>
          <w:szCs w:val="32"/>
          <w:highlight w:val="none"/>
        </w:rPr>
        <w:t>指以前年度尚未完成、结转到本年按有关规定继续使用的资金。</w:t>
      </w:r>
      <w:r>
        <w:rPr>
          <w:rFonts w:ascii="仿宋_GB2312" w:eastAsia="仿宋_GB2312"/>
          <w:sz w:val="32"/>
          <w:szCs w:val="32"/>
          <w:highlight w:val="none"/>
        </w:rPr>
        <w:t xml:space="preserve"> </w:t>
      </w:r>
    </w:p>
    <w:p>
      <w:pPr>
        <w:pStyle w:val="30"/>
        <w:keepNext w:val="0"/>
        <w:keepLines w:val="0"/>
        <w:pageBreakBefore w:val="0"/>
        <w:widowControl w:val="0"/>
        <w:kinsoku/>
        <w:wordWrap/>
        <w:overflowPunct/>
        <w:bidi w:val="0"/>
        <w:snapToGrid/>
        <w:spacing w:line="560" w:lineRule="exact"/>
        <w:ind w:firstLine="640" w:firstLineChars="200"/>
        <w:textAlignment w:val="auto"/>
        <w:rPr>
          <w:rFonts w:ascii="仿宋_GB2312" w:eastAsia="仿宋_GB2312"/>
          <w:sz w:val="32"/>
          <w:szCs w:val="32"/>
          <w:highlight w:val="none"/>
        </w:rPr>
      </w:pPr>
      <w:r>
        <w:rPr>
          <w:rFonts w:hint="eastAsia" w:ascii="黑体" w:hAnsi="黑体" w:eastAsia="黑体" w:cs="黑体"/>
          <w:sz w:val="32"/>
          <w:szCs w:val="32"/>
          <w:highlight w:val="none"/>
          <w:lang w:val="en-US" w:eastAsia="zh-CN"/>
        </w:rPr>
        <w:t>五、</w:t>
      </w:r>
      <w:r>
        <w:rPr>
          <w:rFonts w:hint="eastAsia" w:ascii="黑体" w:hAnsi="黑体" w:eastAsia="黑体" w:cs="黑体"/>
          <w:sz w:val="32"/>
          <w:szCs w:val="32"/>
          <w:highlight w:val="none"/>
        </w:rPr>
        <w:t>结余分配：</w:t>
      </w:r>
      <w:r>
        <w:rPr>
          <w:rFonts w:hint="eastAsia" w:ascii="仿宋_GB2312" w:eastAsia="仿宋_GB2312"/>
          <w:sz w:val="32"/>
          <w:szCs w:val="32"/>
          <w:highlight w:val="none"/>
        </w:rPr>
        <w:t>指事业单位按照事业单位会计制度的规定从非财政补助结余中分配的事业基金和职工福利基金等。</w:t>
      </w:r>
    </w:p>
    <w:p>
      <w:pPr>
        <w:pStyle w:val="30"/>
        <w:keepNext w:val="0"/>
        <w:keepLines w:val="0"/>
        <w:pageBreakBefore w:val="0"/>
        <w:widowControl w:val="0"/>
        <w:kinsoku/>
        <w:wordWrap/>
        <w:overflowPunct/>
        <w:bidi w:val="0"/>
        <w:snapToGrid/>
        <w:spacing w:line="560" w:lineRule="exact"/>
        <w:ind w:firstLine="640" w:firstLineChars="200"/>
        <w:textAlignment w:val="auto"/>
        <w:rPr>
          <w:rFonts w:ascii="仿宋_GB2312" w:eastAsia="仿宋_GB2312"/>
          <w:sz w:val="32"/>
          <w:szCs w:val="32"/>
          <w:highlight w:val="none"/>
        </w:rPr>
      </w:pPr>
      <w:r>
        <w:rPr>
          <w:rFonts w:hint="eastAsia" w:ascii="黑体" w:hAnsi="黑体" w:eastAsia="黑体" w:cs="黑体"/>
          <w:sz w:val="32"/>
          <w:szCs w:val="32"/>
          <w:highlight w:val="none"/>
          <w:lang w:val="en-US" w:eastAsia="zh-CN"/>
        </w:rPr>
        <w:t>六、</w:t>
      </w:r>
      <w:r>
        <w:rPr>
          <w:rFonts w:hint="eastAsia" w:ascii="黑体" w:hAnsi="黑体" w:eastAsia="黑体" w:cs="黑体"/>
          <w:sz w:val="32"/>
          <w:szCs w:val="32"/>
          <w:highlight w:val="none"/>
        </w:rPr>
        <w:t>年末结转和结余：</w:t>
      </w:r>
      <w:r>
        <w:rPr>
          <w:rFonts w:hint="eastAsia" w:ascii="仿宋_GB2312" w:eastAsia="仿宋_GB2312"/>
          <w:sz w:val="32"/>
          <w:szCs w:val="32"/>
          <w:highlight w:val="none"/>
        </w:rPr>
        <w:t>指单位按有关规定结转到下年或以后年度继续使用的资金。</w:t>
      </w:r>
    </w:p>
    <w:p>
      <w:pPr>
        <w:pStyle w:val="39"/>
        <w:keepNext w:val="0"/>
        <w:keepLines w:val="0"/>
        <w:pageBreakBefore w:val="0"/>
        <w:widowControl w:val="0"/>
        <w:kinsoku/>
        <w:wordWrap/>
        <w:overflowPunct/>
        <w:bidi w:val="0"/>
        <w:snapToGrid/>
        <w:spacing w:line="560" w:lineRule="exact"/>
        <w:ind w:firstLine="640"/>
        <w:textAlignment w:val="auto"/>
        <w:rPr>
          <w:rFonts w:hint="eastAsia"/>
          <w:highlight w:val="none"/>
        </w:rPr>
      </w:pPr>
      <w:r>
        <w:rPr>
          <w:rFonts w:hint="eastAsia" w:ascii="黑体" w:hAnsi="黑体" w:eastAsia="黑体" w:cs="黑体"/>
          <w:highlight w:val="none"/>
          <w:lang w:val="en-US" w:eastAsia="zh-CN"/>
        </w:rPr>
        <w:t>七、</w:t>
      </w:r>
      <w:r>
        <w:rPr>
          <w:rFonts w:hint="eastAsia" w:ascii="黑体" w:hAnsi="黑体" w:eastAsia="黑体" w:cs="黑体"/>
          <w:highlight w:val="none"/>
        </w:rPr>
        <w:t>一般公共服务支出（类）财政事务（款）行政运行（项）：</w:t>
      </w:r>
      <w:r>
        <w:rPr>
          <w:rFonts w:hint="eastAsia"/>
          <w:highlight w:val="none"/>
        </w:rPr>
        <w:t>反映行政单位（包括实行公务员管理的事业单位）的基本支出。</w:t>
      </w:r>
    </w:p>
    <w:p>
      <w:pPr>
        <w:pStyle w:val="39"/>
        <w:keepNext w:val="0"/>
        <w:keepLines w:val="0"/>
        <w:pageBreakBefore w:val="0"/>
        <w:widowControl w:val="0"/>
        <w:kinsoku/>
        <w:wordWrap/>
        <w:overflowPunct/>
        <w:bidi w:val="0"/>
        <w:snapToGrid/>
        <w:spacing w:line="560" w:lineRule="exact"/>
        <w:ind w:firstLine="640"/>
        <w:textAlignment w:val="auto"/>
        <w:rPr>
          <w:rFonts w:hint="eastAsia"/>
          <w:highlight w:val="none"/>
        </w:rPr>
      </w:pPr>
      <w:r>
        <w:rPr>
          <w:rFonts w:hint="eastAsia" w:ascii="黑体" w:hAnsi="黑体" w:eastAsia="黑体" w:cs="黑体"/>
          <w:highlight w:val="none"/>
          <w:lang w:val="en-US" w:eastAsia="zh-CN"/>
        </w:rPr>
        <w:t>八、</w:t>
      </w:r>
      <w:r>
        <w:rPr>
          <w:rFonts w:hint="eastAsia" w:ascii="黑体" w:hAnsi="黑体" w:eastAsia="黑体" w:cs="黑体"/>
          <w:highlight w:val="none"/>
        </w:rPr>
        <w:t>一般公共服务支出（类）财政事务（款）一般行政管理事务（项）：</w:t>
      </w:r>
      <w:r>
        <w:rPr>
          <w:rFonts w:hint="eastAsia"/>
          <w:highlight w:val="none"/>
        </w:rPr>
        <w:t>反映行政单位（包括实行公务员管理的事业单位）未单独设置项级科目的其他项目支出。</w:t>
      </w:r>
    </w:p>
    <w:p>
      <w:pPr>
        <w:pStyle w:val="39"/>
        <w:keepNext w:val="0"/>
        <w:keepLines w:val="0"/>
        <w:pageBreakBefore w:val="0"/>
        <w:widowControl w:val="0"/>
        <w:kinsoku/>
        <w:wordWrap/>
        <w:overflowPunct/>
        <w:bidi w:val="0"/>
        <w:snapToGrid/>
        <w:spacing w:line="560" w:lineRule="exact"/>
        <w:ind w:firstLine="640"/>
        <w:textAlignment w:val="auto"/>
        <w:rPr>
          <w:rFonts w:hint="eastAsia" w:eastAsia="仿宋_GB2312"/>
          <w:highlight w:val="none"/>
          <w:lang w:val="en-US" w:eastAsia="zh-CN"/>
        </w:rPr>
      </w:pPr>
      <w:r>
        <w:rPr>
          <w:rFonts w:hint="eastAsia" w:ascii="黑体" w:hAnsi="黑体" w:eastAsia="黑体" w:cs="黑体"/>
          <w:highlight w:val="none"/>
          <w:lang w:val="en-US" w:eastAsia="zh-CN"/>
        </w:rPr>
        <w:t>九、</w:t>
      </w:r>
      <w:r>
        <w:rPr>
          <w:rFonts w:hint="eastAsia" w:ascii="黑体" w:hAnsi="黑体" w:eastAsia="黑体" w:cs="黑体"/>
          <w:highlight w:val="none"/>
        </w:rPr>
        <w:t>一般公共服务支出（类）财政事务（款）</w:t>
      </w:r>
      <w:r>
        <w:rPr>
          <w:rFonts w:hint="eastAsia" w:ascii="黑体" w:hAnsi="黑体" w:eastAsia="黑体" w:cs="黑体"/>
          <w:highlight w:val="none"/>
          <w:lang w:eastAsia="zh-CN"/>
        </w:rPr>
        <w:t>事业</w:t>
      </w:r>
      <w:r>
        <w:rPr>
          <w:rFonts w:hint="eastAsia" w:ascii="黑体" w:hAnsi="黑体" w:eastAsia="黑体" w:cs="黑体"/>
          <w:highlight w:val="none"/>
        </w:rPr>
        <w:t>运行（项）：</w:t>
      </w:r>
      <w:r>
        <w:rPr>
          <w:rFonts w:hint="eastAsia"/>
          <w:highlight w:val="none"/>
        </w:rPr>
        <w:t>反映</w:t>
      </w:r>
      <w:r>
        <w:rPr>
          <w:rFonts w:hint="eastAsia"/>
          <w:highlight w:val="none"/>
          <w:lang w:eastAsia="zh-CN"/>
        </w:rPr>
        <w:t>事业</w:t>
      </w:r>
      <w:r>
        <w:rPr>
          <w:rFonts w:hint="eastAsia"/>
          <w:highlight w:val="none"/>
        </w:rPr>
        <w:t>单位的基本支出</w:t>
      </w:r>
      <w:r>
        <w:rPr>
          <w:rFonts w:hint="eastAsia"/>
          <w:highlight w:val="none"/>
          <w:lang w:eastAsia="zh-CN"/>
        </w:rPr>
        <w:t>。</w:t>
      </w:r>
    </w:p>
    <w:p>
      <w:pPr>
        <w:pStyle w:val="39"/>
        <w:keepNext w:val="0"/>
        <w:keepLines w:val="0"/>
        <w:pageBreakBefore w:val="0"/>
        <w:widowControl w:val="0"/>
        <w:kinsoku/>
        <w:wordWrap/>
        <w:overflowPunct/>
        <w:bidi w:val="0"/>
        <w:snapToGrid/>
        <w:spacing w:line="560" w:lineRule="exact"/>
        <w:ind w:firstLine="640"/>
        <w:textAlignment w:val="auto"/>
        <w:rPr>
          <w:highlight w:val="none"/>
        </w:rPr>
      </w:pPr>
      <w:r>
        <w:rPr>
          <w:rFonts w:hint="eastAsia" w:ascii="黑体" w:hAnsi="黑体" w:eastAsia="黑体" w:cs="黑体"/>
          <w:highlight w:val="none"/>
          <w:lang w:eastAsia="zh-CN"/>
        </w:rPr>
        <w:t>十、</w:t>
      </w:r>
      <w:r>
        <w:rPr>
          <w:rFonts w:hint="eastAsia" w:ascii="黑体" w:hAnsi="黑体" w:eastAsia="黑体" w:cs="黑体"/>
          <w:highlight w:val="none"/>
        </w:rPr>
        <w:t>一般公共服务支出（类）财政事务（款）其他财政事务（项）：</w:t>
      </w:r>
      <w:r>
        <w:rPr>
          <w:rFonts w:hint="eastAsia"/>
          <w:highlight w:val="none"/>
        </w:rPr>
        <w:t>反映其他财政事务方面的支出。</w:t>
      </w:r>
    </w:p>
    <w:p>
      <w:pPr>
        <w:pStyle w:val="39"/>
        <w:keepNext w:val="0"/>
        <w:keepLines w:val="0"/>
        <w:pageBreakBefore w:val="0"/>
        <w:widowControl w:val="0"/>
        <w:kinsoku/>
        <w:wordWrap/>
        <w:overflowPunct/>
        <w:bidi w:val="0"/>
        <w:snapToGrid/>
        <w:spacing w:line="560" w:lineRule="exact"/>
        <w:ind w:firstLine="640"/>
        <w:textAlignment w:val="auto"/>
        <w:rPr>
          <w:rFonts w:hint="eastAsia" w:eastAsia="仿宋_GB2312"/>
          <w:highlight w:val="none"/>
          <w:lang w:val="en-US" w:eastAsia="zh-CN"/>
        </w:rPr>
      </w:pPr>
      <w:r>
        <w:rPr>
          <w:rFonts w:hint="eastAsia" w:ascii="黑体" w:hAnsi="黑体" w:eastAsia="黑体" w:cs="黑体"/>
          <w:highlight w:val="none"/>
          <w:lang w:val="en-US" w:eastAsia="zh-CN"/>
        </w:rPr>
        <w:t>十一、</w:t>
      </w:r>
      <w:r>
        <w:rPr>
          <w:rFonts w:hint="eastAsia" w:ascii="黑体" w:hAnsi="黑体" w:eastAsia="黑体" w:cs="黑体"/>
          <w:highlight w:val="none"/>
        </w:rPr>
        <w:t>社会保障和就业支出（类）行政事业单位养老支出（款）机关事业单位职业年金缴费支出（项）：</w:t>
      </w:r>
      <w:r>
        <w:rPr>
          <w:rFonts w:hint="eastAsia"/>
          <w:highlight w:val="none"/>
        </w:rPr>
        <w:t>反映机关事业单位实施养老保险制度由单位缴纳的基本养老保险费支出。</w:t>
      </w:r>
      <w:r>
        <w:rPr>
          <w:highlight w:val="none"/>
        </w:rPr>
        <w:br w:type="textWrapping"/>
      </w:r>
      <w:r>
        <w:rPr>
          <w:rFonts w:hint="eastAsia"/>
          <w:highlight w:val="none"/>
        </w:rPr>
        <w:t>　　</w:t>
      </w:r>
      <w:r>
        <w:rPr>
          <w:rFonts w:hint="eastAsia" w:ascii="黑体" w:hAnsi="黑体" w:eastAsia="黑体" w:cs="黑体"/>
          <w:highlight w:val="none"/>
          <w:lang w:val="en-US" w:eastAsia="zh-CN"/>
        </w:rPr>
        <w:t>十二、</w:t>
      </w:r>
      <w:r>
        <w:rPr>
          <w:rFonts w:hint="eastAsia" w:ascii="黑体" w:hAnsi="黑体" w:eastAsia="黑体" w:cs="黑体"/>
          <w:highlight w:val="none"/>
        </w:rPr>
        <w:t>社会保障和就业支出（类）行政事业单位养老支出（款）机关事业单位基本养老保险缴费支出（项）：</w:t>
      </w:r>
      <w:r>
        <w:rPr>
          <w:rFonts w:hint="eastAsia"/>
          <w:highlight w:val="none"/>
        </w:rPr>
        <w:t>反映机关事业单位实施养老保险制度由单位缴纳的职业年金支出。</w:t>
      </w:r>
      <w:r>
        <w:rPr>
          <w:highlight w:val="none"/>
        </w:rPr>
        <w:br w:type="textWrapping"/>
      </w:r>
      <w:r>
        <w:rPr>
          <w:rFonts w:hint="eastAsia"/>
          <w:highlight w:val="none"/>
        </w:rPr>
        <w:t>　　</w:t>
      </w:r>
      <w:r>
        <w:rPr>
          <w:rFonts w:hint="eastAsia" w:ascii="黑体" w:hAnsi="黑体" w:eastAsia="黑体" w:cs="黑体"/>
          <w:highlight w:val="none"/>
          <w:lang w:val="en-US" w:eastAsia="zh-CN"/>
        </w:rPr>
        <w:t>十三、</w:t>
      </w:r>
      <w:r>
        <w:rPr>
          <w:rFonts w:hint="eastAsia" w:ascii="黑体" w:hAnsi="黑体" w:eastAsia="黑体" w:cs="黑体"/>
          <w:highlight w:val="none"/>
        </w:rPr>
        <w:t>社会保障和就业支出（类）</w:t>
      </w:r>
      <w:r>
        <w:rPr>
          <w:rFonts w:hint="eastAsia" w:ascii="黑体" w:hAnsi="黑体" w:eastAsia="黑体" w:cs="黑体"/>
          <w:highlight w:val="none"/>
          <w:lang w:eastAsia="zh-CN"/>
        </w:rPr>
        <w:t>企业改革补助（款）</w:t>
      </w:r>
      <w:r>
        <w:rPr>
          <w:rStyle w:val="21"/>
          <w:rFonts w:hint="eastAsia" w:ascii="黑体" w:hAnsi="黑体" w:eastAsia="黑体" w:cs="黑体"/>
          <w:b w:val="0"/>
          <w:bCs/>
          <w:color w:val="000000"/>
          <w:sz w:val="32"/>
          <w:szCs w:val="32"/>
          <w:highlight w:val="none"/>
          <w:lang w:eastAsia="zh-CN"/>
        </w:rPr>
        <w:t>其他企业改革发展补助（项）：</w:t>
      </w:r>
      <w:r>
        <w:rPr>
          <w:rStyle w:val="21"/>
          <w:rFonts w:hint="eastAsia" w:hAnsi="仿宋_GB2312" w:cs="仿宋_GB2312"/>
          <w:b w:val="0"/>
          <w:bCs/>
          <w:color w:val="000000"/>
          <w:sz w:val="32"/>
          <w:szCs w:val="32"/>
          <w:highlight w:val="none"/>
          <w:lang w:eastAsia="zh-CN"/>
        </w:rPr>
        <w:t>反映上述项目以外财政用于企业改革发展方面的补助。</w:t>
      </w:r>
    </w:p>
    <w:p>
      <w:pPr>
        <w:pStyle w:val="39"/>
        <w:keepNext w:val="0"/>
        <w:keepLines w:val="0"/>
        <w:pageBreakBefore w:val="0"/>
        <w:widowControl w:val="0"/>
        <w:kinsoku/>
        <w:wordWrap/>
        <w:overflowPunct/>
        <w:bidi w:val="0"/>
        <w:snapToGrid/>
        <w:spacing w:line="560" w:lineRule="exact"/>
        <w:ind w:firstLine="640"/>
        <w:textAlignment w:val="auto"/>
        <w:rPr>
          <w:rFonts w:hint="eastAsia"/>
          <w:highlight w:val="none"/>
        </w:rPr>
      </w:pPr>
      <w:r>
        <w:rPr>
          <w:rFonts w:hint="eastAsia" w:ascii="黑体" w:hAnsi="黑体" w:eastAsia="黑体" w:cs="黑体"/>
          <w:highlight w:val="none"/>
          <w:lang w:val="en-US" w:eastAsia="zh-CN"/>
        </w:rPr>
        <w:t>十四、</w:t>
      </w:r>
      <w:r>
        <w:rPr>
          <w:rFonts w:hint="eastAsia" w:ascii="黑体" w:hAnsi="黑体" w:eastAsia="黑体" w:cs="黑体"/>
          <w:highlight w:val="none"/>
        </w:rPr>
        <w:t>社会保障和就业支出（类）抚恤（款）其他优抚支出（项）：</w:t>
      </w:r>
      <w:r>
        <w:rPr>
          <w:rFonts w:hint="eastAsia"/>
          <w:highlight w:val="none"/>
        </w:rPr>
        <w:t>反映其他用于优抚方面的支出。</w:t>
      </w:r>
    </w:p>
    <w:p>
      <w:pPr>
        <w:pStyle w:val="39"/>
        <w:keepNext w:val="0"/>
        <w:keepLines w:val="0"/>
        <w:pageBreakBefore w:val="0"/>
        <w:widowControl w:val="0"/>
        <w:kinsoku/>
        <w:wordWrap/>
        <w:overflowPunct/>
        <w:bidi w:val="0"/>
        <w:snapToGrid/>
        <w:spacing w:line="560" w:lineRule="exact"/>
        <w:ind w:firstLine="640"/>
        <w:textAlignment w:val="auto"/>
        <w:rPr>
          <w:rFonts w:hint="eastAsia" w:ascii="仿宋_GB2312" w:hAnsi="Calibri" w:eastAsia="仿宋_GB2312" w:cs="仿宋"/>
          <w:color w:val="000000"/>
          <w:kern w:val="0"/>
          <w:sz w:val="32"/>
          <w:szCs w:val="32"/>
          <w:highlight w:val="none"/>
          <w:lang w:val="en-US" w:eastAsia="zh-CN" w:bidi="ar-SA"/>
        </w:rPr>
      </w:pPr>
      <w:r>
        <w:rPr>
          <w:rFonts w:hint="eastAsia" w:ascii="黑体" w:hAnsi="黑体" w:eastAsia="黑体" w:cs="黑体"/>
          <w:highlight w:val="none"/>
          <w:lang w:val="en-US" w:eastAsia="zh-CN"/>
        </w:rPr>
        <w:t>十五、</w:t>
      </w:r>
      <w:r>
        <w:rPr>
          <w:rFonts w:hint="eastAsia" w:ascii="黑体" w:hAnsi="黑体" w:eastAsia="黑体" w:cs="黑体"/>
          <w:highlight w:val="none"/>
        </w:rPr>
        <w:t>社会保障和就业支出（类）其他社会保障和就业支出（款）其他社会保障和就业支出（项）：</w:t>
      </w:r>
      <w:r>
        <w:rPr>
          <w:rFonts w:hint="eastAsia"/>
          <w:highlight w:val="none"/>
        </w:rPr>
        <w:t>反映其他用于社会保障和就业方面的支出。</w:t>
      </w:r>
      <w:r>
        <w:rPr>
          <w:highlight w:val="none"/>
        </w:rPr>
        <w:br w:type="textWrapping"/>
      </w:r>
      <w:r>
        <w:rPr>
          <w:rFonts w:hint="eastAsia"/>
          <w:highlight w:val="none"/>
        </w:rPr>
        <w:t>　　</w:t>
      </w:r>
      <w:r>
        <w:rPr>
          <w:rFonts w:hint="eastAsia" w:ascii="黑体" w:hAnsi="黑体" w:eastAsia="黑体" w:cs="黑体"/>
          <w:highlight w:val="none"/>
          <w:lang w:val="en-US" w:eastAsia="zh-CN"/>
        </w:rPr>
        <w:t>十六、</w:t>
      </w:r>
      <w:r>
        <w:rPr>
          <w:rFonts w:hint="eastAsia" w:ascii="黑体" w:hAnsi="黑体" w:eastAsia="黑体" w:cs="黑体"/>
          <w:highlight w:val="none"/>
        </w:rPr>
        <w:t>卫生健康支出（类）行政事业单位医疗（款）行政单位医疗（项）：</w:t>
      </w:r>
      <w:r>
        <w:rPr>
          <w:rFonts w:hint="eastAsia"/>
          <w:highlight w:val="none"/>
        </w:rPr>
        <w:t>反映财政部门安排的行政单位（包括实行</w:t>
      </w:r>
      <w:r>
        <w:rPr>
          <w:rFonts w:hint="eastAsia" w:ascii="仿宋_GB2312" w:hAnsi="Calibri" w:eastAsia="仿宋_GB2312" w:cs="仿宋"/>
          <w:color w:val="000000"/>
          <w:kern w:val="0"/>
          <w:sz w:val="32"/>
          <w:szCs w:val="32"/>
          <w:highlight w:val="none"/>
          <w:lang w:val="en-US" w:eastAsia="zh-CN" w:bidi="ar-SA"/>
        </w:rPr>
        <w:t>公务员管理的事业单位）基本医疗保险缴费经费。　　</w:t>
      </w:r>
    </w:p>
    <w:p>
      <w:pPr>
        <w:keepNext w:val="0"/>
        <w:keepLines w:val="0"/>
        <w:pageBreakBefore w:val="0"/>
        <w:widowControl w:val="0"/>
        <w:kinsoku/>
        <w:wordWrap/>
        <w:overflowPunct/>
        <w:topLinePunct w:val="0"/>
        <w:bidi w:val="0"/>
        <w:snapToGrid/>
        <w:spacing w:line="560" w:lineRule="exact"/>
        <w:ind w:firstLine="640"/>
        <w:textAlignment w:val="auto"/>
        <w:rPr>
          <w:rFonts w:hint="eastAsia" w:ascii="仿宋_GB2312" w:hAnsi="Calibri" w:eastAsia="仿宋_GB2312" w:cs="仿宋"/>
          <w:color w:val="000000"/>
          <w:kern w:val="0"/>
          <w:sz w:val="32"/>
          <w:szCs w:val="32"/>
          <w:highlight w:val="none"/>
          <w:lang w:val="en-US" w:eastAsia="zh-CN" w:bidi="ar-SA"/>
        </w:rPr>
      </w:pPr>
      <w:r>
        <w:rPr>
          <w:rFonts w:hint="eastAsia" w:ascii="黑体" w:hAnsi="黑体" w:eastAsia="黑体" w:cs="黑体"/>
          <w:color w:val="000000"/>
          <w:kern w:val="0"/>
          <w:sz w:val="32"/>
          <w:szCs w:val="32"/>
          <w:highlight w:val="none"/>
          <w:lang w:val="en-US" w:eastAsia="zh-CN" w:bidi="ar-SA"/>
        </w:rPr>
        <w:t>十七、卫生健康支出（类）行政事业单位医疗（款）事业单位医疗（项）：</w:t>
      </w:r>
      <w:r>
        <w:rPr>
          <w:rFonts w:hint="eastAsia" w:ascii="仿宋_GB2312" w:hAnsi="Calibri" w:eastAsia="仿宋_GB2312" w:cs="仿宋"/>
          <w:color w:val="000000"/>
          <w:kern w:val="0"/>
          <w:sz w:val="32"/>
          <w:szCs w:val="32"/>
          <w:highlight w:val="none"/>
          <w:lang w:val="en-US" w:eastAsia="zh-CN" w:bidi="ar-SA"/>
        </w:rPr>
        <w:t>反映财政部门安排的事业单位基本医疗保险缴费经费。</w:t>
      </w:r>
      <w:r>
        <w:rPr>
          <w:rFonts w:hint="eastAsia" w:ascii="仿宋_GB2312" w:hAnsi="Calibri" w:eastAsia="仿宋_GB2312" w:cs="仿宋"/>
          <w:color w:val="000000"/>
          <w:kern w:val="0"/>
          <w:sz w:val="32"/>
          <w:szCs w:val="32"/>
          <w:highlight w:val="none"/>
          <w:lang w:val="en-US" w:eastAsia="zh-CN" w:bidi="ar-SA"/>
        </w:rPr>
        <w:br w:type="textWrapping"/>
      </w:r>
      <w:r>
        <w:rPr>
          <w:rFonts w:hint="eastAsia" w:ascii="仿宋_GB2312" w:hAnsi="Calibri" w:eastAsia="仿宋_GB2312" w:cs="仿宋"/>
          <w:color w:val="000000"/>
          <w:kern w:val="0"/>
          <w:sz w:val="32"/>
          <w:szCs w:val="32"/>
          <w:highlight w:val="none"/>
          <w:lang w:val="en-US" w:eastAsia="zh-CN" w:bidi="ar-SA"/>
        </w:rPr>
        <w:t>　　</w:t>
      </w:r>
      <w:r>
        <w:rPr>
          <w:rFonts w:hint="eastAsia" w:ascii="黑体" w:hAnsi="黑体" w:eastAsia="黑体" w:cs="黑体"/>
          <w:color w:val="000000"/>
          <w:kern w:val="0"/>
          <w:sz w:val="32"/>
          <w:szCs w:val="32"/>
          <w:highlight w:val="none"/>
          <w:lang w:val="en-US" w:eastAsia="zh-CN" w:bidi="ar-SA"/>
        </w:rPr>
        <w:t>十八、住房保障支出（类）住房改革支出（款）住房公积金（项）：</w:t>
      </w:r>
      <w:r>
        <w:rPr>
          <w:rFonts w:hint="eastAsia" w:ascii="仿宋_GB2312" w:hAnsi="Calibri" w:eastAsia="仿宋_GB2312" w:cs="仿宋"/>
          <w:color w:val="000000"/>
          <w:kern w:val="0"/>
          <w:sz w:val="32"/>
          <w:szCs w:val="32"/>
          <w:highlight w:val="none"/>
          <w:lang w:val="en-US" w:eastAsia="zh-CN" w:bidi="ar-SA"/>
        </w:rPr>
        <w:t>反映行政事业单位按人力资源和社会保障部、财政部规定的基本工资和津贴补贴以及规定比例为职工缴纳的住房公积金。</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eastAsia="仿宋_GB2312"/>
          <w:color w:val="000000"/>
          <w:sz w:val="32"/>
          <w:szCs w:val="32"/>
          <w:highlight w:val="none"/>
        </w:rPr>
      </w:pPr>
      <w:r>
        <w:rPr>
          <w:rFonts w:hint="eastAsia" w:ascii="黑体" w:hAnsi="黑体" w:eastAsia="黑体" w:cs="黑体"/>
          <w:color w:val="000000"/>
          <w:kern w:val="0"/>
          <w:sz w:val="32"/>
          <w:szCs w:val="32"/>
          <w:highlight w:val="none"/>
          <w:lang w:val="en-US" w:eastAsia="zh-CN" w:bidi="ar-SA"/>
        </w:rPr>
        <w:t>十九、基本支出：</w:t>
      </w:r>
      <w:r>
        <w:rPr>
          <w:rFonts w:hint="eastAsia" w:ascii="仿宋_GB2312" w:hAnsi="Calibri" w:eastAsia="仿宋_GB2312" w:cs="仿宋"/>
          <w:color w:val="000000"/>
          <w:kern w:val="0"/>
          <w:sz w:val="32"/>
          <w:szCs w:val="32"/>
          <w:highlight w:val="none"/>
          <w:lang w:val="en-US" w:eastAsia="zh-CN" w:bidi="ar-SA"/>
        </w:rPr>
        <w:t>指为保障机构正常运转、完成日常工作任务而发生的人员支</w:t>
      </w:r>
      <w:r>
        <w:rPr>
          <w:rFonts w:hint="eastAsia" w:ascii="仿宋_GB2312" w:eastAsia="仿宋_GB2312"/>
          <w:color w:val="000000"/>
          <w:sz w:val="32"/>
          <w:szCs w:val="32"/>
          <w:highlight w:val="none"/>
        </w:rPr>
        <w:t>出和公用支出。</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eastAsia="仿宋_GB2312"/>
          <w:color w:val="000000"/>
          <w:sz w:val="32"/>
          <w:szCs w:val="32"/>
          <w:highlight w:val="none"/>
        </w:rPr>
      </w:pPr>
      <w:r>
        <w:rPr>
          <w:rFonts w:hint="eastAsia" w:ascii="黑体" w:hAnsi="黑体" w:eastAsia="黑体" w:cs="黑体"/>
          <w:color w:val="000000"/>
          <w:sz w:val="32"/>
          <w:szCs w:val="32"/>
          <w:highlight w:val="none"/>
          <w:lang w:val="en-US" w:eastAsia="zh-CN"/>
        </w:rPr>
        <w:t>二十、</w:t>
      </w:r>
      <w:r>
        <w:rPr>
          <w:rFonts w:hint="eastAsia" w:ascii="黑体" w:hAnsi="黑体" w:eastAsia="黑体" w:cs="黑体"/>
          <w:color w:val="000000"/>
          <w:sz w:val="32"/>
          <w:szCs w:val="32"/>
          <w:highlight w:val="none"/>
        </w:rPr>
        <w:t>项目支出：</w:t>
      </w:r>
      <w:r>
        <w:rPr>
          <w:rFonts w:hint="eastAsia" w:ascii="仿宋_GB2312" w:eastAsia="仿宋_GB2312"/>
          <w:color w:val="000000"/>
          <w:sz w:val="32"/>
          <w:szCs w:val="32"/>
          <w:highlight w:val="none"/>
        </w:rPr>
        <w:t>指在基本支出之外为完成特定行政任务和事业发展目标所发生的支出。</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eastAsia="仿宋_GB2312"/>
          <w:color w:val="000000"/>
          <w:sz w:val="32"/>
          <w:szCs w:val="32"/>
          <w:highlight w:val="none"/>
        </w:rPr>
      </w:pPr>
      <w:r>
        <w:rPr>
          <w:rFonts w:hint="eastAsia" w:ascii="黑体" w:hAnsi="黑体" w:eastAsia="黑体" w:cs="黑体"/>
          <w:color w:val="000000"/>
          <w:sz w:val="32"/>
          <w:szCs w:val="32"/>
          <w:highlight w:val="none"/>
          <w:lang w:val="en-US" w:eastAsia="zh-CN"/>
        </w:rPr>
        <w:t>二十一、</w:t>
      </w:r>
      <w:r>
        <w:rPr>
          <w:rFonts w:hint="eastAsia" w:ascii="黑体" w:hAnsi="黑体" w:eastAsia="黑体" w:cs="黑体"/>
          <w:color w:val="000000"/>
          <w:sz w:val="32"/>
          <w:szCs w:val="32"/>
          <w:highlight w:val="none"/>
        </w:rPr>
        <w:t>经营支出：</w:t>
      </w:r>
      <w:r>
        <w:rPr>
          <w:rFonts w:hint="eastAsia" w:ascii="仿宋_GB2312" w:eastAsia="仿宋_GB2312"/>
          <w:color w:val="000000"/>
          <w:sz w:val="32"/>
          <w:szCs w:val="32"/>
          <w:highlight w:val="none"/>
        </w:rPr>
        <w:t>指事业单位在专业业务活动及其辅助活动之外开展非独立核算经营活动发生的支出。</w:t>
      </w:r>
      <w:r>
        <w:rPr>
          <w:rFonts w:ascii="仿宋_GB2312" w:eastAsia="仿宋_GB2312"/>
          <w:color w:val="000000"/>
          <w:sz w:val="32"/>
          <w:szCs w:val="32"/>
          <w:highlight w:val="none"/>
        </w:rPr>
        <w:t xml:space="preserve"> </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eastAsia="仿宋_GB2312"/>
          <w:sz w:val="32"/>
          <w:szCs w:val="32"/>
          <w:highlight w:val="none"/>
        </w:rPr>
      </w:pPr>
      <w:r>
        <w:rPr>
          <w:rFonts w:hint="eastAsia" w:ascii="黑体" w:hAnsi="黑体" w:eastAsia="黑体" w:cs="黑体"/>
          <w:color w:val="000000"/>
          <w:sz w:val="32"/>
          <w:szCs w:val="32"/>
          <w:highlight w:val="none"/>
          <w:lang w:val="en-US" w:eastAsia="zh-CN"/>
        </w:rPr>
        <w:t>二十二、</w:t>
      </w:r>
      <w:r>
        <w:rPr>
          <w:rFonts w:hint="eastAsia" w:ascii="黑体" w:hAnsi="黑体" w:eastAsia="黑体" w:cs="黑体"/>
          <w:sz w:val="32"/>
          <w:szCs w:val="32"/>
          <w:highlight w:val="none"/>
        </w:rPr>
        <w:t>“三公”经费：</w:t>
      </w:r>
      <w:r>
        <w:rPr>
          <w:rFonts w:hint="eastAsia" w:ascii="仿宋_GB2312" w:eastAsia="仿宋_GB2312"/>
          <w:sz w:val="32"/>
          <w:szCs w:val="32"/>
          <w:highlight w:val="none"/>
        </w:rPr>
        <w:t>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30"/>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eastAsia="仿宋_GB2312"/>
          <w:sz w:val="32"/>
          <w:szCs w:val="32"/>
          <w:highlight w:val="none"/>
        </w:rPr>
      </w:pPr>
      <w:r>
        <w:rPr>
          <w:rFonts w:hint="eastAsia" w:ascii="黑体" w:hAnsi="黑体" w:eastAsia="黑体" w:cs="黑体"/>
          <w:sz w:val="32"/>
          <w:szCs w:val="32"/>
          <w:highlight w:val="none"/>
          <w:lang w:val="en-US" w:eastAsia="zh-CN"/>
        </w:rPr>
        <w:t>二十三、</w:t>
      </w:r>
      <w:r>
        <w:rPr>
          <w:rFonts w:hint="eastAsia" w:ascii="黑体" w:hAnsi="黑体" w:eastAsia="黑体" w:cs="黑体"/>
          <w:sz w:val="32"/>
          <w:szCs w:val="32"/>
          <w:highlight w:val="none"/>
        </w:rPr>
        <w:t>机关运行经费：</w:t>
      </w:r>
      <w:r>
        <w:rPr>
          <w:rFonts w:hint="eastAsia" w:ascii="仿宋_GB2312" w:eastAsia="仿宋_GB2312"/>
          <w:sz w:val="32"/>
          <w:szCs w:val="32"/>
          <w:highlight w:val="none"/>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30"/>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eastAsia="仿宋_GB2312"/>
          <w:sz w:val="32"/>
          <w:szCs w:val="32"/>
          <w:highlight w:val="none"/>
        </w:rPr>
      </w:pPr>
    </w:p>
    <w:p>
      <w:pPr>
        <w:pStyle w:val="30"/>
        <w:spacing w:line="560" w:lineRule="exact"/>
        <w:ind w:firstLine="640" w:firstLineChars="200"/>
        <w:rPr>
          <w:rFonts w:ascii="仿宋_GB2312" w:eastAsia="仿宋_GB2312" w:cs="黑体"/>
          <w:color w:val="auto"/>
          <w:sz w:val="32"/>
          <w:szCs w:val="32"/>
        </w:rPr>
      </w:pPr>
    </w:p>
    <w:p>
      <w:pPr>
        <w:jc w:val="center"/>
        <w:rPr>
          <w:rFonts w:hint="eastAsia" w:ascii="方正小标宋_GBK" w:hAnsi="方正小标宋_GBK" w:eastAsia="方正小标宋_GBK" w:cs="方正小标宋_GBK"/>
          <w:sz w:val="36"/>
          <w:szCs w:val="36"/>
        </w:rPr>
      </w:pPr>
      <w:bookmarkStart w:id="71" w:name="_Toc15377226"/>
      <w:r>
        <w:rPr>
          <w:rFonts w:ascii="宋体"/>
          <w:b/>
          <w:sz w:val="44"/>
          <w:szCs w:val="44"/>
        </w:rPr>
        <w:br w:type="page"/>
      </w:r>
      <w:bookmarkStart w:id="72" w:name="_Toc15396614"/>
      <w:bookmarkStart w:id="73" w:name="_Toc31237"/>
      <w:r>
        <w:rPr>
          <w:rFonts w:hint="eastAsia" w:ascii="方正小标宋_GBK" w:hAnsi="方正小标宋_GBK" w:eastAsia="方正小标宋_GBK" w:cs="方正小标宋_GBK"/>
          <w:sz w:val="36"/>
          <w:szCs w:val="36"/>
          <w:lang w:eastAsia="zh-CN"/>
        </w:rPr>
        <w:t>第四部分</w:t>
      </w:r>
      <w:r>
        <w:rPr>
          <w:rFonts w:hint="eastAsia" w:ascii="方正小标宋_GBK" w:hAnsi="方正小标宋_GBK" w:eastAsia="方正小标宋_GBK" w:cs="方正小标宋_GBK"/>
          <w:sz w:val="36"/>
          <w:szCs w:val="36"/>
          <w:lang w:val="en-US" w:eastAsia="zh-CN"/>
        </w:rPr>
        <w:t xml:space="preserve"> </w:t>
      </w:r>
      <w:r>
        <w:rPr>
          <w:rFonts w:hint="eastAsia" w:ascii="方正小标宋_GBK" w:hAnsi="方正小标宋_GBK" w:eastAsia="方正小标宋_GBK" w:cs="方正小标宋_GBK"/>
          <w:sz w:val="36"/>
          <w:szCs w:val="36"/>
          <w:lang w:eastAsia="zh-CN"/>
        </w:rPr>
        <w:t>附件</w:t>
      </w:r>
      <w:bookmarkEnd w:id="72"/>
      <w:bookmarkEnd w:id="73"/>
    </w:p>
    <w:p>
      <w:pPr>
        <w:pStyle w:val="16"/>
        <w:numPr>
          <w:ilvl w:val="0"/>
          <w:numId w:val="0"/>
        </w:numPr>
        <w:ind w:leftChars="0"/>
        <w:rPr>
          <w:rFonts w:hint="eastAsia"/>
        </w:rPr>
      </w:pPr>
    </w:p>
    <w:p>
      <w:pPr>
        <w:rPr>
          <w:rFonts w:hint="eastAsia"/>
        </w:rPr>
      </w:pPr>
    </w:p>
    <w:p>
      <w:pPr>
        <w:jc w:val="center"/>
        <w:rPr>
          <w:rFonts w:hint="eastAsia" w:ascii="楷体_GB2312" w:hAnsi="楷体_GB2312" w:eastAsia="楷体_GB2312" w:cs="楷体_GB2312"/>
          <w:sz w:val="32"/>
          <w:szCs w:val="32"/>
        </w:rPr>
      </w:pPr>
      <w:r>
        <w:rPr>
          <w:rFonts w:hint="eastAsia" w:ascii="方正小标宋_GBK" w:hAnsi="方正小标宋_GBK" w:eastAsia="方正小标宋_GBK" w:cs="方正小标宋_GBK"/>
          <w:sz w:val="36"/>
          <w:szCs w:val="36"/>
          <w:lang w:val="en-US" w:eastAsia="zh-CN"/>
        </w:rPr>
        <w:t>2024</w:t>
      </w:r>
      <w:r>
        <w:rPr>
          <w:rFonts w:hint="eastAsia" w:ascii="方正小标宋_GBK" w:hAnsi="方正小标宋_GBK" w:eastAsia="方正小标宋_GBK" w:cs="方正小标宋_GBK"/>
          <w:sz w:val="36"/>
          <w:szCs w:val="36"/>
          <w:lang w:eastAsia="zh-CN"/>
        </w:rPr>
        <w:t>年</w:t>
      </w:r>
      <w:r>
        <w:rPr>
          <w:rFonts w:hint="eastAsia" w:ascii="方正小标宋_GBK" w:hAnsi="方正小标宋_GBK" w:eastAsia="方正小标宋_GBK" w:cs="方正小标宋_GBK"/>
          <w:sz w:val="36"/>
          <w:szCs w:val="36"/>
          <w:lang w:val="en-US" w:eastAsia="zh-CN"/>
        </w:rPr>
        <w:t>峨眉山市财政局</w:t>
      </w:r>
      <w:r>
        <w:rPr>
          <w:rFonts w:hint="eastAsia" w:ascii="方正小标宋_GBK" w:hAnsi="方正小标宋_GBK" w:eastAsia="方正小标宋_GBK" w:cs="方正小标宋_GBK"/>
          <w:sz w:val="36"/>
          <w:szCs w:val="36"/>
          <w:lang w:eastAsia="zh-CN"/>
        </w:rPr>
        <w:t>部门整体绩效评价报告</w:t>
      </w:r>
    </w:p>
    <w:p>
      <w:pPr>
        <w:widowControl/>
        <w:adjustRightInd w:val="0"/>
        <w:snapToGrid w:val="0"/>
        <w:spacing w:line="580" w:lineRule="exact"/>
        <w:ind w:firstLine="480" w:firstLineChars="200"/>
        <w:contextualSpacing/>
        <w:jc w:val="left"/>
        <w:rPr>
          <w:rFonts w:ascii="黑体" w:hAnsi="宋体" w:eastAsia="黑体" w:cs="宋体"/>
          <w:color w:val="000000"/>
          <w:kern w:val="0"/>
          <w:sz w:val="24"/>
          <w:szCs w:val="32"/>
          <w:shd w:val="clear" w:color="auto" w:fill="FFFFFF"/>
        </w:rPr>
      </w:pP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1"/>
        <w:rPr>
          <w:rFonts w:hint="eastAsia" w:ascii="黑体" w:eastAsia="黑体"/>
          <w:b w:val="0"/>
          <w:bCs/>
          <w:sz w:val="32"/>
          <w:szCs w:val="32"/>
          <w:lang w:val="zh-CN"/>
        </w:rPr>
      </w:pPr>
      <w:r>
        <w:rPr>
          <w:rFonts w:hint="eastAsia" w:ascii="黑体" w:eastAsia="黑体"/>
          <w:b w:val="0"/>
          <w:bCs/>
          <w:sz w:val="32"/>
          <w:szCs w:val="32"/>
        </w:rPr>
        <w:t>一、</w:t>
      </w:r>
      <w:r>
        <w:rPr>
          <w:rFonts w:hint="eastAsia" w:ascii="黑体" w:eastAsia="黑体"/>
          <w:b w:val="0"/>
          <w:bCs/>
          <w:sz w:val="32"/>
          <w:szCs w:val="32"/>
          <w:lang w:val="zh-CN"/>
        </w:rPr>
        <w:t>部门（单位）基本情况</w:t>
      </w:r>
    </w:p>
    <w:p>
      <w:pPr>
        <w:spacing w:line="600" w:lineRule="exact"/>
        <w:ind w:firstLine="640" w:firstLineChars="200"/>
        <w:outlineLvl w:val="2"/>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（一）机构组成</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峨眉山市财政局部门下属独立核算单位3个，分别是峨眉山市财政投资评审中心、峨眉山市财政局（本级）、峨眉山市会计服务中心。峨眉山市财政局（本级）内设股室共9个，分别是办公室、行政事业股、国库股、综合股、农业和社会保障股、经建投资股、财政监督检查与会计法规股、债务与金融股、预算股。</w:t>
      </w:r>
    </w:p>
    <w:p>
      <w:pPr>
        <w:spacing w:line="600" w:lineRule="exact"/>
        <w:ind w:firstLine="640" w:firstLineChars="200"/>
        <w:outlineLvl w:val="2"/>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（二）机构职能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峨眉山市财政局基本职能为贯彻执行国家、省财税方面的方针、政策和法律、法规，按照管理权限管理全市税政事项，拟订全市财税（含财政、预算、税收、非税收入、财务、会计等）发展战略、规划、政策和改革方案并组织实施，分析预测宏观经济形势，参与制定各项宏观经济政策。承担各项财政收支管理的责任，按规定开展国库现金管理工作。负责制定政府采购制度，监督管理全市政府采购工作。负责管理政府债务，防范财政风险。负责管理全市的会计工作，组织和管理全市财政业务培训，监督和规范会计行为，协助指导和管理社会审计,依法查处违反财经法纪的行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eastAsia="zh-CN"/>
        </w:rPr>
        <w:t>（三）</w:t>
      </w:r>
      <w:r>
        <w:rPr>
          <w:rFonts w:hint="eastAsia" w:ascii="仿宋_GB2312" w:hAnsi="仿宋_GB2312" w:eastAsia="仿宋_GB2312" w:cs="仿宋_GB2312"/>
          <w:sz w:val="32"/>
          <w:szCs w:val="32"/>
          <w:lang w:val="zh-CN"/>
        </w:rPr>
        <w:t>人员概况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峨眉山市财政局（本级）截至2024年末公务员编制数为21人，保留工勤编制数3人，实有公务员19人，实有工勤人员1人。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峨眉山市财政服务中心截至2024年末参照公务员法管理人员编制数为38人，实有参照公务员法管理人员26人，实有工勤人员7人。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峨眉山市财政投资评审中心截至2024年末事业人员编制数为19人，实有人数为19人。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eastAsia="zh-CN"/>
        </w:rPr>
        <w:t>峨眉山市会计服务中心截至2024年末事业人员编制数为18人，实有人数为13人。</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1"/>
        <w:rPr>
          <w:rFonts w:hint="eastAsia" w:ascii="黑体" w:eastAsia="黑体"/>
          <w:b w:val="0"/>
          <w:bCs/>
          <w:sz w:val="32"/>
          <w:szCs w:val="32"/>
        </w:rPr>
      </w:pPr>
      <w:r>
        <w:rPr>
          <w:rFonts w:hint="eastAsia" w:ascii="黑体" w:eastAsia="黑体"/>
          <w:b w:val="0"/>
          <w:bCs/>
          <w:sz w:val="32"/>
          <w:szCs w:val="32"/>
          <w:lang w:eastAsia="zh-CN"/>
        </w:rPr>
        <w:t>二、部门资金收</w:t>
      </w:r>
      <w:r>
        <w:rPr>
          <w:rFonts w:hint="eastAsia" w:ascii="黑体" w:eastAsia="黑体"/>
          <w:b w:val="0"/>
          <w:bCs/>
          <w:sz w:val="32"/>
          <w:szCs w:val="32"/>
        </w:rPr>
        <w:t>支情况</w:t>
      </w:r>
    </w:p>
    <w:p>
      <w:pPr>
        <w:spacing w:line="600" w:lineRule="exact"/>
        <w:ind w:firstLine="640" w:firstLineChars="200"/>
        <w:outlineLvl w:val="2"/>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（一）收入情况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eastAsia="zh-CN"/>
        </w:rPr>
        <w:t>峨眉山市财政局2024年财政拨款收入总计2338.25万元，与2023年相比，财政拨款收入总计减少834.8万元，降低26.31%。</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（二）支出情况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峨眉山市财政局2024年财政拨款支出总计2338.25万元，与2023年相比，财政拨款支出总计减少834.8万元，降低26.31%。其中，一般公共服务（类）支出1904.42万元，占81.45%；社会保障和就业（类）支出236.33万元，占10.11%；卫生健康（类）支出68.19万元，占2.92%；城乡社区（类）支出10.6万，占0.45%；住房保障支出（类）支出118.70万元，占5.08%。</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结余分配和结转结余情况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lang w:val="zh-CN" w:eastAsia="zh-CN"/>
        </w:rPr>
      </w:pPr>
      <w:r>
        <w:rPr>
          <w:rFonts w:hint="eastAsia" w:ascii="仿宋_GB2312" w:hAnsi="仿宋_GB2312" w:eastAsia="仿宋_GB2312" w:cs="仿宋_GB2312"/>
          <w:sz w:val="32"/>
          <w:szCs w:val="32"/>
          <w:lang w:eastAsia="zh-CN"/>
        </w:rPr>
        <w:t>峨眉山市财政局2024年决算报表无结转结余情况。</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1"/>
        <w:rPr>
          <w:rFonts w:hint="eastAsia" w:ascii="黑体" w:eastAsia="黑体"/>
          <w:b w:val="0"/>
          <w:bCs/>
          <w:sz w:val="32"/>
          <w:szCs w:val="32"/>
          <w:lang w:val="zh-CN" w:eastAsia="zh-CN"/>
        </w:rPr>
      </w:pPr>
      <w:r>
        <w:rPr>
          <w:rFonts w:hint="eastAsia" w:ascii="黑体" w:eastAsia="黑体"/>
          <w:b w:val="0"/>
          <w:bCs/>
          <w:sz w:val="32"/>
          <w:szCs w:val="32"/>
          <w:lang w:val="zh-CN" w:eastAsia="zh-CN"/>
        </w:rPr>
        <w:t>三、部门预算绩效分析</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（一）部门预算总体绩效分析</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1.履职效能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我部门年初目标是至少完成80个招标文件审查，截止2024年12月31日超目标完成63个，完成率100%，顺利开展了财政工作，提高了财政管理水平，为社会稳定发展提供了基础。本部门核心职能目标完成情况良好，自评得分15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2.预算管理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严格按要求编制年初部门预算，执行政府购买服务政策，合理合规支出资金。本部门预算管理情况良好，自评得分25分。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3.财务管理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本部门按相关财务管理制度要求合理设置财务工作岗位，明确职责权限，严格实行不相容岗位分离，依照相关财务管理制度规定使用资金。本部门财务管理情况良好，自评得分6分。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4.资产管理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在日常资产管理中，提高资产利用率，按相关文件要求规范管理资产，保障资产账与财务账的一致性，做到账账相符。本部门资产管理情况良好，自评得分8分。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5.采购管理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本部门严格按政府采购法及实施条例规定实施政府采购，执行政府采购促进中小企业发展相关管理办法。本部门采购管理情况良好，自评得分6分。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Calibri" w:eastAsia="仿宋_GB2312" w:cs="Times New Roman"/>
          <w:color w:val="000000"/>
          <w:kern w:val="0"/>
          <w:sz w:val="32"/>
          <w:szCs w:val="32"/>
          <w:highlight w:val="none"/>
          <w:lang w:val="zh-CN" w:eastAsia="zh-CN"/>
        </w:rPr>
      </w:pPr>
      <w:r>
        <w:rPr>
          <w:rFonts w:hint="eastAsia" w:ascii="仿宋_GB2312" w:hAnsi="Calibri" w:eastAsia="仿宋_GB2312" w:cs="Times New Roman"/>
          <w:color w:val="000000"/>
          <w:kern w:val="0"/>
          <w:sz w:val="32"/>
          <w:szCs w:val="32"/>
          <w:highlight w:val="none"/>
          <w:lang w:val="zh-CN" w:eastAsia="zh-CN"/>
        </w:rPr>
        <w:t>（二）部门预算项目绩效分析</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Calibri" w:eastAsia="仿宋_GB2312" w:cs="Times New Roman"/>
          <w:color w:val="000000"/>
          <w:kern w:val="0"/>
          <w:sz w:val="32"/>
          <w:szCs w:val="32"/>
          <w:highlight w:val="none"/>
          <w:lang w:val="en-US" w:eastAsia="zh-CN"/>
        </w:rPr>
      </w:pPr>
      <w:r>
        <w:rPr>
          <w:rFonts w:hint="eastAsia" w:ascii="仿宋_GB2312" w:hAnsi="Calibri" w:eastAsia="仿宋_GB2312" w:cs="Times New Roman"/>
          <w:color w:val="000000"/>
          <w:kern w:val="0"/>
          <w:sz w:val="32"/>
          <w:szCs w:val="32"/>
          <w:highlight w:val="none"/>
          <w:lang w:val="en-US" w:eastAsia="zh-CN"/>
        </w:rPr>
        <w:t>常年项目绩效分析。该类项目总数12个，涉及预算总金额   225.3万元，1—12月预算执行总体进度为100%，其中：预算结余率大于10%的项目共计0个。</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Calibri" w:eastAsia="仿宋_GB2312" w:cs="Times New Roman"/>
          <w:color w:val="000000"/>
          <w:kern w:val="0"/>
          <w:sz w:val="32"/>
          <w:szCs w:val="32"/>
          <w:highlight w:val="none"/>
          <w:lang w:val="en-US" w:eastAsia="zh-CN"/>
        </w:rPr>
      </w:pPr>
      <w:r>
        <w:rPr>
          <w:rFonts w:hint="eastAsia" w:ascii="仿宋_GB2312" w:hAnsi="Calibri" w:eastAsia="仿宋_GB2312" w:cs="Times New Roman"/>
          <w:color w:val="000000"/>
          <w:kern w:val="0"/>
          <w:sz w:val="32"/>
          <w:szCs w:val="32"/>
          <w:highlight w:val="none"/>
          <w:lang w:val="en-US" w:eastAsia="zh-CN"/>
        </w:rPr>
        <w:t>阶段（含一次性）项目绩效分析。该类项目总数1个，涉及预算总金额10.6万元，1—12月预算执行总体进度为100%，其中：预算结余率大于10%的项目共计0个。</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Calibri" w:eastAsia="仿宋_GB2312" w:cs="Times New Roman"/>
          <w:color w:val="000000"/>
          <w:kern w:val="0"/>
          <w:sz w:val="32"/>
          <w:szCs w:val="32"/>
          <w:highlight w:val="none"/>
          <w:lang w:val="en-US" w:eastAsia="zh-CN"/>
        </w:rPr>
      </w:pPr>
      <w:r>
        <w:rPr>
          <w:rFonts w:hint="eastAsia" w:ascii="仿宋_GB2312" w:hAnsi="Calibri" w:eastAsia="仿宋_GB2312" w:cs="Times New Roman"/>
          <w:color w:val="000000"/>
          <w:kern w:val="0"/>
          <w:sz w:val="32"/>
          <w:szCs w:val="32"/>
          <w:highlight w:val="none"/>
          <w:lang w:val="en-US" w:eastAsia="zh-CN"/>
        </w:rPr>
        <w:t>1.项目决策。本部门按规定履行评估论证、申报程序，设立预算项目。严格按照计划期内的任务量、预算安排的资金量匹配情况设置部门预算项目绩效目标，保障绩效目标设置科学性、合理性、规范性、完整性。项目决策情况良好，自评得分12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Calibri" w:eastAsia="仿宋_GB2312" w:cs="Times New Roman"/>
          <w:color w:val="000000"/>
          <w:kern w:val="0"/>
          <w:sz w:val="32"/>
          <w:szCs w:val="32"/>
          <w:highlight w:val="none"/>
          <w:lang w:val="en-US" w:eastAsia="zh-CN"/>
        </w:rPr>
      </w:pPr>
      <w:r>
        <w:rPr>
          <w:rFonts w:hint="eastAsia" w:ascii="仿宋_GB2312" w:hAnsi="Calibri" w:eastAsia="仿宋_GB2312" w:cs="Times New Roman"/>
          <w:color w:val="000000"/>
          <w:kern w:val="0"/>
          <w:sz w:val="32"/>
          <w:szCs w:val="32"/>
          <w:highlight w:val="none"/>
          <w:lang w:val="en-US" w:eastAsia="zh-CN"/>
        </w:rPr>
        <w:t>2.项目执行。本部门项目1—12月预算执行总体进度为100%，及时支付资金，推动项目顺利开展。项目执行情况良好，自评得分12分。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Calibri" w:eastAsia="仿宋_GB2312" w:cs="Times New Roman"/>
          <w:color w:val="000000"/>
          <w:kern w:val="0"/>
          <w:sz w:val="32"/>
          <w:szCs w:val="32"/>
          <w:highlight w:val="none"/>
          <w:lang w:val="en-US" w:eastAsia="zh-CN"/>
        </w:rPr>
      </w:pPr>
      <w:r>
        <w:rPr>
          <w:rFonts w:hint="eastAsia" w:ascii="仿宋_GB2312" w:hAnsi="Calibri" w:eastAsia="仿宋_GB2312" w:cs="Times New Roman"/>
          <w:color w:val="000000"/>
          <w:kern w:val="0"/>
          <w:sz w:val="32"/>
          <w:szCs w:val="32"/>
          <w:highlight w:val="none"/>
          <w:lang w:val="en-US" w:eastAsia="zh-CN"/>
        </w:rPr>
        <w:t>3.目标实现。本部门预算项目数量指标完成情况良好，项目实现效果良好，自评得分11分。</w:t>
      </w:r>
    </w:p>
    <w:p>
      <w:pPr>
        <w:pStyle w:val="15"/>
        <w:rPr>
          <w:rFonts w:hint="eastAsia" w:ascii="仿宋_GB2312" w:hAnsi="Calibri" w:eastAsia="仿宋_GB2312" w:cs="Times New Roman"/>
          <w:color w:val="000000"/>
          <w:kern w:val="0"/>
          <w:sz w:val="32"/>
          <w:szCs w:val="32"/>
          <w:highlight w:val="none"/>
          <w:lang w:val="en-US" w:eastAsia="zh-CN"/>
        </w:rPr>
      </w:pPr>
    </w:p>
    <w:p>
      <w:pPr>
        <w:pStyle w:val="8"/>
        <w:rPr>
          <w:rFonts w:hint="eastAsia" w:ascii="仿宋_GB2312" w:hAnsi="Calibri" w:eastAsia="仿宋_GB2312" w:cs="Times New Roman"/>
          <w:color w:val="000000"/>
          <w:kern w:val="0"/>
          <w:sz w:val="32"/>
          <w:szCs w:val="32"/>
          <w:highlight w:val="none"/>
          <w:lang w:val="en-US" w:eastAsia="zh-CN"/>
        </w:rPr>
      </w:pPr>
    </w:p>
    <w:p>
      <w:pPr>
        <w:pStyle w:val="8"/>
        <w:rPr>
          <w:rFonts w:hint="eastAsia" w:ascii="仿宋_GB2312" w:hAnsi="Calibri" w:eastAsia="仿宋_GB2312" w:cs="Times New Roman"/>
          <w:color w:val="000000"/>
          <w:kern w:val="0"/>
          <w:sz w:val="32"/>
          <w:szCs w:val="32"/>
          <w:highlight w:val="none"/>
          <w:lang w:val="en-US" w:eastAsia="zh-CN"/>
        </w:rPr>
      </w:pPr>
    </w:p>
    <w:p>
      <w:pPr>
        <w:pStyle w:val="8"/>
        <w:ind w:firstLine="2560" w:firstLineChars="800"/>
        <w:rPr>
          <w:rFonts w:hint="eastAsia" w:ascii="仿宋_GB2312" w:hAnsi="Calibri" w:eastAsia="仿宋_GB2312" w:cs="Times New Roman"/>
          <w:color w:val="000000"/>
          <w:kern w:val="0"/>
          <w:sz w:val="32"/>
          <w:szCs w:val="32"/>
          <w:highlight w:val="none"/>
          <w:lang w:val="en-US" w:eastAsia="zh-CN"/>
        </w:rPr>
      </w:pPr>
      <w:r>
        <w:rPr>
          <w:rFonts w:hint="eastAsia" w:ascii="仿宋_GB2312" w:hAnsi="Calibri" w:eastAsia="仿宋_GB2312" w:cs="Times New Roman"/>
          <w:color w:val="000000"/>
          <w:kern w:val="0"/>
          <w:sz w:val="32"/>
          <w:szCs w:val="32"/>
          <w:highlight w:val="none"/>
          <w:lang w:val="en-US" w:eastAsia="zh-CN"/>
        </w:rPr>
        <w:t>预算项目绩效管理表</w:t>
      </w:r>
    </w:p>
    <w:tbl>
      <w:tblPr>
        <w:tblStyle w:val="18"/>
        <w:tblW w:w="5152" w:type="pct"/>
        <w:jc w:val="center"/>
        <w:tblLayout w:type="fixed"/>
        <w:tblCellMar>
          <w:top w:w="0" w:type="dxa"/>
          <w:left w:w="108" w:type="dxa"/>
          <w:bottom w:w="0" w:type="dxa"/>
          <w:right w:w="108" w:type="dxa"/>
        </w:tblCellMar>
      </w:tblPr>
      <w:tblGrid>
        <w:gridCol w:w="438"/>
        <w:gridCol w:w="1065"/>
        <w:gridCol w:w="1571"/>
        <w:gridCol w:w="943"/>
        <w:gridCol w:w="1289"/>
        <w:gridCol w:w="829"/>
        <w:gridCol w:w="999"/>
        <w:gridCol w:w="2332"/>
      </w:tblGrid>
      <w:tr>
        <w:tblPrEx>
          <w:tblCellMar>
            <w:top w:w="0" w:type="dxa"/>
            <w:left w:w="108" w:type="dxa"/>
            <w:bottom w:w="0" w:type="dxa"/>
            <w:right w:w="108" w:type="dxa"/>
          </w:tblCellMar>
        </w:tblPrEx>
        <w:trPr>
          <w:trHeight w:val="650" w:hRule="atLeast"/>
          <w:jc w:val="center"/>
        </w:trPr>
        <w:tc>
          <w:tcPr>
            <w:tcW w:w="793" w:type="pct"/>
            <w:gridSpan w:val="2"/>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部门名称</w:t>
            </w:r>
          </w:p>
        </w:tc>
        <w:tc>
          <w:tcPr>
            <w:tcW w:w="4206" w:type="pct"/>
            <w:gridSpan w:val="6"/>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峨眉山市财政局</w:t>
            </w:r>
          </w:p>
        </w:tc>
      </w:tr>
      <w:tr>
        <w:tblPrEx>
          <w:tblCellMar>
            <w:top w:w="0" w:type="dxa"/>
            <w:left w:w="108" w:type="dxa"/>
            <w:bottom w:w="0" w:type="dxa"/>
            <w:right w:w="108" w:type="dxa"/>
          </w:tblCellMar>
        </w:tblPrEx>
        <w:trPr>
          <w:trHeight w:val="499" w:hRule="atLeast"/>
          <w:jc w:val="center"/>
        </w:trPr>
        <w:tc>
          <w:tcPr>
            <w:tcW w:w="793"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绩效目标</w:t>
            </w:r>
          </w:p>
        </w:tc>
        <w:tc>
          <w:tcPr>
            <w:tcW w:w="4206" w:type="pct"/>
            <w:gridSpan w:val="6"/>
            <w:tcBorders>
              <w:top w:val="single" w:color="auto"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000000"/>
                <w:kern w:val="0"/>
                <w:sz w:val="24"/>
                <w:szCs w:val="24"/>
                <w:lang w:val="en-US" w:eastAsia="zh-CN" w:bidi="ar-SA"/>
              </w:rPr>
            </w:pPr>
          </w:p>
        </w:tc>
      </w:tr>
      <w:tr>
        <w:tblPrEx>
          <w:tblCellMar>
            <w:top w:w="0" w:type="dxa"/>
            <w:left w:w="108" w:type="dxa"/>
            <w:bottom w:w="0" w:type="dxa"/>
            <w:right w:w="108" w:type="dxa"/>
          </w:tblCellMar>
        </w:tblPrEx>
        <w:trPr>
          <w:trHeight w:val="788" w:hRule="atLeast"/>
          <w:jc w:val="center"/>
        </w:trPr>
        <w:tc>
          <w:tcPr>
            <w:tcW w:w="231" w:type="pct"/>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仿宋_GB2312" w:hAnsi="仿宋_GB2312" w:eastAsia="仿宋_GB2312" w:cs="仿宋_GB2312"/>
                <w:color w:val="000000"/>
                <w:kern w:val="0"/>
                <w:sz w:val="24"/>
                <w:szCs w:val="24"/>
                <w:lang w:val="en-US" w:eastAsia="zh-CN" w:bidi="ar-SA"/>
              </w:rPr>
            </w:pPr>
          </w:p>
          <w:p>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仿宋_GB2312" w:hAnsi="仿宋_GB2312" w:eastAsia="仿宋_GB2312" w:cs="仿宋_GB2312"/>
                <w:color w:val="000000"/>
                <w:kern w:val="0"/>
                <w:sz w:val="24"/>
                <w:szCs w:val="24"/>
                <w:lang w:val="en-US" w:eastAsia="zh-CN" w:bidi="ar-SA"/>
              </w:rPr>
            </w:pPr>
          </w:p>
          <w:p>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主要任务</w:t>
            </w:r>
          </w:p>
        </w:tc>
        <w:tc>
          <w:tcPr>
            <w:tcW w:w="562" w:type="pct"/>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任务名称</w:t>
            </w:r>
          </w:p>
        </w:tc>
        <w:tc>
          <w:tcPr>
            <w:tcW w:w="829" w:type="pct"/>
            <w:tcBorders>
              <w:top w:val="single" w:color="auto"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主要内容</w:t>
            </w:r>
          </w:p>
        </w:tc>
        <w:tc>
          <w:tcPr>
            <w:tcW w:w="498"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预算数（万元）</w:t>
            </w:r>
          </w:p>
        </w:tc>
        <w:tc>
          <w:tcPr>
            <w:tcW w:w="680"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支出总额（万元）</w:t>
            </w:r>
          </w:p>
        </w:tc>
        <w:tc>
          <w:tcPr>
            <w:tcW w:w="437"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执行进度</w:t>
            </w:r>
          </w:p>
        </w:tc>
        <w:tc>
          <w:tcPr>
            <w:tcW w:w="527"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资金结余率</w:t>
            </w:r>
          </w:p>
        </w:tc>
        <w:tc>
          <w:tcPr>
            <w:tcW w:w="1231"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完成情况</w:t>
            </w:r>
          </w:p>
        </w:tc>
      </w:tr>
      <w:tr>
        <w:tblPrEx>
          <w:tblCellMar>
            <w:top w:w="0" w:type="dxa"/>
            <w:left w:w="108" w:type="dxa"/>
            <w:bottom w:w="0" w:type="dxa"/>
            <w:right w:w="108" w:type="dxa"/>
          </w:tblCellMar>
        </w:tblPrEx>
        <w:trPr>
          <w:trHeight w:val="3825" w:hRule="atLeast"/>
          <w:jc w:val="center"/>
        </w:trPr>
        <w:tc>
          <w:tcPr>
            <w:tcW w:w="231" w:type="pct"/>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仿宋_GB2312" w:hAnsi="仿宋_GB2312" w:eastAsia="仿宋_GB2312" w:cs="仿宋_GB2312"/>
                <w:color w:val="000000"/>
                <w:kern w:val="0"/>
                <w:sz w:val="24"/>
                <w:szCs w:val="24"/>
                <w:lang w:val="en-US" w:eastAsia="zh-CN" w:bidi="ar-SA"/>
              </w:rPr>
            </w:pPr>
          </w:p>
        </w:tc>
        <w:tc>
          <w:tcPr>
            <w:tcW w:w="562"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both"/>
              <w:textAlignment w:val="auto"/>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特定目标类1：财政金财网信息化建设及运维等经费</w:t>
            </w:r>
          </w:p>
        </w:tc>
        <w:tc>
          <w:tcPr>
            <w:tcW w:w="829"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both"/>
              <w:textAlignment w:val="auto"/>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用于完成财政信息系统运行基本维护、工资数据分析平台开发建设、支付电子凭证调试、人行调试、直达资金监控系统顺利运行。</w:t>
            </w:r>
          </w:p>
        </w:tc>
        <w:tc>
          <w:tcPr>
            <w:tcW w:w="498"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default"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34.52</w:t>
            </w:r>
          </w:p>
        </w:tc>
        <w:tc>
          <w:tcPr>
            <w:tcW w:w="680"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default"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34.52</w:t>
            </w:r>
          </w:p>
        </w:tc>
        <w:tc>
          <w:tcPr>
            <w:tcW w:w="437"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default"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100%</w:t>
            </w:r>
          </w:p>
        </w:tc>
        <w:tc>
          <w:tcPr>
            <w:tcW w:w="527"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default"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0</w:t>
            </w:r>
          </w:p>
        </w:tc>
        <w:tc>
          <w:tcPr>
            <w:tcW w:w="1231"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该项目完成预期目标情况良好。</w:t>
            </w:r>
          </w:p>
        </w:tc>
      </w:tr>
      <w:tr>
        <w:tblPrEx>
          <w:tblCellMar>
            <w:top w:w="0" w:type="dxa"/>
            <w:left w:w="108" w:type="dxa"/>
            <w:bottom w:w="0" w:type="dxa"/>
            <w:right w:w="108" w:type="dxa"/>
          </w:tblCellMar>
        </w:tblPrEx>
        <w:trPr>
          <w:trHeight w:val="915" w:hRule="atLeast"/>
          <w:jc w:val="center"/>
        </w:trPr>
        <w:tc>
          <w:tcPr>
            <w:tcW w:w="231" w:type="pct"/>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仿宋_GB2312" w:hAnsi="仿宋_GB2312" w:eastAsia="仿宋_GB2312" w:cs="仿宋_GB2312"/>
                <w:color w:val="000000"/>
                <w:kern w:val="0"/>
                <w:sz w:val="24"/>
                <w:szCs w:val="24"/>
                <w:lang w:val="en-US" w:eastAsia="zh-CN" w:bidi="ar-SA"/>
              </w:rPr>
            </w:pPr>
          </w:p>
        </w:tc>
        <w:tc>
          <w:tcPr>
            <w:tcW w:w="562"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both"/>
              <w:textAlignment w:val="auto"/>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特定目标类2：财政办公区安保等物业服务费</w:t>
            </w:r>
          </w:p>
        </w:tc>
        <w:tc>
          <w:tcPr>
            <w:tcW w:w="829"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both"/>
              <w:textAlignment w:val="auto"/>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用于维持财政工作正常运转的物业管理费，如：保安服务费、保洁服务费、食堂劳务费、日常维护等，从而保障单位正常运转。</w:t>
            </w:r>
          </w:p>
        </w:tc>
        <w:tc>
          <w:tcPr>
            <w:tcW w:w="498"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default"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36.66</w:t>
            </w:r>
          </w:p>
        </w:tc>
        <w:tc>
          <w:tcPr>
            <w:tcW w:w="680"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default"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36.66</w:t>
            </w:r>
          </w:p>
        </w:tc>
        <w:tc>
          <w:tcPr>
            <w:tcW w:w="437"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default"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100%　</w:t>
            </w:r>
          </w:p>
        </w:tc>
        <w:tc>
          <w:tcPr>
            <w:tcW w:w="527"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default"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0</w:t>
            </w:r>
          </w:p>
        </w:tc>
        <w:tc>
          <w:tcPr>
            <w:tcW w:w="1231"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default"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该项目完成预期目标情况良好。</w:t>
            </w:r>
          </w:p>
        </w:tc>
      </w:tr>
      <w:tr>
        <w:tblPrEx>
          <w:tblCellMar>
            <w:top w:w="0" w:type="dxa"/>
            <w:left w:w="108" w:type="dxa"/>
            <w:bottom w:w="0" w:type="dxa"/>
            <w:right w:w="108" w:type="dxa"/>
          </w:tblCellMar>
        </w:tblPrEx>
        <w:trPr>
          <w:trHeight w:val="1695" w:hRule="atLeast"/>
          <w:jc w:val="center"/>
        </w:trPr>
        <w:tc>
          <w:tcPr>
            <w:tcW w:w="231" w:type="pct"/>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仿宋_GB2312" w:hAnsi="仿宋_GB2312" w:eastAsia="仿宋_GB2312" w:cs="仿宋_GB2312"/>
                <w:color w:val="000000"/>
                <w:kern w:val="0"/>
                <w:sz w:val="24"/>
                <w:szCs w:val="24"/>
                <w:lang w:val="en-US" w:eastAsia="zh-CN" w:bidi="ar-SA"/>
              </w:rPr>
            </w:pPr>
          </w:p>
        </w:tc>
        <w:tc>
          <w:tcPr>
            <w:tcW w:w="562"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both"/>
              <w:textAlignment w:val="auto"/>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特定目标类3：全市执法执勤车车辆GPS服务等费用</w:t>
            </w:r>
          </w:p>
        </w:tc>
        <w:tc>
          <w:tcPr>
            <w:tcW w:w="829"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both"/>
              <w:textAlignment w:val="auto"/>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用于全市执法执勤车平台维护、全市执法执勤车辆导航系统维护。</w:t>
            </w:r>
          </w:p>
        </w:tc>
        <w:tc>
          <w:tcPr>
            <w:tcW w:w="498"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default"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4.95</w:t>
            </w:r>
          </w:p>
        </w:tc>
        <w:tc>
          <w:tcPr>
            <w:tcW w:w="680"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default"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4.95</w:t>
            </w:r>
          </w:p>
        </w:tc>
        <w:tc>
          <w:tcPr>
            <w:tcW w:w="437"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default"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100%</w:t>
            </w:r>
          </w:p>
        </w:tc>
        <w:tc>
          <w:tcPr>
            <w:tcW w:w="527"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default"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0</w:t>
            </w:r>
          </w:p>
        </w:tc>
        <w:tc>
          <w:tcPr>
            <w:tcW w:w="1231"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default"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该项目完成预期目标情况良好。</w:t>
            </w:r>
          </w:p>
        </w:tc>
      </w:tr>
      <w:tr>
        <w:tblPrEx>
          <w:tblCellMar>
            <w:top w:w="0" w:type="dxa"/>
            <w:left w:w="108" w:type="dxa"/>
            <w:bottom w:w="0" w:type="dxa"/>
            <w:right w:w="108" w:type="dxa"/>
          </w:tblCellMar>
        </w:tblPrEx>
        <w:trPr>
          <w:trHeight w:val="878" w:hRule="atLeast"/>
          <w:jc w:val="center"/>
        </w:trPr>
        <w:tc>
          <w:tcPr>
            <w:tcW w:w="231" w:type="pct"/>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仿宋_GB2312" w:hAnsi="仿宋_GB2312" w:eastAsia="仿宋_GB2312" w:cs="仿宋_GB2312"/>
                <w:color w:val="000000"/>
                <w:kern w:val="0"/>
                <w:sz w:val="24"/>
                <w:szCs w:val="24"/>
                <w:lang w:val="en-US" w:eastAsia="zh-CN" w:bidi="ar-SA"/>
              </w:rPr>
            </w:pPr>
          </w:p>
        </w:tc>
        <w:tc>
          <w:tcPr>
            <w:tcW w:w="56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both"/>
              <w:textAlignment w:val="auto"/>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highlight w:val="none"/>
                <w:lang w:val="en-US" w:eastAsia="zh-CN" w:bidi="ar-SA"/>
              </w:rPr>
              <w:t>特定目标类4</w:t>
            </w:r>
            <w:r>
              <w:rPr>
                <w:rFonts w:hint="eastAsia" w:ascii="仿宋_GB2312" w:hAnsi="仿宋_GB2312" w:eastAsia="仿宋_GB2312" w:cs="仿宋_GB2312"/>
                <w:color w:val="000000"/>
                <w:kern w:val="0"/>
                <w:sz w:val="24"/>
                <w:szCs w:val="24"/>
                <w:lang w:val="en-US" w:eastAsia="zh-CN" w:bidi="ar-SA"/>
              </w:rPr>
              <w:t>：会服中心代理记账业务费</w:t>
            </w:r>
          </w:p>
        </w:tc>
        <w:tc>
          <w:tcPr>
            <w:tcW w:w="82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both"/>
              <w:textAlignment w:val="auto"/>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规范会计核算，加强会计监督，提高财务收支透明度。</w:t>
            </w:r>
          </w:p>
        </w:tc>
        <w:tc>
          <w:tcPr>
            <w:tcW w:w="49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default"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10.57</w:t>
            </w:r>
          </w:p>
        </w:tc>
        <w:tc>
          <w:tcPr>
            <w:tcW w:w="68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default"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10.57</w:t>
            </w:r>
          </w:p>
        </w:tc>
        <w:tc>
          <w:tcPr>
            <w:tcW w:w="43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100%　</w:t>
            </w:r>
          </w:p>
        </w:tc>
        <w:tc>
          <w:tcPr>
            <w:tcW w:w="52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default"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0</w:t>
            </w:r>
          </w:p>
        </w:tc>
        <w:tc>
          <w:tcPr>
            <w:tcW w:w="123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该项目完成预期目标情况良好。</w:t>
            </w:r>
          </w:p>
        </w:tc>
      </w:tr>
      <w:tr>
        <w:tblPrEx>
          <w:tblCellMar>
            <w:top w:w="0" w:type="dxa"/>
            <w:left w:w="108" w:type="dxa"/>
            <w:bottom w:w="0" w:type="dxa"/>
            <w:right w:w="108" w:type="dxa"/>
          </w:tblCellMar>
        </w:tblPrEx>
        <w:trPr>
          <w:trHeight w:val="1388" w:hRule="atLeast"/>
          <w:jc w:val="center"/>
        </w:trPr>
        <w:tc>
          <w:tcPr>
            <w:tcW w:w="231" w:type="pct"/>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仿宋_GB2312" w:hAnsi="仿宋_GB2312" w:eastAsia="仿宋_GB2312" w:cs="仿宋_GB2312"/>
                <w:color w:val="000000"/>
                <w:kern w:val="0"/>
                <w:sz w:val="24"/>
                <w:szCs w:val="24"/>
                <w:lang w:val="en-US" w:eastAsia="zh-CN" w:bidi="ar-SA"/>
              </w:rPr>
            </w:pPr>
          </w:p>
        </w:tc>
        <w:tc>
          <w:tcPr>
            <w:tcW w:w="562" w:type="pct"/>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both"/>
              <w:textAlignment w:val="auto"/>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highlight w:val="none"/>
                <w:lang w:val="en-US" w:eastAsia="zh-CN" w:bidi="ar-SA"/>
              </w:rPr>
              <w:t>特定目标类5</w:t>
            </w:r>
            <w:r>
              <w:rPr>
                <w:rFonts w:hint="eastAsia" w:ascii="仿宋_GB2312" w:hAnsi="仿宋_GB2312" w:eastAsia="仿宋_GB2312" w:cs="仿宋_GB2312"/>
                <w:color w:val="000000"/>
                <w:kern w:val="0"/>
                <w:sz w:val="24"/>
                <w:szCs w:val="24"/>
                <w:lang w:val="en-US" w:eastAsia="zh-CN" w:bidi="ar-SA"/>
              </w:rPr>
              <w:t>：评审专项业务费</w:t>
            </w:r>
          </w:p>
        </w:tc>
        <w:tc>
          <w:tcPr>
            <w:tcW w:w="829"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both"/>
              <w:textAlignment w:val="auto"/>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用于持续政府投资项目评审，进一步强化项目现场监管力度，保障财政评审工作顺利开展。</w:t>
            </w:r>
          </w:p>
        </w:tc>
        <w:tc>
          <w:tcPr>
            <w:tcW w:w="498"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default"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43.83</w:t>
            </w:r>
          </w:p>
        </w:tc>
        <w:tc>
          <w:tcPr>
            <w:tcW w:w="680"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default"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43.83</w:t>
            </w:r>
          </w:p>
        </w:tc>
        <w:tc>
          <w:tcPr>
            <w:tcW w:w="437"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100%</w:t>
            </w:r>
          </w:p>
        </w:tc>
        <w:tc>
          <w:tcPr>
            <w:tcW w:w="527"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default"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0</w:t>
            </w:r>
          </w:p>
        </w:tc>
        <w:tc>
          <w:tcPr>
            <w:tcW w:w="1231"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该项目完成预期目标情况良好。</w:t>
            </w:r>
          </w:p>
        </w:tc>
      </w:tr>
      <w:tr>
        <w:tblPrEx>
          <w:tblCellMar>
            <w:top w:w="0" w:type="dxa"/>
            <w:left w:w="108" w:type="dxa"/>
            <w:bottom w:w="0" w:type="dxa"/>
            <w:right w:w="108" w:type="dxa"/>
          </w:tblCellMar>
        </w:tblPrEx>
        <w:trPr>
          <w:trHeight w:val="1851" w:hRule="atLeast"/>
          <w:jc w:val="center"/>
        </w:trPr>
        <w:tc>
          <w:tcPr>
            <w:tcW w:w="231" w:type="pct"/>
            <w:tcBorders>
              <w:top w:val="nil"/>
              <w:left w:val="single" w:color="auto" w:sz="4" w:space="0"/>
              <w:bottom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仿宋_GB2312" w:hAnsi="仿宋_GB2312" w:eastAsia="仿宋_GB2312" w:cs="仿宋_GB2312"/>
                <w:color w:val="000000"/>
                <w:kern w:val="0"/>
                <w:sz w:val="24"/>
                <w:szCs w:val="24"/>
                <w:lang w:val="en-US" w:eastAsia="zh-CN" w:bidi="ar-SA"/>
              </w:rPr>
            </w:pPr>
          </w:p>
        </w:tc>
        <w:tc>
          <w:tcPr>
            <w:tcW w:w="562" w:type="pct"/>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both"/>
              <w:textAlignment w:val="auto"/>
              <w:rPr>
                <w:rFonts w:hint="default"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特点目标类6：人大预算联网监督、国库集中支付等系统运维费</w:t>
            </w:r>
          </w:p>
        </w:tc>
        <w:tc>
          <w:tcPr>
            <w:tcW w:w="829"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both"/>
              <w:textAlignment w:val="auto"/>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实施人大预算联网监督及国库集中支付等系统维护，保障国库集中支付。</w:t>
            </w:r>
          </w:p>
        </w:tc>
        <w:tc>
          <w:tcPr>
            <w:tcW w:w="498"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default"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0.07</w:t>
            </w:r>
          </w:p>
        </w:tc>
        <w:tc>
          <w:tcPr>
            <w:tcW w:w="680"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default"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0.07</w:t>
            </w:r>
          </w:p>
        </w:tc>
        <w:tc>
          <w:tcPr>
            <w:tcW w:w="437"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100%</w:t>
            </w:r>
          </w:p>
        </w:tc>
        <w:tc>
          <w:tcPr>
            <w:tcW w:w="527"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0</w:t>
            </w:r>
          </w:p>
        </w:tc>
        <w:tc>
          <w:tcPr>
            <w:tcW w:w="1231"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该项目完成预期目标情况良好。</w:t>
            </w:r>
          </w:p>
        </w:tc>
      </w:tr>
      <w:tr>
        <w:tblPrEx>
          <w:tblCellMar>
            <w:top w:w="0" w:type="dxa"/>
            <w:left w:w="108" w:type="dxa"/>
            <w:bottom w:w="0" w:type="dxa"/>
            <w:right w:w="108" w:type="dxa"/>
          </w:tblCellMar>
        </w:tblPrEx>
        <w:trPr>
          <w:trHeight w:val="1851" w:hRule="atLeast"/>
          <w:jc w:val="center"/>
        </w:trPr>
        <w:tc>
          <w:tcPr>
            <w:tcW w:w="231" w:type="pct"/>
            <w:tcBorders>
              <w:top w:val="nil"/>
              <w:left w:val="single" w:color="auto" w:sz="4" w:space="0"/>
              <w:bottom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仿宋_GB2312" w:hAnsi="仿宋_GB2312" w:eastAsia="仿宋_GB2312" w:cs="仿宋_GB2312"/>
                <w:color w:val="000000"/>
                <w:kern w:val="0"/>
                <w:sz w:val="24"/>
                <w:szCs w:val="24"/>
                <w:lang w:val="en-US" w:eastAsia="zh-CN" w:bidi="ar-SA"/>
              </w:rPr>
            </w:pPr>
          </w:p>
        </w:tc>
        <w:tc>
          <w:tcPr>
            <w:tcW w:w="562" w:type="pct"/>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both"/>
              <w:textAlignment w:val="auto"/>
              <w:rPr>
                <w:rFonts w:hint="default"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特定目标类7：财政预算一体化系统运维服务等费用</w:t>
            </w:r>
          </w:p>
        </w:tc>
        <w:tc>
          <w:tcPr>
            <w:tcW w:w="829"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both"/>
              <w:textAlignment w:val="auto"/>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保障全市预算管理一体化系统正常运行。</w:t>
            </w:r>
          </w:p>
        </w:tc>
        <w:tc>
          <w:tcPr>
            <w:tcW w:w="498"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default"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15.53</w:t>
            </w:r>
          </w:p>
        </w:tc>
        <w:tc>
          <w:tcPr>
            <w:tcW w:w="680"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default"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15.53</w:t>
            </w:r>
          </w:p>
        </w:tc>
        <w:tc>
          <w:tcPr>
            <w:tcW w:w="437"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100%</w:t>
            </w:r>
          </w:p>
        </w:tc>
        <w:tc>
          <w:tcPr>
            <w:tcW w:w="527"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0</w:t>
            </w:r>
          </w:p>
        </w:tc>
        <w:tc>
          <w:tcPr>
            <w:tcW w:w="1231"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该项目完成预期目标情况良好。</w:t>
            </w:r>
          </w:p>
        </w:tc>
      </w:tr>
      <w:tr>
        <w:tblPrEx>
          <w:tblCellMar>
            <w:top w:w="0" w:type="dxa"/>
            <w:left w:w="108" w:type="dxa"/>
            <w:bottom w:w="0" w:type="dxa"/>
            <w:right w:w="108" w:type="dxa"/>
          </w:tblCellMar>
        </w:tblPrEx>
        <w:trPr>
          <w:trHeight w:val="2362" w:hRule="atLeast"/>
          <w:jc w:val="center"/>
        </w:trPr>
        <w:tc>
          <w:tcPr>
            <w:tcW w:w="231" w:type="pct"/>
            <w:tcBorders>
              <w:top w:val="nil"/>
              <w:left w:val="single" w:color="auto" w:sz="4" w:space="0"/>
              <w:bottom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仿宋_GB2312" w:hAnsi="仿宋_GB2312" w:eastAsia="仿宋_GB2312" w:cs="仿宋_GB2312"/>
                <w:color w:val="000000"/>
                <w:kern w:val="0"/>
                <w:sz w:val="24"/>
                <w:szCs w:val="24"/>
                <w:lang w:val="en-US" w:eastAsia="zh-CN" w:bidi="ar-SA"/>
              </w:rPr>
            </w:pPr>
          </w:p>
        </w:tc>
        <w:tc>
          <w:tcPr>
            <w:tcW w:w="562" w:type="pct"/>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both"/>
              <w:textAlignment w:val="auto"/>
              <w:rPr>
                <w:rFonts w:hint="default"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特定目标类8：专项债一案两书编制经费</w:t>
            </w:r>
          </w:p>
        </w:tc>
        <w:tc>
          <w:tcPr>
            <w:tcW w:w="829"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both"/>
              <w:textAlignment w:val="auto"/>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完成新入库的专项债券项目以及成功发行的专项债券项目一案两书。</w:t>
            </w:r>
          </w:p>
        </w:tc>
        <w:tc>
          <w:tcPr>
            <w:tcW w:w="498"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default"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36.8</w:t>
            </w:r>
          </w:p>
        </w:tc>
        <w:tc>
          <w:tcPr>
            <w:tcW w:w="680"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default"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36.8</w:t>
            </w:r>
          </w:p>
        </w:tc>
        <w:tc>
          <w:tcPr>
            <w:tcW w:w="437"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100%</w:t>
            </w:r>
          </w:p>
        </w:tc>
        <w:tc>
          <w:tcPr>
            <w:tcW w:w="527"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0</w:t>
            </w:r>
          </w:p>
        </w:tc>
        <w:tc>
          <w:tcPr>
            <w:tcW w:w="1231"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该项目完成预期目标情况良好。</w:t>
            </w:r>
          </w:p>
        </w:tc>
      </w:tr>
      <w:tr>
        <w:tblPrEx>
          <w:tblCellMar>
            <w:top w:w="0" w:type="dxa"/>
            <w:left w:w="108" w:type="dxa"/>
            <w:bottom w:w="0" w:type="dxa"/>
            <w:right w:w="108" w:type="dxa"/>
          </w:tblCellMar>
        </w:tblPrEx>
        <w:trPr>
          <w:trHeight w:val="2708" w:hRule="atLeast"/>
          <w:jc w:val="center"/>
        </w:trPr>
        <w:tc>
          <w:tcPr>
            <w:tcW w:w="231" w:type="pct"/>
            <w:tcBorders>
              <w:top w:val="nil"/>
              <w:left w:val="single" w:color="auto" w:sz="4" w:space="0"/>
              <w:bottom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仿宋_GB2312" w:hAnsi="仿宋_GB2312" w:eastAsia="仿宋_GB2312" w:cs="仿宋_GB2312"/>
                <w:color w:val="000000"/>
                <w:kern w:val="0"/>
                <w:sz w:val="24"/>
                <w:szCs w:val="24"/>
                <w:lang w:val="en-US" w:eastAsia="zh-CN" w:bidi="ar-SA"/>
              </w:rPr>
            </w:pPr>
          </w:p>
        </w:tc>
        <w:tc>
          <w:tcPr>
            <w:tcW w:w="562" w:type="pct"/>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both"/>
              <w:textAlignment w:val="auto"/>
              <w:rPr>
                <w:rFonts w:hint="default"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特定目标类9：（春节前）峨眉山市市属国有企业年报审计报告费用</w:t>
            </w:r>
          </w:p>
        </w:tc>
        <w:tc>
          <w:tcPr>
            <w:tcW w:w="829"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both"/>
              <w:textAlignment w:val="auto"/>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及时完整出具财务报告，提供咨询服务。</w:t>
            </w:r>
          </w:p>
        </w:tc>
        <w:tc>
          <w:tcPr>
            <w:tcW w:w="498"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default"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10.6</w:t>
            </w:r>
          </w:p>
        </w:tc>
        <w:tc>
          <w:tcPr>
            <w:tcW w:w="680"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default"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10.6</w:t>
            </w:r>
          </w:p>
        </w:tc>
        <w:tc>
          <w:tcPr>
            <w:tcW w:w="437"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100%</w:t>
            </w:r>
          </w:p>
        </w:tc>
        <w:tc>
          <w:tcPr>
            <w:tcW w:w="527"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0</w:t>
            </w:r>
          </w:p>
        </w:tc>
        <w:tc>
          <w:tcPr>
            <w:tcW w:w="1231"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该项目完成预期目标情况良好。</w:t>
            </w:r>
          </w:p>
        </w:tc>
      </w:tr>
      <w:tr>
        <w:tblPrEx>
          <w:tblCellMar>
            <w:top w:w="0" w:type="dxa"/>
            <w:left w:w="108" w:type="dxa"/>
            <w:bottom w:w="0" w:type="dxa"/>
            <w:right w:w="108" w:type="dxa"/>
          </w:tblCellMar>
        </w:tblPrEx>
        <w:trPr>
          <w:trHeight w:val="2708" w:hRule="atLeast"/>
          <w:jc w:val="center"/>
        </w:trPr>
        <w:tc>
          <w:tcPr>
            <w:tcW w:w="231" w:type="pct"/>
            <w:tcBorders>
              <w:top w:val="nil"/>
              <w:left w:val="single" w:color="auto" w:sz="4" w:space="0"/>
              <w:bottom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仿宋_GB2312" w:hAnsi="仿宋_GB2312" w:eastAsia="仿宋_GB2312" w:cs="仿宋_GB2312"/>
                <w:color w:val="000000"/>
                <w:kern w:val="0"/>
                <w:sz w:val="24"/>
                <w:szCs w:val="24"/>
                <w:lang w:val="en-US" w:eastAsia="zh-CN" w:bidi="ar-SA"/>
              </w:rPr>
            </w:pPr>
          </w:p>
        </w:tc>
        <w:tc>
          <w:tcPr>
            <w:tcW w:w="562" w:type="pct"/>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both"/>
              <w:textAlignment w:val="auto"/>
              <w:rPr>
                <w:rFonts w:hint="default"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特定目标类10：全市绩效管理聘请第三方机构及专项检查等经费</w:t>
            </w:r>
          </w:p>
        </w:tc>
        <w:tc>
          <w:tcPr>
            <w:tcW w:w="829"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both"/>
              <w:textAlignment w:val="auto"/>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完成全市预算绩效管理工作及财政专项监督检查。</w:t>
            </w:r>
          </w:p>
        </w:tc>
        <w:tc>
          <w:tcPr>
            <w:tcW w:w="498"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default"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12.22</w:t>
            </w:r>
          </w:p>
        </w:tc>
        <w:tc>
          <w:tcPr>
            <w:tcW w:w="680"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default"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12.22</w:t>
            </w:r>
          </w:p>
        </w:tc>
        <w:tc>
          <w:tcPr>
            <w:tcW w:w="437"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default"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100%</w:t>
            </w:r>
          </w:p>
        </w:tc>
        <w:tc>
          <w:tcPr>
            <w:tcW w:w="527"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default"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0</w:t>
            </w:r>
          </w:p>
        </w:tc>
        <w:tc>
          <w:tcPr>
            <w:tcW w:w="1231"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该项目完成预期目标情况良好。</w:t>
            </w:r>
          </w:p>
        </w:tc>
      </w:tr>
      <w:tr>
        <w:tblPrEx>
          <w:tblCellMar>
            <w:top w:w="0" w:type="dxa"/>
            <w:left w:w="108" w:type="dxa"/>
            <w:bottom w:w="0" w:type="dxa"/>
            <w:right w:w="108" w:type="dxa"/>
          </w:tblCellMar>
        </w:tblPrEx>
        <w:trPr>
          <w:trHeight w:val="3006" w:hRule="atLeast"/>
          <w:jc w:val="center"/>
        </w:trPr>
        <w:tc>
          <w:tcPr>
            <w:tcW w:w="231" w:type="pct"/>
            <w:tcBorders>
              <w:top w:val="nil"/>
              <w:left w:val="single" w:color="auto" w:sz="4" w:space="0"/>
              <w:bottom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仿宋_GB2312" w:hAnsi="仿宋_GB2312" w:eastAsia="仿宋_GB2312" w:cs="仿宋_GB2312"/>
                <w:color w:val="000000"/>
                <w:kern w:val="0"/>
                <w:sz w:val="24"/>
                <w:szCs w:val="24"/>
                <w:lang w:val="en-US" w:eastAsia="zh-CN" w:bidi="ar-SA"/>
              </w:rPr>
            </w:pPr>
          </w:p>
        </w:tc>
        <w:tc>
          <w:tcPr>
            <w:tcW w:w="562" w:type="pct"/>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both"/>
              <w:textAlignment w:val="auto"/>
              <w:rPr>
                <w:rFonts w:hint="default"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特定目标类11：人才安家补助</w:t>
            </w:r>
          </w:p>
        </w:tc>
        <w:tc>
          <w:tcPr>
            <w:tcW w:w="829"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both"/>
              <w:textAlignment w:val="auto"/>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落实人才待遇。</w:t>
            </w:r>
          </w:p>
        </w:tc>
        <w:tc>
          <w:tcPr>
            <w:tcW w:w="498"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default"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1.25</w:t>
            </w:r>
          </w:p>
        </w:tc>
        <w:tc>
          <w:tcPr>
            <w:tcW w:w="680"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default"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1.25</w:t>
            </w:r>
          </w:p>
        </w:tc>
        <w:tc>
          <w:tcPr>
            <w:tcW w:w="437"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100%</w:t>
            </w:r>
          </w:p>
        </w:tc>
        <w:tc>
          <w:tcPr>
            <w:tcW w:w="527"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0</w:t>
            </w:r>
          </w:p>
        </w:tc>
        <w:tc>
          <w:tcPr>
            <w:tcW w:w="1231"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该项目完成预期目标情况良好。</w:t>
            </w:r>
          </w:p>
        </w:tc>
      </w:tr>
      <w:tr>
        <w:tblPrEx>
          <w:tblCellMar>
            <w:top w:w="0" w:type="dxa"/>
            <w:left w:w="108" w:type="dxa"/>
            <w:bottom w:w="0" w:type="dxa"/>
            <w:right w:w="108" w:type="dxa"/>
          </w:tblCellMar>
        </w:tblPrEx>
        <w:trPr>
          <w:trHeight w:val="3006" w:hRule="atLeast"/>
          <w:jc w:val="center"/>
        </w:trPr>
        <w:tc>
          <w:tcPr>
            <w:tcW w:w="231"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仿宋_GB2312" w:hAnsi="仿宋_GB2312" w:eastAsia="仿宋_GB2312" w:cs="仿宋_GB2312"/>
                <w:color w:val="000000"/>
                <w:kern w:val="0"/>
                <w:sz w:val="24"/>
                <w:szCs w:val="24"/>
                <w:lang w:val="en-US" w:eastAsia="zh-CN" w:bidi="ar-SA"/>
              </w:rPr>
            </w:pPr>
          </w:p>
        </w:tc>
        <w:tc>
          <w:tcPr>
            <w:tcW w:w="562" w:type="pct"/>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both"/>
              <w:textAlignment w:val="auto"/>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特定目标类12：全市非税电子化收缴及票据管理经费</w:t>
            </w:r>
          </w:p>
        </w:tc>
        <w:tc>
          <w:tcPr>
            <w:tcW w:w="829"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both"/>
              <w:textAlignment w:val="auto"/>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完成全市非税电子化收缴及票据管理。</w:t>
            </w:r>
          </w:p>
        </w:tc>
        <w:tc>
          <w:tcPr>
            <w:tcW w:w="498"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default"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27.18</w:t>
            </w:r>
          </w:p>
        </w:tc>
        <w:tc>
          <w:tcPr>
            <w:tcW w:w="680"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default"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27.18</w:t>
            </w:r>
          </w:p>
        </w:tc>
        <w:tc>
          <w:tcPr>
            <w:tcW w:w="437"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100%</w:t>
            </w:r>
          </w:p>
        </w:tc>
        <w:tc>
          <w:tcPr>
            <w:tcW w:w="527"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0</w:t>
            </w:r>
          </w:p>
        </w:tc>
        <w:tc>
          <w:tcPr>
            <w:tcW w:w="1231"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该项目完成预期目标情况良好。</w:t>
            </w:r>
          </w:p>
        </w:tc>
      </w:tr>
    </w:tbl>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Calibri" w:eastAsia="仿宋_GB2312" w:cs="Times New Roman"/>
          <w:color w:val="000000"/>
          <w:kern w:val="0"/>
          <w:sz w:val="32"/>
          <w:szCs w:val="32"/>
          <w:highlight w:val="none"/>
          <w:lang w:val="zh-CN"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Calibri" w:eastAsia="仿宋_GB2312" w:cs="Times New Roman"/>
          <w:color w:val="000000"/>
          <w:kern w:val="0"/>
          <w:sz w:val="32"/>
          <w:szCs w:val="32"/>
          <w:highlight w:val="none"/>
          <w:lang w:val="zh-CN" w:eastAsia="zh-CN"/>
        </w:rPr>
      </w:pPr>
      <w:r>
        <w:rPr>
          <w:rFonts w:hint="eastAsia" w:ascii="仿宋_GB2312" w:hAnsi="Calibri" w:eastAsia="仿宋_GB2312" w:cs="Times New Roman"/>
          <w:color w:val="000000"/>
          <w:kern w:val="0"/>
          <w:sz w:val="32"/>
          <w:szCs w:val="32"/>
          <w:highlight w:val="none"/>
          <w:lang w:val="zh-CN" w:eastAsia="zh-CN"/>
        </w:rPr>
        <w:t>（三）绩效结果应用情况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Calibri" w:eastAsia="仿宋_GB2312" w:cs="Times New Roman"/>
          <w:color w:val="000000"/>
          <w:kern w:val="0"/>
          <w:sz w:val="32"/>
          <w:szCs w:val="32"/>
          <w:highlight w:val="none"/>
          <w:lang w:val="en-US" w:eastAsia="zh-CN"/>
        </w:rPr>
      </w:pPr>
      <w:r>
        <w:rPr>
          <w:rFonts w:hint="eastAsia" w:ascii="仿宋_GB2312" w:hAnsi="Calibri" w:eastAsia="仿宋_GB2312" w:cs="Times New Roman"/>
          <w:color w:val="000000"/>
          <w:kern w:val="0"/>
          <w:sz w:val="32"/>
          <w:szCs w:val="32"/>
          <w:highlight w:val="none"/>
          <w:lang w:val="zh-CN" w:eastAsia="zh-CN"/>
        </w:rPr>
        <w:t>峨眉山市财政局认真开展绩效目标自评工作，绩效目标随同预决算及时向社会公开，收支管理严格按照财务管理制度和相关文件执行，绩效结果应用情况自评良好，评价结果及时报告，并针对工作中的不足及时改进。</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1"/>
        <w:rPr>
          <w:rFonts w:hint="eastAsia" w:ascii="黑体" w:eastAsia="黑体"/>
          <w:b w:val="0"/>
          <w:bCs/>
          <w:sz w:val="32"/>
          <w:szCs w:val="32"/>
          <w:lang w:val="zh-CN" w:eastAsia="zh-CN"/>
        </w:rPr>
      </w:pPr>
      <w:r>
        <w:rPr>
          <w:rFonts w:hint="eastAsia" w:ascii="黑体" w:eastAsia="黑体"/>
          <w:b w:val="0"/>
          <w:bCs/>
          <w:sz w:val="32"/>
          <w:szCs w:val="32"/>
          <w:lang w:val="zh-CN" w:eastAsia="zh-CN"/>
        </w:rPr>
        <w:t>四、评价结论及建议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Calibri" w:eastAsia="仿宋_GB2312" w:cs="Times New Roman"/>
          <w:color w:val="000000"/>
          <w:kern w:val="0"/>
          <w:sz w:val="32"/>
          <w:szCs w:val="32"/>
          <w:highlight w:val="none"/>
          <w:lang w:val="zh-CN" w:eastAsia="zh-CN"/>
        </w:rPr>
      </w:pPr>
      <w:r>
        <w:rPr>
          <w:rFonts w:hint="eastAsia" w:ascii="仿宋_GB2312" w:hAnsi="Calibri" w:eastAsia="仿宋_GB2312" w:cs="Times New Roman"/>
          <w:color w:val="000000"/>
          <w:kern w:val="0"/>
          <w:sz w:val="32"/>
          <w:szCs w:val="32"/>
          <w:highlight w:val="none"/>
          <w:lang w:val="zh-CN" w:eastAsia="zh-CN"/>
        </w:rPr>
        <w:t>（一）评价结论</w:t>
      </w:r>
    </w:p>
    <w:p>
      <w:pPr>
        <w:keepNext w:val="0"/>
        <w:keepLines w:val="0"/>
        <w:pageBreakBefore w:val="0"/>
        <w:widowControl/>
        <w:kinsoku/>
        <w:wordWrap/>
        <w:overflowPunct/>
        <w:topLinePunct w:val="0"/>
        <w:autoSpaceDE/>
        <w:autoSpaceDN/>
        <w:bidi w:val="0"/>
        <w:adjustRightInd w:val="0"/>
        <w:snapToGrid w:val="0"/>
        <w:spacing w:line="600" w:lineRule="exact"/>
        <w:ind w:firstLine="720"/>
        <w:jc w:val="left"/>
        <w:textAlignment w:val="auto"/>
        <w:rPr>
          <w:rFonts w:hint="eastAsia" w:ascii="仿宋_GB2312" w:hAnsi="Calibri" w:eastAsia="仿宋_GB2312" w:cs="仿宋"/>
          <w:color w:val="000000"/>
          <w:kern w:val="0"/>
          <w:sz w:val="32"/>
          <w:szCs w:val="32"/>
          <w:lang w:val="zh-CN" w:eastAsia="zh-CN" w:bidi="ar-SA"/>
        </w:rPr>
      </w:pPr>
      <w:r>
        <w:rPr>
          <w:rFonts w:hint="eastAsia" w:ascii="仿宋_GB2312" w:hAnsi="Calibri" w:eastAsia="仿宋_GB2312" w:cs="仿宋"/>
          <w:color w:val="000000"/>
          <w:kern w:val="0"/>
          <w:sz w:val="32"/>
          <w:szCs w:val="32"/>
          <w:lang w:val="zh-CN" w:eastAsia="zh-CN" w:bidi="ar-SA"/>
        </w:rPr>
        <w:t>优，100分。预算管理25分，其中：预算编制质量6分、非税收入4分、政府购买服务政策执行2分、支出执行情况4分、预算分配进度4分、严控一般性支出5分；财务管理6分，其中：财务岗位设置2分、财务管理规范4分；资产管理8分，其中：资产利用率2分、账账相符2分、资产管理规范4分；采购管理6分，其中：支持中小企业发展2分、采购管理规范4分；项目决策12分，其中：决策程序4分、目标设置4分、项目入库4分；项目执行12分，其中：执行同向4分、项目调整4分、执行结果4分；目标实现11分，其中：目标完成4分、目标偏离4分、实现效果3分；内控管理5分，履职效能15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Calibri" w:eastAsia="仿宋_GB2312" w:cs="Times New Roman"/>
          <w:color w:val="000000"/>
          <w:kern w:val="0"/>
          <w:sz w:val="32"/>
          <w:szCs w:val="32"/>
          <w:highlight w:val="none"/>
          <w:lang w:val="zh-CN" w:eastAsia="zh-CN"/>
        </w:rPr>
      </w:pPr>
      <w:r>
        <w:rPr>
          <w:rFonts w:hint="eastAsia" w:ascii="仿宋_GB2312" w:hAnsi="Calibri" w:eastAsia="仿宋_GB2312" w:cs="Times New Roman"/>
          <w:color w:val="000000"/>
          <w:kern w:val="0"/>
          <w:sz w:val="32"/>
          <w:szCs w:val="32"/>
          <w:highlight w:val="none"/>
          <w:lang w:val="zh-CN" w:eastAsia="zh-CN"/>
        </w:rPr>
        <w:t>（二）存在问题</w:t>
      </w:r>
    </w:p>
    <w:p>
      <w:pPr>
        <w:keepNext w:val="0"/>
        <w:keepLines w:val="0"/>
        <w:pageBreakBefore w:val="0"/>
        <w:widowControl/>
        <w:kinsoku/>
        <w:wordWrap/>
        <w:overflowPunct/>
        <w:topLinePunct w:val="0"/>
        <w:autoSpaceDE/>
        <w:autoSpaceDN/>
        <w:bidi w:val="0"/>
        <w:adjustRightInd w:val="0"/>
        <w:snapToGrid w:val="0"/>
        <w:spacing w:line="600" w:lineRule="exact"/>
        <w:ind w:firstLine="720"/>
        <w:jc w:val="left"/>
        <w:textAlignment w:val="auto"/>
        <w:rPr>
          <w:rFonts w:hint="eastAsia" w:ascii="仿宋_GB2312" w:hAnsi="Calibri" w:eastAsia="仿宋_GB2312" w:cs="仿宋"/>
          <w:color w:val="000000"/>
          <w:kern w:val="0"/>
          <w:sz w:val="32"/>
          <w:szCs w:val="32"/>
          <w:lang w:val="zh-CN" w:eastAsia="zh-CN" w:bidi="ar-SA"/>
        </w:rPr>
      </w:pPr>
      <w:r>
        <w:rPr>
          <w:rFonts w:hint="eastAsia" w:ascii="仿宋_GB2312" w:hAnsi="Calibri" w:eastAsia="仿宋_GB2312" w:cs="仿宋"/>
          <w:color w:val="000000"/>
          <w:kern w:val="0"/>
          <w:sz w:val="32"/>
          <w:szCs w:val="32"/>
          <w:lang w:val="zh-CN" w:eastAsia="zh-CN" w:bidi="ar-SA"/>
        </w:rPr>
        <w:t>年初部门预算编制质量有待提高。项目资金的预算编制应多考察、论证，提高准确率。</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Calibri" w:eastAsia="仿宋_GB2312" w:cs="Times New Roman"/>
          <w:color w:val="000000"/>
          <w:kern w:val="0"/>
          <w:sz w:val="32"/>
          <w:szCs w:val="32"/>
          <w:highlight w:val="none"/>
          <w:lang w:val="zh-CN" w:eastAsia="zh-CN"/>
        </w:rPr>
      </w:pPr>
      <w:r>
        <w:rPr>
          <w:rFonts w:hint="eastAsia" w:ascii="仿宋_GB2312" w:hAnsi="Calibri" w:eastAsia="仿宋_GB2312" w:cs="Times New Roman"/>
          <w:color w:val="000000"/>
          <w:kern w:val="0"/>
          <w:sz w:val="32"/>
          <w:szCs w:val="32"/>
          <w:highlight w:val="none"/>
          <w:lang w:val="zh-CN" w:eastAsia="zh-CN"/>
        </w:rPr>
        <w:t>（三）改进建议</w:t>
      </w:r>
    </w:p>
    <w:p>
      <w:pPr>
        <w:widowControl/>
        <w:adjustRightInd w:val="0"/>
        <w:snapToGrid w:val="0"/>
        <w:spacing w:line="580" w:lineRule="exact"/>
        <w:ind w:firstLine="640" w:firstLineChars="200"/>
        <w:contextualSpacing/>
        <w:jc w:val="left"/>
        <w:rPr>
          <w:rFonts w:hint="eastAsia" w:ascii="仿宋_GB2312" w:hAnsi="Calibri" w:eastAsia="仿宋_GB2312" w:cs="仿宋"/>
          <w:color w:val="000000"/>
          <w:kern w:val="0"/>
          <w:sz w:val="32"/>
          <w:szCs w:val="32"/>
          <w:lang w:val="zh-CN" w:eastAsia="zh-CN" w:bidi="ar-SA"/>
        </w:rPr>
      </w:pPr>
      <w:r>
        <w:rPr>
          <w:rFonts w:hint="eastAsia" w:ascii="仿宋_GB2312" w:hAnsi="Calibri" w:eastAsia="仿宋_GB2312" w:cs="仿宋"/>
          <w:color w:val="000000"/>
          <w:kern w:val="0"/>
          <w:sz w:val="32"/>
          <w:szCs w:val="32"/>
          <w:lang w:val="zh-CN" w:eastAsia="zh-CN" w:bidi="ar-SA"/>
        </w:rPr>
        <w:t>1．细化预算编制工作，认真做好预算的编制。进一步加强预算管理意识，严格按照预算编制的相关制度和要求进行预算编制；全面编制预算项目，优先保障固定性的、相对刚性的费用支出项目，尽量压缩变动性的、有控制空间的费用项目，进一步提高预算编制的科学性、严谨性和可控性。加强内部预算编制的审核和预算控制指标的下达。</w:t>
      </w:r>
    </w:p>
    <w:p>
      <w:pPr>
        <w:widowControl/>
        <w:adjustRightInd w:val="0"/>
        <w:snapToGrid w:val="0"/>
        <w:spacing w:line="580" w:lineRule="exact"/>
        <w:ind w:firstLine="640" w:firstLineChars="200"/>
        <w:contextualSpacing/>
        <w:jc w:val="left"/>
        <w:rPr>
          <w:rFonts w:hint="eastAsia" w:ascii="仿宋_GB2312" w:hAnsi="Calibri" w:eastAsia="仿宋_GB2312" w:cs="仿宋"/>
          <w:color w:val="000000"/>
          <w:kern w:val="0"/>
          <w:sz w:val="32"/>
          <w:szCs w:val="32"/>
          <w:lang w:val="zh-CN" w:eastAsia="zh-CN" w:bidi="ar-SA"/>
        </w:rPr>
      </w:pPr>
      <w:r>
        <w:rPr>
          <w:rFonts w:hint="eastAsia" w:ascii="仿宋_GB2312" w:hAnsi="Calibri" w:eastAsia="仿宋_GB2312" w:cs="仿宋"/>
          <w:color w:val="000000"/>
          <w:kern w:val="0"/>
          <w:sz w:val="32"/>
          <w:szCs w:val="32"/>
          <w:lang w:val="zh-CN" w:eastAsia="zh-CN" w:bidi="ar-SA"/>
        </w:rPr>
        <w:t>2．加强财务管理，严格财务审核。加强我单位财务管理，厉行节约，健全单位财务管理制度体系，规范财务行为。</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pPr>
        <w:pStyle w:val="16"/>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pStyle w:val="16"/>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pStyle w:val="16"/>
        <w:rPr>
          <w:rFonts w:hint="eastAsia" w:ascii="仿宋_GB2312" w:hAnsi="仿宋_GB2312" w:eastAsia="仿宋_GB2312" w:cs="仿宋_GB2312"/>
          <w:sz w:val="32"/>
          <w:szCs w:val="32"/>
        </w:rPr>
      </w:pPr>
    </w:p>
    <w:p>
      <w:pPr>
        <w:ind w:firstLine="640" w:firstLineChars="200"/>
        <w:rPr>
          <w:rFonts w:hint="eastAsia" w:ascii="仿宋_GB2312" w:hAnsi="仿宋_GB2312" w:eastAsia="仿宋_GB2312" w:cs="仿宋_GB2312"/>
          <w:sz w:val="32"/>
          <w:szCs w:val="32"/>
        </w:rPr>
      </w:pPr>
    </w:p>
    <w:p>
      <w:pPr>
        <w:ind w:firstLine="640" w:firstLineChars="200"/>
        <w:rPr>
          <w:rFonts w:hint="eastAsia" w:ascii="仿宋_GB2312" w:hAnsi="仿宋_GB2312" w:eastAsia="仿宋_GB2312" w:cs="仿宋_GB2312"/>
          <w:sz w:val="32"/>
          <w:szCs w:val="32"/>
        </w:rPr>
      </w:pPr>
    </w:p>
    <w:p>
      <w:pPr>
        <w:ind w:firstLine="640" w:firstLineChars="200"/>
        <w:rPr>
          <w:rFonts w:hint="eastAsia" w:ascii="仿宋_GB2312" w:hAnsi="仿宋_GB2312" w:eastAsia="仿宋_GB2312" w:cs="仿宋_GB2312"/>
          <w:sz w:val="32"/>
          <w:szCs w:val="32"/>
        </w:rPr>
      </w:pPr>
    </w:p>
    <w:p>
      <w:pPr>
        <w:ind w:firstLine="640" w:firstLineChars="200"/>
        <w:rPr>
          <w:rFonts w:hint="eastAsia" w:ascii="仿宋_GB2312" w:hAnsi="仿宋_GB2312" w:eastAsia="仿宋_GB2312" w:cs="仿宋_GB2312"/>
          <w:sz w:val="32"/>
          <w:szCs w:val="32"/>
        </w:rPr>
      </w:pPr>
    </w:p>
    <w:p>
      <w:pPr>
        <w:ind w:firstLine="640" w:firstLineChars="200"/>
        <w:rPr>
          <w:rFonts w:hint="eastAsia" w:ascii="仿宋_GB2312" w:hAnsi="仿宋_GB2312" w:eastAsia="仿宋_GB2312" w:cs="仿宋_GB2312"/>
          <w:sz w:val="32"/>
          <w:szCs w:val="32"/>
        </w:rPr>
      </w:pPr>
    </w:p>
    <w:p>
      <w:pPr>
        <w:ind w:firstLine="640" w:firstLineChars="200"/>
        <w:rPr>
          <w:rFonts w:hint="eastAsia" w:ascii="仿宋_GB2312" w:hAnsi="仿宋_GB2312" w:eastAsia="仿宋_GB2312" w:cs="仿宋_GB2312"/>
          <w:sz w:val="32"/>
          <w:szCs w:val="32"/>
        </w:rPr>
      </w:pPr>
    </w:p>
    <w:p>
      <w:pPr>
        <w:rPr>
          <w:rFonts w:hint="eastAsia"/>
        </w:rPr>
      </w:pPr>
      <w:r>
        <w:rPr>
          <w:rFonts w:hint="eastAsia" w:ascii="仿宋_GB2312" w:hAnsi="仿宋_GB2312" w:eastAsia="仿宋_GB2312" w:cs="仿宋_GB2312"/>
          <w:sz w:val="32"/>
          <w:szCs w:val="32"/>
        </w:rPr>
        <w:t>附表：部门预算项目支出绩效自评表（2024年度）</w:t>
      </w:r>
    </w:p>
    <w:p>
      <w:pPr>
        <w:pStyle w:val="16"/>
        <w:rPr>
          <w:rFonts w:hint="eastAsia"/>
        </w:rPr>
      </w:pPr>
    </w:p>
    <w:tbl>
      <w:tblPr>
        <w:tblStyle w:val="1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1190"/>
        <w:gridCol w:w="1009"/>
        <w:gridCol w:w="1327"/>
        <w:gridCol w:w="398"/>
        <w:gridCol w:w="947"/>
        <w:gridCol w:w="396"/>
        <w:gridCol w:w="846"/>
        <w:gridCol w:w="487"/>
        <w:gridCol w:w="487"/>
        <w:gridCol w:w="15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96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38"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51118123T000008940738-财政金财网信息化建设及运维等经费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96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22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财政局</w:t>
            </w:r>
          </w:p>
        </w:tc>
        <w:tc>
          <w:tcPr>
            <w:tcW w:w="460"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35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峨眉山市财政局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3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64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22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81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22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完成财政信息系统运行基本维护、工资数据分析平台开发建设、支付电子凭证调试、人行调试、直达资金监控系统顺利运行。</w:t>
            </w:r>
          </w:p>
        </w:tc>
        <w:tc>
          <w:tcPr>
            <w:tcW w:w="181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完成财政信息系统运行基本维护、工资数据分析平台开发建设、支付电子凭证调试、人行调试、直达资金监控系统顺利运行。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38"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完成财政信息系统运行基本维护、工资数据分析平台开发建设、支付电子凭证调试、人行调试、直达资金监控系统顺利运行。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3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4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130.00</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34.52</w:t>
            </w:r>
          </w:p>
        </w:tc>
        <w:tc>
          <w:tcPr>
            <w:tcW w:w="94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34.52</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据实支付财政金财网信息化建设及运维等经费。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130.00</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34.52</w:t>
            </w:r>
          </w:p>
        </w:tc>
        <w:tc>
          <w:tcPr>
            <w:tcW w:w="94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34.52</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4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4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4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3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全市预算单位覆盖率</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保障财政网络安全顺畅运行</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处理金财网故障时限</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小时</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保障全市预算单位财务顺利运转，各项工作正常开展</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长期保障各预算单位财务软件运行</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各预算单位满意度</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控制在预算内</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34.52</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643"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686"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项目自评总分100分，完成财政信息系统运行基本维护、工资数据分析平台开发建设、支付电子凭证调试、人行调试、直达资金监控系统顺利运行。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686"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686"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5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项目负责人：宋坤</w:t>
            </w:r>
          </w:p>
        </w:tc>
        <w:tc>
          <w:tcPr>
            <w:tcW w:w="2548"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财务负责人：宋叶舟</w:t>
            </w:r>
          </w:p>
        </w:tc>
      </w:tr>
    </w:tbl>
    <w:p>
      <w:pPr>
        <w:widowControl w:val="0"/>
        <w:spacing w:after="120"/>
        <w:ind w:left="0" w:leftChars="0" w:firstLine="0" w:firstLineChars="0"/>
        <w:jc w:val="both"/>
        <w:rPr>
          <w:rFonts w:hint="eastAsia" w:ascii="仿宋_GB2312" w:hAnsi="仿宋_GB2312" w:eastAsia="仿宋_GB2312" w:cs="仿宋_GB2312"/>
          <w:kern w:val="2"/>
          <w:sz w:val="32"/>
          <w:szCs w:val="32"/>
          <w:lang w:val="en-US" w:eastAsia="zh-CN" w:bidi="ar-SA"/>
        </w:rPr>
      </w:pPr>
    </w:p>
    <w:tbl>
      <w:tblPr>
        <w:tblStyle w:val="1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1190"/>
        <w:gridCol w:w="1010"/>
        <w:gridCol w:w="1329"/>
        <w:gridCol w:w="396"/>
        <w:gridCol w:w="947"/>
        <w:gridCol w:w="396"/>
        <w:gridCol w:w="846"/>
        <w:gridCol w:w="486"/>
        <w:gridCol w:w="486"/>
        <w:gridCol w:w="152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9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3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51118123T000008940892-全市执法执勤车车辆GPS服务等费用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9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财政局</w:t>
            </w:r>
          </w:p>
        </w:tc>
        <w:tc>
          <w:tcPr>
            <w:tcW w:w="386"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5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峨眉山市财政局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4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3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完成全市全市执法执勤车平台维护、全市执法执勤车辆导航系统维护。</w:t>
            </w:r>
          </w:p>
        </w:tc>
        <w:tc>
          <w:tcPr>
            <w:tcW w:w="164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完成全市全市执法执勤车平台维护、全市执法执勤车辆导航系统维护。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3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完成全市全市执法执勤车平台维护、全市执法执勤车辆导航系统维护。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4.95</w:t>
            </w:r>
          </w:p>
        </w:tc>
        <w:tc>
          <w:tcPr>
            <w:tcW w:w="9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4.95</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据实支付全市执法执勤车车辆GPS服务等费用。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4.95</w:t>
            </w:r>
          </w:p>
        </w:tc>
        <w:tc>
          <w:tcPr>
            <w:tcW w:w="9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4.95</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全市执法执勤车辆数</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94</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辆</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94</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保障全市执法执勤车辆顺利运转</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及时拨付系统维护费</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促进执法工作顺利开展</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长期保障全市执法执勤车辆运转</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743"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项目自评总分100分，完成全市全市执法执勤车平台维护、全市执法执勤车辆导航系统维护。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57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项目负责人：杨炜</w:t>
            </w:r>
          </w:p>
        </w:tc>
        <w:tc>
          <w:tcPr>
            <w:tcW w:w="242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财务负责人：宋叶舟</w:t>
            </w:r>
          </w:p>
        </w:tc>
      </w:tr>
    </w:tbl>
    <w:p>
      <w:pPr>
        <w:widowControl w:val="0"/>
        <w:spacing w:after="120"/>
        <w:ind w:left="0" w:leftChars="0" w:firstLine="0" w:firstLineChars="0"/>
        <w:jc w:val="both"/>
        <w:rPr>
          <w:rFonts w:hint="eastAsia" w:ascii="仿宋_GB2312" w:hAnsi="仿宋_GB2312" w:eastAsia="仿宋_GB2312" w:cs="仿宋_GB2312"/>
          <w:kern w:val="2"/>
          <w:sz w:val="32"/>
          <w:szCs w:val="32"/>
          <w:lang w:val="en-US" w:eastAsia="zh-CN" w:bidi="ar-SA"/>
        </w:rPr>
      </w:pPr>
    </w:p>
    <w:tbl>
      <w:tblPr>
        <w:tblStyle w:val="1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1190"/>
        <w:gridCol w:w="1010"/>
        <w:gridCol w:w="1329"/>
        <w:gridCol w:w="396"/>
        <w:gridCol w:w="947"/>
        <w:gridCol w:w="396"/>
        <w:gridCol w:w="846"/>
        <w:gridCol w:w="486"/>
        <w:gridCol w:w="486"/>
        <w:gridCol w:w="152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9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3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51118123T000008941244-人大预算联网监督、国库集中支付等系统运维费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9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财政局</w:t>
            </w:r>
          </w:p>
        </w:tc>
        <w:tc>
          <w:tcPr>
            <w:tcW w:w="386"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5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峨眉山市财政局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4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3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实施人大预算联网监督及国库集中支付等系统维护，保障国库集中支付。</w:t>
            </w:r>
          </w:p>
        </w:tc>
        <w:tc>
          <w:tcPr>
            <w:tcW w:w="164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实施人大预算联网监督及国库集中支付等系统维护，保障国库集中支付。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3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实施人大预算联网监督及国库集中支付等系统维护，保障国库集中支付。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16.60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0.07</w:t>
            </w:r>
          </w:p>
        </w:tc>
        <w:tc>
          <w:tcPr>
            <w:tcW w:w="9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0.07</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据实支付人大预算联网监督、国库集中支付等系统运维费。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16.60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0.07</w:t>
            </w:r>
          </w:p>
        </w:tc>
        <w:tc>
          <w:tcPr>
            <w:tcW w:w="9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0.07</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银行业务条数</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万条</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单位覆盖率</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保障人大预算监督工作及银行间数据信息的流畅。</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处置故障时限</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小时</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实施人大预算联网监督，保障财政资金安全</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每年财政预算信息同步更新，实时接受人大监督。</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743"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项目自评总分100分，实施人大预算联网监督及国库集中支付等系统维护，保障国库集中支付。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57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项目负责人：宋坤</w:t>
            </w:r>
          </w:p>
        </w:tc>
        <w:tc>
          <w:tcPr>
            <w:tcW w:w="242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财务负责人：宋叶舟</w:t>
            </w:r>
          </w:p>
        </w:tc>
      </w:tr>
    </w:tbl>
    <w:p>
      <w:pPr>
        <w:widowControl w:val="0"/>
        <w:spacing w:after="120"/>
        <w:ind w:left="0" w:leftChars="0" w:firstLine="0" w:firstLineChars="0"/>
        <w:jc w:val="both"/>
        <w:rPr>
          <w:rFonts w:hint="eastAsia" w:ascii="仿宋_GB2312" w:hAnsi="仿宋_GB2312" w:eastAsia="仿宋_GB2312" w:cs="仿宋_GB2312"/>
          <w:kern w:val="2"/>
          <w:sz w:val="32"/>
          <w:szCs w:val="32"/>
          <w:lang w:val="en-US" w:eastAsia="zh-CN" w:bidi="ar-SA"/>
        </w:rPr>
      </w:pPr>
    </w:p>
    <w:tbl>
      <w:tblPr>
        <w:tblStyle w:val="1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1190"/>
        <w:gridCol w:w="1010"/>
        <w:gridCol w:w="1329"/>
        <w:gridCol w:w="396"/>
        <w:gridCol w:w="947"/>
        <w:gridCol w:w="396"/>
        <w:gridCol w:w="846"/>
        <w:gridCol w:w="486"/>
        <w:gridCol w:w="486"/>
        <w:gridCol w:w="152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9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3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51118123T000008941288-财政预算一体化系统运维服务等费用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9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财政局</w:t>
            </w:r>
          </w:p>
        </w:tc>
        <w:tc>
          <w:tcPr>
            <w:tcW w:w="386"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5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峨眉山市财政局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4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3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保障全市预算管理一体化系统正常运行。</w:t>
            </w:r>
          </w:p>
        </w:tc>
        <w:tc>
          <w:tcPr>
            <w:tcW w:w="164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保障全市预算管理一体化系统正常运行。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3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保障全市预算管理一体化系统正常运行。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15.53</w:t>
            </w:r>
          </w:p>
        </w:tc>
        <w:tc>
          <w:tcPr>
            <w:tcW w:w="9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15.53</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据实支付财政预算一体化系统运维服务等费用。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15.53</w:t>
            </w:r>
          </w:p>
        </w:tc>
        <w:tc>
          <w:tcPr>
            <w:tcW w:w="9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15.53</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聘请维护人员数</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保障预算管理一体化系统正常运转</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处理故障时限</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小时</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保障财政资金安全，促进财务核算精准</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促进财政信息精准、真实、有效</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743"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项目自评总分100分，保障全市预算管理一体化系统正常运行。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57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项目负责人：宋坤</w:t>
            </w:r>
          </w:p>
        </w:tc>
        <w:tc>
          <w:tcPr>
            <w:tcW w:w="242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财务负责人：宋叶舟</w:t>
            </w:r>
          </w:p>
        </w:tc>
      </w:tr>
    </w:tbl>
    <w:p>
      <w:pPr>
        <w:widowControl w:val="0"/>
        <w:spacing w:after="120"/>
        <w:ind w:left="0" w:leftChars="0" w:firstLine="0" w:firstLineChars="0"/>
        <w:jc w:val="both"/>
        <w:rPr>
          <w:rFonts w:hint="eastAsia" w:ascii="仿宋_GB2312" w:hAnsi="仿宋_GB2312" w:eastAsia="仿宋_GB2312" w:cs="仿宋_GB2312"/>
          <w:kern w:val="2"/>
          <w:sz w:val="32"/>
          <w:szCs w:val="32"/>
          <w:lang w:val="en-US" w:eastAsia="zh-CN" w:bidi="ar-SA"/>
        </w:rPr>
      </w:pPr>
    </w:p>
    <w:tbl>
      <w:tblPr>
        <w:tblStyle w:val="1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1191"/>
        <w:gridCol w:w="1011"/>
        <w:gridCol w:w="1329"/>
        <w:gridCol w:w="396"/>
        <w:gridCol w:w="948"/>
        <w:gridCol w:w="396"/>
        <w:gridCol w:w="846"/>
        <w:gridCol w:w="486"/>
        <w:gridCol w:w="486"/>
        <w:gridCol w:w="15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9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3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51118123T000008941669-专项债一案两书编制经费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9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9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财政局</w:t>
            </w:r>
          </w:p>
        </w:tc>
        <w:tc>
          <w:tcPr>
            <w:tcW w:w="386"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5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峨眉山市财政局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9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4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39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完成新入库的专项债券项目以及成功发行的专项债券项目一案两书。</w:t>
            </w:r>
          </w:p>
        </w:tc>
        <w:tc>
          <w:tcPr>
            <w:tcW w:w="164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完成新入库的专项债券项目，保障专项债券正常发行。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3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完成新入库的专项债券项目，保障专项债券正常发行。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260.00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36.80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36.80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据实支付专项债一案两书编制经费。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260.00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36.80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36.80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新项目入库数量</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一案两书费用项目数</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保障专项债券正常发行</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及时拨付相关费用</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促进峨眉山市各项设施完善</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3744"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项目自评总分100分，完成新入库的专项债券项目，保障专项债券正常发行。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57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项目负责人：袁梦雪</w:t>
            </w:r>
          </w:p>
        </w:tc>
        <w:tc>
          <w:tcPr>
            <w:tcW w:w="242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财务负责人：王敏</w:t>
            </w:r>
          </w:p>
        </w:tc>
      </w:tr>
    </w:tbl>
    <w:p>
      <w:pPr>
        <w:widowControl w:val="0"/>
        <w:spacing w:after="120"/>
        <w:ind w:left="0" w:leftChars="0" w:firstLine="0" w:firstLineChars="0"/>
        <w:jc w:val="both"/>
        <w:rPr>
          <w:rFonts w:hint="eastAsia" w:ascii="仿宋_GB2312" w:hAnsi="仿宋_GB2312" w:eastAsia="仿宋_GB2312" w:cs="仿宋_GB2312"/>
          <w:kern w:val="2"/>
          <w:sz w:val="32"/>
          <w:szCs w:val="32"/>
          <w:lang w:val="en-US" w:eastAsia="zh-CN" w:bidi="ar-SA"/>
        </w:rPr>
      </w:pPr>
    </w:p>
    <w:tbl>
      <w:tblPr>
        <w:tblStyle w:val="1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1190"/>
        <w:gridCol w:w="1010"/>
        <w:gridCol w:w="1329"/>
        <w:gridCol w:w="396"/>
        <w:gridCol w:w="947"/>
        <w:gridCol w:w="396"/>
        <w:gridCol w:w="846"/>
        <w:gridCol w:w="486"/>
        <w:gridCol w:w="486"/>
        <w:gridCol w:w="152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9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3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51118123T000009008823-（春节前）峨眉山市市属国有企业年报审计报告费用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9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财政局</w:t>
            </w:r>
          </w:p>
        </w:tc>
        <w:tc>
          <w:tcPr>
            <w:tcW w:w="386"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5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峨眉山市财政局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4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3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及时完整出具财务报告，提供咨询服务。</w:t>
            </w:r>
          </w:p>
        </w:tc>
        <w:tc>
          <w:tcPr>
            <w:tcW w:w="164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及时完整出具财务报告，提供咨询服务。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3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及时完整出具财务报告，提供咨询服务。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10.60</w:t>
            </w:r>
          </w:p>
        </w:tc>
        <w:tc>
          <w:tcPr>
            <w:tcW w:w="9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10.60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据实支付（春节前）峨眉山市市属国有企业年报审计报告费用。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10.60</w:t>
            </w:r>
          </w:p>
        </w:tc>
        <w:tc>
          <w:tcPr>
            <w:tcW w:w="9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10.60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财务报告出具数量</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38</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份</w:t>
            </w:r>
          </w:p>
        </w:tc>
        <w:tc>
          <w:tcPr>
            <w:tcW w:w="3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40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债务工作解决完成度</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债务工作解决时效性</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推进专项债券发行工作</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良好</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良好</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债务工作咨询服务费、审计报告费</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10.6</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3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10.6</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743"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项目自评总分100分，及时完整出具财务报告，提供咨询服务。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57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项目负责人：袁梦雪</w:t>
            </w:r>
          </w:p>
        </w:tc>
        <w:tc>
          <w:tcPr>
            <w:tcW w:w="242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财务负责人：王敏</w:t>
            </w:r>
          </w:p>
        </w:tc>
      </w:tr>
    </w:tbl>
    <w:p>
      <w:pPr>
        <w:widowControl w:val="0"/>
        <w:spacing w:after="120"/>
        <w:ind w:left="0" w:leftChars="0" w:firstLine="0" w:firstLineChars="0"/>
        <w:jc w:val="both"/>
        <w:rPr>
          <w:rFonts w:hint="eastAsia" w:ascii="仿宋_GB2312" w:hAnsi="仿宋_GB2312" w:eastAsia="仿宋_GB2312" w:cs="仿宋_GB2312"/>
          <w:kern w:val="2"/>
          <w:sz w:val="32"/>
          <w:szCs w:val="32"/>
          <w:lang w:val="en-US" w:eastAsia="zh-CN" w:bidi="ar-SA"/>
        </w:rPr>
      </w:pPr>
    </w:p>
    <w:tbl>
      <w:tblPr>
        <w:tblStyle w:val="1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1190"/>
        <w:gridCol w:w="1008"/>
        <w:gridCol w:w="1327"/>
        <w:gridCol w:w="396"/>
        <w:gridCol w:w="946"/>
        <w:gridCol w:w="397"/>
        <w:gridCol w:w="849"/>
        <w:gridCol w:w="486"/>
        <w:gridCol w:w="486"/>
        <w:gridCol w:w="15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96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38"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51118123T000009094235-财政办公区安保等物业服务费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96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21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财政局</w:t>
            </w:r>
          </w:p>
        </w:tc>
        <w:tc>
          <w:tcPr>
            <w:tcW w:w="460"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35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峨眉山市财政局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3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6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21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81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36"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21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用于维持财政工作正常运转的物业管理费，如：保安服务费、保洁服务费、食堂劳务费、日常维护等，从而保障单位正常运转。</w:t>
            </w:r>
          </w:p>
        </w:tc>
        <w:tc>
          <w:tcPr>
            <w:tcW w:w="181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保障财政工作正常运转。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3"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38"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保障财政工作正常运转。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3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4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65.00</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36.66</w:t>
            </w:r>
          </w:p>
        </w:tc>
        <w:tc>
          <w:tcPr>
            <w:tcW w:w="94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36.66</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据实支付财政办公区安保等物业服务费。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65.00</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36.66</w:t>
            </w:r>
          </w:p>
        </w:tc>
        <w:tc>
          <w:tcPr>
            <w:tcW w:w="94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36.66</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4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4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4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3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4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聘请保洁人员、保安、食堂工作人员</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2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保障人数</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2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保障办公楼、食堂正常运转</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82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及时拨付物业管理费</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2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为财政工作提供安全、绿化等后勤保障</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82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长期保障财政安全、绿化、卫生</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82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2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3641"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2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686"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项目自评总分100分，保障财政工作正常运转。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686"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686"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44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项目负责人：孟希</w:t>
            </w:r>
          </w:p>
        </w:tc>
        <w:tc>
          <w:tcPr>
            <w:tcW w:w="255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财务负责人：孟希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96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38"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51118123T000009094250-全市绩效管理聘请第三方机构及专项检查等经费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96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21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财政局</w:t>
            </w:r>
          </w:p>
        </w:tc>
        <w:tc>
          <w:tcPr>
            <w:tcW w:w="460"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35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峨眉山市财政局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3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6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21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81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21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完成全市预算绩效管理工作及财政专项监督检查。</w:t>
            </w:r>
          </w:p>
        </w:tc>
        <w:tc>
          <w:tcPr>
            <w:tcW w:w="181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完成全市预算绩效管理工作及财政专项监督检查。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38"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完成全市预算绩效管理工作及财政专项监督检查。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3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4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30.00</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12.22</w:t>
            </w:r>
          </w:p>
        </w:tc>
        <w:tc>
          <w:tcPr>
            <w:tcW w:w="94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12.22</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据实支付全市绩效管理聘请第三方机构及专项检查等经费。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30.00</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12.22</w:t>
            </w:r>
          </w:p>
        </w:tc>
        <w:tc>
          <w:tcPr>
            <w:tcW w:w="94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12.22</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4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4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4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3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4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重点绩效评价数符合省级要求</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2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事前绩效评估数符合省级要求</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2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单位绩效自评覆盖率</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2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重点绩效监控数符合省级要求</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2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完成监督检查任务</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82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促进财政资金有效利用</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2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提升财政资金使用效能，促进社会发展</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2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长期促进财政资金有效利用，促进社会发展</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2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641"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2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686"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项目自评总分100分，完成全市预算绩效管理工作及财政专项监督检查。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686"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686"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4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项目负责人：余志娟</w:t>
            </w:r>
          </w:p>
        </w:tc>
        <w:tc>
          <w:tcPr>
            <w:tcW w:w="255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财务负责人：苟勇平</w:t>
            </w:r>
          </w:p>
        </w:tc>
      </w:tr>
    </w:tbl>
    <w:p>
      <w:pPr>
        <w:widowControl w:val="0"/>
        <w:spacing w:after="120"/>
        <w:ind w:left="0" w:leftChars="0" w:firstLine="0" w:firstLineChars="0"/>
        <w:jc w:val="both"/>
        <w:rPr>
          <w:rFonts w:hint="eastAsia" w:ascii="仿宋_GB2312" w:hAnsi="仿宋_GB2312" w:eastAsia="仿宋_GB2312" w:cs="仿宋_GB2312"/>
          <w:kern w:val="2"/>
          <w:sz w:val="32"/>
          <w:szCs w:val="32"/>
          <w:lang w:val="en-US" w:eastAsia="zh-CN" w:bidi="ar-SA"/>
        </w:rPr>
      </w:pPr>
    </w:p>
    <w:tbl>
      <w:tblPr>
        <w:tblStyle w:val="1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1190"/>
        <w:gridCol w:w="1010"/>
        <w:gridCol w:w="1329"/>
        <w:gridCol w:w="396"/>
        <w:gridCol w:w="947"/>
        <w:gridCol w:w="396"/>
        <w:gridCol w:w="846"/>
        <w:gridCol w:w="486"/>
        <w:gridCol w:w="486"/>
        <w:gridCol w:w="152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9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3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51118124T000011434892-人才安家补助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9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财政局</w:t>
            </w:r>
          </w:p>
        </w:tc>
        <w:tc>
          <w:tcPr>
            <w:tcW w:w="386"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5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峨眉山市财政局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4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3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落实人才待遇。</w:t>
            </w:r>
          </w:p>
        </w:tc>
        <w:tc>
          <w:tcPr>
            <w:tcW w:w="164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落实人才待遇。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3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落实人才待遇。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1.25</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1.25</w:t>
            </w:r>
          </w:p>
        </w:tc>
        <w:tc>
          <w:tcPr>
            <w:tcW w:w="9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1.25</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据实支付人才安家补助。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1.25</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1.25</w:t>
            </w:r>
          </w:p>
        </w:tc>
        <w:tc>
          <w:tcPr>
            <w:tcW w:w="9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1.25</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发放人数</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足额发放安家补助</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按财政要求及时发放安家补助</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保障财政人才队伍建设</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支持培养研究生，促进峨眉山市人才队伍提升</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单位人才满意</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743"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项目自评总分100分，落实了人才待遇。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57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项目负责人：孟希</w:t>
            </w:r>
          </w:p>
        </w:tc>
        <w:tc>
          <w:tcPr>
            <w:tcW w:w="242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财务负责人：孟希</w:t>
            </w:r>
          </w:p>
        </w:tc>
      </w:tr>
    </w:tbl>
    <w:p>
      <w:pPr>
        <w:widowControl w:val="0"/>
        <w:spacing w:after="120"/>
        <w:ind w:left="0" w:leftChars="0" w:firstLine="0" w:firstLineChars="0"/>
        <w:jc w:val="both"/>
        <w:rPr>
          <w:rFonts w:hint="eastAsia" w:ascii="仿宋_GB2312" w:hAnsi="仿宋_GB2312" w:eastAsia="仿宋_GB2312" w:cs="仿宋_GB2312"/>
          <w:kern w:val="2"/>
          <w:sz w:val="32"/>
          <w:szCs w:val="32"/>
          <w:lang w:val="en-US" w:eastAsia="zh-CN" w:bidi="ar-SA"/>
        </w:rPr>
      </w:pPr>
    </w:p>
    <w:tbl>
      <w:tblPr>
        <w:tblStyle w:val="1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1190"/>
        <w:gridCol w:w="1010"/>
        <w:gridCol w:w="1329"/>
        <w:gridCol w:w="396"/>
        <w:gridCol w:w="947"/>
        <w:gridCol w:w="396"/>
        <w:gridCol w:w="846"/>
        <w:gridCol w:w="486"/>
        <w:gridCol w:w="486"/>
        <w:gridCol w:w="152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9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3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51118124T000011444730-全市非税电子化收缴及票据管理经费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9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财政局</w:t>
            </w:r>
          </w:p>
        </w:tc>
        <w:tc>
          <w:tcPr>
            <w:tcW w:w="386"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5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峨眉山市财政局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4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3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完成全市非税电子化收缴及票据管理。</w:t>
            </w:r>
          </w:p>
        </w:tc>
        <w:tc>
          <w:tcPr>
            <w:tcW w:w="164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完成全市非税电子化收缴及票据管理。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3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完成全市非税电子化收缴及票据管理。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27.18</w:t>
            </w:r>
          </w:p>
        </w:tc>
        <w:tc>
          <w:tcPr>
            <w:tcW w:w="9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27.18</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据实支付全市非税电子化收缴及票据管理经费。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27.18</w:t>
            </w:r>
          </w:p>
        </w:tc>
        <w:tc>
          <w:tcPr>
            <w:tcW w:w="9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27.18</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电子票据覆盖率</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电子票据使用率</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票据系统运行率</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完成时间</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防止使用假发票，杜绝犯罪</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生态效益指标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实现电子票据，节约纸张</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743"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项目自评总分100分，完成全市非税电子化收缴及票据管理。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57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项目负责人：宋坤</w:t>
            </w:r>
          </w:p>
        </w:tc>
        <w:tc>
          <w:tcPr>
            <w:tcW w:w="242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财务负责人：宋叶舟</w:t>
            </w:r>
          </w:p>
        </w:tc>
      </w:tr>
    </w:tbl>
    <w:p>
      <w:pPr>
        <w:pStyle w:val="2"/>
        <w:spacing w:before="93"/>
        <w:rPr>
          <w:rFonts w:hint="eastAsia" w:hAnsi="宋体" w:cs="宋体"/>
          <w:sz w:val="32"/>
          <w:szCs w:val="32"/>
          <w:shd w:val="clear" w:color="auto" w:fill="FFFFFF"/>
          <w:lang w:val="zh-CN"/>
        </w:rPr>
      </w:pPr>
    </w:p>
    <w:p>
      <w:pPr>
        <w:pStyle w:val="2"/>
        <w:spacing w:before="93"/>
        <w:rPr>
          <w:rFonts w:hint="eastAsia" w:hAnsi="宋体" w:cs="宋体"/>
          <w:sz w:val="32"/>
          <w:szCs w:val="32"/>
          <w:shd w:val="clear" w:color="auto" w:fill="FFFFFF"/>
          <w:lang w:val="zh-CN"/>
        </w:rPr>
      </w:pPr>
    </w:p>
    <w:tbl>
      <w:tblPr>
        <w:tblStyle w:val="1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80"/>
        <w:gridCol w:w="1114"/>
        <w:gridCol w:w="1372"/>
        <w:gridCol w:w="1521"/>
        <w:gridCol w:w="167"/>
        <w:gridCol w:w="535"/>
        <w:gridCol w:w="1044"/>
        <w:gridCol w:w="966"/>
        <w:gridCol w:w="486"/>
        <w:gridCol w:w="486"/>
        <w:gridCol w:w="9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840" w:leftChars="-400" w:firstLine="0" w:firstLineChars="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单位预算项目支出绩效自评表（2024年度）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9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407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51118123T000007830209-会服中心代理记账业务费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9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252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峨眉山市财政局</w:t>
            </w:r>
          </w:p>
        </w:tc>
        <w:tc>
          <w:tcPr>
            <w:tcW w:w="524"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实施单位 </w:t>
            </w:r>
          </w:p>
        </w:tc>
        <w:tc>
          <w:tcPr>
            <w:tcW w:w="102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峨眉山市会计服务中心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31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项目基本情况</w:t>
            </w:r>
          </w:p>
        </w:tc>
        <w:tc>
          <w:tcPr>
            <w:tcW w:w="6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1.项目年度目标完成情况</w:t>
            </w:r>
          </w:p>
        </w:tc>
        <w:tc>
          <w:tcPr>
            <w:tcW w:w="252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项目年度目标</w:t>
            </w:r>
          </w:p>
        </w:tc>
        <w:tc>
          <w:tcPr>
            <w:tcW w:w="155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0" w:hRule="atLeast"/>
        </w:trPr>
        <w:tc>
          <w:tcPr>
            <w:tcW w:w="3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52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规范会计核算。提高部门单位会计核算工作质量及准确性。2、加强会计监督。规范报账程序及报账要素，预防财经领域违纪违法行为发生。3、提高财务收支透明度。及时提供财务报表等相关会计信息资料，促进预算单位财务公开、透明。</w:t>
            </w:r>
          </w:p>
        </w:tc>
        <w:tc>
          <w:tcPr>
            <w:tcW w:w="155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完成了代理记账单位会计核算工作，加强了预算单位会计监督，有效促进了预算单位财务规范、公开、透明。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3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2.项目实施内容及过程概述</w:t>
            </w:r>
          </w:p>
        </w:tc>
        <w:tc>
          <w:tcPr>
            <w:tcW w:w="407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组织会计人员完成预算单位代理记账、票据审核、会计档案装订等工作，同时不定期到预算单位进行会计核算业务指导。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1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预算执行情况（10分）</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年度预算数（万元）</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w:t>
            </w:r>
          </w:p>
        </w:tc>
        <w:tc>
          <w:tcPr>
            <w:tcW w:w="9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调整后预算数</w:t>
            </w:r>
          </w:p>
        </w:tc>
        <w:tc>
          <w:tcPr>
            <w:tcW w:w="8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预算执行数</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预算执行率</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3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总额</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60.00</w:t>
            </w:r>
          </w:p>
        </w:tc>
        <w:tc>
          <w:tcPr>
            <w:tcW w:w="9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10.57</w:t>
            </w:r>
          </w:p>
        </w:tc>
        <w:tc>
          <w:tcPr>
            <w:tcW w:w="8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10.57</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49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iCs/>
                <w:color w:val="000000"/>
                <w:sz w:val="18"/>
                <w:szCs w:val="18"/>
                <w:u w:val="none"/>
              </w:rPr>
            </w:pPr>
            <w:r>
              <w:rPr>
                <w:rFonts w:hint="eastAsia" w:ascii="宋体" w:hAnsi="宋体" w:eastAsia="宋体" w:cs="宋体"/>
                <w:i w:val="0"/>
                <w:iCs w:val="0"/>
                <w:color w:val="000000"/>
                <w:kern w:val="0"/>
                <w:sz w:val="18"/>
                <w:szCs w:val="18"/>
                <w:u w:val="none"/>
                <w:lang w:val="en-US" w:eastAsia="zh-CN" w:bidi="ar"/>
              </w:rPr>
              <w:t>据实支付会服中心代理记账业务费。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3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其中：财政资金</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60.00</w:t>
            </w:r>
          </w:p>
        </w:tc>
        <w:tc>
          <w:tcPr>
            <w:tcW w:w="9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10.57</w:t>
            </w:r>
          </w:p>
        </w:tc>
        <w:tc>
          <w:tcPr>
            <w:tcW w:w="8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10.57</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财政专户管理资金</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8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3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单位资金</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8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3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其他资金</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iCs/>
                <w:color w:val="000000"/>
                <w:sz w:val="18"/>
                <w:szCs w:val="18"/>
                <w:u w:val="none"/>
              </w:rPr>
            </w:pPr>
          </w:p>
        </w:tc>
        <w:tc>
          <w:tcPr>
            <w:tcW w:w="9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iCs/>
                <w:color w:val="000000"/>
                <w:sz w:val="18"/>
                <w:szCs w:val="18"/>
                <w:u w:val="none"/>
              </w:rPr>
            </w:pPr>
          </w:p>
        </w:tc>
        <w:tc>
          <w:tcPr>
            <w:tcW w:w="8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iCs/>
                <w:color w:val="000000"/>
                <w:sz w:val="18"/>
                <w:szCs w:val="18"/>
                <w:u w:val="none"/>
              </w:rPr>
            </w:pP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iCs/>
                <w:color w:val="000000"/>
                <w:sz w:val="18"/>
                <w:szCs w:val="18"/>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3" w:hRule="atLeast"/>
        </w:trPr>
        <w:tc>
          <w:tcPr>
            <w:tcW w:w="31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绩效指标（90分）</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9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指标性质</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指标值</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完成值</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9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保障全市签约代理记账预算单位账务完成</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iCs/>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tcW w:w="3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9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行政事业单位账务处理正确率</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高中低</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iCs/>
                <w:color w:val="000000"/>
                <w:sz w:val="18"/>
                <w:szCs w:val="18"/>
                <w:u w:val="none"/>
              </w:rPr>
            </w:pPr>
            <w:r>
              <w:rPr>
                <w:rFonts w:hint="eastAsia" w:ascii="宋体" w:hAnsi="宋体" w:eastAsia="宋体" w:cs="宋体"/>
                <w:i/>
                <w:iCs/>
                <w:color w:val="000000"/>
                <w:kern w:val="0"/>
                <w:sz w:val="18"/>
                <w:szCs w:val="18"/>
                <w:u w:val="none"/>
                <w:lang w:val="en-US" w:eastAsia="zh-CN" w:bidi="ar"/>
              </w:rPr>
              <w:t>高</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9" w:hRule="atLeast"/>
        </w:trPr>
        <w:tc>
          <w:tcPr>
            <w:tcW w:w="3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9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按会计年度要求及时完成代理记账</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iCs/>
                <w:color w:val="000000"/>
                <w:sz w:val="18"/>
                <w:szCs w:val="18"/>
                <w:u w:val="none"/>
              </w:rPr>
            </w:pPr>
            <w:r>
              <w:rPr>
                <w:rFonts w:hint="eastAsia" w:ascii="宋体" w:hAnsi="宋体" w:eastAsia="宋体" w:cs="宋体"/>
                <w:i/>
                <w:iCs/>
                <w:color w:val="000000"/>
                <w:kern w:val="0"/>
                <w:sz w:val="18"/>
                <w:szCs w:val="18"/>
                <w:u w:val="none"/>
                <w:lang w:val="en-US" w:eastAsia="zh-CN" w:bidi="ar"/>
              </w:rPr>
              <w:t>1</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9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提高财政资金使用绩效</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优良中低差</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iCs/>
                <w:color w:val="000000"/>
                <w:sz w:val="18"/>
                <w:szCs w:val="18"/>
                <w:u w:val="none"/>
              </w:rPr>
            </w:pPr>
            <w:r>
              <w:rPr>
                <w:rFonts w:hint="eastAsia" w:ascii="宋体" w:hAnsi="宋体" w:eastAsia="宋体" w:cs="宋体"/>
                <w:i/>
                <w:iCs/>
                <w:color w:val="000000"/>
                <w:kern w:val="0"/>
                <w:sz w:val="18"/>
                <w:szCs w:val="18"/>
                <w:u w:val="none"/>
                <w:lang w:val="en-US" w:eastAsia="zh-CN" w:bidi="ar"/>
              </w:rPr>
              <w:t>优</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3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9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预防财经领域违纪违法行为发生</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优良中低差</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iCs/>
                <w:color w:val="000000"/>
                <w:sz w:val="18"/>
                <w:szCs w:val="18"/>
                <w:u w:val="none"/>
              </w:rPr>
            </w:pPr>
            <w:r>
              <w:rPr>
                <w:rFonts w:hint="eastAsia" w:ascii="宋体" w:hAnsi="宋体" w:eastAsia="宋体" w:cs="宋体"/>
                <w:i/>
                <w:iCs/>
                <w:color w:val="000000"/>
                <w:kern w:val="0"/>
                <w:sz w:val="18"/>
                <w:szCs w:val="18"/>
                <w:u w:val="none"/>
                <w:lang w:val="en-US" w:eastAsia="zh-CN" w:bidi="ar"/>
              </w:rPr>
              <w:t>优</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3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9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服务对象满意率</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iCs/>
                <w:color w:val="000000"/>
                <w:sz w:val="18"/>
                <w:szCs w:val="18"/>
                <w:u w:val="none"/>
              </w:rPr>
            </w:pPr>
            <w:r>
              <w:rPr>
                <w:rFonts w:hint="eastAsia" w:ascii="宋体" w:hAnsi="宋体" w:eastAsia="宋体" w:cs="宋体"/>
                <w:i/>
                <w:iCs/>
                <w:color w:val="000000"/>
                <w:kern w:val="0"/>
                <w:sz w:val="18"/>
                <w:szCs w:val="18"/>
                <w:u w:val="none"/>
                <w:lang w:val="en-US" w:eastAsia="zh-CN" w:bidi="ar"/>
              </w:rPr>
              <w:t>96</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3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9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代理记账成本控制</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iCs/>
                <w:color w:val="000000"/>
                <w:sz w:val="18"/>
                <w:szCs w:val="18"/>
                <w:u w:val="none"/>
              </w:rPr>
            </w:pPr>
            <w:r>
              <w:rPr>
                <w:rFonts w:hint="eastAsia" w:ascii="宋体" w:hAnsi="宋体" w:eastAsia="宋体" w:cs="宋体"/>
                <w:i/>
                <w:iCs/>
                <w:color w:val="000000"/>
                <w:kern w:val="0"/>
                <w:sz w:val="18"/>
                <w:szCs w:val="18"/>
                <w:u w:val="none"/>
                <w:lang w:val="en-US" w:eastAsia="zh-CN" w:bidi="ar"/>
              </w:rPr>
              <w:t>10.57</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972"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评价结论</w:t>
            </w:r>
          </w:p>
        </w:tc>
        <w:tc>
          <w:tcPr>
            <w:tcW w:w="4683"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项目自评总分100分，通过实施该项目，规范了预算单位会计核算，加强了会计监督，提高财务收支透明度。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249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项目负责人：江水</w:t>
            </w:r>
          </w:p>
        </w:tc>
        <w:tc>
          <w:tcPr>
            <w:tcW w:w="2501"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财务负责人：张淑芬</w:t>
            </w:r>
          </w:p>
        </w:tc>
      </w:tr>
    </w:tbl>
    <w:p>
      <w:pPr>
        <w:pStyle w:val="2"/>
        <w:spacing w:before="93"/>
        <w:rPr>
          <w:rFonts w:hint="eastAsia" w:hAnsi="宋体" w:cs="宋体"/>
          <w:sz w:val="32"/>
          <w:szCs w:val="32"/>
          <w:shd w:val="clear" w:color="auto" w:fill="FFFFFF"/>
          <w:lang w:val="zh-CN"/>
        </w:rPr>
      </w:pPr>
    </w:p>
    <w:tbl>
      <w:tblPr>
        <w:tblStyle w:val="1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8"/>
        <w:gridCol w:w="744"/>
        <w:gridCol w:w="852"/>
        <w:gridCol w:w="814"/>
        <w:gridCol w:w="671"/>
        <w:gridCol w:w="250"/>
        <w:gridCol w:w="236"/>
        <w:gridCol w:w="985"/>
        <w:gridCol w:w="667"/>
        <w:gridCol w:w="494"/>
        <w:gridCol w:w="972"/>
        <w:gridCol w:w="17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000" w:type="pct"/>
            <w:gridSpan w:val="12"/>
            <w:noWrap w:val="0"/>
            <w:vAlign w:val="center"/>
          </w:tcPr>
          <w:p>
            <w:pPr>
              <w:widowControl w:val="0"/>
              <w:numPr>
                <w:ilvl w:val="0"/>
                <w:numId w:val="0"/>
              </w:numPr>
              <w:suppressAutoHyphens/>
              <w:bidi w:val="0"/>
              <w:snapToGrid w:val="0"/>
              <w:jc w:val="center"/>
              <w:rPr>
                <w:rFonts w:ascii="Calibri" w:hAnsi="Calibri" w:eastAsia="宋体" w:cs="Times New Roman"/>
                <w:color w:val="auto"/>
                <w:spacing w:val="0"/>
                <w:w w:val="100"/>
                <w:kern w:val="2"/>
                <w:sz w:val="15"/>
                <w:szCs w:val="15"/>
                <w:lang w:val="en-US" w:eastAsia="zh-CN" w:bidi="ar-SA"/>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pct"/>
            <w:gridSpan w:val="2"/>
            <w:noWrap w:val="0"/>
            <w:vAlign w:val="center"/>
          </w:tcPr>
          <w:p>
            <w:pPr>
              <w:widowControl w:val="0"/>
              <w:numPr>
                <w:ilvl w:val="0"/>
                <w:numId w:val="0"/>
              </w:numPr>
              <w:suppressAutoHyphens/>
              <w:bidi w:val="0"/>
              <w:snapToGrid w:val="0"/>
              <w:jc w:val="center"/>
              <w:rPr>
                <w:rFonts w:hint="eastAsia" w:ascii="宋体" w:hAnsi="宋体" w:eastAsia="宋体" w:cs="宋体"/>
                <w:color w:val="auto"/>
                <w:spacing w:val="0"/>
                <w:w w:val="100"/>
                <w:kern w:val="2"/>
                <w:sz w:val="18"/>
                <w:szCs w:val="18"/>
                <w:lang w:val="en-US" w:eastAsia="zh-CN" w:bidi="ar-SA"/>
              </w:rPr>
            </w:pPr>
            <w:r>
              <w:rPr>
                <w:rFonts w:hint="eastAsia" w:ascii="宋体" w:hAnsi="宋体" w:eastAsia="宋体" w:cs="宋体"/>
                <w:color w:val="auto"/>
                <w:spacing w:val="0"/>
                <w:w w:val="100"/>
                <w:kern w:val="2"/>
                <w:sz w:val="18"/>
                <w:szCs w:val="18"/>
                <w:lang w:val="en-US" w:eastAsia="zh-CN" w:bidi="ar-SA"/>
              </w:rPr>
              <w:t>项目名称</w:t>
            </w:r>
          </w:p>
        </w:tc>
        <w:tc>
          <w:tcPr>
            <w:tcW w:w="4208" w:type="pct"/>
            <w:gridSpan w:val="10"/>
            <w:noWrap w:val="0"/>
            <w:vAlign w:val="center"/>
          </w:tcPr>
          <w:p>
            <w:pPr>
              <w:widowControl w:val="0"/>
              <w:numPr>
                <w:ilvl w:val="0"/>
                <w:numId w:val="0"/>
              </w:numPr>
              <w:suppressAutoHyphens/>
              <w:bidi w:val="0"/>
              <w:snapToGrid w:val="0"/>
              <w:jc w:val="center"/>
              <w:rPr>
                <w:rFonts w:hint="eastAsia" w:ascii="宋体" w:hAnsi="宋体" w:eastAsia="宋体" w:cs="宋体"/>
                <w:color w:val="auto"/>
                <w:spacing w:val="0"/>
                <w:w w:val="100"/>
                <w:kern w:val="2"/>
                <w:sz w:val="18"/>
                <w:szCs w:val="18"/>
                <w:lang w:val="en-US" w:eastAsia="zh-CN" w:bidi="ar-SA"/>
              </w:rPr>
            </w:pPr>
            <w:r>
              <w:rPr>
                <w:rFonts w:hint="eastAsia" w:ascii="宋体" w:hAnsi="宋体" w:eastAsia="宋体" w:cs="宋体"/>
                <w:color w:val="auto"/>
                <w:spacing w:val="0"/>
                <w:w w:val="100"/>
                <w:kern w:val="2"/>
                <w:sz w:val="18"/>
                <w:szCs w:val="18"/>
                <w:lang w:val="en-US" w:eastAsia="zh-CN" w:bidi="ar-SA"/>
              </w:rPr>
              <w:t>评审专项业务费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pct"/>
            <w:gridSpan w:val="2"/>
            <w:noWrap w:val="0"/>
            <w:vAlign w:val="center"/>
          </w:tcPr>
          <w:p>
            <w:pPr>
              <w:widowControl w:val="0"/>
              <w:numPr>
                <w:ilvl w:val="0"/>
                <w:numId w:val="0"/>
              </w:numPr>
              <w:suppressAutoHyphens/>
              <w:bidi w:val="0"/>
              <w:snapToGrid w:val="0"/>
              <w:jc w:val="center"/>
              <w:rPr>
                <w:rFonts w:hint="eastAsia" w:ascii="宋体" w:hAnsi="宋体" w:eastAsia="宋体" w:cs="宋体"/>
                <w:color w:val="auto"/>
                <w:spacing w:val="0"/>
                <w:w w:val="100"/>
                <w:kern w:val="2"/>
                <w:sz w:val="18"/>
                <w:szCs w:val="18"/>
                <w:lang w:val="en-US" w:eastAsia="zh-CN" w:bidi="ar-SA"/>
              </w:rPr>
            </w:pPr>
            <w:r>
              <w:rPr>
                <w:rFonts w:hint="eastAsia" w:ascii="宋体" w:hAnsi="宋体" w:eastAsia="宋体" w:cs="宋体"/>
                <w:color w:val="auto"/>
                <w:spacing w:val="0"/>
                <w:w w:val="100"/>
                <w:kern w:val="2"/>
                <w:sz w:val="18"/>
                <w:szCs w:val="18"/>
                <w:lang w:val="en-US" w:eastAsia="zh-CN" w:bidi="ar-SA"/>
              </w:rPr>
              <w:t>主管部门</w:t>
            </w:r>
          </w:p>
        </w:tc>
        <w:tc>
          <w:tcPr>
            <w:tcW w:w="1408" w:type="pct"/>
            <w:gridSpan w:val="4"/>
            <w:noWrap w:val="0"/>
            <w:vAlign w:val="center"/>
          </w:tcPr>
          <w:p>
            <w:pPr>
              <w:widowControl w:val="0"/>
              <w:numPr>
                <w:ilvl w:val="0"/>
                <w:numId w:val="0"/>
              </w:numPr>
              <w:suppressAutoHyphens/>
              <w:bidi w:val="0"/>
              <w:snapToGrid w:val="0"/>
              <w:jc w:val="center"/>
              <w:rPr>
                <w:rFonts w:hint="eastAsia" w:ascii="宋体" w:hAnsi="宋体" w:eastAsia="宋体" w:cs="宋体"/>
                <w:color w:val="auto"/>
                <w:spacing w:val="0"/>
                <w:w w:val="100"/>
                <w:kern w:val="2"/>
                <w:sz w:val="18"/>
                <w:szCs w:val="18"/>
                <w:lang w:val="en-US" w:eastAsia="zh-CN" w:bidi="ar-SA"/>
              </w:rPr>
            </w:pPr>
            <w:r>
              <w:rPr>
                <w:rFonts w:hint="eastAsia" w:ascii="宋体" w:hAnsi="宋体" w:eastAsia="宋体" w:cs="宋体"/>
                <w:color w:val="auto"/>
                <w:spacing w:val="0"/>
                <w:w w:val="100"/>
                <w:kern w:val="2"/>
                <w:sz w:val="18"/>
                <w:szCs w:val="18"/>
                <w:lang w:val="en-US" w:eastAsia="zh-CN" w:bidi="ar-SA"/>
              </w:rPr>
              <w:t>财政局</w:t>
            </w:r>
          </w:p>
        </w:tc>
        <w:tc>
          <w:tcPr>
            <w:tcW w:w="664" w:type="pct"/>
            <w:gridSpan w:val="2"/>
            <w:noWrap w:val="0"/>
            <w:vAlign w:val="center"/>
          </w:tcPr>
          <w:p>
            <w:pPr>
              <w:widowControl w:val="0"/>
              <w:numPr>
                <w:ilvl w:val="0"/>
                <w:numId w:val="0"/>
              </w:numPr>
              <w:suppressAutoHyphens/>
              <w:bidi w:val="0"/>
              <w:snapToGrid w:val="0"/>
              <w:jc w:val="center"/>
              <w:rPr>
                <w:rFonts w:hint="eastAsia" w:ascii="宋体" w:hAnsi="宋体" w:eastAsia="宋体" w:cs="宋体"/>
                <w:color w:val="auto"/>
                <w:spacing w:val="0"/>
                <w:w w:val="100"/>
                <w:kern w:val="2"/>
                <w:sz w:val="18"/>
                <w:szCs w:val="18"/>
                <w:lang w:val="en-US" w:eastAsia="zh-CN" w:bidi="ar-SA"/>
              </w:rPr>
            </w:pPr>
            <w:r>
              <w:rPr>
                <w:rFonts w:hint="eastAsia" w:ascii="宋体" w:hAnsi="宋体" w:eastAsia="宋体" w:cs="宋体"/>
                <w:color w:val="auto"/>
                <w:spacing w:val="0"/>
                <w:w w:val="100"/>
                <w:kern w:val="2"/>
                <w:sz w:val="18"/>
                <w:szCs w:val="18"/>
                <w:lang w:val="en-US" w:eastAsia="zh-CN" w:bidi="ar-SA"/>
              </w:rPr>
              <w:t>实施单位 （盖章）</w:t>
            </w:r>
          </w:p>
        </w:tc>
        <w:tc>
          <w:tcPr>
            <w:tcW w:w="2135" w:type="pct"/>
            <w:gridSpan w:val="4"/>
            <w:noWrap w:val="0"/>
            <w:vAlign w:val="center"/>
          </w:tcPr>
          <w:p>
            <w:pPr>
              <w:widowControl w:val="0"/>
              <w:numPr>
                <w:ilvl w:val="0"/>
                <w:numId w:val="0"/>
              </w:numPr>
              <w:suppressAutoHyphens/>
              <w:bidi w:val="0"/>
              <w:snapToGrid w:val="0"/>
              <w:jc w:val="center"/>
              <w:rPr>
                <w:rFonts w:hint="eastAsia" w:ascii="宋体" w:hAnsi="宋体" w:eastAsia="宋体" w:cs="宋体"/>
                <w:color w:val="auto"/>
                <w:spacing w:val="0"/>
                <w:w w:val="100"/>
                <w:kern w:val="2"/>
                <w:sz w:val="18"/>
                <w:szCs w:val="18"/>
                <w:lang w:val="en-US" w:eastAsia="zh-CN" w:bidi="ar-SA"/>
              </w:rPr>
            </w:pPr>
            <w:r>
              <w:rPr>
                <w:rFonts w:hint="eastAsia" w:ascii="宋体" w:hAnsi="宋体" w:eastAsia="宋体" w:cs="宋体"/>
                <w:color w:val="auto"/>
                <w:spacing w:val="0"/>
                <w:w w:val="100"/>
                <w:kern w:val="2"/>
                <w:sz w:val="18"/>
                <w:szCs w:val="18"/>
                <w:lang w:val="en-US" w:eastAsia="zh-CN" w:bidi="ar-SA"/>
              </w:rPr>
              <w:t>峨眉山市财政投资评审中心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6" w:type="pct"/>
            <w:vMerge w:val="restart"/>
            <w:noWrap w:val="0"/>
            <w:vAlign w:val="center"/>
          </w:tcPr>
          <w:p>
            <w:pPr>
              <w:widowControl w:val="0"/>
              <w:numPr>
                <w:ilvl w:val="0"/>
                <w:numId w:val="0"/>
              </w:numPr>
              <w:suppressAutoHyphens/>
              <w:bidi w:val="0"/>
              <w:snapToGrid w:val="0"/>
              <w:jc w:val="center"/>
              <w:rPr>
                <w:rFonts w:hint="eastAsia" w:ascii="宋体" w:hAnsi="宋体" w:eastAsia="宋体" w:cs="宋体"/>
                <w:color w:val="auto"/>
                <w:spacing w:val="0"/>
                <w:w w:val="100"/>
                <w:kern w:val="2"/>
                <w:sz w:val="18"/>
                <w:szCs w:val="18"/>
                <w:lang w:val="en-US" w:eastAsia="zh-CN" w:bidi="ar-SA"/>
              </w:rPr>
            </w:pPr>
            <w:r>
              <w:rPr>
                <w:rFonts w:hint="eastAsia" w:ascii="宋体" w:hAnsi="宋体" w:eastAsia="宋体" w:cs="宋体"/>
                <w:color w:val="auto"/>
                <w:spacing w:val="0"/>
                <w:w w:val="100"/>
                <w:kern w:val="2"/>
                <w:sz w:val="18"/>
                <w:szCs w:val="18"/>
                <w:lang w:val="en-US" w:eastAsia="zh-CN" w:bidi="ar-SA"/>
              </w:rPr>
              <w:t>项目基本情况</w:t>
            </w:r>
          </w:p>
        </w:tc>
        <w:tc>
          <w:tcPr>
            <w:tcW w:w="405" w:type="pct"/>
            <w:vMerge w:val="restart"/>
            <w:noWrap w:val="0"/>
            <w:vAlign w:val="center"/>
          </w:tcPr>
          <w:p>
            <w:pPr>
              <w:widowControl w:val="0"/>
              <w:numPr>
                <w:ilvl w:val="0"/>
                <w:numId w:val="0"/>
              </w:numPr>
              <w:suppressAutoHyphens/>
              <w:bidi w:val="0"/>
              <w:snapToGrid w:val="0"/>
              <w:jc w:val="left"/>
              <w:rPr>
                <w:rFonts w:hint="eastAsia" w:ascii="宋体" w:hAnsi="宋体" w:eastAsia="宋体" w:cs="宋体"/>
                <w:color w:val="auto"/>
                <w:spacing w:val="0"/>
                <w:w w:val="100"/>
                <w:kern w:val="2"/>
                <w:sz w:val="18"/>
                <w:szCs w:val="18"/>
                <w:lang w:val="en-US" w:eastAsia="zh-CN" w:bidi="ar-SA"/>
              </w:rPr>
            </w:pPr>
            <w:r>
              <w:rPr>
                <w:rFonts w:hint="eastAsia" w:ascii="宋体" w:hAnsi="宋体" w:eastAsia="宋体" w:cs="宋体"/>
                <w:color w:val="auto"/>
                <w:spacing w:val="0"/>
                <w:w w:val="100"/>
                <w:kern w:val="2"/>
                <w:sz w:val="18"/>
                <w:szCs w:val="18"/>
                <w:lang w:val="en-US" w:eastAsia="zh-CN" w:bidi="ar-SA"/>
              </w:rPr>
              <w:t>1.项目年度目标完成情况</w:t>
            </w:r>
          </w:p>
        </w:tc>
        <w:tc>
          <w:tcPr>
            <w:tcW w:w="1408" w:type="pct"/>
            <w:gridSpan w:val="4"/>
            <w:noWrap w:val="0"/>
            <w:vAlign w:val="center"/>
          </w:tcPr>
          <w:p>
            <w:pPr>
              <w:widowControl w:val="0"/>
              <w:numPr>
                <w:ilvl w:val="0"/>
                <w:numId w:val="0"/>
              </w:numPr>
              <w:suppressAutoHyphens/>
              <w:bidi w:val="0"/>
              <w:snapToGrid w:val="0"/>
              <w:jc w:val="center"/>
              <w:rPr>
                <w:rFonts w:hint="eastAsia" w:ascii="宋体" w:hAnsi="宋体" w:eastAsia="宋体" w:cs="宋体"/>
                <w:color w:val="auto"/>
                <w:spacing w:val="0"/>
                <w:w w:val="100"/>
                <w:kern w:val="2"/>
                <w:sz w:val="18"/>
                <w:szCs w:val="18"/>
                <w:lang w:val="en-US" w:eastAsia="zh-CN" w:bidi="ar-SA"/>
              </w:rPr>
            </w:pPr>
            <w:r>
              <w:rPr>
                <w:rFonts w:hint="eastAsia" w:ascii="宋体" w:hAnsi="宋体" w:eastAsia="宋体" w:cs="宋体"/>
                <w:color w:val="auto"/>
                <w:spacing w:val="0"/>
                <w:w w:val="100"/>
                <w:kern w:val="2"/>
                <w:sz w:val="18"/>
                <w:szCs w:val="18"/>
                <w:lang w:val="en-US" w:eastAsia="zh-CN" w:bidi="ar-SA"/>
              </w:rPr>
              <w:t>项目年度目标</w:t>
            </w:r>
          </w:p>
        </w:tc>
        <w:tc>
          <w:tcPr>
            <w:tcW w:w="2799" w:type="pct"/>
            <w:gridSpan w:val="6"/>
            <w:noWrap w:val="0"/>
            <w:vAlign w:val="center"/>
          </w:tcPr>
          <w:p>
            <w:pPr>
              <w:widowControl w:val="0"/>
              <w:numPr>
                <w:ilvl w:val="0"/>
                <w:numId w:val="0"/>
              </w:numPr>
              <w:suppressAutoHyphens/>
              <w:bidi w:val="0"/>
              <w:snapToGrid w:val="0"/>
              <w:jc w:val="center"/>
              <w:rPr>
                <w:rFonts w:hint="eastAsia" w:ascii="宋体" w:hAnsi="宋体" w:eastAsia="宋体" w:cs="宋体"/>
                <w:color w:val="auto"/>
                <w:spacing w:val="0"/>
                <w:w w:val="100"/>
                <w:kern w:val="2"/>
                <w:sz w:val="18"/>
                <w:szCs w:val="18"/>
                <w:lang w:val="en-US" w:eastAsia="zh-CN" w:bidi="ar-SA"/>
              </w:rPr>
            </w:pPr>
            <w:r>
              <w:rPr>
                <w:rFonts w:hint="eastAsia" w:ascii="宋体" w:hAnsi="宋体" w:eastAsia="宋体" w:cs="宋体"/>
                <w:color w:val="auto"/>
                <w:spacing w:val="0"/>
                <w:w w:val="100"/>
                <w:kern w:val="2"/>
                <w:sz w:val="18"/>
                <w:szCs w:val="18"/>
                <w:lang w:val="en-US" w:eastAsia="zh-CN" w:bidi="ar-SA"/>
              </w:rPr>
              <w:t>年度目标完成情况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6" w:type="pct"/>
            <w:vMerge w:val="continue"/>
            <w:noWrap w:val="0"/>
            <w:vAlign w:val="center"/>
          </w:tcPr>
          <w:p>
            <w:pPr>
              <w:widowControl w:val="0"/>
              <w:numPr>
                <w:ilvl w:val="0"/>
                <w:numId w:val="0"/>
              </w:numPr>
              <w:suppressAutoHyphens/>
              <w:bidi w:val="0"/>
              <w:snapToGrid w:val="0"/>
              <w:jc w:val="center"/>
              <w:rPr>
                <w:rFonts w:hint="eastAsia" w:ascii="宋体" w:hAnsi="宋体" w:eastAsia="宋体" w:cs="宋体"/>
                <w:color w:val="auto"/>
                <w:spacing w:val="0"/>
                <w:w w:val="100"/>
                <w:kern w:val="2"/>
                <w:sz w:val="18"/>
                <w:szCs w:val="18"/>
                <w:lang w:val="en-US" w:eastAsia="zh-CN" w:bidi="ar-SA"/>
              </w:rPr>
            </w:pPr>
          </w:p>
        </w:tc>
        <w:tc>
          <w:tcPr>
            <w:tcW w:w="405" w:type="pct"/>
            <w:vMerge w:val="continue"/>
            <w:noWrap w:val="0"/>
            <w:vAlign w:val="center"/>
          </w:tcPr>
          <w:p>
            <w:pPr>
              <w:widowControl w:val="0"/>
              <w:numPr>
                <w:ilvl w:val="0"/>
                <w:numId w:val="0"/>
              </w:numPr>
              <w:suppressAutoHyphens/>
              <w:bidi w:val="0"/>
              <w:snapToGrid w:val="0"/>
              <w:jc w:val="center"/>
              <w:rPr>
                <w:rFonts w:hint="eastAsia" w:ascii="宋体" w:hAnsi="宋体" w:eastAsia="宋体" w:cs="宋体"/>
                <w:color w:val="auto"/>
                <w:spacing w:val="0"/>
                <w:w w:val="100"/>
                <w:kern w:val="2"/>
                <w:sz w:val="18"/>
                <w:szCs w:val="18"/>
                <w:lang w:val="en-US" w:eastAsia="zh-CN" w:bidi="ar-SA"/>
              </w:rPr>
            </w:pPr>
          </w:p>
        </w:tc>
        <w:tc>
          <w:tcPr>
            <w:tcW w:w="1408" w:type="pct"/>
            <w:gridSpan w:val="4"/>
            <w:noWrap w:val="0"/>
            <w:vAlign w:val="center"/>
          </w:tcPr>
          <w:p>
            <w:pPr>
              <w:widowControl w:val="0"/>
              <w:numPr>
                <w:ilvl w:val="0"/>
                <w:numId w:val="0"/>
              </w:numPr>
              <w:suppressAutoHyphens/>
              <w:bidi w:val="0"/>
              <w:snapToGrid w:val="0"/>
              <w:jc w:val="left"/>
              <w:rPr>
                <w:rFonts w:hint="eastAsia" w:ascii="宋体" w:hAnsi="宋体" w:eastAsia="宋体" w:cs="宋体"/>
                <w:color w:val="auto"/>
                <w:spacing w:val="0"/>
                <w:w w:val="100"/>
                <w:kern w:val="2"/>
                <w:sz w:val="18"/>
                <w:szCs w:val="18"/>
                <w:lang w:val="en-US" w:eastAsia="zh-CN" w:bidi="ar-SA"/>
              </w:rPr>
            </w:pPr>
            <w:r>
              <w:rPr>
                <w:rFonts w:hint="eastAsia" w:ascii="宋体" w:hAnsi="宋体" w:eastAsia="宋体" w:cs="宋体"/>
                <w:color w:val="auto"/>
                <w:spacing w:val="0"/>
                <w:w w:val="100"/>
                <w:kern w:val="2"/>
                <w:sz w:val="18"/>
                <w:szCs w:val="18"/>
                <w:lang w:val="en-US" w:eastAsia="zh-CN" w:bidi="ar-SA"/>
              </w:rPr>
              <w:t>为持续政府投资项目评审，进一步强化项目现场监管力度，保障财政评审工作顺利开展</w:t>
            </w:r>
            <w:r>
              <w:rPr>
                <w:rFonts w:hint="eastAsia" w:ascii="宋体" w:hAnsi="宋体" w:cs="宋体"/>
                <w:color w:val="auto"/>
                <w:spacing w:val="0"/>
                <w:w w:val="100"/>
                <w:kern w:val="2"/>
                <w:sz w:val="18"/>
                <w:szCs w:val="18"/>
                <w:lang w:val="en-US" w:eastAsia="zh-CN" w:bidi="ar-SA"/>
              </w:rPr>
              <w:t>。</w:t>
            </w:r>
          </w:p>
        </w:tc>
        <w:tc>
          <w:tcPr>
            <w:tcW w:w="2799" w:type="pct"/>
            <w:gridSpan w:val="6"/>
            <w:noWrap w:val="0"/>
            <w:vAlign w:val="center"/>
          </w:tcPr>
          <w:p>
            <w:pPr>
              <w:widowControl w:val="0"/>
              <w:numPr>
                <w:ilvl w:val="0"/>
                <w:numId w:val="0"/>
              </w:numPr>
              <w:suppressAutoHyphens/>
              <w:bidi w:val="0"/>
              <w:snapToGrid w:val="0"/>
              <w:jc w:val="left"/>
              <w:rPr>
                <w:rFonts w:hint="eastAsia" w:ascii="宋体" w:hAnsi="宋体" w:eastAsia="宋体" w:cs="宋体"/>
                <w:color w:val="auto"/>
                <w:spacing w:val="0"/>
                <w:w w:val="100"/>
                <w:kern w:val="2"/>
                <w:sz w:val="18"/>
                <w:szCs w:val="18"/>
                <w:lang w:val="en-US" w:eastAsia="zh-CN" w:bidi="ar-SA"/>
              </w:rPr>
            </w:pPr>
            <w:r>
              <w:rPr>
                <w:rFonts w:hint="eastAsia" w:ascii="宋体" w:hAnsi="宋体" w:eastAsia="宋体" w:cs="宋体"/>
                <w:color w:val="auto"/>
                <w:spacing w:val="0"/>
                <w:w w:val="100"/>
                <w:kern w:val="2"/>
                <w:sz w:val="18"/>
                <w:szCs w:val="18"/>
                <w:lang w:val="en-US" w:eastAsia="zh-CN" w:bidi="ar-SA"/>
              </w:rPr>
              <w:t>严格按照相关法律法规规定开展项目评审工作，出具评审报告，2024年项目评审审减率达到17.63%。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5" w:hRule="atLeast"/>
        </w:trPr>
        <w:tc>
          <w:tcPr>
            <w:tcW w:w="386" w:type="pct"/>
            <w:vMerge w:val="continue"/>
            <w:noWrap w:val="0"/>
            <w:vAlign w:val="center"/>
          </w:tcPr>
          <w:p>
            <w:pPr>
              <w:widowControl w:val="0"/>
              <w:numPr>
                <w:ilvl w:val="0"/>
                <w:numId w:val="0"/>
              </w:numPr>
              <w:suppressAutoHyphens/>
              <w:bidi w:val="0"/>
              <w:snapToGrid w:val="0"/>
              <w:jc w:val="center"/>
              <w:rPr>
                <w:rFonts w:hint="eastAsia" w:ascii="宋体" w:hAnsi="宋体" w:eastAsia="宋体" w:cs="宋体"/>
                <w:color w:val="auto"/>
                <w:spacing w:val="0"/>
                <w:w w:val="100"/>
                <w:kern w:val="2"/>
                <w:sz w:val="18"/>
                <w:szCs w:val="18"/>
                <w:lang w:val="en-US" w:eastAsia="zh-CN" w:bidi="ar-SA"/>
              </w:rPr>
            </w:pPr>
          </w:p>
        </w:tc>
        <w:tc>
          <w:tcPr>
            <w:tcW w:w="405" w:type="pct"/>
            <w:noWrap w:val="0"/>
            <w:vAlign w:val="center"/>
          </w:tcPr>
          <w:p>
            <w:pPr>
              <w:widowControl w:val="0"/>
              <w:numPr>
                <w:ilvl w:val="0"/>
                <w:numId w:val="0"/>
              </w:numPr>
              <w:suppressAutoHyphens/>
              <w:bidi w:val="0"/>
              <w:snapToGrid w:val="0"/>
              <w:jc w:val="left"/>
              <w:rPr>
                <w:rFonts w:hint="eastAsia" w:ascii="宋体" w:hAnsi="宋体" w:eastAsia="宋体" w:cs="宋体"/>
                <w:color w:val="auto"/>
                <w:spacing w:val="0"/>
                <w:w w:val="100"/>
                <w:kern w:val="2"/>
                <w:sz w:val="18"/>
                <w:szCs w:val="18"/>
                <w:lang w:val="en-US" w:eastAsia="zh-CN" w:bidi="ar-SA"/>
              </w:rPr>
            </w:pPr>
            <w:r>
              <w:rPr>
                <w:rFonts w:hint="eastAsia" w:ascii="宋体" w:hAnsi="宋体" w:eastAsia="宋体" w:cs="宋体"/>
                <w:color w:val="auto"/>
                <w:spacing w:val="0"/>
                <w:w w:val="100"/>
                <w:kern w:val="2"/>
                <w:sz w:val="18"/>
                <w:szCs w:val="18"/>
                <w:lang w:val="en-US" w:eastAsia="zh-CN" w:bidi="ar-SA"/>
              </w:rPr>
              <w:t>2.项目实施内容及过程概述</w:t>
            </w:r>
          </w:p>
        </w:tc>
        <w:tc>
          <w:tcPr>
            <w:tcW w:w="4208" w:type="pct"/>
            <w:gridSpan w:val="10"/>
            <w:noWrap w:val="0"/>
            <w:vAlign w:val="center"/>
          </w:tcPr>
          <w:p>
            <w:pPr>
              <w:widowControl w:val="0"/>
              <w:numPr>
                <w:ilvl w:val="0"/>
                <w:numId w:val="0"/>
              </w:numPr>
              <w:suppressAutoHyphens/>
              <w:bidi w:val="0"/>
              <w:snapToGrid w:val="0"/>
              <w:jc w:val="left"/>
              <w:rPr>
                <w:rFonts w:hint="eastAsia" w:ascii="宋体" w:hAnsi="宋体" w:eastAsia="宋体" w:cs="宋体"/>
                <w:color w:val="auto"/>
                <w:spacing w:val="0"/>
                <w:w w:val="100"/>
                <w:kern w:val="2"/>
                <w:sz w:val="18"/>
                <w:szCs w:val="18"/>
                <w:lang w:val="en-US" w:eastAsia="zh-CN" w:bidi="ar-SA"/>
              </w:rPr>
            </w:pPr>
            <w:r>
              <w:rPr>
                <w:rFonts w:hint="eastAsia" w:ascii="宋体" w:hAnsi="宋体" w:eastAsia="宋体" w:cs="宋体"/>
                <w:i w:val="0"/>
                <w:iCs w:val="0"/>
                <w:color w:val="000000"/>
                <w:spacing w:val="0"/>
                <w:w w:val="100"/>
                <w:kern w:val="0"/>
                <w:sz w:val="18"/>
                <w:szCs w:val="18"/>
                <w:u w:val="none"/>
                <w:lang w:val="en-US" w:eastAsia="zh-CN" w:bidi="ar"/>
              </w:rPr>
              <w:t>根据评审工作需要进行软件更新、评审业务费用支出，保障评审业务顺利开展</w:t>
            </w:r>
            <w:r>
              <w:rPr>
                <w:rFonts w:hint="eastAsia" w:ascii="宋体" w:hAnsi="宋体" w:cs="宋体"/>
                <w:i w:val="0"/>
                <w:iCs w:val="0"/>
                <w:color w:val="000000"/>
                <w:spacing w:val="0"/>
                <w:w w:val="100"/>
                <w:kern w:val="0"/>
                <w:sz w:val="18"/>
                <w:szCs w:val="18"/>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386" w:type="pct"/>
            <w:vMerge w:val="restart"/>
            <w:noWrap w:val="0"/>
            <w:vAlign w:val="center"/>
          </w:tcPr>
          <w:p>
            <w:pPr>
              <w:widowControl w:val="0"/>
              <w:numPr>
                <w:ilvl w:val="0"/>
                <w:numId w:val="0"/>
              </w:numPr>
              <w:suppressAutoHyphens/>
              <w:bidi w:val="0"/>
              <w:snapToGrid w:val="0"/>
              <w:jc w:val="center"/>
              <w:rPr>
                <w:rFonts w:hint="eastAsia" w:ascii="宋体" w:hAnsi="宋体" w:eastAsia="宋体" w:cs="宋体"/>
                <w:color w:val="auto"/>
                <w:spacing w:val="0"/>
                <w:w w:val="100"/>
                <w:kern w:val="2"/>
                <w:sz w:val="18"/>
                <w:szCs w:val="18"/>
                <w:lang w:val="en-US" w:eastAsia="zh-CN" w:bidi="ar-SA"/>
              </w:rPr>
            </w:pPr>
            <w:r>
              <w:rPr>
                <w:rFonts w:hint="eastAsia" w:ascii="宋体" w:hAnsi="宋体" w:eastAsia="宋体" w:cs="宋体"/>
                <w:color w:val="auto"/>
                <w:spacing w:val="0"/>
                <w:w w:val="100"/>
                <w:kern w:val="2"/>
                <w:sz w:val="18"/>
                <w:szCs w:val="18"/>
                <w:lang w:val="en-US" w:eastAsia="zh-CN" w:bidi="ar-SA"/>
              </w:rPr>
              <w:t>预算执行情况（10分）</w:t>
            </w:r>
          </w:p>
        </w:tc>
        <w:tc>
          <w:tcPr>
            <w:tcW w:w="405" w:type="pct"/>
            <w:noWrap w:val="0"/>
            <w:vAlign w:val="center"/>
          </w:tcPr>
          <w:p>
            <w:pPr>
              <w:widowControl w:val="0"/>
              <w:numPr>
                <w:ilvl w:val="0"/>
                <w:numId w:val="0"/>
              </w:numPr>
              <w:suppressAutoHyphens/>
              <w:bidi w:val="0"/>
              <w:snapToGrid w:val="0"/>
              <w:jc w:val="center"/>
              <w:rPr>
                <w:rFonts w:hint="eastAsia" w:ascii="宋体" w:hAnsi="宋体" w:eastAsia="宋体" w:cs="宋体"/>
                <w:color w:val="auto"/>
                <w:spacing w:val="0"/>
                <w:w w:val="100"/>
                <w:kern w:val="2"/>
                <w:sz w:val="18"/>
                <w:szCs w:val="18"/>
                <w:lang w:val="en-US" w:eastAsia="zh-CN" w:bidi="ar-SA"/>
              </w:rPr>
            </w:pPr>
            <w:r>
              <w:rPr>
                <w:rFonts w:hint="eastAsia" w:ascii="宋体" w:hAnsi="宋体" w:eastAsia="宋体" w:cs="宋体"/>
                <w:color w:val="auto"/>
                <w:spacing w:val="0"/>
                <w:w w:val="100"/>
                <w:kern w:val="2"/>
                <w:sz w:val="18"/>
                <w:szCs w:val="18"/>
                <w:lang w:val="en-US" w:eastAsia="zh-CN" w:bidi="ar-SA"/>
              </w:rPr>
              <w:t>年度预算数（万元）</w:t>
            </w:r>
          </w:p>
        </w:tc>
        <w:tc>
          <w:tcPr>
            <w:tcW w:w="464" w:type="pct"/>
            <w:noWrap w:val="0"/>
            <w:vAlign w:val="center"/>
          </w:tcPr>
          <w:p>
            <w:pPr>
              <w:widowControl w:val="0"/>
              <w:numPr>
                <w:ilvl w:val="0"/>
                <w:numId w:val="0"/>
              </w:numPr>
              <w:suppressAutoHyphens/>
              <w:bidi w:val="0"/>
              <w:snapToGrid w:val="0"/>
              <w:jc w:val="center"/>
              <w:rPr>
                <w:rFonts w:hint="eastAsia" w:ascii="宋体" w:hAnsi="宋体" w:eastAsia="宋体" w:cs="宋体"/>
                <w:color w:val="auto"/>
                <w:spacing w:val="0"/>
                <w:w w:val="100"/>
                <w:kern w:val="2"/>
                <w:sz w:val="18"/>
                <w:szCs w:val="18"/>
                <w:lang w:val="en-US" w:eastAsia="zh-CN" w:bidi="ar-SA"/>
              </w:rPr>
            </w:pPr>
            <w:r>
              <w:rPr>
                <w:rFonts w:hint="eastAsia" w:ascii="宋体" w:hAnsi="宋体" w:eastAsia="宋体" w:cs="宋体"/>
                <w:color w:val="auto"/>
                <w:spacing w:val="0"/>
                <w:w w:val="100"/>
                <w:kern w:val="2"/>
                <w:sz w:val="18"/>
                <w:szCs w:val="18"/>
                <w:lang w:val="en-US" w:eastAsia="zh-CN" w:bidi="ar-SA"/>
              </w:rPr>
              <w:t>年初预算</w:t>
            </w:r>
          </w:p>
        </w:tc>
        <w:tc>
          <w:tcPr>
            <w:tcW w:w="443" w:type="pct"/>
            <w:noWrap w:val="0"/>
            <w:vAlign w:val="center"/>
          </w:tcPr>
          <w:p>
            <w:pPr>
              <w:widowControl w:val="0"/>
              <w:numPr>
                <w:ilvl w:val="0"/>
                <w:numId w:val="0"/>
              </w:numPr>
              <w:suppressAutoHyphens/>
              <w:bidi w:val="0"/>
              <w:snapToGrid w:val="0"/>
              <w:jc w:val="center"/>
              <w:rPr>
                <w:rFonts w:hint="eastAsia" w:ascii="宋体" w:hAnsi="宋体" w:eastAsia="宋体" w:cs="宋体"/>
                <w:color w:val="auto"/>
                <w:spacing w:val="0"/>
                <w:w w:val="100"/>
                <w:kern w:val="2"/>
                <w:sz w:val="18"/>
                <w:szCs w:val="18"/>
                <w:lang w:val="en-US" w:eastAsia="zh-CN" w:bidi="ar-SA"/>
              </w:rPr>
            </w:pPr>
            <w:r>
              <w:rPr>
                <w:rFonts w:hint="eastAsia" w:ascii="宋体" w:hAnsi="宋体" w:eastAsia="宋体" w:cs="宋体"/>
                <w:color w:val="auto"/>
                <w:spacing w:val="0"/>
                <w:w w:val="100"/>
                <w:kern w:val="2"/>
                <w:sz w:val="18"/>
                <w:szCs w:val="18"/>
                <w:lang w:val="en-US" w:eastAsia="zh-CN" w:bidi="ar-SA"/>
              </w:rPr>
              <w:t>调整后预算数</w:t>
            </w:r>
          </w:p>
        </w:tc>
        <w:tc>
          <w:tcPr>
            <w:tcW w:w="500" w:type="pct"/>
            <w:gridSpan w:val="2"/>
            <w:noWrap w:val="0"/>
            <w:vAlign w:val="center"/>
          </w:tcPr>
          <w:p>
            <w:pPr>
              <w:widowControl w:val="0"/>
              <w:numPr>
                <w:ilvl w:val="0"/>
                <w:numId w:val="0"/>
              </w:numPr>
              <w:suppressAutoHyphens/>
              <w:bidi w:val="0"/>
              <w:snapToGrid w:val="0"/>
              <w:jc w:val="center"/>
              <w:rPr>
                <w:rFonts w:hint="eastAsia" w:ascii="宋体" w:hAnsi="宋体" w:eastAsia="宋体" w:cs="宋体"/>
                <w:color w:val="auto"/>
                <w:spacing w:val="0"/>
                <w:w w:val="100"/>
                <w:kern w:val="2"/>
                <w:sz w:val="18"/>
                <w:szCs w:val="18"/>
                <w:lang w:val="en-US" w:eastAsia="zh-CN" w:bidi="ar-SA"/>
              </w:rPr>
            </w:pPr>
            <w:r>
              <w:rPr>
                <w:rFonts w:hint="eastAsia" w:ascii="宋体" w:hAnsi="宋体" w:eastAsia="宋体" w:cs="宋体"/>
                <w:color w:val="auto"/>
                <w:spacing w:val="0"/>
                <w:w w:val="100"/>
                <w:kern w:val="2"/>
                <w:sz w:val="18"/>
                <w:szCs w:val="18"/>
                <w:lang w:val="en-US" w:eastAsia="zh-CN" w:bidi="ar-SA"/>
              </w:rPr>
              <w:t>预算执行数</w:t>
            </w:r>
          </w:p>
        </w:tc>
        <w:tc>
          <w:tcPr>
            <w:tcW w:w="664" w:type="pct"/>
            <w:gridSpan w:val="2"/>
            <w:noWrap w:val="0"/>
            <w:vAlign w:val="center"/>
          </w:tcPr>
          <w:p>
            <w:pPr>
              <w:widowControl w:val="0"/>
              <w:numPr>
                <w:ilvl w:val="0"/>
                <w:numId w:val="0"/>
              </w:numPr>
              <w:suppressAutoHyphens/>
              <w:bidi w:val="0"/>
              <w:snapToGrid w:val="0"/>
              <w:jc w:val="center"/>
              <w:rPr>
                <w:rFonts w:hint="eastAsia" w:ascii="宋体" w:hAnsi="宋体" w:eastAsia="宋体" w:cs="宋体"/>
                <w:color w:val="auto"/>
                <w:spacing w:val="0"/>
                <w:w w:val="100"/>
                <w:kern w:val="2"/>
                <w:sz w:val="18"/>
                <w:szCs w:val="18"/>
                <w:lang w:val="en-US" w:eastAsia="zh-CN" w:bidi="ar-SA"/>
              </w:rPr>
            </w:pPr>
            <w:r>
              <w:rPr>
                <w:rFonts w:hint="eastAsia" w:ascii="宋体" w:hAnsi="宋体" w:eastAsia="宋体" w:cs="宋体"/>
                <w:color w:val="auto"/>
                <w:spacing w:val="0"/>
                <w:w w:val="100"/>
                <w:kern w:val="2"/>
                <w:sz w:val="18"/>
                <w:szCs w:val="18"/>
                <w:lang w:val="en-US" w:eastAsia="zh-CN" w:bidi="ar-SA"/>
              </w:rPr>
              <w:t>预算执行率</w:t>
            </w:r>
          </w:p>
        </w:tc>
        <w:tc>
          <w:tcPr>
            <w:tcW w:w="363" w:type="pct"/>
            <w:noWrap w:val="0"/>
            <w:vAlign w:val="center"/>
          </w:tcPr>
          <w:p>
            <w:pPr>
              <w:widowControl w:val="0"/>
              <w:numPr>
                <w:ilvl w:val="0"/>
                <w:numId w:val="0"/>
              </w:numPr>
              <w:suppressAutoHyphens/>
              <w:bidi w:val="0"/>
              <w:snapToGrid w:val="0"/>
              <w:jc w:val="center"/>
              <w:rPr>
                <w:rFonts w:hint="eastAsia" w:ascii="宋体" w:hAnsi="宋体" w:eastAsia="宋体" w:cs="宋体"/>
                <w:color w:val="auto"/>
                <w:spacing w:val="0"/>
                <w:w w:val="100"/>
                <w:kern w:val="2"/>
                <w:sz w:val="18"/>
                <w:szCs w:val="18"/>
                <w:lang w:val="en-US" w:eastAsia="zh-CN" w:bidi="ar-SA"/>
              </w:rPr>
            </w:pPr>
            <w:r>
              <w:rPr>
                <w:rFonts w:hint="eastAsia" w:ascii="宋体" w:hAnsi="宋体" w:eastAsia="宋体" w:cs="宋体"/>
                <w:color w:val="auto"/>
                <w:spacing w:val="0"/>
                <w:w w:val="100"/>
                <w:kern w:val="2"/>
                <w:sz w:val="18"/>
                <w:szCs w:val="18"/>
                <w:lang w:val="en-US" w:eastAsia="zh-CN" w:bidi="ar-SA"/>
              </w:rPr>
              <w:t>权重</w:t>
            </w:r>
          </w:p>
        </w:tc>
        <w:tc>
          <w:tcPr>
            <w:tcW w:w="269" w:type="pct"/>
            <w:noWrap w:val="0"/>
            <w:vAlign w:val="center"/>
          </w:tcPr>
          <w:p>
            <w:pPr>
              <w:widowControl w:val="0"/>
              <w:numPr>
                <w:ilvl w:val="0"/>
                <w:numId w:val="0"/>
              </w:numPr>
              <w:suppressAutoHyphens/>
              <w:bidi w:val="0"/>
              <w:snapToGrid w:val="0"/>
              <w:jc w:val="center"/>
              <w:rPr>
                <w:rFonts w:hint="eastAsia" w:ascii="宋体" w:hAnsi="宋体" w:eastAsia="宋体" w:cs="宋体"/>
                <w:color w:val="auto"/>
                <w:spacing w:val="0"/>
                <w:w w:val="100"/>
                <w:kern w:val="2"/>
                <w:sz w:val="18"/>
                <w:szCs w:val="18"/>
                <w:lang w:val="en-US" w:eastAsia="zh-CN" w:bidi="ar-SA"/>
              </w:rPr>
            </w:pPr>
            <w:r>
              <w:rPr>
                <w:rFonts w:hint="eastAsia" w:ascii="宋体" w:hAnsi="宋体" w:eastAsia="宋体" w:cs="宋体"/>
                <w:color w:val="auto"/>
                <w:spacing w:val="0"/>
                <w:w w:val="100"/>
                <w:kern w:val="2"/>
                <w:sz w:val="18"/>
                <w:szCs w:val="18"/>
                <w:lang w:val="en-US" w:eastAsia="zh-CN" w:bidi="ar-SA"/>
              </w:rPr>
              <w:t>得分</w:t>
            </w:r>
          </w:p>
        </w:tc>
        <w:tc>
          <w:tcPr>
            <w:tcW w:w="1502" w:type="pct"/>
            <w:gridSpan w:val="2"/>
            <w:noWrap w:val="0"/>
            <w:vAlign w:val="center"/>
          </w:tcPr>
          <w:p>
            <w:pPr>
              <w:widowControl w:val="0"/>
              <w:numPr>
                <w:ilvl w:val="0"/>
                <w:numId w:val="0"/>
              </w:numPr>
              <w:suppressAutoHyphens/>
              <w:bidi w:val="0"/>
              <w:snapToGrid w:val="0"/>
              <w:jc w:val="center"/>
              <w:rPr>
                <w:rFonts w:hint="eastAsia" w:ascii="宋体" w:hAnsi="宋体" w:eastAsia="宋体" w:cs="宋体"/>
                <w:color w:val="auto"/>
                <w:spacing w:val="0"/>
                <w:w w:val="100"/>
                <w:kern w:val="2"/>
                <w:sz w:val="18"/>
                <w:szCs w:val="18"/>
                <w:lang w:val="en-US" w:eastAsia="zh-CN" w:bidi="ar-SA"/>
              </w:rPr>
            </w:pPr>
            <w:r>
              <w:rPr>
                <w:rFonts w:hint="eastAsia" w:ascii="宋体" w:hAnsi="宋体" w:eastAsia="宋体" w:cs="宋体"/>
                <w:color w:val="auto"/>
                <w:spacing w:val="0"/>
                <w:w w:val="100"/>
                <w:kern w:val="2"/>
                <w:sz w:val="18"/>
                <w:szCs w:val="18"/>
                <w:lang w:val="en-US" w:eastAsia="zh-CN" w:bidi="ar-SA"/>
              </w:rPr>
              <w:t>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6" w:type="pct"/>
            <w:vMerge w:val="continue"/>
            <w:noWrap w:val="0"/>
            <w:vAlign w:val="center"/>
          </w:tcPr>
          <w:p>
            <w:pPr>
              <w:widowControl w:val="0"/>
              <w:numPr>
                <w:ilvl w:val="0"/>
                <w:numId w:val="0"/>
              </w:numPr>
              <w:suppressAutoHyphens/>
              <w:bidi w:val="0"/>
              <w:snapToGrid w:val="0"/>
              <w:jc w:val="center"/>
              <w:rPr>
                <w:rFonts w:hint="eastAsia" w:ascii="宋体" w:hAnsi="宋体" w:eastAsia="宋体" w:cs="宋体"/>
                <w:color w:val="auto"/>
                <w:spacing w:val="0"/>
                <w:w w:val="100"/>
                <w:kern w:val="2"/>
                <w:sz w:val="18"/>
                <w:szCs w:val="18"/>
                <w:lang w:val="en-US" w:eastAsia="zh-CN" w:bidi="ar-SA"/>
              </w:rPr>
            </w:pPr>
          </w:p>
        </w:tc>
        <w:tc>
          <w:tcPr>
            <w:tcW w:w="405" w:type="pct"/>
            <w:noWrap w:val="0"/>
            <w:vAlign w:val="center"/>
          </w:tcPr>
          <w:p>
            <w:pPr>
              <w:widowControl w:val="0"/>
              <w:numPr>
                <w:ilvl w:val="0"/>
                <w:numId w:val="0"/>
              </w:numPr>
              <w:suppressAutoHyphens/>
              <w:bidi w:val="0"/>
              <w:snapToGrid w:val="0"/>
              <w:jc w:val="center"/>
              <w:rPr>
                <w:rFonts w:hint="eastAsia" w:ascii="宋体" w:hAnsi="宋体" w:eastAsia="宋体" w:cs="宋体"/>
                <w:color w:val="auto"/>
                <w:spacing w:val="0"/>
                <w:w w:val="100"/>
                <w:kern w:val="2"/>
                <w:sz w:val="18"/>
                <w:szCs w:val="18"/>
                <w:lang w:val="en-US" w:eastAsia="zh-CN" w:bidi="ar-SA"/>
              </w:rPr>
            </w:pPr>
            <w:r>
              <w:rPr>
                <w:rFonts w:hint="eastAsia" w:ascii="宋体" w:hAnsi="宋体" w:eastAsia="宋体" w:cs="宋体"/>
                <w:color w:val="auto"/>
                <w:spacing w:val="0"/>
                <w:w w:val="100"/>
                <w:kern w:val="2"/>
                <w:sz w:val="18"/>
                <w:szCs w:val="18"/>
                <w:lang w:val="en-US" w:eastAsia="zh-CN" w:bidi="ar-SA"/>
              </w:rPr>
              <w:t>总额</w:t>
            </w:r>
          </w:p>
        </w:tc>
        <w:tc>
          <w:tcPr>
            <w:tcW w:w="464" w:type="pct"/>
            <w:noWrap w:val="0"/>
            <w:vAlign w:val="center"/>
          </w:tcPr>
          <w:p>
            <w:pPr>
              <w:widowControl w:val="0"/>
              <w:numPr>
                <w:ilvl w:val="0"/>
                <w:numId w:val="0"/>
              </w:numPr>
              <w:suppressAutoHyphens/>
              <w:bidi w:val="0"/>
              <w:snapToGrid w:val="0"/>
              <w:jc w:val="center"/>
              <w:rPr>
                <w:rFonts w:hint="eastAsia" w:ascii="宋体" w:hAnsi="宋体" w:eastAsia="宋体" w:cs="宋体"/>
                <w:color w:val="auto"/>
                <w:spacing w:val="0"/>
                <w:w w:val="100"/>
                <w:kern w:val="2"/>
                <w:sz w:val="18"/>
                <w:szCs w:val="18"/>
                <w:lang w:val="en-US" w:eastAsia="zh-CN" w:bidi="ar-SA"/>
              </w:rPr>
            </w:pPr>
            <w:r>
              <w:rPr>
                <w:rFonts w:hint="eastAsia" w:ascii="宋体" w:hAnsi="宋体" w:eastAsia="宋体" w:cs="宋体"/>
                <w:color w:val="auto"/>
                <w:spacing w:val="0"/>
                <w:w w:val="100"/>
                <w:kern w:val="2"/>
                <w:sz w:val="18"/>
                <w:szCs w:val="18"/>
                <w:lang w:val="en-US" w:eastAsia="zh-CN" w:bidi="ar-SA"/>
              </w:rPr>
              <w:t>80.00</w:t>
            </w:r>
          </w:p>
        </w:tc>
        <w:tc>
          <w:tcPr>
            <w:tcW w:w="443" w:type="pct"/>
            <w:noWrap w:val="0"/>
            <w:vAlign w:val="center"/>
          </w:tcPr>
          <w:p>
            <w:pPr>
              <w:widowControl w:val="0"/>
              <w:numPr>
                <w:ilvl w:val="0"/>
                <w:numId w:val="0"/>
              </w:numPr>
              <w:suppressAutoHyphens/>
              <w:bidi w:val="0"/>
              <w:snapToGrid w:val="0"/>
              <w:jc w:val="center"/>
              <w:rPr>
                <w:rFonts w:hint="eastAsia" w:ascii="宋体" w:hAnsi="宋体" w:eastAsia="宋体" w:cs="宋体"/>
                <w:color w:val="auto"/>
                <w:spacing w:val="0"/>
                <w:w w:val="100"/>
                <w:kern w:val="2"/>
                <w:sz w:val="18"/>
                <w:szCs w:val="18"/>
                <w:lang w:val="en-US" w:eastAsia="zh-CN" w:bidi="ar-SA"/>
              </w:rPr>
            </w:pPr>
            <w:r>
              <w:rPr>
                <w:rFonts w:hint="eastAsia" w:ascii="宋体" w:hAnsi="宋体" w:eastAsia="宋体" w:cs="宋体"/>
                <w:color w:val="auto"/>
                <w:spacing w:val="0"/>
                <w:w w:val="100"/>
                <w:kern w:val="2"/>
                <w:sz w:val="18"/>
                <w:szCs w:val="18"/>
                <w:lang w:val="en-US" w:eastAsia="zh-CN" w:bidi="ar-SA"/>
              </w:rPr>
              <w:t>43.83</w:t>
            </w:r>
          </w:p>
        </w:tc>
        <w:tc>
          <w:tcPr>
            <w:tcW w:w="500" w:type="pct"/>
            <w:gridSpan w:val="2"/>
            <w:noWrap w:val="0"/>
            <w:vAlign w:val="center"/>
          </w:tcPr>
          <w:p>
            <w:pPr>
              <w:widowControl w:val="0"/>
              <w:numPr>
                <w:ilvl w:val="0"/>
                <w:numId w:val="0"/>
              </w:numPr>
              <w:suppressAutoHyphens/>
              <w:bidi w:val="0"/>
              <w:snapToGrid w:val="0"/>
              <w:jc w:val="center"/>
              <w:rPr>
                <w:rFonts w:hint="eastAsia" w:ascii="宋体" w:hAnsi="宋体" w:eastAsia="宋体" w:cs="宋体"/>
                <w:color w:val="auto"/>
                <w:spacing w:val="0"/>
                <w:w w:val="100"/>
                <w:kern w:val="2"/>
                <w:sz w:val="18"/>
                <w:szCs w:val="18"/>
                <w:lang w:val="en-US" w:eastAsia="zh-CN" w:bidi="ar-SA"/>
              </w:rPr>
            </w:pPr>
            <w:r>
              <w:rPr>
                <w:rFonts w:hint="eastAsia" w:ascii="宋体" w:hAnsi="宋体" w:eastAsia="宋体" w:cs="宋体"/>
                <w:color w:val="auto"/>
                <w:spacing w:val="0"/>
                <w:w w:val="100"/>
                <w:kern w:val="2"/>
                <w:sz w:val="18"/>
                <w:szCs w:val="18"/>
                <w:lang w:val="en-US" w:eastAsia="zh-CN" w:bidi="ar-SA"/>
              </w:rPr>
              <w:t>43.83</w:t>
            </w:r>
          </w:p>
        </w:tc>
        <w:tc>
          <w:tcPr>
            <w:tcW w:w="664" w:type="pct"/>
            <w:gridSpan w:val="2"/>
            <w:noWrap w:val="0"/>
            <w:vAlign w:val="center"/>
          </w:tcPr>
          <w:p>
            <w:pPr>
              <w:widowControl w:val="0"/>
              <w:numPr>
                <w:ilvl w:val="0"/>
                <w:numId w:val="0"/>
              </w:numPr>
              <w:suppressAutoHyphens/>
              <w:bidi w:val="0"/>
              <w:snapToGrid w:val="0"/>
              <w:jc w:val="center"/>
              <w:rPr>
                <w:rFonts w:hint="eastAsia" w:ascii="宋体" w:hAnsi="宋体" w:eastAsia="宋体" w:cs="宋体"/>
                <w:color w:val="auto"/>
                <w:spacing w:val="0"/>
                <w:w w:val="100"/>
                <w:kern w:val="2"/>
                <w:sz w:val="18"/>
                <w:szCs w:val="18"/>
                <w:lang w:val="en-US" w:eastAsia="zh-CN" w:bidi="ar-SA"/>
              </w:rPr>
            </w:pPr>
            <w:r>
              <w:rPr>
                <w:rFonts w:hint="eastAsia" w:ascii="宋体" w:hAnsi="宋体" w:eastAsia="宋体" w:cs="宋体"/>
                <w:color w:val="auto"/>
                <w:spacing w:val="0"/>
                <w:w w:val="100"/>
                <w:kern w:val="2"/>
                <w:sz w:val="18"/>
                <w:szCs w:val="18"/>
                <w:lang w:val="en-US" w:eastAsia="zh-CN" w:bidi="ar-SA"/>
              </w:rPr>
              <w:t>100.00%</w:t>
            </w:r>
          </w:p>
        </w:tc>
        <w:tc>
          <w:tcPr>
            <w:tcW w:w="363" w:type="pct"/>
            <w:noWrap w:val="0"/>
            <w:vAlign w:val="center"/>
          </w:tcPr>
          <w:p>
            <w:pPr>
              <w:widowControl w:val="0"/>
              <w:numPr>
                <w:ilvl w:val="0"/>
                <w:numId w:val="0"/>
              </w:numPr>
              <w:suppressAutoHyphens/>
              <w:bidi w:val="0"/>
              <w:snapToGrid w:val="0"/>
              <w:jc w:val="center"/>
              <w:rPr>
                <w:rFonts w:hint="eastAsia" w:ascii="宋体" w:hAnsi="宋体" w:eastAsia="宋体" w:cs="宋体"/>
                <w:color w:val="auto"/>
                <w:spacing w:val="0"/>
                <w:w w:val="100"/>
                <w:kern w:val="2"/>
                <w:sz w:val="18"/>
                <w:szCs w:val="18"/>
                <w:lang w:val="en-US" w:eastAsia="zh-CN" w:bidi="ar-SA"/>
              </w:rPr>
            </w:pPr>
            <w:r>
              <w:rPr>
                <w:rFonts w:hint="eastAsia" w:ascii="宋体" w:hAnsi="宋体" w:eastAsia="宋体" w:cs="宋体"/>
                <w:color w:val="auto"/>
                <w:spacing w:val="0"/>
                <w:w w:val="100"/>
                <w:kern w:val="2"/>
                <w:sz w:val="18"/>
                <w:szCs w:val="18"/>
                <w:lang w:val="en-US" w:eastAsia="zh-CN" w:bidi="ar-SA"/>
              </w:rPr>
              <w:t>10</w:t>
            </w:r>
          </w:p>
        </w:tc>
        <w:tc>
          <w:tcPr>
            <w:tcW w:w="269" w:type="pct"/>
            <w:noWrap w:val="0"/>
            <w:vAlign w:val="center"/>
          </w:tcPr>
          <w:p>
            <w:pPr>
              <w:widowControl w:val="0"/>
              <w:numPr>
                <w:ilvl w:val="0"/>
                <w:numId w:val="0"/>
              </w:numPr>
              <w:suppressAutoHyphens/>
              <w:bidi w:val="0"/>
              <w:snapToGrid w:val="0"/>
              <w:jc w:val="center"/>
              <w:rPr>
                <w:rFonts w:hint="eastAsia" w:ascii="宋体" w:hAnsi="宋体" w:eastAsia="宋体" w:cs="宋体"/>
                <w:color w:val="auto"/>
                <w:spacing w:val="0"/>
                <w:w w:val="100"/>
                <w:kern w:val="2"/>
                <w:sz w:val="18"/>
                <w:szCs w:val="18"/>
                <w:lang w:val="en-US" w:eastAsia="zh-CN" w:bidi="ar-SA"/>
              </w:rPr>
            </w:pPr>
            <w:r>
              <w:rPr>
                <w:rFonts w:hint="eastAsia" w:ascii="宋体" w:hAnsi="宋体" w:eastAsia="宋体" w:cs="宋体"/>
                <w:color w:val="auto"/>
                <w:spacing w:val="0"/>
                <w:w w:val="100"/>
                <w:kern w:val="2"/>
                <w:sz w:val="18"/>
                <w:szCs w:val="18"/>
                <w:lang w:val="en-US" w:eastAsia="zh-CN" w:bidi="ar-SA"/>
              </w:rPr>
              <w:t>10</w:t>
            </w:r>
          </w:p>
        </w:tc>
        <w:tc>
          <w:tcPr>
            <w:tcW w:w="1502" w:type="pct"/>
            <w:gridSpan w:val="2"/>
            <w:vMerge w:val="restart"/>
            <w:noWrap w:val="0"/>
            <w:vAlign w:val="center"/>
          </w:tcPr>
          <w:p>
            <w:pPr>
              <w:widowControl w:val="0"/>
              <w:numPr>
                <w:ilvl w:val="0"/>
                <w:numId w:val="0"/>
              </w:numPr>
              <w:suppressAutoHyphens/>
              <w:bidi w:val="0"/>
              <w:snapToGrid w:val="0"/>
              <w:jc w:val="center"/>
              <w:rPr>
                <w:rFonts w:hint="eastAsia" w:ascii="宋体" w:hAnsi="宋体" w:eastAsia="宋体" w:cs="宋体"/>
                <w:color w:val="auto"/>
                <w:spacing w:val="0"/>
                <w:w w:val="100"/>
                <w:kern w:val="2"/>
                <w:sz w:val="18"/>
                <w:szCs w:val="18"/>
                <w:lang w:val="en-US" w:eastAsia="zh-CN" w:bidi="ar-SA"/>
              </w:rPr>
            </w:pPr>
            <w:r>
              <w:rPr>
                <w:rFonts w:hint="eastAsia" w:ascii="宋体" w:hAnsi="宋体" w:cs="宋体"/>
                <w:color w:val="auto"/>
                <w:spacing w:val="0"/>
                <w:w w:val="100"/>
                <w:kern w:val="2"/>
                <w:sz w:val="18"/>
                <w:szCs w:val="18"/>
                <w:lang w:val="en-US" w:eastAsia="zh-CN" w:bidi="ar-SA"/>
              </w:rPr>
              <w:t>据实支付评审专项业务费。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6" w:type="pct"/>
            <w:vMerge w:val="continue"/>
            <w:noWrap w:val="0"/>
            <w:vAlign w:val="center"/>
          </w:tcPr>
          <w:p>
            <w:pPr>
              <w:widowControl w:val="0"/>
              <w:numPr>
                <w:ilvl w:val="0"/>
                <w:numId w:val="0"/>
              </w:numPr>
              <w:suppressAutoHyphens/>
              <w:bidi w:val="0"/>
              <w:snapToGrid w:val="0"/>
              <w:jc w:val="center"/>
              <w:rPr>
                <w:rFonts w:hint="eastAsia" w:ascii="宋体" w:hAnsi="宋体" w:eastAsia="宋体" w:cs="宋体"/>
                <w:color w:val="auto"/>
                <w:spacing w:val="0"/>
                <w:w w:val="100"/>
                <w:kern w:val="2"/>
                <w:sz w:val="18"/>
                <w:szCs w:val="18"/>
                <w:lang w:val="en-US" w:eastAsia="zh-CN" w:bidi="ar-SA"/>
              </w:rPr>
            </w:pPr>
          </w:p>
        </w:tc>
        <w:tc>
          <w:tcPr>
            <w:tcW w:w="405" w:type="pct"/>
            <w:noWrap w:val="0"/>
            <w:vAlign w:val="center"/>
          </w:tcPr>
          <w:p>
            <w:pPr>
              <w:widowControl w:val="0"/>
              <w:numPr>
                <w:ilvl w:val="0"/>
                <w:numId w:val="0"/>
              </w:numPr>
              <w:suppressAutoHyphens/>
              <w:bidi w:val="0"/>
              <w:snapToGrid w:val="0"/>
              <w:jc w:val="center"/>
              <w:rPr>
                <w:rFonts w:hint="eastAsia" w:ascii="宋体" w:hAnsi="宋体" w:eastAsia="宋体" w:cs="宋体"/>
                <w:color w:val="auto"/>
                <w:spacing w:val="0"/>
                <w:w w:val="100"/>
                <w:kern w:val="2"/>
                <w:sz w:val="18"/>
                <w:szCs w:val="18"/>
                <w:lang w:val="en-US" w:eastAsia="zh-CN" w:bidi="ar-SA"/>
              </w:rPr>
            </w:pPr>
            <w:r>
              <w:rPr>
                <w:rFonts w:hint="eastAsia" w:ascii="宋体" w:hAnsi="宋体" w:eastAsia="宋体" w:cs="宋体"/>
                <w:color w:val="auto"/>
                <w:spacing w:val="0"/>
                <w:w w:val="100"/>
                <w:kern w:val="2"/>
                <w:sz w:val="18"/>
                <w:szCs w:val="18"/>
                <w:lang w:val="en-US" w:eastAsia="zh-CN" w:bidi="ar-SA"/>
              </w:rPr>
              <w:t>其中：财政资金</w:t>
            </w:r>
          </w:p>
        </w:tc>
        <w:tc>
          <w:tcPr>
            <w:tcW w:w="464" w:type="pct"/>
            <w:noWrap w:val="0"/>
            <w:vAlign w:val="center"/>
          </w:tcPr>
          <w:p>
            <w:pPr>
              <w:widowControl w:val="0"/>
              <w:numPr>
                <w:ilvl w:val="0"/>
                <w:numId w:val="0"/>
              </w:numPr>
              <w:suppressAutoHyphens/>
              <w:bidi w:val="0"/>
              <w:snapToGrid w:val="0"/>
              <w:jc w:val="center"/>
              <w:rPr>
                <w:rFonts w:hint="eastAsia" w:ascii="宋体" w:hAnsi="宋体" w:eastAsia="宋体" w:cs="宋体"/>
                <w:color w:val="auto"/>
                <w:spacing w:val="0"/>
                <w:w w:val="100"/>
                <w:kern w:val="2"/>
                <w:sz w:val="18"/>
                <w:szCs w:val="18"/>
                <w:lang w:val="en-US" w:eastAsia="zh-CN" w:bidi="ar-SA"/>
              </w:rPr>
            </w:pPr>
            <w:r>
              <w:rPr>
                <w:rFonts w:hint="eastAsia" w:ascii="宋体" w:hAnsi="宋体" w:eastAsia="宋体" w:cs="宋体"/>
                <w:color w:val="auto"/>
                <w:spacing w:val="0"/>
                <w:w w:val="100"/>
                <w:kern w:val="2"/>
                <w:sz w:val="18"/>
                <w:szCs w:val="18"/>
                <w:lang w:val="en-US" w:eastAsia="zh-CN" w:bidi="ar-SA"/>
              </w:rPr>
              <w:t>80.00</w:t>
            </w:r>
          </w:p>
        </w:tc>
        <w:tc>
          <w:tcPr>
            <w:tcW w:w="443" w:type="pct"/>
            <w:noWrap w:val="0"/>
            <w:vAlign w:val="center"/>
          </w:tcPr>
          <w:p>
            <w:pPr>
              <w:widowControl w:val="0"/>
              <w:numPr>
                <w:ilvl w:val="0"/>
                <w:numId w:val="0"/>
              </w:numPr>
              <w:suppressAutoHyphens/>
              <w:bidi w:val="0"/>
              <w:snapToGrid w:val="0"/>
              <w:jc w:val="center"/>
              <w:rPr>
                <w:rFonts w:hint="eastAsia" w:ascii="宋体" w:hAnsi="宋体" w:eastAsia="宋体" w:cs="宋体"/>
                <w:color w:val="auto"/>
                <w:spacing w:val="0"/>
                <w:w w:val="100"/>
                <w:kern w:val="2"/>
                <w:sz w:val="18"/>
                <w:szCs w:val="18"/>
                <w:lang w:val="en-US" w:eastAsia="zh-CN" w:bidi="ar-SA"/>
              </w:rPr>
            </w:pPr>
            <w:r>
              <w:rPr>
                <w:rFonts w:hint="eastAsia" w:ascii="宋体" w:hAnsi="宋体" w:eastAsia="宋体" w:cs="宋体"/>
                <w:color w:val="auto"/>
                <w:spacing w:val="0"/>
                <w:w w:val="100"/>
                <w:kern w:val="2"/>
                <w:sz w:val="18"/>
                <w:szCs w:val="18"/>
                <w:lang w:val="en-US" w:eastAsia="zh-CN" w:bidi="ar-SA"/>
              </w:rPr>
              <w:t>43.83</w:t>
            </w:r>
          </w:p>
        </w:tc>
        <w:tc>
          <w:tcPr>
            <w:tcW w:w="500" w:type="pct"/>
            <w:gridSpan w:val="2"/>
            <w:noWrap w:val="0"/>
            <w:vAlign w:val="center"/>
          </w:tcPr>
          <w:p>
            <w:pPr>
              <w:widowControl w:val="0"/>
              <w:numPr>
                <w:ilvl w:val="0"/>
                <w:numId w:val="0"/>
              </w:numPr>
              <w:suppressAutoHyphens/>
              <w:bidi w:val="0"/>
              <w:snapToGrid w:val="0"/>
              <w:jc w:val="center"/>
              <w:rPr>
                <w:rFonts w:hint="eastAsia" w:ascii="宋体" w:hAnsi="宋体" w:eastAsia="宋体" w:cs="宋体"/>
                <w:color w:val="auto"/>
                <w:spacing w:val="0"/>
                <w:w w:val="100"/>
                <w:kern w:val="2"/>
                <w:sz w:val="18"/>
                <w:szCs w:val="18"/>
                <w:lang w:val="en-US" w:eastAsia="zh-CN" w:bidi="ar-SA"/>
              </w:rPr>
            </w:pPr>
            <w:r>
              <w:rPr>
                <w:rFonts w:hint="eastAsia" w:ascii="宋体" w:hAnsi="宋体" w:eastAsia="宋体" w:cs="宋体"/>
                <w:color w:val="auto"/>
                <w:spacing w:val="0"/>
                <w:w w:val="100"/>
                <w:kern w:val="2"/>
                <w:sz w:val="18"/>
                <w:szCs w:val="18"/>
                <w:lang w:val="en-US" w:eastAsia="zh-CN" w:bidi="ar-SA"/>
              </w:rPr>
              <w:t>43.83</w:t>
            </w:r>
          </w:p>
        </w:tc>
        <w:tc>
          <w:tcPr>
            <w:tcW w:w="664" w:type="pct"/>
            <w:gridSpan w:val="2"/>
            <w:noWrap w:val="0"/>
            <w:vAlign w:val="center"/>
          </w:tcPr>
          <w:p>
            <w:pPr>
              <w:widowControl w:val="0"/>
              <w:numPr>
                <w:ilvl w:val="0"/>
                <w:numId w:val="0"/>
              </w:numPr>
              <w:suppressAutoHyphens/>
              <w:bidi w:val="0"/>
              <w:snapToGrid w:val="0"/>
              <w:jc w:val="center"/>
              <w:rPr>
                <w:rFonts w:hint="eastAsia" w:ascii="宋体" w:hAnsi="宋体" w:eastAsia="宋体" w:cs="宋体"/>
                <w:color w:val="auto"/>
                <w:spacing w:val="0"/>
                <w:w w:val="100"/>
                <w:kern w:val="2"/>
                <w:sz w:val="18"/>
                <w:szCs w:val="18"/>
                <w:lang w:val="en-US" w:eastAsia="zh-CN" w:bidi="ar-SA"/>
              </w:rPr>
            </w:pPr>
            <w:r>
              <w:rPr>
                <w:rFonts w:hint="eastAsia" w:ascii="宋体" w:hAnsi="宋体" w:eastAsia="宋体" w:cs="宋体"/>
                <w:color w:val="auto"/>
                <w:spacing w:val="0"/>
                <w:w w:val="100"/>
                <w:kern w:val="2"/>
                <w:sz w:val="18"/>
                <w:szCs w:val="18"/>
                <w:lang w:val="en-US" w:eastAsia="zh-CN" w:bidi="ar-SA"/>
              </w:rPr>
              <w:t>100.00%</w:t>
            </w:r>
          </w:p>
        </w:tc>
        <w:tc>
          <w:tcPr>
            <w:tcW w:w="363" w:type="pct"/>
            <w:noWrap w:val="0"/>
            <w:vAlign w:val="center"/>
          </w:tcPr>
          <w:p>
            <w:pPr>
              <w:widowControl w:val="0"/>
              <w:numPr>
                <w:ilvl w:val="0"/>
                <w:numId w:val="0"/>
              </w:numPr>
              <w:suppressAutoHyphens/>
              <w:bidi w:val="0"/>
              <w:snapToGrid w:val="0"/>
              <w:jc w:val="center"/>
              <w:rPr>
                <w:rFonts w:hint="eastAsia" w:ascii="宋体" w:hAnsi="宋体" w:eastAsia="宋体" w:cs="宋体"/>
                <w:color w:val="auto"/>
                <w:spacing w:val="0"/>
                <w:w w:val="100"/>
                <w:kern w:val="2"/>
                <w:sz w:val="18"/>
                <w:szCs w:val="18"/>
                <w:lang w:val="en-US" w:eastAsia="zh-CN" w:bidi="ar-SA"/>
              </w:rPr>
            </w:pPr>
            <w:r>
              <w:rPr>
                <w:rFonts w:hint="eastAsia" w:ascii="宋体" w:hAnsi="宋体" w:eastAsia="宋体" w:cs="宋体"/>
                <w:color w:val="auto"/>
                <w:spacing w:val="0"/>
                <w:w w:val="100"/>
                <w:kern w:val="2"/>
                <w:sz w:val="18"/>
                <w:szCs w:val="18"/>
                <w:lang w:val="en-US" w:eastAsia="zh-CN" w:bidi="ar-SA"/>
              </w:rPr>
              <w:t>/</w:t>
            </w:r>
          </w:p>
        </w:tc>
        <w:tc>
          <w:tcPr>
            <w:tcW w:w="269" w:type="pct"/>
            <w:noWrap w:val="0"/>
            <w:vAlign w:val="center"/>
          </w:tcPr>
          <w:p>
            <w:pPr>
              <w:widowControl w:val="0"/>
              <w:numPr>
                <w:ilvl w:val="0"/>
                <w:numId w:val="0"/>
              </w:numPr>
              <w:suppressAutoHyphens/>
              <w:bidi w:val="0"/>
              <w:snapToGrid w:val="0"/>
              <w:jc w:val="center"/>
              <w:rPr>
                <w:rFonts w:hint="eastAsia" w:ascii="宋体" w:hAnsi="宋体" w:eastAsia="宋体" w:cs="宋体"/>
                <w:color w:val="auto"/>
                <w:spacing w:val="0"/>
                <w:w w:val="100"/>
                <w:kern w:val="2"/>
                <w:sz w:val="18"/>
                <w:szCs w:val="18"/>
                <w:lang w:val="en-US" w:eastAsia="zh-CN" w:bidi="ar-SA"/>
              </w:rPr>
            </w:pPr>
            <w:r>
              <w:rPr>
                <w:rFonts w:hint="eastAsia" w:ascii="宋体" w:hAnsi="宋体" w:eastAsia="宋体" w:cs="宋体"/>
                <w:color w:val="auto"/>
                <w:spacing w:val="0"/>
                <w:w w:val="100"/>
                <w:kern w:val="2"/>
                <w:sz w:val="18"/>
                <w:szCs w:val="18"/>
                <w:lang w:val="en-US" w:eastAsia="zh-CN" w:bidi="ar-SA"/>
              </w:rPr>
              <w:t>/</w:t>
            </w:r>
          </w:p>
        </w:tc>
        <w:tc>
          <w:tcPr>
            <w:tcW w:w="1502" w:type="pct"/>
            <w:gridSpan w:val="2"/>
            <w:vMerge w:val="continue"/>
            <w:noWrap w:val="0"/>
            <w:vAlign w:val="center"/>
          </w:tcPr>
          <w:p>
            <w:pPr>
              <w:widowControl w:val="0"/>
              <w:numPr>
                <w:ilvl w:val="0"/>
                <w:numId w:val="0"/>
              </w:numPr>
              <w:suppressAutoHyphens/>
              <w:bidi w:val="0"/>
              <w:snapToGrid w:val="0"/>
              <w:jc w:val="center"/>
              <w:rPr>
                <w:rFonts w:hint="eastAsia" w:ascii="宋体" w:hAnsi="宋体" w:eastAsia="宋体" w:cs="宋体"/>
                <w:color w:val="auto"/>
                <w:spacing w:val="0"/>
                <w:w w:val="10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6" w:type="pct"/>
            <w:vMerge w:val="continue"/>
            <w:noWrap w:val="0"/>
            <w:vAlign w:val="center"/>
          </w:tcPr>
          <w:p>
            <w:pPr>
              <w:widowControl w:val="0"/>
              <w:numPr>
                <w:ilvl w:val="0"/>
                <w:numId w:val="0"/>
              </w:numPr>
              <w:suppressAutoHyphens/>
              <w:bidi w:val="0"/>
              <w:snapToGrid w:val="0"/>
              <w:jc w:val="center"/>
              <w:rPr>
                <w:rFonts w:hint="eastAsia" w:ascii="宋体" w:hAnsi="宋体" w:eastAsia="宋体" w:cs="宋体"/>
                <w:color w:val="auto"/>
                <w:spacing w:val="0"/>
                <w:w w:val="100"/>
                <w:kern w:val="2"/>
                <w:sz w:val="18"/>
                <w:szCs w:val="18"/>
                <w:lang w:val="en-US" w:eastAsia="zh-CN" w:bidi="ar-SA"/>
              </w:rPr>
            </w:pPr>
          </w:p>
        </w:tc>
        <w:tc>
          <w:tcPr>
            <w:tcW w:w="405" w:type="pct"/>
            <w:noWrap w:val="0"/>
            <w:vAlign w:val="center"/>
          </w:tcPr>
          <w:p>
            <w:pPr>
              <w:widowControl w:val="0"/>
              <w:numPr>
                <w:ilvl w:val="0"/>
                <w:numId w:val="0"/>
              </w:numPr>
              <w:suppressAutoHyphens/>
              <w:bidi w:val="0"/>
              <w:snapToGrid w:val="0"/>
              <w:jc w:val="center"/>
              <w:rPr>
                <w:rFonts w:hint="eastAsia" w:ascii="宋体" w:hAnsi="宋体" w:eastAsia="宋体" w:cs="宋体"/>
                <w:color w:val="auto"/>
                <w:spacing w:val="0"/>
                <w:w w:val="100"/>
                <w:kern w:val="2"/>
                <w:sz w:val="18"/>
                <w:szCs w:val="18"/>
                <w:lang w:val="en-US" w:eastAsia="zh-CN" w:bidi="ar-SA"/>
              </w:rPr>
            </w:pPr>
            <w:r>
              <w:rPr>
                <w:rFonts w:hint="eastAsia" w:ascii="宋体" w:hAnsi="宋体" w:eastAsia="宋体" w:cs="宋体"/>
                <w:color w:val="auto"/>
                <w:spacing w:val="0"/>
                <w:w w:val="100"/>
                <w:kern w:val="2"/>
                <w:sz w:val="18"/>
                <w:szCs w:val="18"/>
                <w:lang w:val="en-US" w:eastAsia="zh-CN" w:bidi="ar-SA"/>
              </w:rPr>
              <w:t>财政专户管理资金</w:t>
            </w:r>
          </w:p>
        </w:tc>
        <w:tc>
          <w:tcPr>
            <w:tcW w:w="464" w:type="pct"/>
            <w:noWrap w:val="0"/>
            <w:vAlign w:val="center"/>
          </w:tcPr>
          <w:p>
            <w:pPr>
              <w:widowControl w:val="0"/>
              <w:numPr>
                <w:ilvl w:val="0"/>
                <w:numId w:val="0"/>
              </w:numPr>
              <w:suppressAutoHyphens/>
              <w:bidi w:val="0"/>
              <w:snapToGrid w:val="0"/>
              <w:jc w:val="center"/>
              <w:rPr>
                <w:rFonts w:hint="eastAsia" w:ascii="宋体" w:hAnsi="宋体" w:eastAsia="宋体" w:cs="宋体"/>
                <w:color w:val="auto"/>
                <w:spacing w:val="0"/>
                <w:w w:val="100"/>
                <w:kern w:val="2"/>
                <w:sz w:val="18"/>
                <w:szCs w:val="18"/>
                <w:lang w:val="en-US" w:eastAsia="zh-CN" w:bidi="ar-SA"/>
              </w:rPr>
            </w:pPr>
            <w:r>
              <w:rPr>
                <w:rFonts w:hint="eastAsia" w:ascii="宋体" w:hAnsi="宋体" w:eastAsia="宋体" w:cs="宋体"/>
                <w:color w:val="auto"/>
                <w:spacing w:val="0"/>
                <w:w w:val="100"/>
                <w:kern w:val="2"/>
                <w:sz w:val="18"/>
                <w:szCs w:val="18"/>
                <w:lang w:val="en-US" w:eastAsia="zh-CN" w:bidi="ar-SA"/>
              </w:rPr>
              <w:t>0.00</w:t>
            </w:r>
          </w:p>
        </w:tc>
        <w:tc>
          <w:tcPr>
            <w:tcW w:w="443" w:type="pct"/>
            <w:noWrap w:val="0"/>
            <w:vAlign w:val="center"/>
          </w:tcPr>
          <w:p>
            <w:pPr>
              <w:widowControl w:val="0"/>
              <w:numPr>
                <w:ilvl w:val="0"/>
                <w:numId w:val="0"/>
              </w:numPr>
              <w:suppressAutoHyphens/>
              <w:bidi w:val="0"/>
              <w:snapToGrid w:val="0"/>
              <w:jc w:val="center"/>
              <w:rPr>
                <w:rFonts w:hint="eastAsia" w:ascii="宋体" w:hAnsi="宋体" w:eastAsia="宋体" w:cs="宋体"/>
                <w:color w:val="auto"/>
                <w:spacing w:val="0"/>
                <w:w w:val="100"/>
                <w:kern w:val="2"/>
                <w:sz w:val="18"/>
                <w:szCs w:val="18"/>
                <w:lang w:val="en-US" w:eastAsia="zh-CN" w:bidi="ar-SA"/>
              </w:rPr>
            </w:pPr>
            <w:r>
              <w:rPr>
                <w:rFonts w:hint="eastAsia" w:ascii="宋体" w:hAnsi="宋体" w:eastAsia="宋体" w:cs="宋体"/>
                <w:color w:val="auto"/>
                <w:spacing w:val="0"/>
                <w:w w:val="100"/>
                <w:kern w:val="2"/>
                <w:sz w:val="18"/>
                <w:szCs w:val="18"/>
                <w:lang w:val="en-US" w:eastAsia="zh-CN" w:bidi="ar-SA"/>
              </w:rPr>
              <w:t>0.00</w:t>
            </w:r>
          </w:p>
        </w:tc>
        <w:tc>
          <w:tcPr>
            <w:tcW w:w="500" w:type="pct"/>
            <w:gridSpan w:val="2"/>
            <w:noWrap w:val="0"/>
            <w:vAlign w:val="center"/>
          </w:tcPr>
          <w:p>
            <w:pPr>
              <w:widowControl w:val="0"/>
              <w:numPr>
                <w:ilvl w:val="0"/>
                <w:numId w:val="0"/>
              </w:numPr>
              <w:suppressAutoHyphens/>
              <w:bidi w:val="0"/>
              <w:snapToGrid w:val="0"/>
              <w:jc w:val="center"/>
              <w:rPr>
                <w:rFonts w:hint="eastAsia" w:ascii="宋体" w:hAnsi="宋体" w:eastAsia="宋体" w:cs="宋体"/>
                <w:color w:val="auto"/>
                <w:spacing w:val="0"/>
                <w:w w:val="100"/>
                <w:kern w:val="2"/>
                <w:sz w:val="18"/>
                <w:szCs w:val="18"/>
                <w:lang w:val="en-US" w:eastAsia="zh-CN" w:bidi="ar-SA"/>
              </w:rPr>
            </w:pPr>
            <w:r>
              <w:rPr>
                <w:rFonts w:hint="eastAsia" w:ascii="宋体" w:hAnsi="宋体" w:eastAsia="宋体" w:cs="宋体"/>
                <w:color w:val="auto"/>
                <w:spacing w:val="0"/>
                <w:w w:val="100"/>
                <w:kern w:val="2"/>
                <w:sz w:val="18"/>
                <w:szCs w:val="18"/>
                <w:lang w:val="en-US" w:eastAsia="zh-CN" w:bidi="ar-SA"/>
              </w:rPr>
              <w:t>0.00</w:t>
            </w:r>
          </w:p>
        </w:tc>
        <w:tc>
          <w:tcPr>
            <w:tcW w:w="664" w:type="pct"/>
            <w:gridSpan w:val="2"/>
            <w:noWrap w:val="0"/>
            <w:vAlign w:val="center"/>
          </w:tcPr>
          <w:p>
            <w:pPr>
              <w:widowControl w:val="0"/>
              <w:numPr>
                <w:ilvl w:val="0"/>
                <w:numId w:val="0"/>
              </w:numPr>
              <w:suppressAutoHyphens/>
              <w:bidi w:val="0"/>
              <w:snapToGrid w:val="0"/>
              <w:jc w:val="center"/>
              <w:rPr>
                <w:rFonts w:hint="eastAsia" w:ascii="宋体" w:hAnsi="宋体" w:eastAsia="宋体" w:cs="宋体"/>
                <w:color w:val="auto"/>
                <w:spacing w:val="0"/>
                <w:w w:val="100"/>
                <w:kern w:val="2"/>
                <w:sz w:val="18"/>
                <w:szCs w:val="18"/>
                <w:lang w:val="en-US" w:eastAsia="zh-CN" w:bidi="ar-SA"/>
              </w:rPr>
            </w:pPr>
            <w:r>
              <w:rPr>
                <w:rFonts w:hint="eastAsia" w:ascii="宋体" w:hAnsi="宋体" w:eastAsia="宋体" w:cs="宋体"/>
                <w:color w:val="auto"/>
                <w:spacing w:val="0"/>
                <w:w w:val="100"/>
                <w:kern w:val="2"/>
                <w:sz w:val="18"/>
                <w:szCs w:val="18"/>
                <w:lang w:val="en-US" w:eastAsia="zh-CN" w:bidi="ar-SA"/>
              </w:rPr>
              <w:t>0.00%</w:t>
            </w:r>
          </w:p>
        </w:tc>
        <w:tc>
          <w:tcPr>
            <w:tcW w:w="363" w:type="pct"/>
            <w:noWrap w:val="0"/>
            <w:vAlign w:val="center"/>
          </w:tcPr>
          <w:p>
            <w:pPr>
              <w:widowControl w:val="0"/>
              <w:numPr>
                <w:ilvl w:val="0"/>
                <w:numId w:val="0"/>
              </w:numPr>
              <w:suppressAutoHyphens/>
              <w:bidi w:val="0"/>
              <w:snapToGrid w:val="0"/>
              <w:jc w:val="center"/>
              <w:rPr>
                <w:rFonts w:hint="eastAsia" w:ascii="宋体" w:hAnsi="宋体" w:eastAsia="宋体" w:cs="宋体"/>
                <w:color w:val="auto"/>
                <w:spacing w:val="0"/>
                <w:w w:val="100"/>
                <w:kern w:val="2"/>
                <w:sz w:val="18"/>
                <w:szCs w:val="18"/>
                <w:lang w:val="en-US" w:eastAsia="zh-CN" w:bidi="ar-SA"/>
              </w:rPr>
            </w:pPr>
            <w:r>
              <w:rPr>
                <w:rFonts w:hint="eastAsia" w:ascii="宋体" w:hAnsi="宋体" w:eastAsia="宋体" w:cs="宋体"/>
                <w:color w:val="auto"/>
                <w:spacing w:val="0"/>
                <w:w w:val="100"/>
                <w:kern w:val="2"/>
                <w:sz w:val="18"/>
                <w:szCs w:val="18"/>
                <w:lang w:val="en-US" w:eastAsia="zh-CN" w:bidi="ar-SA"/>
              </w:rPr>
              <w:t>/</w:t>
            </w:r>
          </w:p>
        </w:tc>
        <w:tc>
          <w:tcPr>
            <w:tcW w:w="269" w:type="pct"/>
            <w:noWrap w:val="0"/>
            <w:vAlign w:val="center"/>
          </w:tcPr>
          <w:p>
            <w:pPr>
              <w:widowControl w:val="0"/>
              <w:numPr>
                <w:ilvl w:val="0"/>
                <w:numId w:val="0"/>
              </w:numPr>
              <w:suppressAutoHyphens/>
              <w:bidi w:val="0"/>
              <w:snapToGrid w:val="0"/>
              <w:jc w:val="center"/>
              <w:rPr>
                <w:rFonts w:hint="eastAsia" w:ascii="宋体" w:hAnsi="宋体" w:eastAsia="宋体" w:cs="宋体"/>
                <w:color w:val="auto"/>
                <w:spacing w:val="0"/>
                <w:w w:val="100"/>
                <w:kern w:val="2"/>
                <w:sz w:val="18"/>
                <w:szCs w:val="18"/>
                <w:lang w:val="en-US" w:eastAsia="zh-CN" w:bidi="ar-SA"/>
              </w:rPr>
            </w:pPr>
            <w:r>
              <w:rPr>
                <w:rFonts w:hint="eastAsia" w:ascii="宋体" w:hAnsi="宋体" w:eastAsia="宋体" w:cs="宋体"/>
                <w:color w:val="auto"/>
                <w:spacing w:val="0"/>
                <w:w w:val="100"/>
                <w:kern w:val="2"/>
                <w:sz w:val="18"/>
                <w:szCs w:val="18"/>
                <w:lang w:val="en-US" w:eastAsia="zh-CN" w:bidi="ar-SA"/>
              </w:rPr>
              <w:t>/</w:t>
            </w:r>
          </w:p>
        </w:tc>
        <w:tc>
          <w:tcPr>
            <w:tcW w:w="1502" w:type="pct"/>
            <w:gridSpan w:val="2"/>
            <w:vMerge w:val="continue"/>
            <w:noWrap w:val="0"/>
            <w:vAlign w:val="center"/>
          </w:tcPr>
          <w:p>
            <w:pPr>
              <w:widowControl w:val="0"/>
              <w:numPr>
                <w:ilvl w:val="0"/>
                <w:numId w:val="0"/>
              </w:numPr>
              <w:suppressAutoHyphens/>
              <w:bidi w:val="0"/>
              <w:snapToGrid w:val="0"/>
              <w:jc w:val="center"/>
              <w:rPr>
                <w:rFonts w:hint="eastAsia" w:ascii="宋体" w:hAnsi="宋体" w:eastAsia="宋体" w:cs="宋体"/>
                <w:color w:val="auto"/>
                <w:spacing w:val="0"/>
                <w:w w:val="10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6" w:type="pct"/>
            <w:vMerge w:val="continue"/>
            <w:noWrap w:val="0"/>
            <w:vAlign w:val="center"/>
          </w:tcPr>
          <w:p>
            <w:pPr>
              <w:widowControl w:val="0"/>
              <w:numPr>
                <w:ilvl w:val="0"/>
                <w:numId w:val="0"/>
              </w:numPr>
              <w:suppressAutoHyphens/>
              <w:bidi w:val="0"/>
              <w:snapToGrid w:val="0"/>
              <w:jc w:val="center"/>
              <w:rPr>
                <w:rFonts w:hint="eastAsia" w:ascii="宋体" w:hAnsi="宋体" w:eastAsia="宋体" w:cs="宋体"/>
                <w:color w:val="auto"/>
                <w:spacing w:val="0"/>
                <w:w w:val="100"/>
                <w:kern w:val="2"/>
                <w:sz w:val="18"/>
                <w:szCs w:val="18"/>
                <w:lang w:val="en-US" w:eastAsia="zh-CN" w:bidi="ar-SA"/>
              </w:rPr>
            </w:pPr>
          </w:p>
        </w:tc>
        <w:tc>
          <w:tcPr>
            <w:tcW w:w="405" w:type="pct"/>
            <w:noWrap w:val="0"/>
            <w:vAlign w:val="center"/>
          </w:tcPr>
          <w:p>
            <w:pPr>
              <w:widowControl w:val="0"/>
              <w:numPr>
                <w:ilvl w:val="0"/>
                <w:numId w:val="0"/>
              </w:numPr>
              <w:suppressAutoHyphens/>
              <w:bidi w:val="0"/>
              <w:snapToGrid w:val="0"/>
              <w:jc w:val="center"/>
              <w:rPr>
                <w:rFonts w:hint="eastAsia" w:ascii="宋体" w:hAnsi="宋体" w:eastAsia="宋体" w:cs="宋体"/>
                <w:color w:val="auto"/>
                <w:spacing w:val="0"/>
                <w:w w:val="100"/>
                <w:kern w:val="2"/>
                <w:sz w:val="18"/>
                <w:szCs w:val="18"/>
                <w:lang w:val="en-US" w:eastAsia="zh-CN" w:bidi="ar-SA"/>
              </w:rPr>
            </w:pPr>
            <w:r>
              <w:rPr>
                <w:rFonts w:hint="eastAsia" w:ascii="宋体" w:hAnsi="宋体" w:eastAsia="宋体" w:cs="宋体"/>
                <w:color w:val="auto"/>
                <w:spacing w:val="0"/>
                <w:w w:val="100"/>
                <w:kern w:val="2"/>
                <w:sz w:val="18"/>
                <w:szCs w:val="18"/>
                <w:lang w:val="en-US" w:eastAsia="zh-CN" w:bidi="ar-SA"/>
              </w:rPr>
              <w:t>单位资金</w:t>
            </w:r>
          </w:p>
        </w:tc>
        <w:tc>
          <w:tcPr>
            <w:tcW w:w="464" w:type="pct"/>
            <w:noWrap w:val="0"/>
            <w:vAlign w:val="center"/>
          </w:tcPr>
          <w:p>
            <w:pPr>
              <w:widowControl w:val="0"/>
              <w:numPr>
                <w:ilvl w:val="0"/>
                <w:numId w:val="0"/>
              </w:numPr>
              <w:suppressAutoHyphens/>
              <w:bidi w:val="0"/>
              <w:snapToGrid w:val="0"/>
              <w:jc w:val="center"/>
              <w:rPr>
                <w:rFonts w:hint="eastAsia" w:ascii="宋体" w:hAnsi="宋体" w:eastAsia="宋体" w:cs="宋体"/>
                <w:color w:val="auto"/>
                <w:spacing w:val="0"/>
                <w:w w:val="100"/>
                <w:kern w:val="2"/>
                <w:sz w:val="18"/>
                <w:szCs w:val="18"/>
                <w:lang w:val="en-US" w:eastAsia="zh-CN" w:bidi="ar-SA"/>
              </w:rPr>
            </w:pPr>
            <w:r>
              <w:rPr>
                <w:rFonts w:hint="eastAsia" w:ascii="宋体" w:hAnsi="宋体" w:eastAsia="宋体" w:cs="宋体"/>
                <w:color w:val="auto"/>
                <w:spacing w:val="0"/>
                <w:w w:val="100"/>
                <w:kern w:val="2"/>
                <w:sz w:val="18"/>
                <w:szCs w:val="18"/>
                <w:lang w:val="en-US" w:eastAsia="zh-CN" w:bidi="ar-SA"/>
              </w:rPr>
              <w:t>0.00</w:t>
            </w:r>
          </w:p>
        </w:tc>
        <w:tc>
          <w:tcPr>
            <w:tcW w:w="443" w:type="pct"/>
            <w:noWrap w:val="0"/>
            <w:vAlign w:val="center"/>
          </w:tcPr>
          <w:p>
            <w:pPr>
              <w:widowControl w:val="0"/>
              <w:numPr>
                <w:ilvl w:val="0"/>
                <w:numId w:val="0"/>
              </w:numPr>
              <w:suppressAutoHyphens/>
              <w:bidi w:val="0"/>
              <w:snapToGrid w:val="0"/>
              <w:jc w:val="center"/>
              <w:rPr>
                <w:rFonts w:hint="eastAsia" w:ascii="宋体" w:hAnsi="宋体" w:eastAsia="宋体" w:cs="宋体"/>
                <w:color w:val="auto"/>
                <w:spacing w:val="0"/>
                <w:w w:val="100"/>
                <w:kern w:val="2"/>
                <w:sz w:val="18"/>
                <w:szCs w:val="18"/>
                <w:lang w:val="en-US" w:eastAsia="zh-CN" w:bidi="ar-SA"/>
              </w:rPr>
            </w:pPr>
            <w:r>
              <w:rPr>
                <w:rFonts w:hint="eastAsia" w:ascii="宋体" w:hAnsi="宋体" w:eastAsia="宋体" w:cs="宋体"/>
                <w:color w:val="auto"/>
                <w:spacing w:val="0"/>
                <w:w w:val="100"/>
                <w:kern w:val="2"/>
                <w:sz w:val="18"/>
                <w:szCs w:val="18"/>
                <w:lang w:val="en-US" w:eastAsia="zh-CN" w:bidi="ar-SA"/>
              </w:rPr>
              <w:t>0.00</w:t>
            </w:r>
          </w:p>
        </w:tc>
        <w:tc>
          <w:tcPr>
            <w:tcW w:w="500" w:type="pct"/>
            <w:gridSpan w:val="2"/>
            <w:noWrap w:val="0"/>
            <w:vAlign w:val="center"/>
          </w:tcPr>
          <w:p>
            <w:pPr>
              <w:widowControl w:val="0"/>
              <w:numPr>
                <w:ilvl w:val="0"/>
                <w:numId w:val="0"/>
              </w:numPr>
              <w:suppressAutoHyphens/>
              <w:bidi w:val="0"/>
              <w:snapToGrid w:val="0"/>
              <w:jc w:val="center"/>
              <w:rPr>
                <w:rFonts w:hint="eastAsia" w:ascii="宋体" w:hAnsi="宋体" w:eastAsia="宋体" w:cs="宋体"/>
                <w:color w:val="auto"/>
                <w:spacing w:val="0"/>
                <w:w w:val="100"/>
                <w:kern w:val="2"/>
                <w:sz w:val="18"/>
                <w:szCs w:val="18"/>
                <w:lang w:val="en-US" w:eastAsia="zh-CN" w:bidi="ar-SA"/>
              </w:rPr>
            </w:pPr>
            <w:r>
              <w:rPr>
                <w:rFonts w:hint="eastAsia" w:ascii="宋体" w:hAnsi="宋体" w:eastAsia="宋体" w:cs="宋体"/>
                <w:color w:val="auto"/>
                <w:spacing w:val="0"/>
                <w:w w:val="100"/>
                <w:kern w:val="2"/>
                <w:sz w:val="18"/>
                <w:szCs w:val="18"/>
                <w:lang w:val="en-US" w:eastAsia="zh-CN" w:bidi="ar-SA"/>
              </w:rPr>
              <w:t>0.00</w:t>
            </w:r>
          </w:p>
        </w:tc>
        <w:tc>
          <w:tcPr>
            <w:tcW w:w="664" w:type="pct"/>
            <w:gridSpan w:val="2"/>
            <w:noWrap w:val="0"/>
            <w:vAlign w:val="center"/>
          </w:tcPr>
          <w:p>
            <w:pPr>
              <w:widowControl w:val="0"/>
              <w:numPr>
                <w:ilvl w:val="0"/>
                <w:numId w:val="0"/>
              </w:numPr>
              <w:suppressAutoHyphens/>
              <w:bidi w:val="0"/>
              <w:snapToGrid w:val="0"/>
              <w:jc w:val="center"/>
              <w:rPr>
                <w:rFonts w:hint="eastAsia" w:ascii="宋体" w:hAnsi="宋体" w:eastAsia="宋体" w:cs="宋体"/>
                <w:color w:val="auto"/>
                <w:spacing w:val="0"/>
                <w:w w:val="100"/>
                <w:kern w:val="2"/>
                <w:sz w:val="18"/>
                <w:szCs w:val="18"/>
                <w:lang w:val="en-US" w:eastAsia="zh-CN" w:bidi="ar-SA"/>
              </w:rPr>
            </w:pPr>
            <w:r>
              <w:rPr>
                <w:rFonts w:hint="eastAsia" w:ascii="宋体" w:hAnsi="宋体" w:eastAsia="宋体" w:cs="宋体"/>
                <w:color w:val="auto"/>
                <w:spacing w:val="0"/>
                <w:w w:val="100"/>
                <w:kern w:val="2"/>
                <w:sz w:val="18"/>
                <w:szCs w:val="18"/>
                <w:lang w:val="en-US" w:eastAsia="zh-CN" w:bidi="ar-SA"/>
              </w:rPr>
              <w:t>0.00%</w:t>
            </w:r>
          </w:p>
        </w:tc>
        <w:tc>
          <w:tcPr>
            <w:tcW w:w="363" w:type="pct"/>
            <w:noWrap w:val="0"/>
            <w:vAlign w:val="center"/>
          </w:tcPr>
          <w:p>
            <w:pPr>
              <w:widowControl w:val="0"/>
              <w:numPr>
                <w:ilvl w:val="0"/>
                <w:numId w:val="0"/>
              </w:numPr>
              <w:suppressAutoHyphens/>
              <w:bidi w:val="0"/>
              <w:snapToGrid w:val="0"/>
              <w:jc w:val="center"/>
              <w:rPr>
                <w:rFonts w:hint="eastAsia" w:ascii="宋体" w:hAnsi="宋体" w:eastAsia="宋体" w:cs="宋体"/>
                <w:color w:val="auto"/>
                <w:spacing w:val="0"/>
                <w:w w:val="100"/>
                <w:kern w:val="2"/>
                <w:sz w:val="18"/>
                <w:szCs w:val="18"/>
                <w:lang w:val="en-US" w:eastAsia="zh-CN" w:bidi="ar-SA"/>
              </w:rPr>
            </w:pPr>
            <w:r>
              <w:rPr>
                <w:rFonts w:hint="eastAsia" w:ascii="宋体" w:hAnsi="宋体" w:eastAsia="宋体" w:cs="宋体"/>
                <w:color w:val="auto"/>
                <w:spacing w:val="0"/>
                <w:w w:val="100"/>
                <w:kern w:val="2"/>
                <w:sz w:val="18"/>
                <w:szCs w:val="18"/>
                <w:lang w:val="en-US" w:eastAsia="zh-CN" w:bidi="ar-SA"/>
              </w:rPr>
              <w:t>/</w:t>
            </w:r>
          </w:p>
        </w:tc>
        <w:tc>
          <w:tcPr>
            <w:tcW w:w="269" w:type="pct"/>
            <w:noWrap w:val="0"/>
            <w:vAlign w:val="center"/>
          </w:tcPr>
          <w:p>
            <w:pPr>
              <w:widowControl w:val="0"/>
              <w:numPr>
                <w:ilvl w:val="0"/>
                <w:numId w:val="0"/>
              </w:numPr>
              <w:suppressAutoHyphens/>
              <w:bidi w:val="0"/>
              <w:snapToGrid w:val="0"/>
              <w:jc w:val="center"/>
              <w:rPr>
                <w:rFonts w:hint="eastAsia" w:ascii="宋体" w:hAnsi="宋体" w:eastAsia="宋体" w:cs="宋体"/>
                <w:color w:val="auto"/>
                <w:spacing w:val="0"/>
                <w:w w:val="100"/>
                <w:kern w:val="2"/>
                <w:sz w:val="18"/>
                <w:szCs w:val="18"/>
                <w:lang w:val="en-US" w:eastAsia="zh-CN" w:bidi="ar-SA"/>
              </w:rPr>
            </w:pPr>
            <w:r>
              <w:rPr>
                <w:rFonts w:hint="eastAsia" w:ascii="宋体" w:hAnsi="宋体" w:eastAsia="宋体" w:cs="宋体"/>
                <w:color w:val="auto"/>
                <w:spacing w:val="0"/>
                <w:w w:val="100"/>
                <w:kern w:val="2"/>
                <w:sz w:val="18"/>
                <w:szCs w:val="18"/>
                <w:lang w:val="en-US" w:eastAsia="zh-CN" w:bidi="ar-SA"/>
              </w:rPr>
              <w:t>/</w:t>
            </w:r>
          </w:p>
        </w:tc>
        <w:tc>
          <w:tcPr>
            <w:tcW w:w="1502" w:type="pct"/>
            <w:gridSpan w:val="2"/>
            <w:vMerge w:val="continue"/>
            <w:noWrap w:val="0"/>
            <w:vAlign w:val="center"/>
          </w:tcPr>
          <w:p>
            <w:pPr>
              <w:widowControl w:val="0"/>
              <w:numPr>
                <w:ilvl w:val="0"/>
                <w:numId w:val="0"/>
              </w:numPr>
              <w:suppressAutoHyphens/>
              <w:bidi w:val="0"/>
              <w:snapToGrid w:val="0"/>
              <w:jc w:val="center"/>
              <w:rPr>
                <w:rFonts w:hint="eastAsia" w:ascii="宋体" w:hAnsi="宋体" w:eastAsia="宋体" w:cs="宋体"/>
                <w:color w:val="auto"/>
                <w:spacing w:val="0"/>
                <w:w w:val="10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386" w:type="pct"/>
            <w:vMerge w:val="continue"/>
            <w:noWrap w:val="0"/>
            <w:vAlign w:val="center"/>
          </w:tcPr>
          <w:p>
            <w:pPr>
              <w:widowControl w:val="0"/>
              <w:numPr>
                <w:ilvl w:val="0"/>
                <w:numId w:val="0"/>
              </w:numPr>
              <w:suppressAutoHyphens/>
              <w:bidi w:val="0"/>
              <w:snapToGrid w:val="0"/>
              <w:jc w:val="center"/>
              <w:rPr>
                <w:rFonts w:hint="eastAsia" w:ascii="宋体" w:hAnsi="宋体" w:eastAsia="宋体" w:cs="宋体"/>
                <w:color w:val="auto"/>
                <w:spacing w:val="0"/>
                <w:w w:val="100"/>
                <w:kern w:val="2"/>
                <w:sz w:val="18"/>
                <w:szCs w:val="18"/>
                <w:lang w:val="en-US" w:eastAsia="zh-CN" w:bidi="ar-SA"/>
              </w:rPr>
            </w:pPr>
          </w:p>
        </w:tc>
        <w:tc>
          <w:tcPr>
            <w:tcW w:w="405" w:type="pct"/>
            <w:noWrap w:val="0"/>
            <w:vAlign w:val="center"/>
          </w:tcPr>
          <w:p>
            <w:pPr>
              <w:widowControl w:val="0"/>
              <w:numPr>
                <w:ilvl w:val="0"/>
                <w:numId w:val="0"/>
              </w:numPr>
              <w:suppressAutoHyphens/>
              <w:bidi w:val="0"/>
              <w:snapToGrid w:val="0"/>
              <w:jc w:val="center"/>
              <w:rPr>
                <w:rFonts w:hint="eastAsia" w:ascii="宋体" w:hAnsi="宋体" w:eastAsia="宋体" w:cs="宋体"/>
                <w:color w:val="auto"/>
                <w:spacing w:val="0"/>
                <w:w w:val="100"/>
                <w:kern w:val="2"/>
                <w:sz w:val="18"/>
                <w:szCs w:val="18"/>
                <w:lang w:val="en-US" w:eastAsia="zh-CN" w:bidi="ar-SA"/>
              </w:rPr>
            </w:pPr>
            <w:r>
              <w:rPr>
                <w:rFonts w:hint="eastAsia" w:ascii="宋体" w:hAnsi="宋体" w:eastAsia="宋体" w:cs="宋体"/>
                <w:color w:val="auto"/>
                <w:spacing w:val="0"/>
                <w:w w:val="100"/>
                <w:kern w:val="2"/>
                <w:sz w:val="18"/>
                <w:szCs w:val="18"/>
                <w:lang w:val="en-US" w:eastAsia="zh-CN" w:bidi="ar-SA"/>
              </w:rPr>
              <w:t>其他资金</w:t>
            </w:r>
          </w:p>
        </w:tc>
        <w:tc>
          <w:tcPr>
            <w:tcW w:w="464" w:type="pct"/>
            <w:noWrap w:val="0"/>
            <w:vAlign w:val="center"/>
          </w:tcPr>
          <w:p>
            <w:pPr>
              <w:widowControl w:val="0"/>
              <w:numPr>
                <w:ilvl w:val="0"/>
                <w:numId w:val="0"/>
              </w:numPr>
              <w:suppressAutoHyphens/>
              <w:bidi w:val="0"/>
              <w:snapToGrid w:val="0"/>
              <w:jc w:val="center"/>
              <w:rPr>
                <w:rFonts w:hint="eastAsia" w:ascii="宋体" w:hAnsi="宋体" w:eastAsia="宋体" w:cs="宋体"/>
                <w:color w:val="auto"/>
                <w:spacing w:val="0"/>
                <w:w w:val="100"/>
                <w:kern w:val="2"/>
                <w:sz w:val="18"/>
                <w:szCs w:val="18"/>
                <w:lang w:val="en-US" w:eastAsia="zh-CN" w:bidi="ar-SA"/>
              </w:rPr>
            </w:pPr>
          </w:p>
        </w:tc>
        <w:tc>
          <w:tcPr>
            <w:tcW w:w="443" w:type="pct"/>
            <w:noWrap w:val="0"/>
            <w:vAlign w:val="center"/>
          </w:tcPr>
          <w:p>
            <w:pPr>
              <w:widowControl w:val="0"/>
              <w:numPr>
                <w:ilvl w:val="0"/>
                <w:numId w:val="0"/>
              </w:numPr>
              <w:suppressAutoHyphens/>
              <w:bidi w:val="0"/>
              <w:snapToGrid w:val="0"/>
              <w:jc w:val="center"/>
              <w:rPr>
                <w:rFonts w:hint="eastAsia" w:ascii="宋体" w:hAnsi="宋体" w:eastAsia="宋体" w:cs="宋体"/>
                <w:color w:val="auto"/>
                <w:spacing w:val="0"/>
                <w:w w:val="100"/>
                <w:kern w:val="2"/>
                <w:sz w:val="18"/>
                <w:szCs w:val="18"/>
                <w:lang w:val="en-US" w:eastAsia="zh-CN" w:bidi="ar-SA"/>
              </w:rPr>
            </w:pPr>
          </w:p>
        </w:tc>
        <w:tc>
          <w:tcPr>
            <w:tcW w:w="628" w:type="pct"/>
            <w:gridSpan w:val="3"/>
            <w:noWrap w:val="0"/>
            <w:vAlign w:val="center"/>
          </w:tcPr>
          <w:p>
            <w:pPr>
              <w:widowControl w:val="0"/>
              <w:numPr>
                <w:ilvl w:val="0"/>
                <w:numId w:val="0"/>
              </w:numPr>
              <w:suppressAutoHyphens/>
              <w:bidi w:val="0"/>
              <w:snapToGrid w:val="0"/>
              <w:jc w:val="center"/>
              <w:rPr>
                <w:rFonts w:hint="eastAsia" w:ascii="宋体" w:hAnsi="宋体" w:eastAsia="宋体" w:cs="宋体"/>
                <w:color w:val="auto"/>
                <w:spacing w:val="0"/>
                <w:w w:val="100"/>
                <w:kern w:val="2"/>
                <w:sz w:val="18"/>
                <w:szCs w:val="18"/>
                <w:lang w:val="en-US" w:eastAsia="zh-CN" w:bidi="ar-SA"/>
              </w:rPr>
            </w:pPr>
          </w:p>
        </w:tc>
        <w:tc>
          <w:tcPr>
            <w:tcW w:w="536" w:type="pct"/>
            <w:noWrap w:val="0"/>
            <w:vAlign w:val="center"/>
          </w:tcPr>
          <w:p>
            <w:pPr>
              <w:widowControl w:val="0"/>
              <w:numPr>
                <w:ilvl w:val="0"/>
                <w:numId w:val="0"/>
              </w:numPr>
              <w:suppressAutoHyphens/>
              <w:bidi w:val="0"/>
              <w:snapToGrid w:val="0"/>
              <w:jc w:val="center"/>
              <w:rPr>
                <w:rFonts w:hint="eastAsia" w:ascii="宋体" w:hAnsi="宋体" w:eastAsia="宋体" w:cs="宋体"/>
                <w:color w:val="auto"/>
                <w:spacing w:val="0"/>
                <w:w w:val="100"/>
                <w:kern w:val="2"/>
                <w:sz w:val="18"/>
                <w:szCs w:val="18"/>
                <w:lang w:val="en-US" w:eastAsia="zh-CN" w:bidi="ar-SA"/>
              </w:rPr>
            </w:pPr>
          </w:p>
        </w:tc>
        <w:tc>
          <w:tcPr>
            <w:tcW w:w="363" w:type="pct"/>
            <w:noWrap w:val="0"/>
            <w:vAlign w:val="center"/>
          </w:tcPr>
          <w:p>
            <w:pPr>
              <w:widowControl w:val="0"/>
              <w:numPr>
                <w:ilvl w:val="0"/>
                <w:numId w:val="0"/>
              </w:numPr>
              <w:suppressAutoHyphens/>
              <w:bidi w:val="0"/>
              <w:snapToGrid w:val="0"/>
              <w:jc w:val="center"/>
              <w:rPr>
                <w:rFonts w:hint="eastAsia" w:ascii="宋体" w:hAnsi="宋体" w:eastAsia="宋体" w:cs="宋体"/>
                <w:color w:val="auto"/>
                <w:spacing w:val="0"/>
                <w:w w:val="100"/>
                <w:kern w:val="2"/>
                <w:sz w:val="18"/>
                <w:szCs w:val="18"/>
                <w:lang w:val="en-US" w:eastAsia="zh-CN" w:bidi="ar-SA"/>
              </w:rPr>
            </w:pPr>
          </w:p>
        </w:tc>
        <w:tc>
          <w:tcPr>
            <w:tcW w:w="269" w:type="pct"/>
            <w:noWrap w:val="0"/>
            <w:vAlign w:val="center"/>
          </w:tcPr>
          <w:p>
            <w:pPr>
              <w:widowControl w:val="0"/>
              <w:numPr>
                <w:ilvl w:val="0"/>
                <w:numId w:val="0"/>
              </w:numPr>
              <w:suppressAutoHyphens/>
              <w:bidi w:val="0"/>
              <w:snapToGrid w:val="0"/>
              <w:jc w:val="center"/>
              <w:rPr>
                <w:rFonts w:hint="eastAsia" w:ascii="宋体" w:hAnsi="宋体" w:eastAsia="宋体" w:cs="宋体"/>
                <w:color w:val="auto"/>
                <w:spacing w:val="0"/>
                <w:w w:val="100"/>
                <w:kern w:val="2"/>
                <w:sz w:val="18"/>
                <w:szCs w:val="18"/>
                <w:lang w:val="en-US" w:eastAsia="zh-CN" w:bidi="ar-SA"/>
              </w:rPr>
            </w:pPr>
            <w:r>
              <w:rPr>
                <w:rFonts w:hint="eastAsia" w:ascii="宋体" w:hAnsi="宋体" w:eastAsia="宋体" w:cs="宋体"/>
                <w:color w:val="auto"/>
                <w:spacing w:val="0"/>
                <w:w w:val="100"/>
                <w:kern w:val="2"/>
                <w:sz w:val="18"/>
                <w:szCs w:val="18"/>
                <w:lang w:val="en-US" w:eastAsia="zh-CN" w:bidi="ar-SA"/>
              </w:rPr>
              <w:t>/</w:t>
            </w:r>
          </w:p>
        </w:tc>
        <w:tc>
          <w:tcPr>
            <w:tcW w:w="529" w:type="pct"/>
            <w:noWrap w:val="0"/>
            <w:vAlign w:val="center"/>
          </w:tcPr>
          <w:p>
            <w:pPr>
              <w:widowControl w:val="0"/>
              <w:numPr>
                <w:ilvl w:val="0"/>
                <w:numId w:val="0"/>
              </w:numPr>
              <w:suppressAutoHyphens/>
              <w:bidi w:val="0"/>
              <w:snapToGrid w:val="0"/>
              <w:jc w:val="center"/>
              <w:rPr>
                <w:rFonts w:hint="eastAsia" w:ascii="宋体" w:hAnsi="宋体" w:eastAsia="宋体" w:cs="宋体"/>
                <w:color w:val="auto"/>
                <w:spacing w:val="0"/>
                <w:w w:val="100"/>
                <w:kern w:val="2"/>
                <w:sz w:val="18"/>
                <w:szCs w:val="18"/>
                <w:lang w:val="en-US" w:eastAsia="zh-CN" w:bidi="ar-SA"/>
              </w:rPr>
            </w:pPr>
            <w:r>
              <w:rPr>
                <w:rFonts w:hint="eastAsia" w:ascii="宋体" w:hAnsi="宋体" w:eastAsia="宋体" w:cs="宋体"/>
                <w:color w:val="auto"/>
                <w:spacing w:val="0"/>
                <w:w w:val="100"/>
                <w:kern w:val="2"/>
                <w:sz w:val="18"/>
                <w:szCs w:val="18"/>
                <w:lang w:val="en-US" w:eastAsia="zh-CN" w:bidi="ar-SA"/>
              </w:rPr>
              <w:t>/</w:t>
            </w:r>
          </w:p>
        </w:tc>
        <w:tc>
          <w:tcPr>
            <w:tcW w:w="973" w:type="pct"/>
            <w:noWrap w:val="0"/>
            <w:vAlign w:val="center"/>
          </w:tcPr>
          <w:p>
            <w:pPr>
              <w:widowControl w:val="0"/>
              <w:numPr>
                <w:ilvl w:val="0"/>
                <w:numId w:val="0"/>
              </w:numPr>
              <w:suppressAutoHyphens/>
              <w:bidi w:val="0"/>
              <w:snapToGrid w:val="0"/>
              <w:jc w:val="center"/>
              <w:rPr>
                <w:rFonts w:hint="eastAsia" w:ascii="宋体" w:hAnsi="宋体" w:eastAsia="宋体" w:cs="宋体"/>
                <w:color w:val="auto"/>
                <w:spacing w:val="0"/>
                <w:w w:val="10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6" w:type="pct"/>
            <w:vMerge w:val="restart"/>
            <w:noWrap w:val="0"/>
            <w:vAlign w:val="center"/>
          </w:tcPr>
          <w:p>
            <w:pPr>
              <w:widowControl w:val="0"/>
              <w:numPr>
                <w:ilvl w:val="0"/>
                <w:numId w:val="0"/>
              </w:numPr>
              <w:suppressAutoHyphens/>
              <w:bidi w:val="0"/>
              <w:snapToGrid w:val="0"/>
              <w:jc w:val="center"/>
              <w:rPr>
                <w:rFonts w:hint="eastAsia" w:ascii="宋体" w:hAnsi="宋体" w:eastAsia="宋体" w:cs="宋体"/>
                <w:color w:val="auto"/>
                <w:spacing w:val="0"/>
                <w:w w:val="100"/>
                <w:kern w:val="2"/>
                <w:sz w:val="18"/>
                <w:szCs w:val="18"/>
                <w:lang w:val="en-US" w:eastAsia="zh-CN" w:bidi="ar-SA"/>
              </w:rPr>
            </w:pPr>
            <w:r>
              <w:rPr>
                <w:rFonts w:hint="eastAsia" w:ascii="宋体" w:hAnsi="宋体" w:eastAsia="宋体" w:cs="宋体"/>
                <w:color w:val="auto"/>
                <w:spacing w:val="0"/>
                <w:w w:val="100"/>
                <w:kern w:val="2"/>
                <w:sz w:val="18"/>
                <w:szCs w:val="18"/>
                <w:lang w:val="en-US" w:eastAsia="zh-CN" w:bidi="ar-SA"/>
              </w:rPr>
              <w:t>绩效指标（90分）</w:t>
            </w:r>
          </w:p>
        </w:tc>
        <w:tc>
          <w:tcPr>
            <w:tcW w:w="405" w:type="pct"/>
            <w:noWrap w:val="0"/>
            <w:vAlign w:val="center"/>
          </w:tcPr>
          <w:p>
            <w:pPr>
              <w:widowControl w:val="0"/>
              <w:numPr>
                <w:ilvl w:val="0"/>
                <w:numId w:val="0"/>
              </w:numPr>
              <w:suppressAutoHyphens/>
              <w:bidi w:val="0"/>
              <w:snapToGrid w:val="0"/>
              <w:jc w:val="center"/>
              <w:rPr>
                <w:rFonts w:hint="eastAsia" w:ascii="宋体" w:hAnsi="宋体" w:eastAsia="宋体" w:cs="宋体"/>
                <w:color w:val="auto"/>
                <w:spacing w:val="0"/>
                <w:w w:val="100"/>
                <w:kern w:val="2"/>
                <w:sz w:val="18"/>
                <w:szCs w:val="18"/>
                <w:lang w:val="en-US" w:eastAsia="zh-CN" w:bidi="ar-SA"/>
              </w:rPr>
            </w:pPr>
            <w:r>
              <w:rPr>
                <w:rFonts w:hint="eastAsia" w:ascii="宋体" w:hAnsi="宋体" w:eastAsia="宋体" w:cs="宋体"/>
                <w:color w:val="auto"/>
                <w:spacing w:val="0"/>
                <w:w w:val="100"/>
                <w:kern w:val="2"/>
                <w:sz w:val="18"/>
                <w:szCs w:val="18"/>
                <w:lang w:val="en-US" w:eastAsia="zh-CN" w:bidi="ar-SA"/>
              </w:rPr>
              <w:t>一级指标</w:t>
            </w:r>
          </w:p>
        </w:tc>
        <w:tc>
          <w:tcPr>
            <w:tcW w:w="464" w:type="pct"/>
            <w:noWrap w:val="0"/>
            <w:vAlign w:val="center"/>
          </w:tcPr>
          <w:p>
            <w:pPr>
              <w:widowControl w:val="0"/>
              <w:numPr>
                <w:ilvl w:val="0"/>
                <w:numId w:val="0"/>
              </w:numPr>
              <w:suppressAutoHyphens/>
              <w:bidi w:val="0"/>
              <w:snapToGrid w:val="0"/>
              <w:jc w:val="center"/>
              <w:rPr>
                <w:rFonts w:hint="eastAsia" w:ascii="宋体" w:hAnsi="宋体" w:eastAsia="宋体" w:cs="宋体"/>
                <w:color w:val="auto"/>
                <w:spacing w:val="0"/>
                <w:w w:val="100"/>
                <w:kern w:val="2"/>
                <w:sz w:val="18"/>
                <w:szCs w:val="18"/>
                <w:lang w:val="en-US" w:eastAsia="zh-CN" w:bidi="ar-SA"/>
              </w:rPr>
            </w:pPr>
            <w:r>
              <w:rPr>
                <w:rFonts w:hint="eastAsia" w:ascii="宋体" w:hAnsi="宋体" w:eastAsia="宋体" w:cs="宋体"/>
                <w:color w:val="auto"/>
                <w:spacing w:val="0"/>
                <w:w w:val="100"/>
                <w:kern w:val="2"/>
                <w:sz w:val="18"/>
                <w:szCs w:val="18"/>
                <w:lang w:val="en-US" w:eastAsia="zh-CN" w:bidi="ar-SA"/>
              </w:rPr>
              <w:t>二级指标</w:t>
            </w:r>
          </w:p>
        </w:tc>
        <w:tc>
          <w:tcPr>
            <w:tcW w:w="443" w:type="pct"/>
            <w:noWrap w:val="0"/>
            <w:vAlign w:val="center"/>
          </w:tcPr>
          <w:p>
            <w:pPr>
              <w:widowControl w:val="0"/>
              <w:numPr>
                <w:ilvl w:val="0"/>
                <w:numId w:val="0"/>
              </w:numPr>
              <w:suppressAutoHyphens/>
              <w:bidi w:val="0"/>
              <w:snapToGrid w:val="0"/>
              <w:jc w:val="center"/>
              <w:rPr>
                <w:rFonts w:hint="eastAsia" w:ascii="宋体" w:hAnsi="宋体" w:eastAsia="宋体" w:cs="宋体"/>
                <w:color w:val="auto"/>
                <w:spacing w:val="0"/>
                <w:w w:val="100"/>
                <w:kern w:val="2"/>
                <w:sz w:val="18"/>
                <w:szCs w:val="18"/>
                <w:lang w:val="en-US" w:eastAsia="zh-CN" w:bidi="ar-SA"/>
              </w:rPr>
            </w:pPr>
            <w:r>
              <w:rPr>
                <w:rFonts w:hint="eastAsia" w:ascii="宋体" w:hAnsi="宋体" w:eastAsia="宋体" w:cs="宋体"/>
                <w:color w:val="auto"/>
                <w:spacing w:val="0"/>
                <w:w w:val="100"/>
                <w:kern w:val="2"/>
                <w:sz w:val="18"/>
                <w:szCs w:val="18"/>
                <w:lang w:val="en-US" w:eastAsia="zh-CN" w:bidi="ar-SA"/>
              </w:rPr>
              <w:t>三级指标</w:t>
            </w:r>
          </w:p>
        </w:tc>
        <w:tc>
          <w:tcPr>
            <w:tcW w:w="364" w:type="pct"/>
            <w:noWrap w:val="0"/>
            <w:vAlign w:val="center"/>
          </w:tcPr>
          <w:p>
            <w:pPr>
              <w:widowControl w:val="0"/>
              <w:numPr>
                <w:ilvl w:val="0"/>
                <w:numId w:val="0"/>
              </w:numPr>
              <w:suppressAutoHyphens/>
              <w:bidi w:val="0"/>
              <w:snapToGrid w:val="0"/>
              <w:jc w:val="center"/>
              <w:rPr>
                <w:rFonts w:hint="eastAsia" w:ascii="宋体" w:hAnsi="宋体" w:eastAsia="宋体" w:cs="宋体"/>
                <w:color w:val="auto"/>
                <w:spacing w:val="0"/>
                <w:w w:val="100"/>
                <w:kern w:val="2"/>
                <w:sz w:val="18"/>
                <w:szCs w:val="18"/>
                <w:lang w:val="en-US" w:eastAsia="zh-CN" w:bidi="ar-SA"/>
              </w:rPr>
            </w:pPr>
            <w:r>
              <w:rPr>
                <w:rFonts w:hint="eastAsia" w:ascii="宋体" w:hAnsi="宋体" w:eastAsia="宋体" w:cs="宋体"/>
                <w:color w:val="auto"/>
                <w:spacing w:val="0"/>
                <w:w w:val="100"/>
                <w:kern w:val="2"/>
                <w:sz w:val="18"/>
                <w:szCs w:val="18"/>
                <w:lang w:val="en-US" w:eastAsia="zh-CN" w:bidi="ar-SA"/>
              </w:rPr>
              <w:t>指标性质</w:t>
            </w:r>
          </w:p>
        </w:tc>
        <w:tc>
          <w:tcPr>
            <w:tcW w:w="264" w:type="pct"/>
            <w:gridSpan w:val="2"/>
            <w:noWrap w:val="0"/>
            <w:vAlign w:val="center"/>
          </w:tcPr>
          <w:p>
            <w:pPr>
              <w:widowControl w:val="0"/>
              <w:numPr>
                <w:ilvl w:val="0"/>
                <w:numId w:val="0"/>
              </w:numPr>
              <w:suppressAutoHyphens/>
              <w:bidi w:val="0"/>
              <w:snapToGrid w:val="0"/>
              <w:jc w:val="center"/>
              <w:rPr>
                <w:rFonts w:hint="eastAsia" w:ascii="宋体" w:hAnsi="宋体" w:eastAsia="宋体" w:cs="宋体"/>
                <w:color w:val="auto"/>
                <w:spacing w:val="0"/>
                <w:w w:val="100"/>
                <w:kern w:val="2"/>
                <w:sz w:val="18"/>
                <w:szCs w:val="18"/>
                <w:lang w:val="en-US" w:eastAsia="zh-CN" w:bidi="ar-SA"/>
              </w:rPr>
            </w:pPr>
            <w:r>
              <w:rPr>
                <w:rFonts w:hint="eastAsia" w:ascii="宋体" w:hAnsi="宋体" w:eastAsia="宋体" w:cs="宋体"/>
                <w:color w:val="auto"/>
                <w:spacing w:val="0"/>
                <w:w w:val="100"/>
                <w:kern w:val="2"/>
                <w:sz w:val="18"/>
                <w:szCs w:val="18"/>
                <w:lang w:val="en-US" w:eastAsia="zh-CN" w:bidi="ar-SA"/>
              </w:rPr>
              <w:t>指标值</w:t>
            </w:r>
          </w:p>
        </w:tc>
        <w:tc>
          <w:tcPr>
            <w:tcW w:w="536" w:type="pct"/>
            <w:noWrap w:val="0"/>
            <w:vAlign w:val="center"/>
          </w:tcPr>
          <w:p>
            <w:pPr>
              <w:widowControl w:val="0"/>
              <w:numPr>
                <w:ilvl w:val="0"/>
                <w:numId w:val="0"/>
              </w:numPr>
              <w:suppressAutoHyphens/>
              <w:bidi w:val="0"/>
              <w:snapToGrid w:val="0"/>
              <w:jc w:val="center"/>
              <w:rPr>
                <w:rFonts w:hint="eastAsia" w:ascii="宋体" w:hAnsi="宋体" w:eastAsia="宋体" w:cs="宋体"/>
                <w:color w:val="auto"/>
                <w:spacing w:val="0"/>
                <w:w w:val="100"/>
                <w:kern w:val="2"/>
                <w:sz w:val="18"/>
                <w:szCs w:val="18"/>
                <w:lang w:val="en-US" w:eastAsia="zh-CN" w:bidi="ar-SA"/>
              </w:rPr>
            </w:pPr>
            <w:r>
              <w:rPr>
                <w:rFonts w:hint="eastAsia" w:ascii="宋体" w:hAnsi="宋体" w:eastAsia="宋体" w:cs="宋体"/>
                <w:color w:val="auto"/>
                <w:spacing w:val="0"/>
                <w:w w:val="100"/>
                <w:kern w:val="2"/>
                <w:sz w:val="18"/>
                <w:szCs w:val="18"/>
                <w:lang w:val="en-US" w:eastAsia="zh-CN" w:bidi="ar-SA"/>
              </w:rPr>
              <w:t>度量单位</w:t>
            </w:r>
          </w:p>
        </w:tc>
        <w:tc>
          <w:tcPr>
            <w:tcW w:w="363" w:type="pct"/>
            <w:noWrap w:val="0"/>
            <w:vAlign w:val="center"/>
          </w:tcPr>
          <w:p>
            <w:pPr>
              <w:widowControl w:val="0"/>
              <w:numPr>
                <w:ilvl w:val="0"/>
                <w:numId w:val="0"/>
              </w:numPr>
              <w:suppressAutoHyphens/>
              <w:bidi w:val="0"/>
              <w:snapToGrid w:val="0"/>
              <w:jc w:val="center"/>
              <w:rPr>
                <w:rFonts w:hint="eastAsia" w:ascii="宋体" w:hAnsi="宋体" w:eastAsia="宋体" w:cs="宋体"/>
                <w:color w:val="auto"/>
                <w:spacing w:val="0"/>
                <w:w w:val="100"/>
                <w:kern w:val="2"/>
                <w:sz w:val="18"/>
                <w:szCs w:val="18"/>
                <w:lang w:val="en-US" w:eastAsia="zh-CN" w:bidi="ar-SA"/>
              </w:rPr>
            </w:pPr>
            <w:r>
              <w:rPr>
                <w:rFonts w:hint="eastAsia" w:ascii="宋体" w:hAnsi="宋体" w:eastAsia="宋体" w:cs="宋体"/>
                <w:color w:val="auto"/>
                <w:spacing w:val="0"/>
                <w:w w:val="100"/>
                <w:kern w:val="2"/>
                <w:sz w:val="18"/>
                <w:szCs w:val="18"/>
                <w:lang w:val="en-US" w:eastAsia="zh-CN" w:bidi="ar-SA"/>
              </w:rPr>
              <w:t>完成值</w:t>
            </w:r>
          </w:p>
        </w:tc>
        <w:tc>
          <w:tcPr>
            <w:tcW w:w="269" w:type="pct"/>
            <w:noWrap w:val="0"/>
            <w:vAlign w:val="center"/>
          </w:tcPr>
          <w:p>
            <w:pPr>
              <w:widowControl w:val="0"/>
              <w:numPr>
                <w:ilvl w:val="0"/>
                <w:numId w:val="0"/>
              </w:numPr>
              <w:suppressAutoHyphens/>
              <w:bidi w:val="0"/>
              <w:snapToGrid w:val="0"/>
              <w:jc w:val="center"/>
              <w:rPr>
                <w:rFonts w:hint="eastAsia" w:ascii="宋体" w:hAnsi="宋体" w:eastAsia="宋体" w:cs="宋体"/>
                <w:color w:val="auto"/>
                <w:spacing w:val="0"/>
                <w:w w:val="100"/>
                <w:kern w:val="2"/>
                <w:sz w:val="18"/>
                <w:szCs w:val="18"/>
                <w:lang w:val="en-US" w:eastAsia="zh-CN" w:bidi="ar-SA"/>
              </w:rPr>
            </w:pPr>
            <w:r>
              <w:rPr>
                <w:rFonts w:hint="eastAsia" w:ascii="宋体" w:hAnsi="宋体" w:eastAsia="宋体" w:cs="宋体"/>
                <w:color w:val="auto"/>
                <w:spacing w:val="0"/>
                <w:w w:val="100"/>
                <w:kern w:val="2"/>
                <w:sz w:val="18"/>
                <w:szCs w:val="18"/>
                <w:lang w:val="en-US" w:eastAsia="zh-CN" w:bidi="ar-SA"/>
              </w:rPr>
              <w:t>权重</w:t>
            </w:r>
          </w:p>
        </w:tc>
        <w:tc>
          <w:tcPr>
            <w:tcW w:w="529" w:type="pct"/>
            <w:noWrap w:val="0"/>
            <w:vAlign w:val="center"/>
          </w:tcPr>
          <w:p>
            <w:pPr>
              <w:widowControl w:val="0"/>
              <w:numPr>
                <w:ilvl w:val="0"/>
                <w:numId w:val="0"/>
              </w:numPr>
              <w:suppressAutoHyphens/>
              <w:bidi w:val="0"/>
              <w:snapToGrid w:val="0"/>
              <w:jc w:val="center"/>
              <w:rPr>
                <w:rFonts w:hint="eastAsia" w:ascii="宋体" w:hAnsi="宋体" w:eastAsia="宋体" w:cs="宋体"/>
                <w:color w:val="auto"/>
                <w:spacing w:val="0"/>
                <w:w w:val="100"/>
                <w:kern w:val="2"/>
                <w:sz w:val="18"/>
                <w:szCs w:val="18"/>
                <w:lang w:val="en-US" w:eastAsia="zh-CN" w:bidi="ar-SA"/>
              </w:rPr>
            </w:pPr>
            <w:r>
              <w:rPr>
                <w:rFonts w:hint="eastAsia" w:ascii="宋体" w:hAnsi="宋体" w:eastAsia="宋体" w:cs="宋体"/>
                <w:color w:val="auto"/>
                <w:spacing w:val="0"/>
                <w:w w:val="100"/>
                <w:kern w:val="2"/>
                <w:sz w:val="18"/>
                <w:szCs w:val="18"/>
                <w:lang w:val="en-US" w:eastAsia="zh-CN" w:bidi="ar-SA"/>
              </w:rPr>
              <w:t>得分</w:t>
            </w:r>
          </w:p>
        </w:tc>
        <w:tc>
          <w:tcPr>
            <w:tcW w:w="973" w:type="pct"/>
            <w:noWrap w:val="0"/>
            <w:vAlign w:val="center"/>
          </w:tcPr>
          <w:p>
            <w:pPr>
              <w:widowControl w:val="0"/>
              <w:numPr>
                <w:ilvl w:val="0"/>
                <w:numId w:val="0"/>
              </w:numPr>
              <w:suppressAutoHyphens/>
              <w:bidi w:val="0"/>
              <w:snapToGrid w:val="0"/>
              <w:jc w:val="both"/>
              <w:rPr>
                <w:rFonts w:hint="eastAsia" w:ascii="宋体" w:hAnsi="宋体" w:eastAsia="宋体" w:cs="宋体"/>
                <w:color w:val="auto"/>
                <w:spacing w:val="0"/>
                <w:w w:val="100"/>
                <w:kern w:val="2"/>
                <w:sz w:val="18"/>
                <w:szCs w:val="18"/>
                <w:lang w:val="en-US" w:eastAsia="zh-CN" w:bidi="ar-SA"/>
              </w:rPr>
            </w:pPr>
            <w:r>
              <w:rPr>
                <w:rFonts w:hint="eastAsia" w:ascii="宋体" w:hAnsi="宋体" w:eastAsia="宋体" w:cs="宋体"/>
                <w:color w:val="auto"/>
                <w:spacing w:val="0"/>
                <w:w w:val="100"/>
                <w:kern w:val="2"/>
                <w:sz w:val="18"/>
                <w:szCs w:val="18"/>
                <w:lang w:val="en-US" w:eastAsia="zh-CN" w:bidi="ar-SA"/>
              </w:rPr>
              <w:t>未完成原因分析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6" w:type="pct"/>
            <w:vMerge w:val="continue"/>
            <w:noWrap w:val="0"/>
            <w:vAlign w:val="center"/>
          </w:tcPr>
          <w:p>
            <w:pPr>
              <w:widowControl w:val="0"/>
              <w:numPr>
                <w:ilvl w:val="0"/>
                <w:numId w:val="0"/>
              </w:numPr>
              <w:suppressAutoHyphens/>
              <w:bidi w:val="0"/>
              <w:snapToGrid w:val="0"/>
              <w:jc w:val="center"/>
              <w:rPr>
                <w:rFonts w:hint="eastAsia" w:ascii="宋体" w:hAnsi="宋体" w:eastAsia="宋体" w:cs="宋体"/>
                <w:color w:val="auto"/>
                <w:spacing w:val="0"/>
                <w:w w:val="100"/>
                <w:kern w:val="2"/>
                <w:sz w:val="18"/>
                <w:szCs w:val="18"/>
                <w:lang w:val="en-US" w:eastAsia="zh-CN" w:bidi="ar-SA"/>
              </w:rPr>
            </w:pPr>
          </w:p>
        </w:tc>
        <w:tc>
          <w:tcPr>
            <w:tcW w:w="405" w:type="pct"/>
            <w:vMerge w:val="restart"/>
            <w:noWrap w:val="0"/>
            <w:vAlign w:val="center"/>
          </w:tcPr>
          <w:p>
            <w:pPr>
              <w:widowControl w:val="0"/>
              <w:numPr>
                <w:ilvl w:val="0"/>
                <w:numId w:val="0"/>
              </w:numPr>
              <w:suppressAutoHyphens/>
              <w:bidi w:val="0"/>
              <w:snapToGrid w:val="0"/>
              <w:jc w:val="center"/>
              <w:rPr>
                <w:rFonts w:hint="eastAsia" w:ascii="宋体" w:hAnsi="宋体" w:eastAsia="宋体" w:cs="宋体"/>
                <w:color w:val="auto"/>
                <w:spacing w:val="0"/>
                <w:w w:val="100"/>
                <w:kern w:val="2"/>
                <w:sz w:val="18"/>
                <w:szCs w:val="18"/>
                <w:lang w:val="en-US" w:eastAsia="zh-CN" w:bidi="ar-SA"/>
              </w:rPr>
            </w:pPr>
            <w:r>
              <w:rPr>
                <w:rFonts w:hint="eastAsia" w:ascii="宋体" w:hAnsi="宋体" w:eastAsia="宋体" w:cs="宋体"/>
                <w:color w:val="auto"/>
                <w:spacing w:val="0"/>
                <w:w w:val="100"/>
                <w:kern w:val="2"/>
                <w:sz w:val="18"/>
                <w:szCs w:val="18"/>
                <w:lang w:val="en-US" w:eastAsia="zh-CN" w:bidi="ar-SA"/>
              </w:rPr>
              <w:t>产出指标</w:t>
            </w:r>
          </w:p>
        </w:tc>
        <w:tc>
          <w:tcPr>
            <w:tcW w:w="464" w:type="pct"/>
            <w:vMerge w:val="restart"/>
            <w:noWrap w:val="0"/>
            <w:vAlign w:val="center"/>
          </w:tcPr>
          <w:p>
            <w:pPr>
              <w:widowControl w:val="0"/>
              <w:numPr>
                <w:ilvl w:val="0"/>
                <w:numId w:val="0"/>
              </w:numPr>
              <w:suppressAutoHyphens/>
              <w:bidi w:val="0"/>
              <w:snapToGrid w:val="0"/>
              <w:jc w:val="center"/>
              <w:rPr>
                <w:rFonts w:hint="eastAsia" w:ascii="宋体" w:hAnsi="宋体" w:eastAsia="宋体" w:cs="宋体"/>
                <w:color w:val="auto"/>
                <w:spacing w:val="0"/>
                <w:w w:val="100"/>
                <w:kern w:val="2"/>
                <w:sz w:val="18"/>
                <w:szCs w:val="18"/>
                <w:lang w:val="en-US" w:eastAsia="zh-CN" w:bidi="ar-SA"/>
              </w:rPr>
            </w:pPr>
            <w:r>
              <w:rPr>
                <w:rFonts w:hint="eastAsia" w:ascii="宋体" w:hAnsi="宋体" w:eastAsia="宋体" w:cs="宋体"/>
                <w:color w:val="auto"/>
                <w:spacing w:val="0"/>
                <w:w w:val="100"/>
                <w:kern w:val="2"/>
                <w:sz w:val="18"/>
                <w:szCs w:val="18"/>
                <w:lang w:val="en-US" w:eastAsia="zh-CN" w:bidi="ar-SA"/>
              </w:rPr>
              <w:t>数量指标</w:t>
            </w:r>
          </w:p>
        </w:tc>
        <w:tc>
          <w:tcPr>
            <w:tcW w:w="443" w:type="pct"/>
            <w:noWrap w:val="0"/>
            <w:vAlign w:val="center"/>
          </w:tcPr>
          <w:p>
            <w:pPr>
              <w:widowControl w:val="0"/>
              <w:numPr>
                <w:ilvl w:val="0"/>
                <w:numId w:val="0"/>
              </w:numPr>
              <w:suppressAutoHyphens/>
              <w:bidi w:val="0"/>
              <w:snapToGrid w:val="0"/>
              <w:jc w:val="center"/>
              <w:rPr>
                <w:rFonts w:hint="eastAsia" w:ascii="宋体" w:hAnsi="宋体" w:eastAsia="宋体" w:cs="宋体"/>
                <w:color w:val="auto"/>
                <w:spacing w:val="0"/>
                <w:w w:val="100"/>
                <w:kern w:val="2"/>
                <w:sz w:val="18"/>
                <w:szCs w:val="18"/>
                <w:lang w:val="en-US" w:eastAsia="zh-CN" w:bidi="ar-SA"/>
              </w:rPr>
            </w:pPr>
            <w:r>
              <w:rPr>
                <w:rFonts w:hint="eastAsia" w:ascii="宋体" w:hAnsi="宋体" w:eastAsia="宋体" w:cs="宋体"/>
                <w:color w:val="auto"/>
                <w:spacing w:val="0"/>
                <w:w w:val="100"/>
                <w:kern w:val="2"/>
                <w:sz w:val="18"/>
                <w:szCs w:val="18"/>
                <w:lang w:val="en-US" w:eastAsia="zh-CN" w:bidi="ar-SA"/>
              </w:rPr>
              <w:t>招标文件审查</w:t>
            </w:r>
          </w:p>
        </w:tc>
        <w:tc>
          <w:tcPr>
            <w:tcW w:w="364" w:type="pct"/>
            <w:noWrap w:val="0"/>
            <w:vAlign w:val="center"/>
          </w:tcPr>
          <w:p>
            <w:pPr>
              <w:widowControl w:val="0"/>
              <w:numPr>
                <w:ilvl w:val="0"/>
                <w:numId w:val="0"/>
              </w:numPr>
              <w:suppressAutoHyphens/>
              <w:bidi w:val="0"/>
              <w:snapToGrid w:val="0"/>
              <w:jc w:val="center"/>
              <w:rPr>
                <w:rFonts w:hint="eastAsia" w:ascii="宋体" w:hAnsi="宋体" w:eastAsia="宋体" w:cs="宋体"/>
                <w:color w:val="auto"/>
                <w:spacing w:val="0"/>
                <w:w w:val="100"/>
                <w:kern w:val="2"/>
                <w:sz w:val="18"/>
                <w:szCs w:val="18"/>
                <w:lang w:val="en-US" w:eastAsia="zh-CN" w:bidi="ar-SA"/>
              </w:rPr>
            </w:pPr>
            <w:r>
              <w:rPr>
                <w:rFonts w:hint="eastAsia" w:ascii="宋体" w:hAnsi="宋体" w:eastAsia="宋体" w:cs="宋体"/>
                <w:color w:val="auto"/>
                <w:spacing w:val="0"/>
                <w:w w:val="100"/>
                <w:kern w:val="2"/>
                <w:sz w:val="18"/>
                <w:szCs w:val="18"/>
                <w:lang w:val="en-US" w:eastAsia="zh-CN" w:bidi="ar-SA"/>
              </w:rPr>
              <w:t>≥</w:t>
            </w:r>
          </w:p>
        </w:tc>
        <w:tc>
          <w:tcPr>
            <w:tcW w:w="264" w:type="pct"/>
            <w:gridSpan w:val="2"/>
            <w:noWrap w:val="0"/>
            <w:vAlign w:val="center"/>
          </w:tcPr>
          <w:p>
            <w:pPr>
              <w:widowControl w:val="0"/>
              <w:numPr>
                <w:ilvl w:val="0"/>
                <w:numId w:val="0"/>
              </w:numPr>
              <w:suppressAutoHyphens/>
              <w:bidi w:val="0"/>
              <w:snapToGrid w:val="0"/>
              <w:jc w:val="center"/>
              <w:rPr>
                <w:rFonts w:hint="eastAsia" w:ascii="宋体" w:hAnsi="宋体" w:eastAsia="宋体" w:cs="宋体"/>
                <w:color w:val="auto"/>
                <w:spacing w:val="0"/>
                <w:w w:val="100"/>
                <w:kern w:val="2"/>
                <w:sz w:val="18"/>
                <w:szCs w:val="18"/>
                <w:lang w:val="en-US" w:eastAsia="zh-CN" w:bidi="ar-SA"/>
              </w:rPr>
            </w:pPr>
            <w:r>
              <w:rPr>
                <w:rFonts w:hint="eastAsia" w:ascii="宋体" w:hAnsi="宋体" w:eastAsia="宋体" w:cs="宋体"/>
                <w:color w:val="auto"/>
                <w:spacing w:val="0"/>
                <w:w w:val="100"/>
                <w:kern w:val="2"/>
                <w:sz w:val="18"/>
                <w:szCs w:val="18"/>
                <w:lang w:val="en-US" w:eastAsia="zh-CN" w:bidi="ar-SA"/>
              </w:rPr>
              <w:t>80</w:t>
            </w:r>
          </w:p>
        </w:tc>
        <w:tc>
          <w:tcPr>
            <w:tcW w:w="536" w:type="pct"/>
            <w:noWrap w:val="0"/>
            <w:vAlign w:val="center"/>
          </w:tcPr>
          <w:p>
            <w:pPr>
              <w:widowControl w:val="0"/>
              <w:numPr>
                <w:ilvl w:val="0"/>
                <w:numId w:val="0"/>
              </w:numPr>
              <w:suppressAutoHyphens/>
              <w:bidi w:val="0"/>
              <w:snapToGrid w:val="0"/>
              <w:jc w:val="center"/>
              <w:rPr>
                <w:rFonts w:hint="eastAsia" w:ascii="宋体" w:hAnsi="宋体" w:eastAsia="宋体" w:cs="宋体"/>
                <w:color w:val="auto"/>
                <w:spacing w:val="0"/>
                <w:w w:val="100"/>
                <w:kern w:val="2"/>
                <w:sz w:val="18"/>
                <w:szCs w:val="18"/>
                <w:lang w:val="en-US" w:eastAsia="zh-CN" w:bidi="ar-SA"/>
              </w:rPr>
            </w:pPr>
            <w:r>
              <w:rPr>
                <w:rFonts w:hint="eastAsia" w:ascii="宋体" w:hAnsi="宋体" w:eastAsia="宋体" w:cs="宋体"/>
                <w:color w:val="auto"/>
                <w:spacing w:val="0"/>
                <w:w w:val="100"/>
                <w:kern w:val="2"/>
                <w:sz w:val="18"/>
                <w:szCs w:val="18"/>
                <w:lang w:val="en-US" w:eastAsia="zh-CN" w:bidi="ar-SA"/>
              </w:rPr>
              <w:t>个</w:t>
            </w:r>
          </w:p>
        </w:tc>
        <w:tc>
          <w:tcPr>
            <w:tcW w:w="363" w:type="pct"/>
            <w:noWrap w:val="0"/>
            <w:vAlign w:val="center"/>
          </w:tcPr>
          <w:p>
            <w:pPr>
              <w:widowControl w:val="0"/>
              <w:numPr>
                <w:ilvl w:val="0"/>
                <w:numId w:val="0"/>
              </w:numPr>
              <w:suppressAutoHyphens/>
              <w:bidi w:val="0"/>
              <w:snapToGrid w:val="0"/>
              <w:jc w:val="center"/>
              <w:rPr>
                <w:rFonts w:hint="eastAsia" w:ascii="宋体" w:hAnsi="宋体" w:eastAsia="宋体" w:cs="宋体"/>
                <w:color w:val="auto"/>
                <w:spacing w:val="0"/>
                <w:w w:val="100"/>
                <w:kern w:val="2"/>
                <w:sz w:val="18"/>
                <w:szCs w:val="18"/>
                <w:lang w:val="en-US" w:eastAsia="zh-CN" w:bidi="ar-SA"/>
              </w:rPr>
            </w:pPr>
            <w:r>
              <w:rPr>
                <w:rFonts w:hint="eastAsia" w:ascii="宋体" w:hAnsi="宋体" w:eastAsia="宋体" w:cs="宋体"/>
                <w:color w:val="auto"/>
                <w:spacing w:val="0"/>
                <w:w w:val="100"/>
                <w:kern w:val="2"/>
                <w:sz w:val="18"/>
                <w:szCs w:val="18"/>
                <w:lang w:val="en-US" w:eastAsia="zh-CN" w:bidi="ar-SA"/>
              </w:rPr>
              <w:t>143</w:t>
            </w:r>
          </w:p>
        </w:tc>
        <w:tc>
          <w:tcPr>
            <w:tcW w:w="269" w:type="pct"/>
            <w:noWrap w:val="0"/>
            <w:vAlign w:val="center"/>
          </w:tcPr>
          <w:p>
            <w:pPr>
              <w:widowControl w:val="0"/>
              <w:numPr>
                <w:ilvl w:val="0"/>
                <w:numId w:val="0"/>
              </w:numPr>
              <w:suppressAutoHyphens/>
              <w:bidi w:val="0"/>
              <w:snapToGrid w:val="0"/>
              <w:jc w:val="center"/>
              <w:rPr>
                <w:rFonts w:hint="eastAsia" w:ascii="宋体" w:hAnsi="宋体" w:eastAsia="宋体" w:cs="宋体"/>
                <w:color w:val="auto"/>
                <w:spacing w:val="0"/>
                <w:w w:val="100"/>
                <w:kern w:val="2"/>
                <w:sz w:val="18"/>
                <w:szCs w:val="18"/>
                <w:lang w:val="en-US" w:eastAsia="zh-CN" w:bidi="ar-SA"/>
              </w:rPr>
            </w:pPr>
            <w:r>
              <w:rPr>
                <w:rFonts w:hint="eastAsia" w:ascii="宋体" w:hAnsi="宋体" w:eastAsia="宋体" w:cs="宋体"/>
                <w:color w:val="auto"/>
                <w:spacing w:val="0"/>
                <w:w w:val="100"/>
                <w:kern w:val="2"/>
                <w:sz w:val="18"/>
                <w:szCs w:val="18"/>
                <w:lang w:val="en-US" w:eastAsia="zh-CN" w:bidi="ar-SA"/>
              </w:rPr>
              <w:t>5</w:t>
            </w:r>
          </w:p>
        </w:tc>
        <w:tc>
          <w:tcPr>
            <w:tcW w:w="529" w:type="pct"/>
            <w:noWrap w:val="0"/>
            <w:vAlign w:val="center"/>
          </w:tcPr>
          <w:p>
            <w:pPr>
              <w:widowControl w:val="0"/>
              <w:numPr>
                <w:ilvl w:val="0"/>
                <w:numId w:val="0"/>
              </w:numPr>
              <w:suppressAutoHyphens/>
              <w:bidi w:val="0"/>
              <w:snapToGrid w:val="0"/>
              <w:jc w:val="center"/>
              <w:rPr>
                <w:rFonts w:hint="eastAsia" w:ascii="宋体" w:hAnsi="宋体" w:eastAsia="宋体" w:cs="宋体"/>
                <w:color w:val="auto"/>
                <w:spacing w:val="0"/>
                <w:w w:val="100"/>
                <w:kern w:val="2"/>
                <w:sz w:val="18"/>
                <w:szCs w:val="18"/>
                <w:lang w:val="en-US" w:eastAsia="zh-CN" w:bidi="ar-SA"/>
              </w:rPr>
            </w:pPr>
            <w:r>
              <w:rPr>
                <w:rFonts w:hint="eastAsia" w:ascii="宋体" w:hAnsi="宋体" w:eastAsia="宋体" w:cs="宋体"/>
                <w:color w:val="auto"/>
                <w:spacing w:val="0"/>
                <w:w w:val="100"/>
                <w:kern w:val="2"/>
                <w:sz w:val="18"/>
                <w:szCs w:val="18"/>
                <w:lang w:val="en-US" w:eastAsia="zh-CN" w:bidi="ar-SA"/>
              </w:rPr>
              <w:t>5</w:t>
            </w:r>
          </w:p>
        </w:tc>
        <w:tc>
          <w:tcPr>
            <w:tcW w:w="973" w:type="pct"/>
            <w:noWrap w:val="0"/>
            <w:vAlign w:val="center"/>
          </w:tcPr>
          <w:p>
            <w:pPr>
              <w:widowControl w:val="0"/>
              <w:numPr>
                <w:ilvl w:val="0"/>
                <w:numId w:val="0"/>
              </w:numPr>
              <w:suppressAutoHyphens/>
              <w:bidi w:val="0"/>
              <w:snapToGrid w:val="0"/>
              <w:jc w:val="center"/>
              <w:rPr>
                <w:rFonts w:hint="eastAsia" w:ascii="宋体" w:hAnsi="宋体" w:eastAsia="宋体" w:cs="宋体"/>
                <w:color w:val="auto"/>
                <w:spacing w:val="0"/>
                <w:w w:val="10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6" w:type="pct"/>
            <w:vMerge w:val="continue"/>
            <w:noWrap w:val="0"/>
            <w:vAlign w:val="center"/>
          </w:tcPr>
          <w:p>
            <w:pPr>
              <w:widowControl w:val="0"/>
              <w:numPr>
                <w:ilvl w:val="0"/>
                <w:numId w:val="0"/>
              </w:numPr>
              <w:suppressAutoHyphens/>
              <w:bidi w:val="0"/>
              <w:snapToGrid w:val="0"/>
              <w:jc w:val="center"/>
              <w:rPr>
                <w:rFonts w:hint="eastAsia" w:ascii="宋体" w:hAnsi="宋体" w:eastAsia="宋体" w:cs="宋体"/>
                <w:color w:val="auto"/>
                <w:spacing w:val="0"/>
                <w:w w:val="100"/>
                <w:kern w:val="2"/>
                <w:sz w:val="18"/>
                <w:szCs w:val="18"/>
                <w:lang w:val="en-US" w:eastAsia="zh-CN" w:bidi="ar-SA"/>
              </w:rPr>
            </w:pPr>
          </w:p>
        </w:tc>
        <w:tc>
          <w:tcPr>
            <w:tcW w:w="405" w:type="pct"/>
            <w:vMerge w:val="continue"/>
            <w:noWrap w:val="0"/>
            <w:vAlign w:val="center"/>
          </w:tcPr>
          <w:p>
            <w:pPr>
              <w:widowControl w:val="0"/>
              <w:numPr>
                <w:ilvl w:val="0"/>
                <w:numId w:val="0"/>
              </w:numPr>
              <w:suppressAutoHyphens/>
              <w:bidi w:val="0"/>
              <w:snapToGrid w:val="0"/>
              <w:jc w:val="center"/>
              <w:rPr>
                <w:rFonts w:hint="eastAsia" w:ascii="宋体" w:hAnsi="宋体" w:eastAsia="宋体" w:cs="宋体"/>
                <w:color w:val="auto"/>
                <w:spacing w:val="0"/>
                <w:w w:val="100"/>
                <w:kern w:val="2"/>
                <w:sz w:val="18"/>
                <w:szCs w:val="18"/>
                <w:lang w:val="en-US" w:eastAsia="zh-CN" w:bidi="ar-SA"/>
              </w:rPr>
            </w:pPr>
          </w:p>
        </w:tc>
        <w:tc>
          <w:tcPr>
            <w:tcW w:w="464" w:type="pct"/>
            <w:vMerge w:val="continue"/>
            <w:noWrap w:val="0"/>
            <w:vAlign w:val="center"/>
          </w:tcPr>
          <w:p>
            <w:pPr>
              <w:widowControl w:val="0"/>
              <w:numPr>
                <w:ilvl w:val="0"/>
                <w:numId w:val="0"/>
              </w:numPr>
              <w:suppressAutoHyphens/>
              <w:bidi w:val="0"/>
              <w:snapToGrid w:val="0"/>
              <w:jc w:val="center"/>
              <w:rPr>
                <w:rFonts w:hint="eastAsia" w:ascii="宋体" w:hAnsi="宋体" w:eastAsia="宋体" w:cs="宋体"/>
                <w:color w:val="auto"/>
                <w:spacing w:val="0"/>
                <w:w w:val="100"/>
                <w:kern w:val="2"/>
                <w:sz w:val="18"/>
                <w:szCs w:val="18"/>
                <w:lang w:val="en-US" w:eastAsia="zh-CN" w:bidi="ar-SA"/>
              </w:rPr>
            </w:pPr>
          </w:p>
        </w:tc>
        <w:tc>
          <w:tcPr>
            <w:tcW w:w="443" w:type="pct"/>
            <w:noWrap w:val="0"/>
            <w:vAlign w:val="center"/>
          </w:tcPr>
          <w:p>
            <w:pPr>
              <w:widowControl w:val="0"/>
              <w:numPr>
                <w:ilvl w:val="0"/>
                <w:numId w:val="0"/>
              </w:numPr>
              <w:suppressAutoHyphens/>
              <w:bidi w:val="0"/>
              <w:snapToGrid w:val="0"/>
              <w:jc w:val="center"/>
              <w:rPr>
                <w:rFonts w:hint="eastAsia" w:ascii="宋体" w:hAnsi="宋体" w:eastAsia="宋体" w:cs="宋体"/>
                <w:color w:val="auto"/>
                <w:spacing w:val="0"/>
                <w:w w:val="100"/>
                <w:kern w:val="2"/>
                <w:sz w:val="18"/>
                <w:szCs w:val="18"/>
                <w:lang w:val="en-US" w:eastAsia="zh-CN" w:bidi="ar-SA"/>
              </w:rPr>
            </w:pPr>
            <w:r>
              <w:rPr>
                <w:rFonts w:hint="eastAsia" w:ascii="宋体" w:hAnsi="宋体" w:eastAsia="宋体" w:cs="宋体"/>
                <w:color w:val="auto"/>
                <w:spacing w:val="0"/>
                <w:w w:val="100"/>
                <w:kern w:val="2"/>
                <w:sz w:val="18"/>
                <w:szCs w:val="18"/>
                <w:lang w:val="en-US" w:eastAsia="zh-CN" w:bidi="ar-SA"/>
              </w:rPr>
              <w:t>结算评审</w:t>
            </w:r>
          </w:p>
        </w:tc>
        <w:tc>
          <w:tcPr>
            <w:tcW w:w="364" w:type="pct"/>
            <w:noWrap w:val="0"/>
            <w:vAlign w:val="center"/>
          </w:tcPr>
          <w:p>
            <w:pPr>
              <w:widowControl w:val="0"/>
              <w:numPr>
                <w:ilvl w:val="0"/>
                <w:numId w:val="0"/>
              </w:numPr>
              <w:suppressAutoHyphens/>
              <w:bidi w:val="0"/>
              <w:snapToGrid w:val="0"/>
              <w:jc w:val="center"/>
              <w:rPr>
                <w:rFonts w:hint="eastAsia" w:ascii="宋体" w:hAnsi="宋体" w:eastAsia="宋体" w:cs="宋体"/>
                <w:color w:val="auto"/>
                <w:spacing w:val="0"/>
                <w:w w:val="100"/>
                <w:kern w:val="2"/>
                <w:sz w:val="18"/>
                <w:szCs w:val="18"/>
                <w:lang w:val="en-US" w:eastAsia="zh-CN" w:bidi="ar-SA"/>
              </w:rPr>
            </w:pPr>
            <w:r>
              <w:rPr>
                <w:rFonts w:hint="eastAsia" w:ascii="宋体" w:hAnsi="宋体" w:eastAsia="宋体" w:cs="宋体"/>
                <w:color w:val="auto"/>
                <w:spacing w:val="0"/>
                <w:w w:val="100"/>
                <w:kern w:val="2"/>
                <w:sz w:val="18"/>
                <w:szCs w:val="18"/>
                <w:lang w:val="en-US" w:eastAsia="zh-CN" w:bidi="ar-SA"/>
              </w:rPr>
              <w:t>≥</w:t>
            </w:r>
          </w:p>
        </w:tc>
        <w:tc>
          <w:tcPr>
            <w:tcW w:w="264" w:type="pct"/>
            <w:gridSpan w:val="2"/>
            <w:noWrap w:val="0"/>
            <w:vAlign w:val="center"/>
          </w:tcPr>
          <w:p>
            <w:pPr>
              <w:widowControl w:val="0"/>
              <w:numPr>
                <w:ilvl w:val="0"/>
                <w:numId w:val="0"/>
              </w:numPr>
              <w:suppressAutoHyphens/>
              <w:bidi w:val="0"/>
              <w:snapToGrid w:val="0"/>
              <w:jc w:val="center"/>
              <w:rPr>
                <w:rFonts w:hint="eastAsia" w:ascii="宋体" w:hAnsi="宋体" w:eastAsia="宋体" w:cs="宋体"/>
                <w:color w:val="auto"/>
                <w:spacing w:val="0"/>
                <w:w w:val="100"/>
                <w:kern w:val="2"/>
                <w:sz w:val="18"/>
                <w:szCs w:val="18"/>
                <w:lang w:val="en-US" w:eastAsia="zh-CN" w:bidi="ar-SA"/>
              </w:rPr>
            </w:pPr>
            <w:r>
              <w:rPr>
                <w:rFonts w:hint="eastAsia" w:ascii="宋体" w:hAnsi="宋体" w:eastAsia="宋体" w:cs="宋体"/>
                <w:color w:val="auto"/>
                <w:spacing w:val="0"/>
                <w:w w:val="100"/>
                <w:kern w:val="2"/>
                <w:sz w:val="18"/>
                <w:szCs w:val="18"/>
                <w:lang w:val="en-US" w:eastAsia="zh-CN" w:bidi="ar-SA"/>
              </w:rPr>
              <w:t>260</w:t>
            </w:r>
          </w:p>
        </w:tc>
        <w:tc>
          <w:tcPr>
            <w:tcW w:w="536" w:type="pct"/>
            <w:noWrap w:val="0"/>
            <w:vAlign w:val="center"/>
          </w:tcPr>
          <w:p>
            <w:pPr>
              <w:widowControl w:val="0"/>
              <w:numPr>
                <w:ilvl w:val="0"/>
                <w:numId w:val="0"/>
              </w:numPr>
              <w:suppressAutoHyphens/>
              <w:bidi w:val="0"/>
              <w:snapToGrid w:val="0"/>
              <w:jc w:val="center"/>
              <w:rPr>
                <w:rFonts w:hint="eastAsia" w:ascii="宋体" w:hAnsi="宋体" w:eastAsia="宋体" w:cs="宋体"/>
                <w:color w:val="auto"/>
                <w:spacing w:val="0"/>
                <w:w w:val="100"/>
                <w:kern w:val="2"/>
                <w:sz w:val="18"/>
                <w:szCs w:val="18"/>
                <w:lang w:val="en-US" w:eastAsia="zh-CN" w:bidi="ar-SA"/>
              </w:rPr>
            </w:pPr>
            <w:r>
              <w:rPr>
                <w:rFonts w:hint="eastAsia" w:ascii="宋体" w:hAnsi="宋体" w:eastAsia="宋体" w:cs="宋体"/>
                <w:color w:val="auto"/>
                <w:spacing w:val="0"/>
                <w:w w:val="100"/>
                <w:kern w:val="2"/>
                <w:sz w:val="18"/>
                <w:szCs w:val="18"/>
                <w:lang w:val="en-US" w:eastAsia="zh-CN" w:bidi="ar-SA"/>
              </w:rPr>
              <w:t>个</w:t>
            </w:r>
          </w:p>
        </w:tc>
        <w:tc>
          <w:tcPr>
            <w:tcW w:w="363" w:type="pct"/>
            <w:noWrap w:val="0"/>
            <w:vAlign w:val="center"/>
          </w:tcPr>
          <w:p>
            <w:pPr>
              <w:widowControl w:val="0"/>
              <w:numPr>
                <w:ilvl w:val="0"/>
                <w:numId w:val="0"/>
              </w:numPr>
              <w:suppressAutoHyphens/>
              <w:bidi w:val="0"/>
              <w:snapToGrid w:val="0"/>
              <w:jc w:val="center"/>
              <w:rPr>
                <w:rFonts w:hint="eastAsia" w:ascii="宋体" w:hAnsi="宋体" w:eastAsia="宋体" w:cs="宋体"/>
                <w:color w:val="auto"/>
                <w:spacing w:val="0"/>
                <w:w w:val="100"/>
                <w:kern w:val="2"/>
                <w:sz w:val="18"/>
                <w:szCs w:val="18"/>
                <w:lang w:val="en-US" w:eastAsia="zh-CN" w:bidi="ar-SA"/>
              </w:rPr>
            </w:pPr>
            <w:r>
              <w:rPr>
                <w:rFonts w:hint="eastAsia" w:ascii="宋体" w:hAnsi="宋体" w:eastAsia="宋体" w:cs="宋体"/>
                <w:color w:val="auto"/>
                <w:spacing w:val="0"/>
                <w:w w:val="100"/>
                <w:kern w:val="2"/>
                <w:sz w:val="18"/>
                <w:szCs w:val="18"/>
                <w:lang w:val="en-US" w:eastAsia="zh-CN" w:bidi="ar-SA"/>
              </w:rPr>
              <w:t>460</w:t>
            </w:r>
          </w:p>
        </w:tc>
        <w:tc>
          <w:tcPr>
            <w:tcW w:w="269" w:type="pct"/>
            <w:noWrap w:val="0"/>
            <w:vAlign w:val="center"/>
          </w:tcPr>
          <w:p>
            <w:pPr>
              <w:widowControl w:val="0"/>
              <w:numPr>
                <w:ilvl w:val="0"/>
                <w:numId w:val="0"/>
              </w:numPr>
              <w:suppressAutoHyphens/>
              <w:bidi w:val="0"/>
              <w:snapToGrid w:val="0"/>
              <w:jc w:val="center"/>
              <w:rPr>
                <w:rFonts w:hint="eastAsia" w:ascii="宋体" w:hAnsi="宋体" w:eastAsia="宋体" w:cs="宋体"/>
                <w:color w:val="auto"/>
                <w:spacing w:val="0"/>
                <w:w w:val="100"/>
                <w:kern w:val="2"/>
                <w:sz w:val="18"/>
                <w:szCs w:val="18"/>
                <w:lang w:val="en-US" w:eastAsia="zh-CN" w:bidi="ar-SA"/>
              </w:rPr>
            </w:pPr>
            <w:r>
              <w:rPr>
                <w:rFonts w:hint="eastAsia" w:ascii="宋体" w:hAnsi="宋体" w:eastAsia="宋体" w:cs="宋体"/>
                <w:color w:val="auto"/>
                <w:spacing w:val="0"/>
                <w:w w:val="100"/>
                <w:kern w:val="2"/>
                <w:sz w:val="18"/>
                <w:szCs w:val="18"/>
                <w:lang w:val="en-US" w:eastAsia="zh-CN" w:bidi="ar-SA"/>
              </w:rPr>
              <w:t>5</w:t>
            </w:r>
          </w:p>
        </w:tc>
        <w:tc>
          <w:tcPr>
            <w:tcW w:w="529" w:type="pct"/>
            <w:noWrap w:val="0"/>
            <w:vAlign w:val="center"/>
          </w:tcPr>
          <w:p>
            <w:pPr>
              <w:widowControl w:val="0"/>
              <w:numPr>
                <w:ilvl w:val="0"/>
                <w:numId w:val="0"/>
              </w:numPr>
              <w:suppressAutoHyphens/>
              <w:bidi w:val="0"/>
              <w:snapToGrid w:val="0"/>
              <w:jc w:val="center"/>
              <w:rPr>
                <w:rFonts w:hint="eastAsia" w:ascii="宋体" w:hAnsi="宋体" w:eastAsia="宋体" w:cs="宋体"/>
                <w:color w:val="auto"/>
                <w:spacing w:val="0"/>
                <w:w w:val="100"/>
                <w:kern w:val="2"/>
                <w:sz w:val="18"/>
                <w:szCs w:val="18"/>
                <w:lang w:val="en-US" w:eastAsia="zh-CN" w:bidi="ar-SA"/>
              </w:rPr>
            </w:pPr>
            <w:r>
              <w:rPr>
                <w:rFonts w:hint="eastAsia" w:ascii="宋体" w:hAnsi="宋体" w:eastAsia="宋体" w:cs="宋体"/>
                <w:color w:val="auto"/>
                <w:spacing w:val="0"/>
                <w:w w:val="100"/>
                <w:kern w:val="2"/>
                <w:sz w:val="18"/>
                <w:szCs w:val="18"/>
                <w:lang w:val="en-US" w:eastAsia="zh-CN" w:bidi="ar-SA"/>
              </w:rPr>
              <w:t>5</w:t>
            </w:r>
          </w:p>
        </w:tc>
        <w:tc>
          <w:tcPr>
            <w:tcW w:w="973" w:type="pct"/>
            <w:noWrap w:val="0"/>
            <w:vAlign w:val="center"/>
          </w:tcPr>
          <w:p>
            <w:pPr>
              <w:widowControl w:val="0"/>
              <w:numPr>
                <w:ilvl w:val="0"/>
                <w:numId w:val="0"/>
              </w:numPr>
              <w:suppressAutoHyphens/>
              <w:bidi w:val="0"/>
              <w:snapToGrid w:val="0"/>
              <w:jc w:val="center"/>
              <w:rPr>
                <w:rFonts w:hint="eastAsia" w:ascii="宋体" w:hAnsi="宋体" w:eastAsia="宋体" w:cs="宋体"/>
                <w:color w:val="auto"/>
                <w:spacing w:val="0"/>
                <w:w w:val="10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6" w:type="pct"/>
            <w:vMerge w:val="continue"/>
            <w:noWrap w:val="0"/>
            <w:vAlign w:val="center"/>
          </w:tcPr>
          <w:p>
            <w:pPr>
              <w:widowControl w:val="0"/>
              <w:numPr>
                <w:ilvl w:val="0"/>
                <w:numId w:val="0"/>
              </w:numPr>
              <w:suppressAutoHyphens/>
              <w:bidi w:val="0"/>
              <w:snapToGrid w:val="0"/>
              <w:jc w:val="center"/>
              <w:rPr>
                <w:rFonts w:hint="eastAsia" w:ascii="宋体" w:hAnsi="宋体" w:eastAsia="宋体" w:cs="宋体"/>
                <w:color w:val="auto"/>
                <w:spacing w:val="0"/>
                <w:w w:val="100"/>
                <w:kern w:val="2"/>
                <w:sz w:val="18"/>
                <w:szCs w:val="18"/>
                <w:lang w:val="en-US" w:eastAsia="zh-CN" w:bidi="ar-SA"/>
              </w:rPr>
            </w:pPr>
          </w:p>
        </w:tc>
        <w:tc>
          <w:tcPr>
            <w:tcW w:w="405" w:type="pct"/>
            <w:vMerge w:val="continue"/>
            <w:noWrap w:val="0"/>
            <w:vAlign w:val="center"/>
          </w:tcPr>
          <w:p>
            <w:pPr>
              <w:widowControl w:val="0"/>
              <w:numPr>
                <w:ilvl w:val="0"/>
                <w:numId w:val="0"/>
              </w:numPr>
              <w:suppressAutoHyphens/>
              <w:bidi w:val="0"/>
              <w:snapToGrid w:val="0"/>
              <w:jc w:val="center"/>
              <w:rPr>
                <w:rFonts w:hint="eastAsia" w:ascii="宋体" w:hAnsi="宋体" w:eastAsia="宋体" w:cs="宋体"/>
                <w:color w:val="auto"/>
                <w:spacing w:val="0"/>
                <w:w w:val="100"/>
                <w:kern w:val="2"/>
                <w:sz w:val="18"/>
                <w:szCs w:val="18"/>
                <w:lang w:val="en-US" w:eastAsia="zh-CN" w:bidi="ar-SA"/>
              </w:rPr>
            </w:pPr>
          </w:p>
        </w:tc>
        <w:tc>
          <w:tcPr>
            <w:tcW w:w="464" w:type="pct"/>
            <w:vMerge w:val="continue"/>
            <w:noWrap w:val="0"/>
            <w:vAlign w:val="center"/>
          </w:tcPr>
          <w:p>
            <w:pPr>
              <w:widowControl w:val="0"/>
              <w:numPr>
                <w:ilvl w:val="0"/>
                <w:numId w:val="0"/>
              </w:numPr>
              <w:suppressAutoHyphens/>
              <w:bidi w:val="0"/>
              <w:snapToGrid w:val="0"/>
              <w:jc w:val="center"/>
              <w:rPr>
                <w:rFonts w:hint="eastAsia" w:ascii="宋体" w:hAnsi="宋体" w:eastAsia="宋体" w:cs="宋体"/>
                <w:color w:val="auto"/>
                <w:spacing w:val="0"/>
                <w:w w:val="100"/>
                <w:kern w:val="2"/>
                <w:sz w:val="18"/>
                <w:szCs w:val="18"/>
                <w:lang w:val="en-US" w:eastAsia="zh-CN" w:bidi="ar-SA"/>
              </w:rPr>
            </w:pPr>
          </w:p>
        </w:tc>
        <w:tc>
          <w:tcPr>
            <w:tcW w:w="443" w:type="pct"/>
            <w:noWrap w:val="0"/>
            <w:vAlign w:val="center"/>
          </w:tcPr>
          <w:p>
            <w:pPr>
              <w:widowControl w:val="0"/>
              <w:numPr>
                <w:ilvl w:val="0"/>
                <w:numId w:val="0"/>
              </w:numPr>
              <w:suppressAutoHyphens/>
              <w:bidi w:val="0"/>
              <w:snapToGrid w:val="0"/>
              <w:jc w:val="center"/>
              <w:rPr>
                <w:rFonts w:hint="eastAsia" w:ascii="宋体" w:hAnsi="宋体" w:eastAsia="宋体" w:cs="宋体"/>
                <w:color w:val="auto"/>
                <w:spacing w:val="0"/>
                <w:w w:val="100"/>
                <w:kern w:val="2"/>
                <w:sz w:val="18"/>
                <w:szCs w:val="18"/>
                <w:lang w:val="en-US" w:eastAsia="zh-CN" w:bidi="ar-SA"/>
              </w:rPr>
            </w:pPr>
            <w:r>
              <w:rPr>
                <w:rFonts w:hint="eastAsia" w:ascii="宋体" w:hAnsi="宋体" w:eastAsia="宋体" w:cs="宋体"/>
                <w:color w:val="auto"/>
                <w:spacing w:val="0"/>
                <w:w w:val="100"/>
                <w:kern w:val="2"/>
                <w:sz w:val="18"/>
                <w:szCs w:val="18"/>
                <w:lang w:val="en-US" w:eastAsia="zh-CN" w:bidi="ar-SA"/>
              </w:rPr>
              <w:t>预算评审</w:t>
            </w:r>
          </w:p>
        </w:tc>
        <w:tc>
          <w:tcPr>
            <w:tcW w:w="364" w:type="pct"/>
            <w:noWrap w:val="0"/>
            <w:vAlign w:val="center"/>
          </w:tcPr>
          <w:p>
            <w:pPr>
              <w:widowControl w:val="0"/>
              <w:numPr>
                <w:ilvl w:val="0"/>
                <w:numId w:val="0"/>
              </w:numPr>
              <w:suppressAutoHyphens/>
              <w:bidi w:val="0"/>
              <w:snapToGrid w:val="0"/>
              <w:jc w:val="center"/>
              <w:rPr>
                <w:rFonts w:hint="eastAsia" w:ascii="宋体" w:hAnsi="宋体" w:eastAsia="宋体" w:cs="宋体"/>
                <w:color w:val="auto"/>
                <w:spacing w:val="0"/>
                <w:w w:val="100"/>
                <w:kern w:val="2"/>
                <w:sz w:val="18"/>
                <w:szCs w:val="18"/>
                <w:lang w:val="en-US" w:eastAsia="zh-CN" w:bidi="ar-SA"/>
              </w:rPr>
            </w:pPr>
            <w:r>
              <w:rPr>
                <w:rFonts w:hint="eastAsia" w:ascii="宋体" w:hAnsi="宋体" w:eastAsia="宋体" w:cs="宋体"/>
                <w:color w:val="auto"/>
                <w:spacing w:val="0"/>
                <w:w w:val="100"/>
                <w:kern w:val="2"/>
                <w:sz w:val="18"/>
                <w:szCs w:val="18"/>
                <w:lang w:val="en-US" w:eastAsia="zh-CN" w:bidi="ar-SA"/>
              </w:rPr>
              <w:t>≥</w:t>
            </w:r>
          </w:p>
        </w:tc>
        <w:tc>
          <w:tcPr>
            <w:tcW w:w="264" w:type="pct"/>
            <w:gridSpan w:val="2"/>
            <w:noWrap w:val="0"/>
            <w:vAlign w:val="center"/>
          </w:tcPr>
          <w:p>
            <w:pPr>
              <w:widowControl w:val="0"/>
              <w:numPr>
                <w:ilvl w:val="0"/>
                <w:numId w:val="0"/>
              </w:numPr>
              <w:suppressAutoHyphens/>
              <w:bidi w:val="0"/>
              <w:snapToGrid w:val="0"/>
              <w:jc w:val="center"/>
              <w:rPr>
                <w:rFonts w:hint="eastAsia" w:ascii="宋体" w:hAnsi="宋体" w:eastAsia="宋体" w:cs="宋体"/>
                <w:color w:val="auto"/>
                <w:spacing w:val="0"/>
                <w:w w:val="100"/>
                <w:kern w:val="2"/>
                <w:sz w:val="18"/>
                <w:szCs w:val="18"/>
                <w:lang w:val="en-US" w:eastAsia="zh-CN" w:bidi="ar-SA"/>
              </w:rPr>
            </w:pPr>
            <w:r>
              <w:rPr>
                <w:rFonts w:hint="eastAsia" w:ascii="宋体" w:hAnsi="宋体" w:eastAsia="宋体" w:cs="宋体"/>
                <w:color w:val="auto"/>
                <w:spacing w:val="0"/>
                <w:w w:val="100"/>
                <w:kern w:val="2"/>
                <w:sz w:val="18"/>
                <w:szCs w:val="18"/>
                <w:lang w:val="en-US" w:eastAsia="zh-CN" w:bidi="ar-SA"/>
              </w:rPr>
              <w:t>200</w:t>
            </w:r>
          </w:p>
        </w:tc>
        <w:tc>
          <w:tcPr>
            <w:tcW w:w="536" w:type="pct"/>
            <w:noWrap w:val="0"/>
            <w:vAlign w:val="center"/>
          </w:tcPr>
          <w:p>
            <w:pPr>
              <w:widowControl w:val="0"/>
              <w:numPr>
                <w:ilvl w:val="0"/>
                <w:numId w:val="0"/>
              </w:numPr>
              <w:suppressAutoHyphens/>
              <w:bidi w:val="0"/>
              <w:snapToGrid w:val="0"/>
              <w:jc w:val="center"/>
              <w:rPr>
                <w:rFonts w:hint="eastAsia" w:ascii="宋体" w:hAnsi="宋体" w:eastAsia="宋体" w:cs="宋体"/>
                <w:color w:val="auto"/>
                <w:spacing w:val="0"/>
                <w:w w:val="100"/>
                <w:kern w:val="2"/>
                <w:sz w:val="18"/>
                <w:szCs w:val="18"/>
                <w:lang w:val="en-US" w:eastAsia="zh-CN" w:bidi="ar-SA"/>
              </w:rPr>
            </w:pPr>
            <w:r>
              <w:rPr>
                <w:rFonts w:hint="eastAsia" w:ascii="宋体" w:hAnsi="宋体" w:eastAsia="宋体" w:cs="宋体"/>
                <w:color w:val="auto"/>
                <w:spacing w:val="0"/>
                <w:w w:val="100"/>
                <w:kern w:val="2"/>
                <w:sz w:val="18"/>
                <w:szCs w:val="18"/>
                <w:lang w:val="en-US" w:eastAsia="zh-CN" w:bidi="ar-SA"/>
              </w:rPr>
              <w:t>个</w:t>
            </w:r>
          </w:p>
        </w:tc>
        <w:tc>
          <w:tcPr>
            <w:tcW w:w="363" w:type="pct"/>
            <w:noWrap w:val="0"/>
            <w:vAlign w:val="center"/>
          </w:tcPr>
          <w:p>
            <w:pPr>
              <w:widowControl w:val="0"/>
              <w:numPr>
                <w:ilvl w:val="0"/>
                <w:numId w:val="0"/>
              </w:numPr>
              <w:suppressAutoHyphens/>
              <w:bidi w:val="0"/>
              <w:snapToGrid w:val="0"/>
              <w:jc w:val="center"/>
              <w:rPr>
                <w:rFonts w:hint="eastAsia" w:ascii="宋体" w:hAnsi="宋体" w:eastAsia="宋体" w:cs="宋体"/>
                <w:color w:val="auto"/>
                <w:spacing w:val="0"/>
                <w:w w:val="100"/>
                <w:kern w:val="2"/>
                <w:sz w:val="18"/>
                <w:szCs w:val="18"/>
                <w:lang w:val="en-US" w:eastAsia="zh-CN" w:bidi="ar-SA"/>
              </w:rPr>
            </w:pPr>
            <w:r>
              <w:rPr>
                <w:rFonts w:hint="eastAsia" w:ascii="宋体" w:hAnsi="宋体" w:eastAsia="宋体" w:cs="宋体"/>
                <w:color w:val="auto"/>
                <w:spacing w:val="0"/>
                <w:w w:val="100"/>
                <w:kern w:val="2"/>
                <w:sz w:val="18"/>
                <w:szCs w:val="18"/>
                <w:lang w:val="en-US" w:eastAsia="zh-CN" w:bidi="ar-SA"/>
              </w:rPr>
              <w:t>288</w:t>
            </w:r>
          </w:p>
        </w:tc>
        <w:tc>
          <w:tcPr>
            <w:tcW w:w="269" w:type="pct"/>
            <w:noWrap w:val="0"/>
            <w:vAlign w:val="center"/>
          </w:tcPr>
          <w:p>
            <w:pPr>
              <w:widowControl w:val="0"/>
              <w:numPr>
                <w:ilvl w:val="0"/>
                <w:numId w:val="0"/>
              </w:numPr>
              <w:suppressAutoHyphens/>
              <w:bidi w:val="0"/>
              <w:snapToGrid w:val="0"/>
              <w:jc w:val="center"/>
              <w:rPr>
                <w:rFonts w:hint="eastAsia" w:ascii="宋体" w:hAnsi="宋体" w:eastAsia="宋体" w:cs="宋体"/>
                <w:color w:val="auto"/>
                <w:spacing w:val="0"/>
                <w:w w:val="100"/>
                <w:kern w:val="2"/>
                <w:sz w:val="18"/>
                <w:szCs w:val="18"/>
                <w:lang w:val="en-US" w:eastAsia="zh-CN" w:bidi="ar-SA"/>
              </w:rPr>
            </w:pPr>
            <w:r>
              <w:rPr>
                <w:rFonts w:hint="eastAsia" w:ascii="宋体" w:hAnsi="宋体" w:eastAsia="宋体" w:cs="宋体"/>
                <w:color w:val="auto"/>
                <w:spacing w:val="0"/>
                <w:w w:val="100"/>
                <w:kern w:val="2"/>
                <w:sz w:val="18"/>
                <w:szCs w:val="18"/>
                <w:lang w:val="en-US" w:eastAsia="zh-CN" w:bidi="ar-SA"/>
              </w:rPr>
              <w:t>5</w:t>
            </w:r>
          </w:p>
        </w:tc>
        <w:tc>
          <w:tcPr>
            <w:tcW w:w="529" w:type="pct"/>
            <w:noWrap w:val="0"/>
            <w:vAlign w:val="center"/>
          </w:tcPr>
          <w:p>
            <w:pPr>
              <w:widowControl w:val="0"/>
              <w:numPr>
                <w:ilvl w:val="0"/>
                <w:numId w:val="0"/>
              </w:numPr>
              <w:suppressAutoHyphens/>
              <w:bidi w:val="0"/>
              <w:snapToGrid w:val="0"/>
              <w:jc w:val="center"/>
              <w:rPr>
                <w:rFonts w:hint="eastAsia" w:ascii="宋体" w:hAnsi="宋体" w:eastAsia="宋体" w:cs="宋体"/>
                <w:color w:val="auto"/>
                <w:spacing w:val="0"/>
                <w:w w:val="100"/>
                <w:kern w:val="2"/>
                <w:sz w:val="18"/>
                <w:szCs w:val="18"/>
                <w:lang w:val="en-US" w:eastAsia="zh-CN" w:bidi="ar-SA"/>
              </w:rPr>
            </w:pPr>
            <w:r>
              <w:rPr>
                <w:rFonts w:hint="eastAsia" w:ascii="宋体" w:hAnsi="宋体" w:eastAsia="宋体" w:cs="宋体"/>
                <w:color w:val="auto"/>
                <w:spacing w:val="0"/>
                <w:w w:val="100"/>
                <w:kern w:val="2"/>
                <w:sz w:val="18"/>
                <w:szCs w:val="18"/>
                <w:lang w:val="en-US" w:eastAsia="zh-CN" w:bidi="ar-SA"/>
              </w:rPr>
              <w:t>5</w:t>
            </w:r>
          </w:p>
        </w:tc>
        <w:tc>
          <w:tcPr>
            <w:tcW w:w="973" w:type="pct"/>
            <w:noWrap w:val="0"/>
            <w:vAlign w:val="center"/>
          </w:tcPr>
          <w:p>
            <w:pPr>
              <w:widowControl w:val="0"/>
              <w:numPr>
                <w:ilvl w:val="0"/>
                <w:numId w:val="0"/>
              </w:numPr>
              <w:suppressAutoHyphens/>
              <w:bidi w:val="0"/>
              <w:snapToGrid w:val="0"/>
              <w:jc w:val="center"/>
              <w:rPr>
                <w:rFonts w:hint="eastAsia" w:ascii="宋体" w:hAnsi="宋体" w:eastAsia="宋体" w:cs="宋体"/>
                <w:color w:val="auto"/>
                <w:spacing w:val="0"/>
                <w:w w:val="10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6" w:type="pct"/>
            <w:vMerge w:val="continue"/>
            <w:noWrap w:val="0"/>
            <w:vAlign w:val="center"/>
          </w:tcPr>
          <w:p>
            <w:pPr>
              <w:widowControl w:val="0"/>
              <w:numPr>
                <w:ilvl w:val="0"/>
                <w:numId w:val="0"/>
              </w:numPr>
              <w:suppressAutoHyphens/>
              <w:bidi w:val="0"/>
              <w:snapToGrid w:val="0"/>
              <w:jc w:val="center"/>
              <w:rPr>
                <w:rFonts w:hint="eastAsia" w:ascii="宋体" w:hAnsi="宋体" w:eastAsia="宋体" w:cs="宋体"/>
                <w:color w:val="auto"/>
                <w:spacing w:val="0"/>
                <w:w w:val="100"/>
                <w:kern w:val="2"/>
                <w:sz w:val="18"/>
                <w:szCs w:val="18"/>
                <w:lang w:val="en-US" w:eastAsia="zh-CN" w:bidi="ar-SA"/>
              </w:rPr>
            </w:pPr>
          </w:p>
        </w:tc>
        <w:tc>
          <w:tcPr>
            <w:tcW w:w="405" w:type="pct"/>
            <w:vMerge w:val="continue"/>
            <w:noWrap w:val="0"/>
            <w:vAlign w:val="center"/>
          </w:tcPr>
          <w:p>
            <w:pPr>
              <w:widowControl w:val="0"/>
              <w:numPr>
                <w:ilvl w:val="0"/>
                <w:numId w:val="0"/>
              </w:numPr>
              <w:suppressAutoHyphens/>
              <w:bidi w:val="0"/>
              <w:snapToGrid w:val="0"/>
              <w:jc w:val="center"/>
              <w:rPr>
                <w:rFonts w:hint="eastAsia" w:ascii="宋体" w:hAnsi="宋体" w:eastAsia="宋体" w:cs="宋体"/>
                <w:color w:val="auto"/>
                <w:spacing w:val="0"/>
                <w:w w:val="100"/>
                <w:kern w:val="2"/>
                <w:sz w:val="18"/>
                <w:szCs w:val="18"/>
                <w:lang w:val="en-US" w:eastAsia="zh-CN" w:bidi="ar-SA"/>
              </w:rPr>
            </w:pPr>
          </w:p>
        </w:tc>
        <w:tc>
          <w:tcPr>
            <w:tcW w:w="464" w:type="pct"/>
            <w:vMerge w:val="continue"/>
            <w:noWrap w:val="0"/>
            <w:vAlign w:val="center"/>
          </w:tcPr>
          <w:p>
            <w:pPr>
              <w:widowControl w:val="0"/>
              <w:numPr>
                <w:ilvl w:val="0"/>
                <w:numId w:val="0"/>
              </w:numPr>
              <w:suppressAutoHyphens/>
              <w:bidi w:val="0"/>
              <w:snapToGrid w:val="0"/>
              <w:jc w:val="center"/>
              <w:rPr>
                <w:rFonts w:hint="eastAsia" w:ascii="宋体" w:hAnsi="宋体" w:eastAsia="宋体" w:cs="宋体"/>
                <w:color w:val="auto"/>
                <w:spacing w:val="0"/>
                <w:w w:val="100"/>
                <w:kern w:val="2"/>
                <w:sz w:val="18"/>
                <w:szCs w:val="18"/>
                <w:lang w:val="en-US" w:eastAsia="zh-CN" w:bidi="ar-SA"/>
              </w:rPr>
            </w:pPr>
          </w:p>
        </w:tc>
        <w:tc>
          <w:tcPr>
            <w:tcW w:w="443" w:type="pct"/>
            <w:noWrap w:val="0"/>
            <w:vAlign w:val="center"/>
          </w:tcPr>
          <w:p>
            <w:pPr>
              <w:widowControl w:val="0"/>
              <w:numPr>
                <w:ilvl w:val="0"/>
                <w:numId w:val="0"/>
              </w:numPr>
              <w:suppressAutoHyphens/>
              <w:bidi w:val="0"/>
              <w:snapToGrid w:val="0"/>
              <w:jc w:val="center"/>
              <w:rPr>
                <w:rFonts w:hint="eastAsia" w:ascii="宋体" w:hAnsi="宋体" w:eastAsia="宋体" w:cs="宋体"/>
                <w:color w:val="auto"/>
                <w:spacing w:val="0"/>
                <w:w w:val="100"/>
                <w:kern w:val="2"/>
                <w:sz w:val="18"/>
                <w:szCs w:val="18"/>
                <w:lang w:val="en-US" w:eastAsia="zh-CN" w:bidi="ar-SA"/>
              </w:rPr>
            </w:pPr>
            <w:r>
              <w:rPr>
                <w:rFonts w:hint="eastAsia" w:ascii="宋体" w:hAnsi="宋体" w:eastAsia="宋体" w:cs="宋体"/>
                <w:color w:val="auto"/>
                <w:spacing w:val="0"/>
                <w:w w:val="100"/>
                <w:kern w:val="2"/>
                <w:sz w:val="18"/>
                <w:szCs w:val="18"/>
                <w:lang w:val="en-US" w:eastAsia="zh-CN" w:bidi="ar-SA"/>
              </w:rPr>
              <w:t>工程进度核查</w:t>
            </w:r>
          </w:p>
        </w:tc>
        <w:tc>
          <w:tcPr>
            <w:tcW w:w="364" w:type="pct"/>
            <w:noWrap w:val="0"/>
            <w:vAlign w:val="center"/>
          </w:tcPr>
          <w:p>
            <w:pPr>
              <w:widowControl w:val="0"/>
              <w:numPr>
                <w:ilvl w:val="0"/>
                <w:numId w:val="0"/>
              </w:numPr>
              <w:suppressAutoHyphens/>
              <w:bidi w:val="0"/>
              <w:snapToGrid w:val="0"/>
              <w:jc w:val="center"/>
              <w:rPr>
                <w:rFonts w:hint="eastAsia" w:ascii="宋体" w:hAnsi="宋体" w:eastAsia="宋体" w:cs="宋体"/>
                <w:color w:val="auto"/>
                <w:spacing w:val="0"/>
                <w:w w:val="100"/>
                <w:kern w:val="2"/>
                <w:sz w:val="18"/>
                <w:szCs w:val="18"/>
                <w:lang w:val="en-US" w:eastAsia="zh-CN" w:bidi="ar-SA"/>
              </w:rPr>
            </w:pPr>
            <w:r>
              <w:rPr>
                <w:rFonts w:hint="eastAsia" w:ascii="宋体" w:hAnsi="宋体" w:eastAsia="宋体" w:cs="宋体"/>
                <w:color w:val="auto"/>
                <w:spacing w:val="0"/>
                <w:w w:val="100"/>
                <w:kern w:val="2"/>
                <w:sz w:val="18"/>
                <w:szCs w:val="18"/>
                <w:lang w:val="en-US" w:eastAsia="zh-CN" w:bidi="ar-SA"/>
              </w:rPr>
              <w:t>≥</w:t>
            </w:r>
          </w:p>
        </w:tc>
        <w:tc>
          <w:tcPr>
            <w:tcW w:w="264" w:type="pct"/>
            <w:gridSpan w:val="2"/>
            <w:noWrap w:val="0"/>
            <w:vAlign w:val="center"/>
          </w:tcPr>
          <w:p>
            <w:pPr>
              <w:widowControl w:val="0"/>
              <w:numPr>
                <w:ilvl w:val="0"/>
                <w:numId w:val="0"/>
              </w:numPr>
              <w:suppressAutoHyphens/>
              <w:bidi w:val="0"/>
              <w:snapToGrid w:val="0"/>
              <w:jc w:val="center"/>
              <w:rPr>
                <w:rFonts w:hint="eastAsia" w:ascii="宋体" w:hAnsi="宋体" w:eastAsia="宋体" w:cs="宋体"/>
                <w:color w:val="auto"/>
                <w:spacing w:val="0"/>
                <w:w w:val="100"/>
                <w:kern w:val="2"/>
                <w:sz w:val="18"/>
                <w:szCs w:val="18"/>
                <w:lang w:val="en-US" w:eastAsia="zh-CN" w:bidi="ar-SA"/>
              </w:rPr>
            </w:pPr>
            <w:r>
              <w:rPr>
                <w:rFonts w:hint="eastAsia" w:ascii="宋体" w:hAnsi="宋体" w:eastAsia="宋体" w:cs="宋体"/>
                <w:color w:val="auto"/>
                <w:spacing w:val="0"/>
                <w:w w:val="100"/>
                <w:kern w:val="2"/>
                <w:sz w:val="18"/>
                <w:szCs w:val="18"/>
                <w:lang w:val="en-US" w:eastAsia="zh-CN" w:bidi="ar-SA"/>
              </w:rPr>
              <w:t>50</w:t>
            </w:r>
          </w:p>
        </w:tc>
        <w:tc>
          <w:tcPr>
            <w:tcW w:w="536" w:type="pct"/>
            <w:noWrap w:val="0"/>
            <w:vAlign w:val="center"/>
          </w:tcPr>
          <w:p>
            <w:pPr>
              <w:widowControl w:val="0"/>
              <w:numPr>
                <w:ilvl w:val="0"/>
                <w:numId w:val="0"/>
              </w:numPr>
              <w:suppressAutoHyphens/>
              <w:bidi w:val="0"/>
              <w:snapToGrid w:val="0"/>
              <w:jc w:val="center"/>
              <w:rPr>
                <w:rFonts w:hint="eastAsia" w:ascii="宋体" w:hAnsi="宋体" w:eastAsia="宋体" w:cs="宋体"/>
                <w:color w:val="auto"/>
                <w:spacing w:val="0"/>
                <w:w w:val="100"/>
                <w:kern w:val="2"/>
                <w:sz w:val="18"/>
                <w:szCs w:val="18"/>
                <w:lang w:val="en-US" w:eastAsia="zh-CN" w:bidi="ar-SA"/>
              </w:rPr>
            </w:pPr>
            <w:r>
              <w:rPr>
                <w:rFonts w:hint="eastAsia" w:ascii="宋体" w:hAnsi="宋体" w:eastAsia="宋体" w:cs="宋体"/>
                <w:color w:val="auto"/>
                <w:spacing w:val="0"/>
                <w:w w:val="100"/>
                <w:kern w:val="2"/>
                <w:sz w:val="18"/>
                <w:szCs w:val="18"/>
                <w:lang w:val="en-US" w:eastAsia="zh-CN" w:bidi="ar-SA"/>
              </w:rPr>
              <w:t>个</w:t>
            </w:r>
          </w:p>
        </w:tc>
        <w:tc>
          <w:tcPr>
            <w:tcW w:w="363" w:type="pct"/>
            <w:noWrap w:val="0"/>
            <w:vAlign w:val="center"/>
          </w:tcPr>
          <w:p>
            <w:pPr>
              <w:widowControl w:val="0"/>
              <w:numPr>
                <w:ilvl w:val="0"/>
                <w:numId w:val="0"/>
              </w:numPr>
              <w:suppressAutoHyphens/>
              <w:bidi w:val="0"/>
              <w:snapToGrid w:val="0"/>
              <w:jc w:val="center"/>
              <w:rPr>
                <w:rFonts w:hint="eastAsia" w:ascii="宋体" w:hAnsi="宋体" w:eastAsia="宋体" w:cs="宋体"/>
                <w:color w:val="auto"/>
                <w:spacing w:val="0"/>
                <w:w w:val="100"/>
                <w:kern w:val="2"/>
                <w:sz w:val="18"/>
                <w:szCs w:val="18"/>
                <w:lang w:val="en-US" w:eastAsia="zh-CN" w:bidi="ar-SA"/>
              </w:rPr>
            </w:pPr>
            <w:r>
              <w:rPr>
                <w:rFonts w:hint="eastAsia" w:ascii="宋体" w:hAnsi="宋体" w:eastAsia="宋体" w:cs="宋体"/>
                <w:color w:val="auto"/>
                <w:spacing w:val="0"/>
                <w:w w:val="100"/>
                <w:kern w:val="2"/>
                <w:sz w:val="18"/>
                <w:szCs w:val="18"/>
                <w:lang w:val="en-US" w:eastAsia="zh-CN" w:bidi="ar-SA"/>
              </w:rPr>
              <w:t>236</w:t>
            </w:r>
          </w:p>
        </w:tc>
        <w:tc>
          <w:tcPr>
            <w:tcW w:w="269" w:type="pct"/>
            <w:noWrap w:val="0"/>
            <w:vAlign w:val="center"/>
          </w:tcPr>
          <w:p>
            <w:pPr>
              <w:widowControl w:val="0"/>
              <w:numPr>
                <w:ilvl w:val="0"/>
                <w:numId w:val="0"/>
              </w:numPr>
              <w:suppressAutoHyphens/>
              <w:bidi w:val="0"/>
              <w:snapToGrid w:val="0"/>
              <w:jc w:val="center"/>
              <w:rPr>
                <w:rFonts w:hint="eastAsia" w:ascii="宋体" w:hAnsi="宋体" w:eastAsia="宋体" w:cs="宋体"/>
                <w:color w:val="auto"/>
                <w:spacing w:val="0"/>
                <w:w w:val="100"/>
                <w:kern w:val="2"/>
                <w:sz w:val="18"/>
                <w:szCs w:val="18"/>
                <w:lang w:val="en-US" w:eastAsia="zh-CN" w:bidi="ar-SA"/>
              </w:rPr>
            </w:pPr>
            <w:r>
              <w:rPr>
                <w:rFonts w:hint="eastAsia" w:ascii="宋体" w:hAnsi="宋体" w:eastAsia="宋体" w:cs="宋体"/>
                <w:color w:val="auto"/>
                <w:spacing w:val="0"/>
                <w:w w:val="100"/>
                <w:kern w:val="2"/>
                <w:sz w:val="18"/>
                <w:szCs w:val="18"/>
                <w:lang w:val="en-US" w:eastAsia="zh-CN" w:bidi="ar-SA"/>
              </w:rPr>
              <w:t>5</w:t>
            </w:r>
          </w:p>
        </w:tc>
        <w:tc>
          <w:tcPr>
            <w:tcW w:w="529" w:type="pct"/>
            <w:noWrap w:val="0"/>
            <w:vAlign w:val="center"/>
          </w:tcPr>
          <w:p>
            <w:pPr>
              <w:widowControl w:val="0"/>
              <w:numPr>
                <w:ilvl w:val="0"/>
                <w:numId w:val="0"/>
              </w:numPr>
              <w:suppressAutoHyphens/>
              <w:bidi w:val="0"/>
              <w:snapToGrid w:val="0"/>
              <w:jc w:val="center"/>
              <w:rPr>
                <w:rFonts w:hint="eastAsia" w:ascii="宋体" w:hAnsi="宋体" w:eastAsia="宋体" w:cs="宋体"/>
                <w:color w:val="auto"/>
                <w:spacing w:val="0"/>
                <w:w w:val="100"/>
                <w:kern w:val="2"/>
                <w:sz w:val="18"/>
                <w:szCs w:val="18"/>
                <w:lang w:val="en-US" w:eastAsia="zh-CN" w:bidi="ar-SA"/>
              </w:rPr>
            </w:pPr>
            <w:r>
              <w:rPr>
                <w:rFonts w:hint="eastAsia" w:ascii="宋体" w:hAnsi="宋体" w:eastAsia="宋体" w:cs="宋体"/>
                <w:color w:val="auto"/>
                <w:spacing w:val="0"/>
                <w:w w:val="100"/>
                <w:kern w:val="2"/>
                <w:sz w:val="18"/>
                <w:szCs w:val="18"/>
                <w:lang w:val="en-US" w:eastAsia="zh-CN" w:bidi="ar-SA"/>
              </w:rPr>
              <w:t>5</w:t>
            </w:r>
          </w:p>
        </w:tc>
        <w:tc>
          <w:tcPr>
            <w:tcW w:w="973" w:type="pct"/>
            <w:noWrap w:val="0"/>
            <w:vAlign w:val="center"/>
          </w:tcPr>
          <w:p>
            <w:pPr>
              <w:widowControl w:val="0"/>
              <w:numPr>
                <w:ilvl w:val="0"/>
                <w:numId w:val="0"/>
              </w:numPr>
              <w:suppressAutoHyphens/>
              <w:bidi w:val="0"/>
              <w:snapToGrid w:val="0"/>
              <w:jc w:val="center"/>
              <w:rPr>
                <w:rFonts w:hint="eastAsia" w:ascii="宋体" w:hAnsi="宋体" w:eastAsia="宋体" w:cs="宋体"/>
                <w:color w:val="auto"/>
                <w:spacing w:val="0"/>
                <w:w w:val="10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6" w:type="pct"/>
            <w:vMerge w:val="continue"/>
            <w:noWrap w:val="0"/>
            <w:vAlign w:val="center"/>
          </w:tcPr>
          <w:p>
            <w:pPr>
              <w:widowControl w:val="0"/>
              <w:numPr>
                <w:ilvl w:val="0"/>
                <w:numId w:val="0"/>
              </w:numPr>
              <w:suppressAutoHyphens/>
              <w:bidi w:val="0"/>
              <w:snapToGrid w:val="0"/>
              <w:jc w:val="center"/>
              <w:rPr>
                <w:rFonts w:hint="eastAsia" w:ascii="宋体" w:hAnsi="宋体" w:eastAsia="宋体" w:cs="宋体"/>
                <w:color w:val="auto"/>
                <w:spacing w:val="0"/>
                <w:w w:val="100"/>
                <w:kern w:val="2"/>
                <w:sz w:val="18"/>
                <w:szCs w:val="18"/>
                <w:lang w:val="en-US" w:eastAsia="zh-CN" w:bidi="ar-SA"/>
              </w:rPr>
            </w:pPr>
          </w:p>
        </w:tc>
        <w:tc>
          <w:tcPr>
            <w:tcW w:w="405" w:type="pct"/>
            <w:vMerge w:val="continue"/>
            <w:noWrap w:val="0"/>
            <w:vAlign w:val="center"/>
          </w:tcPr>
          <w:p>
            <w:pPr>
              <w:widowControl w:val="0"/>
              <w:numPr>
                <w:ilvl w:val="0"/>
                <w:numId w:val="0"/>
              </w:numPr>
              <w:suppressAutoHyphens/>
              <w:bidi w:val="0"/>
              <w:snapToGrid w:val="0"/>
              <w:jc w:val="center"/>
              <w:rPr>
                <w:rFonts w:hint="eastAsia" w:ascii="宋体" w:hAnsi="宋体" w:eastAsia="宋体" w:cs="宋体"/>
                <w:color w:val="auto"/>
                <w:spacing w:val="0"/>
                <w:w w:val="100"/>
                <w:kern w:val="2"/>
                <w:sz w:val="18"/>
                <w:szCs w:val="18"/>
                <w:lang w:val="en-US" w:eastAsia="zh-CN" w:bidi="ar-SA"/>
              </w:rPr>
            </w:pPr>
          </w:p>
        </w:tc>
        <w:tc>
          <w:tcPr>
            <w:tcW w:w="464" w:type="pct"/>
            <w:vMerge w:val="continue"/>
            <w:noWrap w:val="0"/>
            <w:vAlign w:val="center"/>
          </w:tcPr>
          <w:p>
            <w:pPr>
              <w:widowControl w:val="0"/>
              <w:numPr>
                <w:ilvl w:val="0"/>
                <w:numId w:val="0"/>
              </w:numPr>
              <w:suppressAutoHyphens/>
              <w:bidi w:val="0"/>
              <w:snapToGrid w:val="0"/>
              <w:jc w:val="center"/>
              <w:rPr>
                <w:rFonts w:hint="eastAsia" w:ascii="宋体" w:hAnsi="宋体" w:eastAsia="宋体" w:cs="宋体"/>
                <w:color w:val="auto"/>
                <w:spacing w:val="0"/>
                <w:w w:val="100"/>
                <w:kern w:val="2"/>
                <w:sz w:val="18"/>
                <w:szCs w:val="18"/>
                <w:lang w:val="en-US" w:eastAsia="zh-CN" w:bidi="ar-SA"/>
              </w:rPr>
            </w:pPr>
          </w:p>
        </w:tc>
        <w:tc>
          <w:tcPr>
            <w:tcW w:w="443" w:type="pct"/>
            <w:noWrap w:val="0"/>
            <w:vAlign w:val="center"/>
          </w:tcPr>
          <w:p>
            <w:pPr>
              <w:widowControl w:val="0"/>
              <w:numPr>
                <w:ilvl w:val="0"/>
                <w:numId w:val="0"/>
              </w:numPr>
              <w:suppressAutoHyphens/>
              <w:bidi w:val="0"/>
              <w:snapToGrid w:val="0"/>
              <w:jc w:val="center"/>
              <w:rPr>
                <w:rFonts w:hint="eastAsia" w:ascii="宋体" w:hAnsi="宋体" w:eastAsia="宋体" w:cs="宋体"/>
                <w:color w:val="auto"/>
                <w:spacing w:val="0"/>
                <w:w w:val="100"/>
                <w:kern w:val="2"/>
                <w:sz w:val="18"/>
                <w:szCs w:val="18"/>
                <w:lang w:val="en-US" w:eastAsia="zh-CN" w:bidi="ar-SA"/>
              </w:rPr>
            </w:pPr>
            <w:r>
              <w:rPr>
                <w:rFonts w:hint="eastAsia" w:ascii="宋体" w:hAnsi="宋体" w:eastAsia="宋体" w:cs="宋体"/>
                <w:color w:val="auto"/>
                <w:spacing w:val="0"/>
                <w:w w:val="100"/>
                <w:kern w:val="2"/>
                <w:sz w:val="18"/>
                <w:szCs w:val="18"/>
                <w:lang w:val="en-US" w:eastAsia="zh-CN" w:bidi="ar-SA"/>
              </w:rPr>
              <w:t>电力评审</w:t>
            </w:r>
          </w:p>
        </w:tc>
        <w:tc>
          <w:tcPr>
            <w:tcW w:w="364" w:type="pct"/>
            <w:noWrap w:val="0"/>
            <w:vAlign w:val="center"/>
          </w:tcPr>
          <w:p>
            <w:pPr>
              <w:widowControl w:val="0"/>
              <w:numPr>
                <w:ilvl w:val="0"/>
                <w:numId w:val="0"/>
              </w:numPr>
              <w:suppressAutoHyphens/>
              <w:bidi w:val="0"/>
              <w:snapToGrid w:val="0"/>
              <w:jc w:val="center"/>
              <w:rPr>
                <w:rFonts w:hint="eastAsia" w:ascii="宋体" w:hAnsi="宋体" w:eastAsia="宋体" w:cs="宋体"/>
                <w:color w:val="auto"/>
                <w:spacing w:val="0"/>
                <w:w w:val="100"/>
                <w:kern w:val="2"/>
                <w:sz w:val="18"/>
                <w:szCs w:val="18"/>
                <w:lang w:val="en-US" w:eastAsia="zh-CN" w:bidi="ar-SA"/>
              </w:rPr>
            </w:pPr>
            <w:r>
              <w:rPr>
                <w:rFonts w:hint="eastAsia" w:ascii="宋体" w:hAnsi="宋体" w:eastAsia="宋体" w:cs="宋体"/>
                <w:color w:val="auto"/>
                <w:spacing w:val="0"/>
                <w:w w:val="100"/>
                <w:kern w:val="2"/>
                <w:sz w:val="18"/>
                <w:szCs w:val="18"/>
                <w:lang w:val="en-US" w:eastAsia="zh-CN" w:bidi="ar-SA"/>
              </w:rPr>
              <w:t>≥</w:t>
            </w:r>
          </w:p>
        </w:tc>
        <w:tc>
          <w:tcPr>
            <w:tcW w:w="264" w:type="pct"/>
            <w:gridSpan w:val="2"/>
            <w:noWrap w:val="0"/>
            <w:vAlign w:val="center"/>
          </w:tcPr>
          <w:p>
            <w:pPr>
              <w:widowControl w:val="0"/>
              <w:numPr>
                <w:ilvl w:val="0"/>
                <w:numId w:val="0"/>
              </w:numPr>
              <w:suppressAutoHyphens/>
              <w:bidi w:val="0"/>
              <w:snapToGrid w:val="0"/>
              <w:jc w:val="center"/>
              <w:rPr>
                <w:rFonts w:hint="eastAsia" w:ascii="宋体" w:hAnsi="宋体" w:eastAsia="宋体" w:cs="宋体"/>
                <w:color w:val="auto"/>
                <w:spacing w:val="0"/>
                <w:w w:val="100"/>
                <w:kern w:val="2"/>
                <w:sz w:val="18"/>
                <w:szCs w:val="18"/>
                <w:lang w:val="en-US" w:eastAsia="zh-CN" w:bidi="ar-SA"/>
              </w:rPr>
            </w:pPr>
            <w:r>
              <w:rPr>
                <w:rFonts w:hint="eastAsia" w:ascii="宋体" w:hAnsi="宋体" w:eastAsia="宋体" w:cs="宋体"/>
                <w:color w:val="auto"/>
                <w:spacing w:val="0"/>
                <w:w w:val="100"/>
                <w:kern w:val="2"/>
                <w:sz w:val="18"/>
                <w:szCs w:val="18"/>
                <w:lang w:val="en-US" w:eastAsia="zh-CN" w:bidi="ar-SA"/>
              </w:rPr>
              <w:t>40</w:t>
            </w:r>
          </w:p>
        </w:tc>
        <w:tc>
          <w:tcPr>
            <w:tcW w:w="536" w:type="pct"/>
            <w:noWrap w:val="0"/>
            <w:vAlign w:val="center"/>
          </w:tcPr>
          <w:p>
            <w:pPr>
              <w:widowControl w:val="0"/>
              <w:numPr>
                <w:ilvl w:val="0"/>
                <w:numId w:val="0"/>
              </w:numPr>
              <w:suppressAutoHyphens/>
              <w:bidi w:val="0"/>
              <w:snapToGrid w:val="0"/>
              <w:jc w:val="center"/>
              <w:rPr>
                <w:rFonts w:hint="eastAsia" w:ascii="宋体" w:hAnsi="宋体" w:eastAsia="宋体" w:cs="宋体"/>
                <w:color w:val="auto"/>
                <w:spacing w:val="0"/>
                <w:w w:val="100"/>
                <w:kern w:val="2"/>
                <w:sz w:val="18"/>
                <w:szCs w:val="18"/>
                <w:lang w:val="en-US" w:eastAsia="zh-CN" w:bidi="ar-SA"/>
              </w:rPr>
            </w:pPr>
            <w:r>
              <w:rPr>
                <w:rFonts w:hint="eastAsia" w:ascii="宋体" w:hAnsi="宋体" w:eastAsia="宋体" w:cs="宋体"/>
                <w:color w:val="auto"/>
                <w:spacing w:val="0"/>
                <w:w w:val="100"/>
                <w:kern w:val="2"/>
                <w:sz w:val="18"/>
                <w:szCs w:val="18"/>
                <w:lang w:val="en-US" w:eastAsia="zh-CN" w:bidi="ar-SA"/>
              </w:rPr>
              <w:t>个</w:t>
            </w:r>
          </w:p>
        </w:tc>
        <w:tc>
          <w:tcPr>
            <w:tcW w:w="363" w:type="pct"/>
            <w:noWrap w:val="0"/>
            <w:vAlign w:val="center"/>
          </w:tcPr>
          <w:p>
            <w:pPr>
              <w:widowControl w:val="0"/>
              <w:numPr>
                <w:ilvl w:val="0"/>
                <w:numId w:val="0"/>
              </w:numPr>
              <w:suppressAutoHyphens/>
              <w:bidi w:val="0"/>
              <w:snapToGrid w:val="0"/>
              <w:jc w:val="center"/>
              <w:rPr>
                <w:rFonts w:hint="eastAsia" w:ascii="宋体" w:hAnsi="宋体" w:eastAsia="宋体" w:cs="宋体"/>
                <w:color w:val="auto"/>
                <w:spacing w:val="0"/>
                <w:w w:val="100"/>
                <w:kern w:val="2"/>
                <w:sz w:val="18"/>
                <w:szCs w:val="18"/>
                <w:lang w:val="en-US" w:eastAsia="zh-CN" w:bidi="ar-SA"/>
              </w:rPr>
            </w:pPr>
            <w:r>
              <w:rPr>
                <w:rFonts w:hint="eastAsia" w:ascii="宋体" w:hAnsi="宋体" w:eastAsia="宋体" w:cs="宋体"/>
                <w:color w:val="auto"/>
                <w:spacing w:val="0"/>
                <w:w w:val="100"/>
                <w:kern w:val="2"/>
                <w:sz w:val="18"/>
                <w:szCs w:val="18"/>
                <w:lang w:val="en-US" w:eastAsia="zh-CN" w:bidi="ar-SA"/>
              </w:rPr>
              <w:t>94</w:t>
            </w:r>
          </w:p>
        </w:tc>
        <w:tc>
          <w:tcPr>
            <w:tcW w:w="269" w:type="pct"/>
            <w:noWrap w:val="0"/>
            <w:vAlign w:val="center"/>
          </w:tcPr>
          <w:p>
            <w:pPr>
              <w:widowControl w:val="0"/>
              <w:numPr>
                <w:ilvl w:val="0"/>
                <w:numId w:val="0"/>
              </w:numPr>
              <w:suppressAutoHyphens/>
              <w:bidi w:val="0"/>
              <w:snapToGrid w:val="0"/>
              <w:jc w:val="center"/>
              <w:rPr>
                <w:rFonts w:hint="eastAsia" w:ascii="宋体" w:hAnsi="宋体" w:eastAsia="宋体" w:cs="宋体"/>
                <w:color w:val="auto"/>
                <w:spacing w:val="0"/>
                <w:w w:val="100"/>
                <w:kern w:val="2"/>
                <w:sz w:val="18"/>
                <w:szCs w:val="18"/>
                <w:lang w:val="en-US" w:eastAsia="zh-CN" w:bidi="ar-SA"/>
              </w:rPr>
            </w:pPr>
            <w:r>
              <w:rPr>
                <w:rFonts w:hint="eastAsia" w:ascii="宋体" w:hAnsi="宋体" w:eastAsia="宋体" w:cs="宋体"/>
                <w:color w:val="auto"/>
                <w:spacing w:val="0"/>
                <w:w w:val="100"/>
                <w:kern w:val="2"/>
                <w:sz w:val="18"/>
                <w:szCs w:val="18"/>
                <w:lang w:val="en-US" w:eastAsia="zh-CN" w:bidi="ar-SA"/>
              </w:rPr>
              <w:t>5</w:t>
            </w:r>
          </w:p>
        </w:tc>
        <w:tc>
          <w:tcPr>
            <w:tcW w:w="529" w:type="pct"/>
            <w:noWrap w:val="0"/>
            <w:vAlign w:val="center"/>
          </w:tcPr>
          <w:p>
            <w:pPr>
              <w:widowControl w:val="0"/>
              <w:numPr>
                <w:ilvl w:val="0"/>
                <w:numId w:val="0"/>
              </w:numPr>
              <w:suppressAutoHyphens/>
              <w:bidi w:val="0"/>
              <w:snapToGrid w:val="0"/>
              <w:jc w:val="center"/>
              <w:rPr>
                <w:rFonts w:hint="eastAsia" w:ascii="宋体" w:hAnsi="宋体" w:eastAsia="宋体" w:cs="宋体"/>
                <w:color w:val="auto"/>
                <w:spacing w:val="0"/>
                <w:w w:val="100"/>
                <w:kern w:val="2"/>
                <w:sz w:val="18"/>
                <w:szCs w:val="18"/>
                <w:lang w:val="en-US" w:eastAsia="zh-CN" w:bidi="ar-SA"/>
              </w:rPr>
            </w:pPr>
            <w:r>
              <w:rPr>
                <w:rFonts w:hint="eastAsia" w:ascii="宋体" w:hAnsi="宋体" w:eastAsia="宋体" w:cs="宋体"/>
                <w:color w:val="auto"/>
                <w:spacing w:val="0"/>
                <w:w w:val="100"/>
                <w:kern w:val="2"/>
                <w:sz w:val="18"/>
                <w:szCs w:val="18"/>
                <w:lang w:val="en-US" w:eastAsia="zh-CN" w:bidi="ar-SA"/>
              </w:rPr>
              <w:t>5</w:t>
            </w:r>
          </w:p>
        </w:tc>
        <w:tc>
          <w:tcPr>
            <w:tcW w:w="973" w:type="pct"/>
            <w:noWrap w:val="0"/>
            <w:vAlign w:val="center"/>
          </w:tcPr>
          <w:p>
            <w:pPr>
              <w:widowControl w:val="0"/>
              <w:numPr>
                <w:ilvl w:val="0"/>
                <w:numId w:val="0"/>
              </w:numPr>
              <w:suppressAutoHyphens/>
              <w:bidi w:val="0"/>
              <w:snapToGrid w:val="0"/>
              <w:jc w:val="center"/>
              <w:rPr>
                <w:rFonts w:hint="eastAsia" w:ascii="宋体" w:hAnsi="宋体" w:eastAsia="宋体" w:cs="宋体"/>
                <w:color w:val="auto"/>
                <w:spacing w:val="0"/>
                <w:w w:val="10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6" w:type="pct"/>
            <w:vMerge w:val="continue"/>
            <w:noWrap w:val="0"/>
            <w:vAlign w:val="center"/>
          </w:tcPr>
          <w:p>
            <w:pPr>
              <w:widowControl w:val="0"/>
              <w:numPr>
                <w:ilvl w:val="0"/>
                <w:numId w:val="0"/>
              </w:numPr>
              <w:suppressAutoHyphens/>
              <w:bidi w:val="0"/>
              <w:snapToGrid w:val="0"/>
              <w:jc w:val="center"/>
              <w:rPr>
                <w:rFonts w:hint="eastAsia" w:ascii="宋体" w:hAnsi="宋体" w:eastAsia="宋体" w:cs="宋体"/>
                <w:color w:val="auto"/>
                <w:spacing w:val="0"/>
                <w:w w:val="100"/>
                <w:kern w:val="2"/>
                <w:sz w:val="18"/>
                <w:szCs w:val="18"/>
                <w:lang w:val="en-US" w:eastAsia="zh-CN" w:bidi="ar-SA"/>
              </w:rPr>
            </w:pPr>
          </w:p>
        </w:tc>
        <w:tc>
          <w:tcPr>
            <w:tcW w:w="405" w:type="pct"/>
            <w:vMerge w:val="continue"/>
            <w:noWrap w:val="0"/>
            <w:vAlign w:val="center"/>
          </w:tcPr>
          <w:p>
            <w:pPr>
              <w:widowControl w:val="0"/>
              <w:numPr>
                <w:ilvl w:val="0"/>
                <w:numId w:val="0"/>
              </w:numPr>
              <w:suppressAutoHyphens/>
              <w:bidi w:val="0"/>
              <w:snapToGrid w:val="0"/>
              <w:jc w:val="center"/>
              <w:rPr>
                <w:rFonts w:hint="eastAsia" w:ascii="宋体" w:hAnsi="宋体" w:eastAsia="宋体" w:cs="宋体"/>
                <w:color w:val="auto"/>
                <w:spacing w:val="0"/>
                <w:w w:val="100"/>
                <w:kern w:val="2"/>
                <w:sz w:val="18"/>
                <w:szCs w:val="18"/>
                <w:lang w:val="en-US" w:eastAsia="zh-CN" w:bidi="ar-SA"/>
              </w:rPr>
            </w:pPr>
          </w:p>
        </w:tc>
        <w:tc>
          <w:tcPr>
            <w:tcW w:w="464" w:type="pct"/>
            <w:vMerge w:val="continue"/>
            <w:noWrap w:val="0"/>
            <w:vAlign w:val="center"/>
          </w:tcPr>
          <w:p>
            <w:pPr>
              <w:widowControl w:val="0"/>
              <w:numPr>
                <w:ilvl w:val="0"/>
                <w:numId w:val="0"/>
              </w:numPr>
              <w:suppressAutoHyphens/>
              <w:bidi w:val="0"/>
              <w:snapToGrid w:val="0"/>
              <w:jc w:val="center"/>
              <w:rPr>
                <w:rFonts w:hint="eastAsia" w:ascii="宋体" w:hAnsi="宋体" w:eastAsia="宋体" w:cs="宋体"/>
                <w:color w:val="auto"/>
                <w:spacing w:val="0"/>
                <w:w w:val="100"/>
                <w:kern w:val="2"/>
                <w:sz w:val="18"/>
                <w:szCs w:val="18"/>
                <w:lang w:val="en-US" w:eastAsia="zh-CN" w:bidi="ar-SA"/>
              </w:rPr>
            </w:pPr>
          </w:p>
        </w:tc>
        <w:tc>
          <w:tcPr>
            <w:tcW w:w="443" w:type="pct"/>
            <w:noWrap w:val="0"/>
            <w:vAlign w:val="center"/>
          </w:tcPr>
          <w:p>
            <w:pPr>
              <w:widowControl w:val="0"/>
              <w:numPr>
                <w:ilvl w:val="0"/>
                <w:numId w:val="0"/>
              </w:numPr>
              <w:suppressAutoHyphens/>
              <w:bidi w:val="0"/>
              <w:snapToGrid w:val="0"/>
              <w:jc w:val="center"/>
              <w:rPr>
                <w:rFonts w:hint="eastAsia" w:ascii="宋体" w:hAnsi="宋体" w:eastAsia="宋体" w:cs="宋体"/>
                <w:color w:val="auto"/>
                <w:spacing w:val="0"/>
                <w:w w:val="100"/>
                <w:kern w:val="2"/>
                <w:sz w:val="18"/>
                <w:szCs w:val="18"/>
                <w:lang w:val="en-US" w:eastAsia="zh-CN" w:bidi="ar-SA"/>
              </w:rPr>
            </w:pPr>
            <w:r>
              <w:rPr>
                <w:rFonts w:hint="eastAsia" w:ascii="宋体" w:hAnsi="宋体" w:eastAsia="宋体" w:cs="宋体"/>
                <w:color w:val="auto"/>
                <w:spacing w:val="0"/>
                <w:w w:val="100"/>
                <w:kern w:val="2"/>
                <w:sz w:val="18"/>
                <w:szCs w:val="18"/>
                <w:lang w:val="en-US" w:eastAsia="zh-CN" w:bidi="ar-SA"/>
              </w:rPr>
              <w:t>合同审查</w:t>
            </w:r>
          </w:p>
        </w:tc>
        <w:tc>
          <w:tcPr>
            <w:tcW w:w="364" w:type="pct"/>
            <w:noWrap w:val="0"/>
            <w:vAlign w:val="center"/>
          </w:tcPr>
          <w:p>
            <w:pPr>
              <w:widowControl w:val="0"/>
              <w:numPr>
                <w:ilvl w:val="0"/>
                <w:numId w:val="0"/>
              </w:numPr>
              <w:suppressAutoHyphens/>
              <w:bidi w:val="0"/>
              <w:snapToGrid w:val="0"/>
              <w:jc w:val="center"/>
              <w:rPr>
                <w:rFonts w:hint="eastAsia" w:ascii="宋体" w:hAnsi="宋体" w:eastAsia="宋体" w:cs="宋体"/>
                <w:color w:val="auto"/>
                <w:spacing w:val="0"/>
                <w:w w:val="100"/>
                <w:kern w:val="2"/>
                <w:sz w:val="18"/>
                <w:szCs w:val="18"/>
                <w:lang w:val="en-US" w:eastAsia="zh-CN" w:bidi="ar-SA"/>
              </w:rPr>
            </w:pPr>
            <w:r>
              <w:rPr>
                <w:rFonts w:hint="eastAsia" w:ascii="宋体" w:hAnsi="宋体" w:eastAsia="宋体" w:cs="宋体"/>
                <w:color w:val="auto"/>
                <w:spacing w:val="0"/>
                <w:w w:val="100"/>
                <w:kern w:val="2"/>
                <w:sz w:val="18"/>
                <w:szCs w:val="18"/>
                <w:lang w:val="en-US" w:eastAsia="zh-CN" w:bidi="ar-SA"/>
              </w:rPr>
              <w:t>≥</w:t>
            </w:r>
          </w:p>
        </w:tc>
        <w:tc>
          <w:tcPr>
            <w:tcW w:w="264" w:type="pct"/>
            <w:gridSpan w:val="2"/>
            <w:noWrap w:val="0"/>
            <w:vAlign w:val="center"/>
          </w:tcPr>
          <w:p>
            <w:pPr>
              <w:widowControl w:val="0"/>
              <w:numPr>
                <w:ilvl w:val="0"/>
                <w:numId w:val="0"/>
              </w:numPr>
              <w:suppressAutoHyphens/>
              <w:bidi w:val="0"/>
              <w:snapToGrid w:val="0"/>
              <w:jc w:val="center"/>
              <w:rPr>
                <w:rFonts w:hint="eastAsia" w:ascii="宋体" w:hAnsi="宋体" w:eastAsia="宋体" w:cs="宋体"/>
                <w:color w:val="auto"/>
                <w:spacing w:val="0"/>
                <w:w w:val="100"/>
                <w:kern w:val="2"/>
                <w:sz w:val="18"/>
                <w:szCs w:val="18"/>
                <w:lang w:val="en-US" w:eastAsia="zh-CN" w:bidi="ar-SA"/>
              </w:rPr>
            </w:pPr>
            <w:r>
              <w:rPr>
                <w:rFonts w:hint="eastAsia" w:ascii="宋体" w:hAnsi="宋体" w:eastAsia="宋体" w:cs="宋体"/>
                <w:color w:val="auto"/>
                <w:spacing w:val="0"/>
                <w:w w:val="100"/>
                <w:kern w:val="2"/>
                <w:sz w:val="18"/>
                <w:szCs w:val="18"/>
                <w:lang w:val="en-US" w:eastAsia="zh-CN" w:bidi="ar-SA"/>
              </w:rPr>
              <w:t>80</w:t>
            </w:r>
          </w:p>
        </w:tc>
        <w:tc>
          <w:tcPr>
            <w:tcW w:w="536" w:type="pct"/>
            <w:noWrap w:val="0"/>
            <w:vAlign w:val="center"/>
          </w:tcPr>
          <w:p>
            <w:pPr>
              <w:widowControl w:val="0"/>
              <w:numPr>
                <w:ilvl w:val="0"/>
                <w:numId w:val="0"/>
              </w:numPr>
              <w:suppressAutoHyphens/>
              <w:bidi w:val="0"/>
              <w:snapToGrid w:val="0"/>
              <w:jc w:val="center"/>
              <w:rPr>
                <w:rFonts w:hint="eastAsia" w:ascii="宋体" w:hAnsi="宋体" w:eastAsia="宋体" w:cs="宋体"/>
                <w:color w:val="auto"/>
                <w:spacing w:val="0"/>
                <w:w w:val="100"/>
                <w:kern w:val="2"/>
                <w:sz w:val="18"/>
                <w:szCs w:val="18"/>
                <w:lang w:val="en-US" w:eastAsia="zh-CN" w:bidi="ar-SA"/>
              </w:rPr>
            </w:pPr>
            <w:r>
              <w:rPr>
                <w:rFonts w:hint="eastAsia" w:ascii="宋体" w:hAnsi="宋体" w:eastAsia="宋体" w:cs="宋体"/>
                <w:color w:val="auto"/>
                <w:spacing w:val="0"/>
                <w:w w:val="100"/>
                <w:kern w:val="2"/>
                <w:sz w:val="18"/>
                <w:szCs w:val="18"/>
                <w:lang w:val="en-US" w:eastAsia="zh-CN" w:bidi="ar-SA"/>
              </w:rPr>
              <w:t>个</w:t>
            </w:r>
          </w:p>
        </w:tc>
        <w:tc>
          <w:tcPr>
            <w:tcW w:w="363" w:type="pct"/>
            <w:noWrap w:val="0"/>
            <w:vAlign w:val="center"/>
          </w:tcPr>
          <w:p>
            <w:pPr>
              <w:widowControl w:val="0"/>
              <w:numPr>
                <w:ilvl w:val="0"/>
                <w:numId w:val="0"/>
              </w:numPr>
              <w:suppressAutoHyphens/>
              <w:bidi w:val="0"/>
              <w:snapToGrid w:val="0"/>
              <w:jc w:val="center"/>
              <w:rPr>
                <w:rFonts w:hint="eastAsia" w:ascii="宋体" w:hAnsi="宋体" w:eastAsia="宋体" w:cs="宋体"/>
                <w:color w:val="auto"/>
                <w:spacing w:val="0"/>
                <w:w w:val="100"/>
                <w:kern w:val="2"/>
                <w:sz w:val="18"/>
                <w:szCs w:val="18"/>
                <w:lang w:val="en-US" w:eastAsia="zh-CN" w:bidi="ar-SA"/>
              </w:rPr>
            </w:pPr>
            <w:r>
              <w:rPr>
                <w:rFonts w:hint="eastAsia" w:ascii="宋体" w:hAnsi="宋体" w:eastAsia="宋体" w:cs="宋体"/>
                <w:color w:val="auto"/>
                <w:spacing w:val="0"/>
                <w:w w:val="100"/>
                <w:kern w:val="2"/>
                <w:sz w:val="18"/>
                <w:szCs w:val="18"/>
                <w:lang w:val="en-US" w:eastAsia="zh-CN" w:bidi="ar-SA"/>
              </w:rPr>
              <w:t>136</w:t>
            </w:r>
          </w:p>
        </w:tc>
        <w:tc>
          <w:tcPr>
            <w:tcW w:w="269" w:type="pct"/>
            <w:noWrap w:val="0"/>
            <w:vAlign w:val="center"/>
          </w:tcPr>
          <w:p>
            <w:pPr>
              <w:widowControl w:val="0"/>
              <w:numPr>
                <w:ilvl w:val="0"/>
                <w:numId w:val="0"/>
              </w:numPr>
              <w:suppressAutoHyphens/>
              <w:bidi w:val="0"/>
              <w:snapToGrid w:val="0"/>
              <w:jc w:val="center"/>
              <w:rPr>
                <w:rFonts w:hint="eastAsia" w:ascii="宋体" w:hAnsi="宋体" w:eastAsia="宋体" w:cs="宋体"/>
                <w:color w:val="auto"/>
                <w:spacing w:val="0"/>
                <w:w w:val="100"/>
                <w:kern w:val="2"/>
                <w:sz w:val="18"/>
                <w:szCs w:val="18"/>
                <w:lang w:val="en-US" w:eastAsia="zh-CN" w:bidi="ar-SA"/>
              </w:rPr>
            </w:pPr>
            <w:r>
              <w:rPr>
                <w:rFonts w:hint="eastAsia" w:ascii="宋体" w:hAnsi="宋体" w:eastAsia="宋体" w:cs="宋体"/>
                <w:color w:val="auto"/>
                <w:spacing w:val="0"/>
                <w:w w:val="100"/>
                <w:kern w:val="2"/>
                <w:sz w:val="18"/>
                <w:szCs w:val="18"/>
                <w:lang w:val="en-US" w:eastAsia="zh-CN" w:bidi="ar-SA"/>
              </w:rPr>
              <w:t>5</w:t>
            </w:r>
          </w:p>
        </w:tc>
        <w:tc>
          <w:tcPr>
            <w:tcW w:w="529" w:type="pct"/>
            <w:noWrap w:val="0"/>
            <w:vAlign w:val="center"/>
          </w:tcPr>
          <w:p>
            <w:pPr>
              <w:widowControl w:val="0"/>
              <w:numPr>
                <w:ilvl w:val="0"/>
                <w:numId w:val="0"/>
              </w:numPr>
              <w:suppressAutoHyphens/>
              <w:bidi w:val="0"/>
              <w:snapToGrid w:val="0"/>
              <w:jc w:val="center"/>
              <w:rPr>
                <w:rFonts w:hint="eastAsia" w:ascii="宋体" w:hAnsi="宋体" w:eastAsia="宋体" w:cs="宋体"/>
                <w:color w:val="auto"/>
                <w:spacing w:val="0"/>
                <w:w w:val="100"/>
                <w:kern w:val="2"/>
                <w:sz w:val="18"/>
                <w:szCs w:val="18"/>
                <w:lang w:val="en-US" w:eastAsia="zh-CN" w:bidi="ar-SA"/>
              </w:rPr>
            </w:pPr>
            <w:r>
              <w:rPr>
                <w:rFonts w:hint="eastAsia" w:ascii="宋体" w:hAnsi="宋体" w:eastAsia="宋体" w:cs="宋体"/>
                <w:color w:val="auto"/>
                <w:spacing w:val="0"/>
                <w:w w:val="100"/>
                <w:kern w:val="2"/>
                <w:sz w:val="18"/>
                <w:szCs w:val="18"/>
                <w:lang w:val="en-US" w:eastAsia="zh-CN" w:bidi="ar-SA"/>
              </w:rPr>
              <w:t>5</w:t>
            </w:r>
          </w:p>
        </w:tc>
        <w:tc>
          <w:tcPr>
            <w:tcW w:w="973" w:type="pct"/>
            <w:noWrap w:val="0"/>
            <w:vAlign w:val="center"/>
          </w:tcPr>
          <w:p>
            <w:pPr>
              <w:widowControl w:val="0"/>
              <w:numPr>
                <w:ilvl w:val="0"/>
                <w:numId w:val="0"/>
              </w:numPr>
              <w:suppressAutoHyphens/>
              <w:bidi w:val="0"/>
              <w:snapToGrid w:val="0"/>
              <w:jc w:val="center"/>
              <w:rPr>
                <w:rFonts w:hint="eastAsia" w:ascii="宋体" w:hAnsi="宋体" w:eastAsia="宋体" w:cs="宋体"/>
                <w:color w:val="auto"/>
                <w:spacing w:val="0"/>
                <w:w w:val="10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6" w:type="pct"/>
            <w:vMerge w:val="continue"/>
            <w:noWrap w:val="0"/>
            <w:vAlign w:val="center"/>
          </w:tcPr>
          <w:p>
            <w:pPr>
              <w:widowControl w:val="0"/>
              <w:numPr>
                <w:ilvl w:val="0"/>
                <w:numId w:val="0"/>
              </w:numPr>
              <w:suppressAutoHyphens/>
              <w:bidi w:val="0"/>
              <w:snapToGrid w:val="0"/>
              <w:jc w:val="center"/>
              <w:rPr>
                <w:rFonts w:hint="eastAsia" w:ascii="宋体" w:hAnsi="宋体" w:eastAsia="宋体" w:cs="宋体"/>
                <w:color w:val="auto"/>
                <w:spacing w:val="0"/>
                <w:w w:val="100"/>
                <w:kern w:val="2"/>
                <w:sz w:val="18"/>
                <w:szCs w:val="18"/>
                <w:lang w:val="en-US" w:eastAsia="zh-CN" w:bidi="ar-SA"/>
              </w:rPr>
            </w:pPr>
          </w:p>
        </w:tc>
        <w:tc>
          <w:tcPr>
            <w:tcW w:w="405" w:type="pct"/>
            <w:vMerge w:val="continue"/>
            <w:noWrap w:val="0"/>
            <w:vAlign w:val="center"/>
          </w:tcPr>
          <w:p>
            <w:pPr>
              <w:widowControl w:val="0"/>
              <w:numPr>
                <w:ilvl w:val="0"/>
                <w:numId w:val="0"/>
              </w:numPr>
              <w:suppressAutoHyphens/>
              <w:bidi w:val="0"/>
              <w:snapToGrid w:val="0"/>
              <w:jc w:val="center"/>
              <w:rPr>
                <w:rFonts w:hint="eastAsia" w:ascii="宋体" w:hAnsi="宋体" w:eastAsia="宋体" w:cs="宋体"/>
                <w:color w:val="auto"/>
                <w:spacing w:val="0"/>
                <w:w w:val="100"/>
                <w:kern w:val="2"/>
                <w:sz w:val="18"/>
                <w:szCs w:val="18"/>
                <w:lang w:val="en-US" w:eastAsia="zh-CN" w:bidi="ar-SA"/>
              </w:rPr>
            </w:pPr>
          </w:p>
        </w:tc>
        <w:tc>
          <w:tcPr>
            <w:tcW w:w="464" w:type="pct"/>
            <w:vMerge w:val="restart"/>
            <w:noWrap w:val="0"/>
            <w:vAlign w:val="center"/>
          </w:tcPr>
          <w:p>
            <w:pPr>
              <w:widowControl w:val="0"/>
              <w:numPr>
                <w:ilvl w:val="0"/>
                <w:numId w:val="0"/>
              </w:numPr>
              <w:suppressAutoHyphens/>
              <w:bidi w:val="0"/>
              <w:snapToGrid w:val="0"/>
              <w:jc w:val="center"/>
              <w:rPr>
                <w:rFonts w:hint="eastAsia" w:ascii="宋体" w:hAnsi="宋体" w:eastAsia="宋体" w:cs="宋体"/>
                <w:color w:val="auto"/>
                <w:spacing w:val="0"/>
                <w:w w:val="100"/>
                <w:kern w:val="2"/>
                <w:sz w:val="18"/>
                <w:szCs w:val="18"/>
                <w:lang w:val="en-US" w:eastAsia="zh-CN" w:bidi="ar-SA"/>
              </w:rPr>
            </w:pPr>
            <w:r>
              <w:rPr>
                <w:rFonts w:hint="eastAsia" w:ascii="宋体" w:hAnsi="宋体" w:eastAsia="宋体" w:cs="宋体"/>
                <w:color w:val="auto"/>
                <w:spacing w:val="0"/>
                <w:w w:val="100"/>
                <w:kern w:val="2"/>
                <w:sz w:val="18"/>
                <w:szCs w:val="18"/>
                <w:lang w:val="en-US" w:eastAsia="zh-CN" w:bidi="ar-SA"/>
              </w:rPr>
              <w:t>质量指标</w:t>
            </w:r>
          </w:p>
        </w:tc>
        <w:tc>
          <w:tcPr>
            <w:tcW w:w="443" w:type="pct"/>
            <w:noWrap w:val="0"/>
            <w:vAlign w:val="center"/>
          </w:tcPr>
          <w:p>
            <w:pPr>
              <w:widowControl w:val="0"/>
              <w:numPr>
                <w:ilvl w:val="0"/>
                <w:numId w:val="0"/>
              </w:numPr>
              <w:suppressAutoHyphens/>
              <w:bidi w:val="0"/>
              <w:snapToGrid w:val="0"/>
              <w:jc w:val="center"/>
              <w:rPr>
                <w:rFonts w:hint="eastAsia" w:ascii="宋体" w:hAnsi="宋体" w:eastAsia="宋体" w:cs="宋体"/>
                <w:color w:val="auto"/>
                <w:spacing w:val="0"/>
                <w:w w:val="100"/>
                <w:kern w:val="2"/>
                <w:sz w:val="18"/>
                <w:szCs w:val="18"/>
                <w:lang w:val="en-US" w:eastAsia="zh-CN" w:bidi="ar-SA"/>
              </w:rPr>
            </w:pPr>
            <w:r>
              <w:rPr>
                <w:rFonts w:hint="eastAsia" w:ascii="宋体" w:hAnsi="宋体" w:eastAsia="宋体" w:cs="宋体"/>
                <w:color w:val="auto"/>
                <w:spacing w:val="0"/>
                <w:w w:val="100"/>
                <w:kern w:val="2"/>
                <w:sz w:val="18"/>
                <w:szCs w:val="18"/>
                <w:lang w:val="en-US" w:eastAsia="zh-CN" w:bidi="ar-SA"/>
              </w:rPr>
              <w:t>客观性</w:t>
            </w:r>
          </w:p>
        </w:tc>
        <w:tc>
          <w:tcPr>
            <w:tcW w:w="364" w:type="pct"/>
            <w:noWrap w:val="0"/>
            <w:vAlign w:val="center"/>
          </w:tcPr>
          <w:p>
            <w:pPr>
              <w:widowControl w:val="0"/>
              <w:numPr>
                <w:ilvl w:val="0"/>
                <w:numId w:val="0"/>
              </w:numPr>
              <w:suppressAutoHyphens/>
              <w:bidi w:val="0"/>
              <w:snapToGrid w:val="0"/>
              <w:jc w:val="center"/>
              <w:rPr>
                <w:rFonts w:hint="eastAsia" w:ascii="宋体" w:hAnsi="宋体" w:eastAsia="宋体" w:cs="宋体"/>
                <w:color w:val="auto"/>
                <w:spacing w:val="0"/>
                <w:w w:val="100"/>
                <w:kern w:val="2"/>
                <w:sz w:val="18"/>
                <w:szCs w:val="18"/>
                <w:lang w:val="en-US" w:eastAsia="zh-CN" w:bidi="ar-SA"/>
              </w:rPr>
            </w:pPr>
            <w:r>
              <w:rPr>
                <w:rFonts w:hint="eastAsia" w:ascii="宋体" w:hAnsi="宋体" w:eastAsia="宋体" w:cs="宋体"/>
                <w:color w:val="auto"/>
                <w:spacing w:val="0"/>
                <w:w w:val="100"/>
                <w:kern w:val="2"/>
                <w:sz w:val="18"/>
                <w:szCs w:val="18"/>
                <w:lang w:val="en-US" w:eastAsia="zh-CN" w:bidi="ar-SA"/>
              </w:rPr>
              <w:t>定性</w:t>
            </w:r>
          </w:p>
        </w:tc>
        <w:tc>
          <w:tcPr>
            <w:tcW w:w="264" w:type="pct"/>
            <w:gridSpan w:val="2"/>
            <w:noWrap w:val="0"/>
            <w:vAlign w:val="center"/>
          </w:tcPr>
          <w:p>
            <w:pPr>
              <w:widowControl w:val="0"/>
              <w:numPr>
                <w:ilvl w:val="0"/>
                <w:numId w:val="0"/>
              </w:numPr>
              <w:suppressAutoHyphens/>
              <w:bidi w:val="0"/>
              <w:snapToGrid w:val="0"/>
              <w:jc w:val="center"/>
              <w:rPr>
                <w:rFonts w:hint="eastAsia" w:ascii="宋体" w:hAnsi="宋体" w:eastAsia="宋体" w:cs="宋体"/>
                <w:color w:val="auto"/>
                <w:spacing w:val="0"/>
                <w:w w:val="100"/>
                <w:kern w:val="2"/>
                <w:sz w:val="18"/>
                <w:szCs w:val="18"/>
                <w:lang w:val="en-US" w:eastAsia="zh-CN" w:bidi="ar-SA"/>
              </w:rPr>
            </w:pPr>
            <w:r>
              <w:rPr>
                <w:rFonts w:hint="eastAsia" w:ascii="宋体" w:hAnsi="宋体" w:eastAsia="宋体" w:cs="宋体"/>
                <w:color w:val="auto"/>
                <w:spacing w:val="0"/>
                <w:w w:val="100"/>
                <w:kern w:val="2"/>
                <w:sz w:val="18"/>
                <w:szCs w:val="18"/>
                <w:lang w:val="en-US" w:eastAsia="zh-CN" w:bidi="ar-SA"/>
              </w:rPr>
              <w:t>优</w:t>
            </w:r>
          </w:p>
        </w:tc>
        <w:tc>
          <w:tcPr>
            <w:tcW w:w="536" w:type="pct"/>
            <w:noWrap w:val="0"/>
            <w:vAlign w:val="center"/>
          </w:tcPr>
          <w:p>
            <w:pPr>
              <w:widowControl w:val="0"/>
              <w:numPr>
                <w:ilvl w:val="0"/>
                <w:numId w:val="0"/>
              </w:numPr>
              <w:suppressAutoHyphens/>
              <w:bidi w:val="0"/>
              <w:snapToGrid w:val="0"/>
              <w:jc w:val="center"/>
              <w:rPr>
                <w:rFonts w:hint="eastAsia" w:ascii="宋体" w:hAnsi="宋体" w:eastAsia="宋体" w:cs="宋体"/>
                <w:color w:val="auto"/>
                <w:spacing w:val="0"/>
                <w:w w:val="100"/>
                <w:kern w:val="2"/>
                <w:sz w:val="18"/>
                <w:szCs w:val="18"/>
                <w:lang w:val="en-US" w:eastAsia="zh-CN" w:bidi="ar-SA"/>
              </w:rPr>
            </w:pPr>
          </w:p>
        </w:tc>
        <w:tc>
          <w:tcPr>
            <w:tcW w:w="363" w:type="pct"/>
            <w:noWrap w:val="0"/>
            <w:vAlign w:val="center"/>
          </w:tcPr>
          <w:p>
            <w:pPr>
              <w:widowControl w:val="0"/>
              <w:numPr>
                <w:ilvl w:val="0"/>
                <w:numId w:val="0"/>
              </w:numPr>
              <w:suppressAutoHyphens/>
              <w:bidi w:val="0"/>
              <w:snapToGrid w:val="0"/>
              <w:jc w:val="center"/>
              <w:rPr>
                <w:rFonts w:hint="eastAsia" w:ascii="宋体" w:hAnsi="宋体" w:eastAsia="宋体" w:cs="宋体"/>
                <w:color w:val="auto"/>
                <w:spacing w:val="0"/>
                <w:w w:val="100"/>
                <w:kern w:val="2"/>
                <w:sz w:val="18"/>
                <w:szCs w:val="18"/>
                <w:lang w:val="en-US" w:eastAsia="zh-CN" w:bidi="ar-SA"/>
              </w:rPr>
            </w:pPr>
            <w:r>
              <w:rPr>
                <w:rFonts w:hint="eastAsia" w:ascii="宋体" w:hAnsi="宋体" w:eastAsia="宋体" w:cs="宋体"/>
                <w:color w:val="auto"/>
                <w:spacing w:val="0"/>
                <w:w w:val="100"/>
                <w:kern w:val="2"/>
                <w:sz w:val="18"/>
                <w:szCs w:val="18"/>
                <w:lang w:val="en-US" w:eastAsia="zh-CN" w:bidi="ar-SA"/>
              </w:rPr>
              <w:t>优</w:t>
            </w:r>
          </w:p>
        </w:tc>
        <w:tc>
          <w:tcPr>
            <w:tcW w:w="269" w:type="pct"/>
            <w:noWrap w:val="0"/>
            <w:vAlign w:val="center"/>
          </w:tcPr>
          <w:p>
            <w:pPr>
              <w:widowControl w:val="0"/>
              <w:numPr>
                <w:ilvl w:val="0"/>
                <w:numId w:val="0"/>
              </w:numPr>
              <w:suppressAutoHyphens/>
              <w:bidi w:val="0"/>
              <w:snapToGrid w:val="0"/>
              <w:jc w:val="center"/>
              <w:rPr>
                <w:rFonts w:hint="eastAsia" w:ascii="宋体" w:hAnsi="宋体" w:eastAsia="宋体" w:cs="宋体"/>
                <w:color w:val="auto"/>
                <w:spacing w:val="0"/>
                <w:w w:val="100"/>
                <w:kern w:val="2"/>
                <w:sz w:val="18"/>
                <w:szCs w:val="18"/>
                <w:lang w:val="en-US" w:eastAsia="zh-CN" w:bidi="ar-SA"/>
              </w:rPr>
            </w:pPr>
            <w:r>
              <w:rPr>
                <w:rFonts w:hint="eastAsia" w:ascii="宋体" w:hAnsi="宋体" w:eastAsia="宋体" w:cs="宋体"/>
                <w:color w:val="auto"/>
                <w:spacing w:val="0"/>
                <w:w w:val="100"/>
                <w:kern w:val="2"/>
                <w:sz w:val="18"/>
                <w:szCs w:val="18"/>
                <w:lang w:val="en-US" w:eastAsia="zh-CN" w:bidi="ar-SA"/>
              </w:rPr>
              <w:t>10</w:t>
            </w:r>
          </w:p>
        </w:tc>
        <w:tc>
          <w:tcPr>
            <w:tcW w:w="529" w:type="pct"/>
            <w:noWrap w:val="0"/>
            <w:vAlign w:val="center"/>
          </w:tcPr>
          <w:p>
            <w:pPr>
              <w:widowControl w:val="0"/>
              <w:numPr>
                <w:ilvl w:val="0"/>
                <w:numId w:val="0"/>
              </w:numPr>
              <w:suppressAutoHyphens/>
              <w:bidi w:val="0"/>
              <w:snapToGrid w:val="0"/>
              <w:jc w:val="center"/>
              <w:rPr>
                <w:rFonts w:hint="eastAsia" w:ascii="宋体" w:hAnsi="宋体" w:eastAsia="宋体" w:cs="宋体"/>
                <w:color w:val="auto"/>
                <w:spacing w:val="0"/>
                <w:w w:val="100"/>
                <w:kern w:val="2"/>
                <w:sz w:val="18"/>
                <w:szCs w:val="18"/>
                <w:lang w:val="en-US" w:eastAsia="zh-CN" w:bidi="ar-SA"/>
              </w:rPr>
            </w:pPr>
            <w:r>
              <w:rPr>
                <w:rFonts w:hint="eastAsia" w:ascii="宋体" w:hAnsi="宋体" w:eastAsia="宋体" w:cs="宋体"/>
                <w:color w:val="auto"/>
                <w:spacing w:val="0"/>
                <w:w w:val="100"/>
                <w:kern w:val="2"/>
                <w:sz w:val="18"/>
                <w:szCs w:val="18"/>
                <w:lang w:val="en-US" w:eastAsia="zh-CN" w:bidi="ar-SA"/>
              </w:rPr>
              <w:t>10</w:t>
            </w:r>
          </w:p>
        </w:tc>
        <w:tc>
          <w:tcPr>
            <w:tcW w:w="973" w:type="pct"/>
            <w:noWrap w:val="0"/>
            <w:vAlign w:val="center"/>
          </w:tcPr>
          <w:p>
            <w:pPr>
              <w:widowControl w:val="0"/>
              <w:numPr>
                <w:ilvl w:val="0"/>
                <w:numId w:val="0"/>
              </w:numPr>
              <w:suppressAutoHyphens/>
              <w:bidi w:val="0"/>
              <w:snapToGrid w:val="0"/>
              <w:jc w:val="center"/>
              <w:rPr>
                <w:rFonts w:hint="eastAsia" w:ascii="宋体" w:hAnsi="宋体" w:eastAsia="宋体" w:cs="宋体"/>
                <w:color w:val="auto"/>
                <w:spacing w:val="0"/>
                <w:w w:val="10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6" w:type="pct"/>
            <w:vMerge w:val="continue"/>
            <w:noWrap w:val="0"/>
            <w:vAlign w:val="center"/>
          </w:tcPr>
          <w:p>
            <w:pPr>
              <w:widowControl w:val="0"/>
              <w:numPr>
                <w:ilvl w:val="0"/>
                <w:numId w:val="0"/>
              </w:numPr>
              <w:suppressAutoHyphens/>
              <w:bidi w:val="0"/>
              <w:snapToGrid w:val="0"/>
              <w:jc w:val="center"/>
              <w:rPr>
                <w:rFonts w:hint="eastAsia" w:ascii="宋体" w:hAnsi="宋体" w:eastAsia="宋体" w:cs="宋体"/>
                <w:color w:val="auto"/>
                <w:spacing w:val="0"/>
                <w:w w:val="100"/>
                <w:kern w:val="2"/>
                <w:sz w:val="18"/>
                <w:szCs w:val="18"/>
                <w:lang w:val="en-US" w:eastAsia="zh-CN" w:bidi="ar-SA"/>
              </w:rPr>
            </w:pPr>
          </w:p>
        </w:tc>
        <w:tc>
          <w:tcPr>
            <w:tcW w:w="405" w:type="pct"/>
            <w:vMerge w:val="continue"/>
            <w:noWrap w:val="0"/>
            <w:vAlign w:val="center"/>
          </w:tcPr>
          <w:p>
            <w:pPr>
              <w:widowControl w:val="0"/>
              <w:numPr>
                <w:ilvl w:val="0"/>
                <w:numId w:val="0"/>
              </w:numPr>
              <w:suppressAutoHyphens/>
              <w:bidi w:val="0"/>
              <w:snapToGrid w:val="0"/>
              <w:jc w:val="center"/>
              <w:rPr>
                <w:rFonts w:hint="eastAsia" w:ascii="宋体" w:hAnsi="宋体" w:eastAsia="宋体" w:cs="宋体"/>
                <w:color w:val="auto"/>
                <w:spacing w:val="0"/>
                <w:w w:val="100"/>
                <w:kern w:val="2"/>
                <w:sz w:val="18"/>
                <w:szCs w:val="18"/>
                <w:lang w:val="en-US" w:eastAsia="zh-CN" w:bidi="ar-SA"/>
              </w:rPr>
            </w:pPr>
          </w:p>
        </w:tc>
        <w:tc>
          <w:tcPr>
            <w:tcW w:w="464" w:type="pct"/>
            <w:vMerge w:val="continue"/>
            <w:noWrap w:val="0"/>
            <w:vAlign w:val="center"/>
          </w:tcPr>
          <w:p>
            <w:pPr>
              <w:widowControl w:val="0"/>
              <w:numPr>
                <w:ilvl w:val="0"/>
                <w:numId w:val="0"/>
              </w:numPr>
              <w:suppressAutoHyphens/>
              <w:bidi w:val="0"/>
              <w:snapToGrid w:val="0"/>
              <w:jc w:val="center"/>
              <w:rPr>
                <w:rFonts w:hint="eastAsia" w:ascii="宋体" w:hAnsi="宋体" w:eastAsia="宋体" w:cs="宋体"/>
                <w:color w:val="auto"/>
                <w:spacing w:val="0"/>
                <w:w w:val="100"/>
                <w:kern w:val="2"/>
                <w:sz w:val="18"/>
                <w:szCs w:val="18"/>
                <w:lang w:val="en-US" w:eastAsia="zh-CN" w:bidi="ar-SA"/>
              </w:rPr>
            </w:pPr>
          </w:p>
        </w:tc>
        <w:tc>
          <w:tcPr>
            <w:tcW w:w="443" w:type="pct"/>
            <w:noWrap w:val="0"/>
            <w:vAlign w:val="center"/>
          </w:tcPr>
          <w:p>
            <w:pPr>
              <w:widowControl w:val="0"/>
              <w:numPr>
                <w:ilvl w:val="0"/>
                <w:numId w:val="0"/>
              </w:numPr>
              <w:suppressAutoHyphens/>
              <w:bidi w:val="0"/>
              <w:snapToGrid w:val="0"/>
              <w:jc w:val="center"/>
              <w:rPr>
                <w:rFonts w:hint="eastAsia" w:ascii="宋体" w:hAnsi="宋体" w:eastAsia="宋体" w:cs="宋体"/>
                <w:color w:val="auto"/>
                <w:spacing w:val="0"/>
                <w:w w:val="100"/>
                <w:kern w:val="2"/>
                <w:sz w:val="18"/>
                <w:szCs w:val="18"/>
                <w:lang w:val="en-US" w:eastAsia="zh-CN" w:bidi="ar-SA"/>
              </w:rPr>
            </w:pPr>
            <w:r>
              <w:rPr>
                <w:rFonts w:hint="eastAsia" w:ascii="宋体" w:hAnsi="宋体" w:eastAsia="宋体" w:cs="宋体"/>
                <w:color w:val="auto"/>
                <w:spacing w:val="0"/>
                <w:w w:val="100"/>
                <w:kern w:val="2"/>
                <w:sz w:val="18"/>
                <w:szCs w:val="18"/>
                <w:lang w:val="en-US" w:eastAsia="zh-CN" w:bidi="ar-SA"/>
              </w:rPr>
              <w:t>准确性</w:t>
            </w:r>
          </w:p>
        </w:tc>
        <w:tc>
          <w:tcPr>
            <w:tcW w:w="364" w:type="pct"/>
            <w:noWrap w:val="0"/>
            <w:vAlign w:val="center"/>
          </w:tcPr>
          <w:p>
            <w:pPr>
              <w:widowControl w:val="0"/>
              <w:numPr>
                <w:ilvl w:val="0"/>
                <w:numId w:val="0"/>
              </w:numPr>
              <w:suppressAutoHyphens/>
              <w:bidi w:val="0"/>
              <w:snapToGrid w:val="0"/>
              <w:jc w:val="center"/>
              <w:rPr>
                <w:rFonts w:hint="eastAsia" w:ascii="宋体" w:hAnsi="宋体" w:eastAsia="宋体" w:cs="宋体"/>
                <w:color w:val="auto"/>
                <w:spacing w:val="0"/>
                <w:w w:val="100"/>
                <w:kern w:val="2"/>
                <w:sz w:val="18"/>
                <w:szCs w:val="18"/>
                <w:lang w:val="en-US" w:eastAsia="zh-CN" w:bidi="ar-SA"/>
              </w:rPr>
            </w:pPr>
            <w:r>
              <w:rPr>
                <w:rFonts w:hint="eastAsia" w:ascii="宋体" w:hAnsi="宋体" w:eastAsia="宋体" w:cs="宋体"/>
                <w:color w:val="auto"/>
                <w:spacing w:val="0"/>
                <w:w w:val="100"/>
                <w:kern w:val="2"/>
                <w:sz w:val="18"/>
                <w:szCs w:val="18"/>
                <w:lang w:val="en-US" w:eastAsia="zh-CN" w:bidi="ar-SA"/>
              </w:rPr>
              <w:t>定性</w:t>
            </w:r>
          </w:p>
        </w:tc>
        <w:tc>
          <w:tcPr>
            <w:tcW w:w="264" w:type="pct"/>
            <w:gridSpan w:val="2"/>
            <w:noWrap w:val="0"/>
            <w:vAlign w:val="center"/>
          </w:tcPr>
          <w:p>
            <w:pPr>
              <w:widowControl w:val="0"/>
              <w:numPr>
                <w:ilvl w:val="0"/>
                <w:numId w:val="0"/>
              </w:numPr>
              <w:suppressAutoHyphens/>
              <w:bidi w:val="0"/>
              <w:snapToGrid w:val="0"/>
              <w:jc w:val="center"/>
              <w:rPr>
                <w:rFonts w:hint="eastAsia" w:ascii="宋体" w:hAnsi="宋体" w:eastAsia="宋体" w:cs="宋体"/>
                <w:color w:val="auto"/>
                <w:spacing w:val="0"/>
                <w:w w:val="100"/>
                <w:kern w:val="2"/>
                <w:sz w:val="18"/>
                <w:szCs w:val="18"/>
                <w:lang w:val="en-US" w:eastAsia="zh-CN" w:bidi="ar-SA"/>
              </w:rPr>
            </w:pPr>
            <w:r>
              <w:rPr>
                <w:rFonts w:hint="eastAsia" w:ascii="宋体" w:hAnsi="宋体" w:eastAsia="宋体" w:cs="宋体"/>
                <w:color w:val="auto"/>
                <w:spacing w:val="0"/>
                <w:w w:val="100"/>
                <w:kern w:val="2"/>
                <w:sz w:val="18"/>
                <w:szCs w:val="18"/>
                <w:lang w:val="en-US" w:eastAsia="zh-CN" w:bidi="ar-SA"/>
              </w:rPr>
              <w:t>优</w:t>
            </w:r>
          </w:p>
        </w:tc>
        <w:tc>
          <w:tcPr>
            <w:tcW w:w="536" w:type="pct"/>
            <w:noWrap w:val="0"/>
            <w:vAlign w:val="center"/>
          </w:tcPr>
          <w:p>
            <w:pPr>
              <w:widowControl w:val="0"/>
              <w:numPr>
                <w:ilvl w:val="0"/>
                <w:numId w:val="0"/>
              </w:numPr>
              <w:suppressAutoHyphens/>
              <w:bidi w:val="0"/>
              <w:snapToGrid w:val="0"/>
              <w:jc w:val="center"/>
              <w:rPr>
                <w:rFonts w:hint="eastAsia" w:ascii="宋体" w:hAnsi="宋体" w:eastAsia="宋体" w:cs="宋体"/>
                <w:color w:val="auto"/>
                <w:spacing w:val="0"/>
                <w:w w:val="100"/>
                <w:kern w:val="2"/>
                <w:sz w:val="18"/>
                <w:szCs w:val="18"/>
                <w:lang w:val="en-US" w:eastAsia="zh-CN" w:bidi="ar-SA"/>
              </w:rPr>
            </w:pPr>
          </w:p>
        </w:tc>
        <w:tc>
          <w:tcPr>
            <w:tcW w:w="363" w:type="pct"/>
            <w:noWrap w:val="0"/>
            <w:vAlign w:val="center"/>
          </w:tcPr>
          <w:p>
            <w:pPr>
              <w:widowControl w:val="0"/>
              <w:numPr>
                <w:ilvl w:val="0"/>
                <w:numId w:val="0"/>
              </w:numPr>
              <w:suppressAutoHyphens/>
              <w:bidi w:val="0"/>
              <w:snapToGrid w:val="0"/>
              <w:jc w:val="center"/>
              <w:rPr>
                <w:rFonts w:hint="eastAsia" w:ascii="宋体" w:hAnsi="宋体" w:eastAsia="宋体" w:cs="宋体"/>
                <w:color w:val="auto"/>
                <w:spacing w:val="0"/>
                <w:w w:val="100"/>
                <w:kern w:val="2"/>
                <w:sz w:val="18"/>
                <w:szCs w:val="18"/>
                <w:lang w:val="en-US" w:eastAsia="zh-CN" w:bidi="ar-SA"/>
              </w:rPr>
            </w:pPr>
            <w:r>
              <w:rPr>
                <w:rFonts w:hint="eastAsia" w:ascii="宋体" w:hAnsi="宋体" w:eastAsia="宋体" w:cs="宋体"/>
                <w:color w:val="auto"/>
                <w:spacing w:val="0"/>
                <w:w w:val="100"/>
                <w:kern w:val="2"/>
                <w:sz w:val="18"/>
                <w:szCs w:val="18"/>
                <w:lang w:val="en-US" w:eastAsia="zh-CN" w:bidi="ar-SA"/>
              </w:rPr>
              <w:t>优</w:t>
            </w:r>
          </w:p>
        </w:tc>
        <w:tc>
          <w:tcPr>
            <w:tcW w:w="269" w:type="pct"/>
            <w:noWrap w:val="0"/>
            <w:vAlign w:val="center"/>
          </w:tcPr>
          <w:p>
            <w:pPr>
              <w:widowControl w:val="0"/>
              <w:numPr>
                <w:ilvl w:val="0"/>
                <w:numId w:val="0"/>
              </w:numPr>
              <w:suppressAutoHyphens/>
              <w:bidi w:val="0"/>
              <w:snapToGrid w:val="0"/>
              <w:jc w:val="center"/>
              <w:rPr>
                <w:rFonts w:hint="eastAsia" w:ascii="宋体" w:hAnsi="宋体" w:eastAsia="宋体" w:cs="宋体"/>
                <w:color w:val="auto"/>
                <w:spacing w:val="0"/>
                <w:w w:val="100"/>
                <w:kern w:val="2"/>
                <w:sz w:val="18"/>
                <w:szCs w:val="18"/>
                <w:lang w:val="en-US" w:eastAsia="zh-CN" w:bidi="ar-SA"/>
              </w:rPr>
            </w:pPr>
            <w:r>
              <w:rPr>
                <w:rFonts w:hint="eastAsia" w:ascii="宋体" w:hAnsi="宋体" w:eastAsia="宋体" w:cs="宋体"/>
                <w:color w:val="auto"/>
                <w:spacing w:val="0"/>
                <w:w w:val="100"/>
                <w:kern w:val="2"/>
                <w:sz w:val="18"/>
                <w:szCs w:val="18"/>
                <w:lang w:val="en-US" w:eastAsia="zh-CN" w:bidi="ar-SA"/>
              </w:rPr>
              <w:t>10</w:t>
            </w:r>
          </w:p>
        </w:tc>
        <w:tc>
          <w:tcPr>
            <w:tcW w:w="529" w:type="pct"/>
            <w:noWrap w:val="0"/>
            <w:vAlign w:val="center"/>
          </w:tcPr>
          <w:p>
            <w:pPr>
              <w:widowControl w:val="0"/>
              <w:numPr>
                <w:ilvl w:val="0"/>
                <w:numId w:val="0"/>
              </w:numPr>
              <w:suppressAutoHyphens/>
              <w:bidi w:val="0"/>
              <w:snapToGrid w:val="0"/>
              <w:jc w:val="center"/>
              <w:rPr>
                <w:rFonts w:hint="eastAsia" w:ascii="宋体" w:hAnsi="宋体" w:eastAsia="宋体" w:cs="宋体"/>
                <w:color w:val="auto"/>
                <w:spacing w:val="0"/>
                <w:w w:val="100"/>
                <w:kern w:val="2"/>
                <w:sz w:val="18"/>
                <w:szCs w:val="18"/>
                <w:lang w:val="en-US" w:eastAsia="zh-CN" w:bidi="ar-SA"/>
              </w:rPr>
            </w:pPr>
            <w:r>
              <w:rPr>
                <w:rFonts w:hint="eastAsia" w:ascii="宋体" w:hAnsi="宋体" w:eastAsia="宋体" w:cs="宋体"/>
                <w:color w:val="auto"/>
                <w:spacing w:val="0"/>
                <w:w w:val="100"/>
                <w:kern w:val="2"/>
                <w:sz w:val="18"/>
                <w:szCs w:val="18"/>
                <w:lang w:val="en-US" w:eastAsia="zh-CN" w:bidi="ar-SA"/>
              </w:rPr>
              <w:t>10</w:t>
            </w:r>
          </w:p>
        </w:tc>
        <w:tc>
          <w:tcPr>
            <w:tcW w:w="973" w:type="pct"/>
            <w:noWrap w:val="0"/>
            <w:vAlign w:val="center"/>
          </w:tcPr>
          <w:p>
            <w:pPr>
              <w:widowControl w:val="0"/>
              <w:numPr>
                <w:ilvl w:val="0"/>
                <w:numId w:val="0"/>
              </w:numPr>
              <w:suppressAutoHyphens/>
              <w:bidi w:val="0"/>
              <w:snapToGrid w:val="0"/>
              <w:jc w:val="center"/>
              <w:rPr>
                <w:rFonts w:hint="eastAsia" w:ascii="宋体" w:hAnsi="宋体" w:eastAsia="宋体" w:cs="宋体"/>
                <w:color w:val="auto"/>
                <w:spacing w:val="0"/>
                <w:w w:val="10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6" w:type="pct"/>
            <w:vMerge w:val="continue"/>
            <w:noWrap w:val="0"/>
            <w:vAlign w:val="center"/>
          </w:tcPr>
          <w:p>
            <w:pPr>
              <w:widowControl w:val="0"/>
              <w:numPr>
                <w:ilvl w:val="0"/>
                <w:numId w:val="0"/>
              </w:numPr>
              <w:suppressAutoHyphens/>
              <w:bidi w:val="0"/>
              <w:snapToGrid w:val="0"/>
              <w:jc w:val="center"/>
              <w:rPr>
                <w:rFonts w:hint="eastAsia" w:ascii="宋体" w:hAnsi="宋体" w:eastAsia="宋体" w:cs="宋体"/>
                <w:color w:val="auto"/>
                <w:spacing w:val="0"/>
                <w:w w:val="100"/>
                <w:kern w:val="2"/>
                <w:sz w:val="18"/>
                <w:szCs w:val="18"/>
                <w:lang w:val="en-US" w:eastAsia="zh-CN" w:bidi="ar-SA"/>
              </w:rPr>
            </w:pPr>
          </w:p>
        </w:tc>
        <w:tc>
          <w:tcPr>
            <w:tcW w:w="405" w:type="pct"/>
            <w:vMerge w:val="restart"/>
            <w:noWrap w:val="0"/>
            <w:vAlign w:val="center"/>
          </w:tcPr>
          <w:p>
            <w:pPr>
              <w:widowControl w:val="0"/>
              <w:numPr>
                <w:ilvl w:val="0"/>
                <w:numId w:val="0"/>
              </w:numPr>
              <w:suppressAutoHyphens/>
              <w:bidi w:val="0"/>
              <w:snapToGrid w:val="0"/>
              <w:jc w:val="center"/>
              <w:rPr>
                <w:rFonts w:hint="eastAsia" w:ascii="宋体" w:hAnsi="宋体" w:eastAsia="宋体" w:cs="宋体"/>
                <w:color w:val="auto"/>
                <w:spacing w:val="0"/>
                <w:w w:val="100"/>
                <w:kern w:val="2"/>
                <w:sz w:val="18"/>
                <w:szCs w:val="18"/>
                <w:lang w:val="en-US" w:eastAsia="zh-CN" w:bidi="ar-SA"/>
              </w:rPr>
            </w:pPr>
            <w:r>
              <w:rPr>
                <w:rFonts w:hint="eastAsia" w:ascii="宋体" w:hAnsi="宋体" w:eastAsia="宋体" w:cs="宋体"/>
                <w:color w:val="auto"/>
                <w:spacing w:val="0"/>
                <w:w w:val="100"/>
                <w:kern w:val="2"/>
                <w:sz w:val="18"/>
                <w:szCs w:val="18"/>
                <w:lang w:val="en-US" w:eastAsia="zh-CN" w:bidi="ar-SA"/>
              </w:rPr>
              <w:t>效益指标</w:t>
            </w:r>
          </w:p>
        </w:tc>
        <w:tc>
          <w:tcPr>
            <w:tcW w:w="464" w:type="pct"/>
            <w:noWrap w:val="0"/>
            <w:vAlign w:val="center"/>
          </w:tcPr>
          <w:p>
            <w:pPr>
              <w:widowControl w:val="0"/>
              <w:numPr>
                <w:ilvl w:val="0"/>
                <w:numId w:val="0"/>
              </w:numPr>
              <w:suppressAutoHyphens/>
              <w:bidi w:val="0"/>
              <w:snapToGrid w:val="0"/>
              <w:jc w:val="center"/>
              <w:rPr>
                <w:rFonts w:hint="eastAsia" w:ascii="宋体" w:hAnsi="宋体" w:eastAsia="宋体" w:cs="宋体"/>
                <w:color w:val="auto"/>
                <w:spacing w:val="0"/>
                <w:w w:val="100"/>
                <w:kern w:val="2"/>
                <w:sz w:val="18"/>
                <w:szCs w:val="18"/>
                <w:lang w:val="en-US" w:eastAsia="zh-CN" w:bidi="ar-SA"/>
              </w:rPr>
            </w:pPr>
            <w:r>
              <w:rPr>
                <w:rFonts w:hint="eastAsia" w:ascii="宋体" w:hAnsi="宋体" w:eastAsia="宋体" w:cs="宋体"/>
                <w:color w:val="auto"/>
                <w:spacing w:val="0"/>
                <w:w w:val="100"/>
                <w:kern w:val="2"/>
                <w:sz w:val="18"/>
                <w:szCs w:val="18"/>
                <w:lang w:val="en-US" w:eastAsia="zh-CN" w:bidi="ar-SA"/>
              </w:rPr>
              <w:t>经济效益指标</w:t>
            </w:r>
          </w:p>
        </w:tc>
        <w:tc>
          <w:tcPr>
            <w:tcW w:w="443" w:type="pct"/>
            <w:noWrap w:val="0"/>
            <w:vAlign w:val="center"/>
          </w:tcPr>
          <w:p>
            <w:pPr>
              <w:widowControl w:val="0"/>
              <w:numPr>
                <w:ilvl w:val="0"/>
                <w:numId w:val="0"/>
              </w:numPr>
              <w:suppressAutoHyphens/>
              <w:bidi w:val="0"/>
              <w:snapToGrid w:val="0"/>
              <w:jc w:val="center"/>
              <w:rPr>
                <w:rFonts w:hint="eastAsia" w:ascii="宋体" w:hAnsi="宋体" w:eastAsia="宋体" w:cs="宋体"/>
                <w:color w:val="auto"/>
                <w:spacing w:val="0"/>
                <w:w w:val="100"/>
                <w:kern w:val="2"/>
                <w:sz w:val="18"/>
                <w:szCs w:val="18"/>
                <w:lang w:val="en-US" w:eastAsia="zh-CN" w:bidi="ar-SA"/>
              </w:rPr>
            </w:pPr>
            <w:r>
              <w:rPr>
                <w:rFonts w:hint="eastAsia" w:ascii="宋体" w:hAnsi="宋体" w:eastAsia="宋体" w:cs="宋体"/>
                <w:color w:val="auto"/>
                <w:spacing w:val="0"/>
                <w:w w:val="100"/>
                <w:kern w:val="2"/>
                <w:sz w:val="18"/>
                <w:szCs w:val="18"/>
                <w:lang w:val="en-US" w:eastAsia="zh-CN" w:bidi="ar-SA"/>
              </w:rPr>
              <w:t>审减率</w:t>
            </w:r>
          </w:p>
        </w:tc>
        <w:tc>
          <w:tcPr>
            <w:tcW w:w="364" w:type="pct"/>
            <w:noWrap w:val="0"/>
            <w:vAlign w:val="center"/>
          </w:tcPr>
          <w:p>
            <w:pPr>
              <w:widowControl w:val="0"/>
              <w:numPr>
                <w:ilvl w:val="0"/>
                <w:numId w:val="0"/>
              </w:numPr>
              <w:suppressAutoHyphens/>
              <w:bidi w:val="0"/>
              <w:snapToGrid w:val="0"/>
              <w:jc w:val="center"/>
              <w:rPr>
                <w:rFonts w:hint="eastAsia" w:ascii="宋体" w:hAnsi="宋体" w:eastAsia="宋体" w:cs="宋体"/>
                <w:color w:val="auto"/>
                <w:spacing w:val="0"/>
                <w:w w:val="100"/>
                <w:kern w:val="2"/>
                <w:sz w:val="18"/>
                <w:szCs w:val="18"/>
                <w:lang w:val="en-US" w:eastAsia="zh-CN" w:bidi="ar-SA"/>
              </w:rPr>
            </w:pPr>
            <w:r>
              <w:rPr>
                <w:rFonts w:hint="eastAsia" w:ascii="宋体" w:hAnsi="宋体" w:eastAsia="宋体" w:cs="宋体"/>
                <w:color w:val="auto"/>
                <w:spacing w:val="0"/>
                <w:w w:val="100"/>
                <w:kern w:val="2"/>
                <w:sz w:val="18"/>
                <w:szCs w:val="18"/>
                <w:lang w:val="en-US" w:eastAsia="zh-CN" w:bidi="ar-SA"/>
              </w:rPr>
              <w:t>≥</w:t>
            </w:r>
          </w:p>
        </w:tc>
        <w:tc>
          <w:tcPr>
            <w:tcW w:w="264" w:type="pct"/>
            <w:gridSpan w:val="2"/>
            <w:noWrap w:val="0"/>
            <w:vAlign w:val="center"/>
          </w:tcPr>
          <w:p>
            <w:pPr>
              <w:widowControl w:val="0"/>
              <w:numPr>
                <w:ilvl w:val="0"/>
                <w:numId w:val="0"/>
              </w:numPr>
              <w:suppressAutoHyphens/>
              <w:bidi w:val="0"/>
              <w:snapToGrid w:val="0"/>
              <w:jc w:val="center"/>
              <w:rPr>
                <w:rFonts w:hint="eastAsia" w:ascii="宋体" w:hAnsi="宋体" w:eastAsia="宋体" w:cs="宋体"/>
                <w:color w:val="auto"/>
                <w:spacing w:val="0"/>
                <w:w w:val="100"/>
                <w:kern w:val="2"/>
                <w:sz w:val="18"/>
                <w:szCs w:val="18"/>
                <w:lang w:val="en-US" w:eastAsia="zh-CN" w:bidi="ar-SA"/>
              </w:rPr>
            </w:pPr>
            <w:r>
              <w:rPr>
                <w:rFonts w:hint="eastAsia" w:ascii="宋体" w:hAnsi="宋体" w:eastAsia="宋体" w:cs="宋体"/>
                <w:color w:val="auto"/>
                <w:spacing w:val="0"/>
                <w:w w:val="100"/>
                <w:kern w:val="2"/>
                <w:sz w:val="18"/>
                <w:szCs w:val="18"/>
                <w:lang w:val="en-US" w:eastAsia="zh-CN" w:bidi="ar-SA"/>
              </w:rPr>
              <w:t>1.8</w:t>
            </w:r>
          </w:p>
        </w:tc>
        <w:tc>
          <w:tcPr>
            <w:tcW w:w="536" w:type="pct"/>
            <w:noWrap w:val="0"/>
            <w:vAlign w:val="center"/>
          </w:tcPr>
          <w:p>
            <w:pPr>
              <w:widowControl w:val="0"/>
              <w:numPr>
                <w:ilvl w:val="0"/>
                <w:numId w:val="0"/>
              </w:numPr>
              <w:suppressAutoHyphens/>
              <w:bidi w:val="0"/>
              <w:snapToGrid w:val="0"/>
              <w:jc w:val="center"/>
              <w:rPr>
                <w:rFonts w:hint="eastAsia" w:ascii="宋体" w:hAnsi="宋体" w:eastAsia="宋体" w:cs="宋体"/>
                <w:color w:val="auto"/>
                <w:spacing w:val="0"/>
                <w:w w:val="100"/>
                <w:kern w:val="2"/>
                <w:sz w:val="18"/>
                <w:szCs w:val="18"/>
                <w:lang w:val="en-US" w:eastAsia="zh-CN" w:bidi="ar-SA"/>
              </w:rPr>
            </w:pPr>
            <w:r>
              <w:rPr>
                <w:rFonts w:hint="eastAsia" w:ascii="宋体" w:hAnsi="宋体" w:eastAsia="宋体" w:cs="宋体"/>
                <w:color w:val="auto"/>
                <w:spacing w:val="0"/>
                <w:w w:val="100"/>
                <w:kern w:val="2"/>
                <w:sz w:val="18"/>
                <w:szCs w:val="18"/>
                <w:lang w:val="en-US" w:eastAsia="zh-CN" w:bidi="ar-SA"/>
              </w:rPr>
              <w:t>%</w:t>
            </w:r>
          </w:p>
        </w:tc>
        <w:tc>
          <w:tcPr>
            <w:tcW w:w="363" w:type="pct"/>
            <w:noWrap w:val="0"/>
            <w:vAlign w:val="center"/>
          </w:tcPr>
          <w:p>
            <w:pPr>
              <w:widowControl w:val="0"/>
              <w:numPr>
                <w:ilvl w:val="0"/>
                <w:numId w:val="0"/>
              </w:numPr>
              <w:suppressAutoHyphens/>
              <w:bidi w:val="0"/>
              <w:snapToGrid w:val="0"/>
              <w:jc w:val="center"/>
              <w:rPr>
                <w:rFonts w:hint="eastAsia" w:ascii="宋体" w:hAnsi="宋体" w:eastAsia="宋体" w:cs="宋体"/>
                <w:color w:val="auto"/>
                <w:spacing w:val="0"/>
                <w:w w:val="100"/>
                <w:kern w:val="2"/>
                <w:sz w:val="18"/>
                <w:szCs w:val="18"/>
                <w:lang w:val="en-US" w:eastAsia="zh-CN" w:bidi="ar-SA"/>
              </w:rPr>
            </w:pPr>
            <w:r>
              <w:rPr>
                <w:rFonts w:hint="eastAsia" w:ascii="宋体" w:hAnsi="宋体" w:eastAsia="宋体" w:cs="宋体"/>
                <w:color w:val="auto"/>
                <w:spacing w:val="0"/>
                <w:w w:val="100"/>
                <w:kern w:val="2"/>
                <w:sz w:val="18"/>
                <w:szCs w:val="18"/>
                <w:lang w:val="en-US" w:eastAsia="zh-CN" w:bidi="ar-SA"/>
              </w:rPr>
              <w:t>17.63</w:t>
            </w:r>
          </w:p>
        </w:tc>
        <w:tc>
          <w:tcPr>
            <w:tcW w:w="269" w:type="pct"/>
            <w:noWrap w:val="0"/>
            <w:vAlign w:val="center"/>
          </w:tcPr>
          <w:p>
            <w:pPr>
              <w:widowControl w:val="0"/>
              <w:numPr>
                <w:ilvl w:val="0"/>
                <w:numId w:val="0"/>
              </w:numPr>
              <w:suppressAutoHyphens/>
              <w:bidi w:val="0"/>
              <w:snapToGrid w:val="0"/>
              <w:jc w:val="center"/>
              <w:rPr>
                <w:rFonts w:hint="eastAsia" w:ascii="宋体" w:hAnsi="宋体" w:eastAsia="宋体" w:cs="宋体"/>
                <w:color w:val="auto"/>
                <w:spacing w:val="0"/>
                <w:w w:val="100"/>
                <w:kern w:val="2"/>
                <w:sz w:val="18"/>
                <w:szCs w:val="18"/>
                <w:lang w:val="en-US" w:eastAsia="zh-CN" w:bidi="ar-SA"/>
              </w:rPr>
            </w:pPr>
            <w:r>
              <w:rPr>
                <w:rFonts w:hint="eastAsia" w:ascii="宋体" w:hAnsi="宋体" w:eastAsia="宋体" w:cs="宋体"/>
                <w:color w:val="auto"/>
                <w:spacing w:val="0"/>
                <w:w w:val="100"/>
                <w:kern w:val="2"/>
                <w:sz w:val="18"/>
                <w:szCs w:val="18"/>
                <w:lang w:val="en-US" w:eastAsia="zh-CN" w:bidi="ar-SA"/>
              </w:rPr>
              <w:t>15</w:t>
            </w:r>
          </w:p>
        </w:tc>
        <w:tc>
          <w:tcPr>
            <w:tcW w:w="529" w:type="pct"/>
            <w:noWrap w:val="0"/>
            <w:vAlign w:val="center"/>
          </w:tcPr>
          <w:p>
            <w:pPr>
              <w:widowControl w:val="0"/>
              <w:numPr>
                <w:ilvl w:val="0"/>
                <w:numId w:val="0"/>
              </w:numPr>
              <w:suppressAutoHyphens/>
              <w:bidi w:val="0"/>
              <w:snapToGrid w:val="0"/>
              <w:jc w:val="center"/>
              <w:rPr>
                <w:rFonts w:hint="eastAsia" w:ascii="宋体" w:hAnsi="宋体" w:eastAsia="宋体" w:cs="宋体"/>
                <w:color w:val="auto"/>
                <w:spacing w:val="0"/>
                <w:w w:val="100"/>
                <w:kern w:val="2"/>
                <w:sz w:val="18"/>
                <w:szCs w:val="18"/>
                <w:lang w:val="en-US" w:eastAsia="zh-CN" w:bidi="ar-SA"/>
              </w:rPr>
            </w:pPr>
            <w:r>
              <w:rPr>
                <w:rFonts w:hint="eastAsia" w:ascii="宋体" w:hAnsi="宋体" w:eastAsia="宋体" w:cs="宋体"/>
                <w:color w:val="auto"/>
                <w:spacing w:val="0"/>
                <w:w w:val="100"/>
                <w:kern w:val="2"/>
                <w:sz w:val="18"/>
                <w:szCs w:val="18"/>
                <w:lang w:val="en-US" w:eastAsia="zh-CN" w:bidi="ar-SA"/>
              </w:rPr>
              <w:t>15</w:t>
            </w:r>
          </w:p>
        </w:tc>
        <w:tc>
          <w:tcPr>
            <w:tcW w:w="973" w:type="pct"/>
            <w:noWrap w:val="0"/>
            <w:vAlign w:val="center"/>
          </w:tcPr>
          <w:p>
            <w:pPr>
              <w:widowControl w:val="0"/>
              <w:numPr>
                <w:ilvl w:val="0"/>
                <w:numId w:val="0"/>
              </w:numPr>
              <w:suppressAutoHyphens/>
              <w:bidi w:val="0"/>
              <w:snapToGrid w:val="0"/>
              <w:jc w:val="center"/>
              <w:rPr>
                <w:rFonts w:hint="eastAsia" w:ascii="宋体" w:hAnsi="宋体" w:eastAsia="宋体" w:cs="宋体"/>
                <w:color w:val="auto"/>
                <w:spacing w:val="0"/>
                <w:w w:val="10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6" w:type="pct"/>
            <w:vMerge w:val="continue"/>
            <w:noWrap w:val="0"/>
            <w:vAlign w:val="center"/>
          </w:tcPr>
          <w:p>
            <w:pPr>
              <w:widowControl w:val="0"/>
              <w:numPr>
                <w:ilvl w:val="0"/>
                <w:numId w:val="0"/>
              </w:numPr>
              <w:suppressAutoHyphens/>
              <w:bidi w:val="0"/>
              <w:snapToGrid w:val="0"/>
              <w:jc w:val="center"/>
              <w:rPr>
                <w:rFonts w:hint="eastAsia" w:ascii="宋体" w:hAnsi="宋体" w:eastAsia="宋体" w:cs="宋体"/>
                <w:color w:val="auto"/>
                <w:spacing w:val="0"/>
                <w:w w:val="100"/>
                <w:kern w:val="2"/>
                <w:sz w:val="18"/>
                <w:szCs w:val="18"/>
                <w:lang w:val="en-US" w:eastAsia="zh-CN" w:bidi="ar-SA"/>
              </w:rPr>
            </w:pPr>
          </w:p>
        </w:tc>
        <w:tc>
          <w:tcPr>
            <w:tcW w:w="405" w:type="pct"/>
            <w:vMerge w:val="continue"/>
            <w:noWrap w:val="0"/>
            <w:vAlign w:val="center"/>
          </w:tcPr>
          <w:p>
            <w:pPr>
              <w:widowControl w:val="0"/>
              <w:numPr>
                <w:ilvl w:val="0"/>
                <w:numId w:val="0"/>
              </w:numPr>
              <w:suppressAutoHyphens/>
              <w:bidi w:val="0"/>
              <w:snapToGrid w:val="0"/>
              <w:jc w:val="center"/>
              <w:rPr>
                <w:rFonts w:hint="eastAsia" w:ascii="宋体" w:hAnsi="宋体" w:eastAsia="宋体" w:cs="宋体"/>
                <w:color w:val="auto"/>
                <w:spacing w:val="0"/>
                <w:w w:val="100"/>
                <w:kern w:val="2"/>
                <w:sz w:val="18"/>
                <w:szCs w:val="18"/>
                <w:lang w:val="en-US" w:eastAsia="zh-CN" w:bidi="ar-SA"/>
              </w:rPr>
            </w:pPr>
          </w:p>
        </w:tc>
        <w:tc>
          <w:tcPr>
            <w:tcW w:w="464" w:type="pct"/>
            <w:noWrap w:val="0"/>
            <w:vAlign w:val="center"/>
          </w:tcPr>
          <w:p>
            <w:pPr>
              <w:widowControl w:val="0"/>
              <w:numPr>
                <w:ilvl w:val="0"/>
                <w:numId w:val="0"/>
              </w:numPr>
              <w:suppressAutoHyphens/>
              <w:bidi w:val="0"/>
              <w:snapToGrid w:val="0"/>
              <w:jc w:val="center"/>
              <w:rPr>
                <w:rFonts w:hint="eastAsia" w:ascii="宋体" w:hAnsi="宋体" w:eastAsia="宋体" w:cs="宋体"/>
                <w:color w:val="auto"/>
                <w:spacing w:val="0"/>
                <w:w w:val="100"/>
                <w:kern w:val="2"/>
                <w:sz w:val="18"/>
                <w:szCs w:val="18"/>
                <w:lang w:val="en-US" w:eastAsia="zh-CN" w:bidi="ar-SA"/>
              </w:rPr>
            </w:pPr>
            <w:r>
              <w:rPr>
                <w:rFonts w:hint="eastAsia" w:ascii="宋体" w:hAnsi="宋体" w:eastAsia="宋体" w:cs="宋体"/>
                <w:color w:val="auto"/>
                <w:spacing w:val="0"/>
                <w:w w:val="100"/>
                <w:kern w:val="2"/>
                <w:sz w:val="18"/>
                <w:szCs w:val="18"/>
                <w:lang w:val="en-US" w:eastAsia="zh-CN" w:bidi="ar-SA"/>
              </w:rPr>
              <w:t>社会效益指标</w:t>
            </w:r>
          </w:p>
        </w:tc>
        <w:tc>
          <w:tcPr>
            <w:tcW w:w="443" w:type="pct"/>
            <w:noWrap w:val="0"/>
            <w:vAlign w:val="center"/>
          </w:tcPr>
          <w:p>
            <w:pPr>
              <w:widowControl w:val="0"/>
              <w:numPr>
                <w:ilvl w:val="0"/>
                <w:numId w:val="0"/>
              </w:numPr>
              <w:suppressAutoHyphens/>
              <w:bidi w:val="0"/>
              <w:snapToGrid w:val="0"/>
              <w:jc w:val="center"/>
              <w:rPr>
                <w:rFonts w:hint="eastAsia" w:ascii="宋体" w:hAnsi="宋体" w:eastAsia="宋体" w:cs="宋体"/>
                <w:color w:val="auto"/>
                <w:spacing w:val="0"/>
                <w:w w:val="100"/>
                <w:kern w:val="2"/>
                <w:sz w:val="18"/>
                <w:szCs w:val="18"/>
                <w:lang w:val="en-US" w:eastAsia="zh-CN" w:bidi="ar-SA"/>
              </w:rPr>
            </w:pPr>
            <w:r>
              <w:rPr>
                <w:rFonts w:hint="eastAsia" w:ascii="宋体" w:hAnsi="宋体" w:eastAsia="宋体" w:cs="宋体"/>
                <w:color w:val="auto"/>
                <w:spacing w:val="0"/>
                <w:w w:val="100"/>
                <w:kern w:val="2"/>
                <w:sz w:val="18"/>
                <w:szCs w:val="18"/>
                <w:lang w:val="en-US" w:eastAsia="zh-CN" w:bidi="ar-SA"/>
              </w:rPr>
              <w:t>及时完成项目评审</w:t>
            </w:r>
          </w:p>
        </w:tc>
        <w:tc>
          <w:tcPr>
            <w:tcW w:w="364" w:type="pct"/>
            <w:noWrap w:val="0"/>
            <w:vAlign w:val="center"/>
          </w:tcPr>
          <w:p>
            <w:pPr>
              <w:widowControl w:val="0"/>
              <w:numPr>
                <w:ilvl w:val="0"/>
                <w:numId w:val="0"/>
              </w:numPr>
              <w:suppressAutoHyphens/>
              <w:bidi w:val="0"/>
              <w:snapToGrid w:val="0"/>
              <w:jc w:val="center"/>
              <w:rPr>
                <w:rFonts w:hint="eastAsia" w:ascii="宋体" w:hAnsi="宋体" w:eastAsia="宋体" w:cs="宋体"/>
                <w:color w:val="auto"/>
                <w:spacing w:val="0"/>
                <w:w w:val="100"/>
                <w:kern w:val="2"/>
                <w:sz w:val="18"/>
                <w:szCs w:val="18"/>
                <w:lang w:val="en-US" w:eastAsia="zh-CN" w:bidi="ar-SA"/>
              </w:rPr>
            </w:pPr>
            <w:r>
              <w:rPr>
                <w:rFonts w:hint="eastAsia" w:ascii="宋体" w:hAnsi="宋体" w:eastAsia="宋体" w:cs="宋体"/>
                <w:color w:val="auto"/>
                <w:spacing w:val="0"/>
                <w:w w:val="100"/>
                <w:kern w:val="2"/>
                <w:sz w:val="18"/>
                <w:szCs w:val="18"/>
                <w:lang w:val="en-US" w:eastAsia="zh-CN" w:bidi="ar-SA"/>
              </w:rPr>
              <w:t>定性</w:t>
            </w:r>
          </w:p>
        </w:tc>
        <w:tc>
          <w:tcPr>
            <w:tcW w:w="264" w:type="pct"/>
            <w:gridSpan w:val="2"/>
            <w:noWrap w:val="0"/>
            <w:vAlign w:val="center"/>
          </w:tcPr>
          <w:p>
            <w:pPr>
              <w:widowControl w:val="0"/>
              <w:numPr>
                <w:ilvl w:val="0"/>
                <w:numId w:val="0"/>
              </w:numPr>
              <w:suppressAutoHyphens/>
              <w:bidi w:val="0"/>
              <w:snapToGrid w:val="0"/>
              <w:jc w:val="center"/>
              <w:rPr>
                <w:rFonts w:hint="eastAsia" w:ascii="宋体" w:hAnsi="宋体" w:eastAsia="宋体" w:cs="宋体"/>
                <w:color w:val="auto"/>
                <w:spacing w:val="0"/>
                <w:w w:val="100"/>
                <w:kern w:val="2"/>
                <w:sz w:val="18"/>
                <w:szCs w:val="18"/>
                <w:lang w:val="en-US" w:eastAsia="zh-CN" w:bidi="ar-SA"/>
              </w:rPr>
            </w:pPr>
            <w:r>
              <w:rPr>
                <w:rFonts w:hint="eastAsia" w:ascii="宋体" w:hAnsi="宋体" w:eastAsia="宋体" w:cs="宋体"/>
                <w:color w:val="auto"/>
                <w:spacing w:val="0"/>
                <w:w w:val="100"/>
                <w:kern w:val="2"/>
                <w:sz w:val="18"/>
                <w:szCs w:val="18"/>
                <w:lang w:val="en-US" w:eastAsia="zh-CN" w:bidi="ar-SA"/>
              </w:rPr>
              <w:t>好</w:t>
            </w:r>
          </w:p>
        </w:tc>
        <w:tc>
          <w:tcPr>
            <w:tcW w:w="536" w:type="pct"/>
            <w:noWrap w:val="0"/>
            <w:vAlign w:val="center"/>
          </w:tcPr>
          <w:p>
            <w:pPr>
              <w:widowControl w:val="0"/>
              <w:numPr>
                <w:ilvl w:val="0"/>
                <w:numId w:val="0"/>
              </w:numPr>
              <w:suppressAutoHyphens/>
              <w:bidi w:val="0"/>
              <w:snapToGrid w:val="0"/>
              <w:jc w:val="center"/>
              <w:rPr>
                <w:rFonts w:hint="eastAsia" w:ascii="宋体" w:hAnsi="宋体" w:eastAsia="宋体" w:cs="宋体"/>
                <w:color w:val="auto"/>
                <w:spacing w:val="0"/>
                <w:w w:val="100"/>
                <w:kern w:val="2"/>
                <w:sz w:val="18"/>
                <w:szCs w:val="18"/>
                <w:lang w:val="en-US" w:eastAsia="zh-CN" w:bidi="ar-SA"/>
              </w:rPr>
            </w:pPr>
          </w:p>
        </w:tc>
        <w:tc>
          <w:tcPr>
            <w:tcW w:w="363" w:type="pct"/>
            <w:noWrap w:val="0"/>
            <w:vAlign w:val="center"/>
          </w:tcPr>
          <w:p>
            <w:pPr>
              <w:widowControl w:val="0"/>
              <w:numPr>
                <w:ilvl w:val="0"/>
                <w:numId w:val="0"/>
              </w:numPr>
              <w:suppressAutoHyphens/>
              <w:bidi w:val="0"/>
              <w:snapToGrid w:val="0"/>
              <w:jc w:val="center"/>
              <w:rPr>
                <w:rFonts w:hint="eastAsia" w:ascii="宋体" w:hAnsi="宋体" w:eastAsia="宋体" w:cs="宋体"/>
                <w:color w:val="auto"/>
                <w:spacing w:val="0"/>
                <w:w w:val="100"/>
                <w:kern w:val="2"/>
                <w:sz w:val="18"/>
                <w:szCs w:val="18"/>
                <w:lang w:val="en-US" w:eastAsia="zh-CN" w:bidi="ar-SA"/>
              </w:rPr>
            </w:pPr>
            <w:r>
              <w:rPr>
                <w:rFonts w:hint="eastAsia" w:ascii="宋体" w:hAnsi="宋体" w:eastAsia="宋体" w:cs="宋体"/>
                <w:color w:val="auto"/>
                <w:spacing w:val="0"/>
                <w:w w:val="100"/>
                <w:kern w:val="2"/>
                <w:sz w:val="18"/>
                <w:szCs w:val="18"/>
                <w:lang w:val="en-US" w:eastAsia="zh-CN" w:bidi="ar-SA"/>
              </w:rPr>
              <w:t>好</w:t>
            </w:r>
          </w:p>
        </w:tc>
        <w:tc>
          <w:tcPr>
            <w:tcW w:w="269" w:type="pct"/>
            <w:noWrap w:val="0"/>
            <w:vAlign w:val="center"/>
          </w:tcPr>
          <w:p>
            <w:pPr>
              <w:widowControl w:val="0"/>
              <w:numPr>
                <w:ilvl w:val="0"/>
                <w:numId w:val="0"/>
              </w:numPr>
              <w:suppressAutoHyphens/>
              <w:bidi w:val="0"/>
              <w:snapToGrid w:val="0"/>
              <w:jc w:val="center"/>
              <w:rPr>
                <w:rFonts w:hint="eastAsia" w:ascii="宋体" w:hAnsi="宋体" w:eastAsia="宋体" w:cs="宋体"/>
                <w:color w:val="auto"/>
                <w:spacing w:val="0"/>
                <w:w w:val="100"/>
                <w:kern w:val="2"/>
                <w:sz w:val="18"/>
                <w:szCs w:val="18"/>
                <w:lang w:val="en-US" w:eastAsia="zh-CN" w:bidi="ar-SA"/>
              </w:rPr>
            </w:pPr>
            <w:r>
              <w:rPr>
                <w:rFonts w:hint="eastAsia" w:ascii="宋体" w:hAnsi="宋体" w:eastAsia="宋体" w:cs="宋体"/>
                <w:color w:val="auto"/>
                <w:spacing w:val="0"/>
                <w:w w:val="100"/>
                <w:kern w:val="2"/>
                <w:sz w:val="18"/>
                <w:szCs w:val="18"/>
                <w:lang w:val="en-US" w:eastAsia="zh-CN" w:bidi="ar-SA"/>
              </w:rPr>
              <w:t>15</w:t>
            </w:r>
          </w:p>
        </w:tc>
        <w:tc>
          <w:tcPr>
            <w:tcW w:w="529" w:type="pct"/>
            <w:noWrap w:val="0"/>
            <w:vAlign w:val="center"/>
          </w:tcPr>
          <w:p>
            <w:pPr>
              <w:widowControl w:val="0"/>
              <w:numPr>
                <w:ilvl w:val="0"/>
                <w:numId w:val="0"/>
              </w:numPr>
              <w:suppressAutoHyphens/>
              <w:bidi w:val="0"/>
              <w:snapToGrid w:val="0"/>
              <w:jc w:val="center"/>
              <w:rPr>
                <w:rFonts w:hint="eastAsia" w:ascii="宋体" w:hAnsi="宋体" w:eastAsia="宋体" w:cs="宋体"/>
                <w:color w:val="auto"/>
                <w:spacing w:val="0"/>
                <w:w w:val="100"/>
                <w:kern w:val="2"/>
                <w:sz w:val="18"/>
                <w:szCs w:val="18"/>
                <w:lang w:val="en-US" w:eastAsia="zh-CN" w:bidi="ar-SA"/>
              </w:rPr>
            </w:pPr>
            <w:r>
              <w:rPr>
                <w:rFonts w:hint="eastAsia" w:ascii="宋体" w:hAnsi="宋体" w:eastAsia="宋体" w:cs="宋体"/>
                <w:color w:val="auto"/>
                <w:spacing w:val="0"/>
                <w:w w:val="100"/>
                <w:kern w:val="2"/>
                <w:sz w:val="18"/>
                <w:szCs w:val="18"/>
                <w:lang w:val="en-US" w:eastAsia="zh-CN" w:bidi="ar-SA"/>
              </w:rPr>
              <w:t>15</w:t>
            </w:r>
          </w:p>
        </w:tc>
        <w:tc>
          <w:tcPr>
            <w:tcW w:w="973" w:type="pct"/>
            <w:noWrap w:val="0"/>
            <w:vAlign w:val="center"/>
          </w:tcPr>
          <w:p>
            <w:pPr>
              <w:widowControl w:val="0"/>
              <w:numPr>
                <w:ilvl w:val="0"/>
                <w:numId w:val="0"/>
              </w:numPr>
              <w:suppressAutoHyphens/>
              <w:bidi w:val="0"/>
              <w:snapToGrid w:val="0"/>
              <w:jc w:val="center"/>
              <w:rPr>
                <w:rFonts w:hint="eastAsia" w:ascii="宋体" w:hAnsi="宋体" w:eastAsia="宋体" w:cs="宋体"/>
                <w:color w:val="auto"/>
                <w:spacing w:val="0"/>
                <w:w w:val="10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386" w:type="pct"/>
            <w:vMerge w:val="continue"/>
            <w:noWrap w:val="0"/>
            <w:vAlign w:val="center"/>
          </w:tcPr>
          <w:p>
            <w:pPr>
              <w:widowControl w:val="0"/>
              <w:numPr>
                <w:ilvl w:val="0"/>
                <w:numId w:val="0"/>
              </w:numPr>
              <w:suppressAutoHyphens/>
              <w:bidi w:val="0"/>
              <w:snapToGrid w:val="0"/>
              <w:jc w:val="center"/>
              <w:rPr>
                <w:rFonts w:hint="eastAsia" w:ascii="宋体" w:hAnsi="宋体" w:eastAsia="宋体" w:cs="宋体"/>
                <w:color w:val="auto"/>
                <w:spacing w:val="0"/>
                <w:w w:val="100"/>
                <w:kern w:val="2"/>
                <w:sz w:val="18"/>
                <w:szCs w:val="18"/>
                <w:lang w:val="en-US" w:eastAsia="zh-CN" w:bidi="ar-SA"/>
              </w:rPr>
            </w:pPr>
          </w:p>
        </w:tc>
        <w:tc>
          <w:tcPr>
            <w:tcW w:w="405" w:type="pct"/>
            <w:noWrap w:val="0"/>
            <w:vAlign w:val="center"/>
          </w:tcPr>
          <w:p>
            <w:pPr>
              <w:widowControl w:val="0"/>
              <w:numPr>
                <w:ilvl w:val="0"/>
                <w:numId w:val="0"/>
              </w:numPr>
              <w:suppressAutoHyphens/>
              <w:bidi w:val="0"/>
              <w:snapToGrid w:val="0"/>
              <w:jc w:val="center"/>
              <w:rPr>
                <w:rFonts w:hint="eastAsia" w:ascii="宋体" w:hAnsi="宋体" w:eastAsia="宋体" w:cs="宋体"/>
                <w:color w:val="auto"/>
                <w:spacing w:val="0"/>
                <w:w w:val="100"/>
                <w:kern w:val="2"/>
                <w:sz w:val="18"/>
                <w:szCs w:val="18"/>
                <w:lang w:val="en-US" w:eastAsia="zh-CN" w:bidi="ar-SA"/>
              </w:rPr>
            </w:pPr>
            <w:r>
              <w:rPr>
                <w:rFonts w:hint="eastAsia" w:ascii="宋体" w:hAnsi="宋体" w:eastAsia="宋体" w:cs="宋体"/>
                <w:color w:val="auto"/>
                <w:spacing w:val="0"/>
                <w:w w:val="100"/>
                <w:kern w:val="2"/>
                <w:sz w:val="18"/>
                <w:szCs w:val="18"/>
                <w:lang w:val="en-US" w:eastAsia="zh-CN" w:bidi="ar-SA"/>
              </w:rPr>
              <w:t>满意度指标</w:t>
            </w:r>
          </w:p>
        </w:tc>
        <w:tc>
          <w:tcPr>
            <w:tcW w:w="464" w:type="pct"/>
            <w:noWrap w:val="0"/>
            <w:vAlign w:val="center"/>
          </w:tcPr>
          <w:p>
            <w:pPr>
              <w:widowControl w:val="0"/>
              <w:numPr>
                <w:ilvl w:val="0"/>
                <w:numId w:val="0"/>
              </w:numPr>
              <w:suppressAutoHyphens/>
              <w:bidi w:val="0"/>
              <w:snapToGrid w:val="0"/>
              <w:jc w:val="center"/>
              <w:rPr>
                <w:rFonts w:hint="eastAsia" w:ascii="宋体" w:hAnsi="宋体" w:eastAsia="宋体" w:cs="宋体"/>
                <w:color w:val="auto"/>
                <w:spacing w:val="0"/>
                <w:w w:val="100"/>
                <w:kern w:val="2"/>
                <w:sz w:val="18"/>
                <w:szCs w:val="18"/>
                <w:lang w:val="en-US" w:eastAsia="zh-CN" w:bidi="ar-SA"/>
              </w:rPr>
            </w:pPr>
            <w:r>
              <w:rPr>
                <w:rFonts w:hint="eastAsia" w:ascii="宋体" w:hAnsi="宋体" w:eastAsia="宋体" w:cs="宋体"/>
                <w:color w:val="auto"/>
                <w:spacing w:val="0"/>
                <w:w w:val="100"/>
                <w:kern w:val="2"/>
                <w:sz w:val="18"/>
                <w:szCs w:val="18"/>
                <w:lang w:val="en-US" w:eastAsia="zh-CN" w:bidi="ar-SA"/>
              </w:rPr>
              <w:t>服务对象满意度指标</w:t>
            </w:r>
          </w:p>
        </w:tc>
        <w:tc>
          <w:tcPr>
            <w:tcW w:w="443" w:type="pct"/>
            <w:noWrap w:val="0"/>
            <w:vAlign w:val="center"/>
          </w:tcPr>
          <w:p>
            <w:pPr>
              <w:widowControl w:val="0"/>
              <w:numPr>
                <w:ilvl w:val="0"/>
                <w:numId w:val="0"/>
              </w:numPr>
              <w:suppressAutoHyphens/>
              <w:bidi w:val="0"/>
              <w:snapToGrid w:val="0"/>
              <w:jc w:val="center"/>
              <w:rPr>
                <w:rFonts w:hint="eastAsia" w:ascii="宋体" w:hAnsi="宋体" w:eastAsia="宋体" w:cs="宋体"/>
                <w:color w:val="auto"/>
                <w:spacing w:val="0"/>
                <w:w w:val="100"/>
                <w:kern w:val="2"/>
                <w:sz w:val="18"/>
                <w:szCs w:val="18"/>
                <w:lang w:val="en-US" w:eastAsia="zh-CN" w:bidi="ar-SA"/>
              </w:rPr>
            </w:pPr>
            <w:r>
              <w:rPr>
                <w:rFonts w:hint="eastAsia" w:ascii="宋体" w:hAnsi="宋体" w:eastAsia="宋体" w:cs="宋体"/>
                <w:color w:val="auto"/>
                <w:spacing w:val="0"/>
                <w:w w:val="100"/>
                <w:kern w:val="2"/>
                <w:sz w:val="18"/>
                <w:szCs w:val="18"/>
                <w:lang w:val="en-US" w:eastAsia="zh-CN" w:bidi="ar-SA"/>
              </w:rPr>
              <w:t>送审满意度</w:t>
            </w:r>
          </w:p>
        </w:tc>
        <w:tc>
          <w:tcPr>
            <w:tcW w:w="364" w:type="pct"/>
            <w:noWrap w:val="0"/>
            <w:vAlign w:val="center"/>
          </w:tcPr>
          <w:p>
            <w:pPr>
              <w:widowControl w:val="0"/>
              <w:numPr>
                <w:ilvl w:val="0"/>
                <w:numId w:val="0"/>
              </w:numPr>
              <w:suppressAutoHyphens/>
              <w:bidi w:val="0"/>
              <w:snapToGrid w:val="0"/>
              <w:jc w:val="center"/>
              <w:rPr>
                <w:rFonts w:hint="eastAsia" w:ascii="宋体" w:hAnsi="宋体" w:eastAsia="宋体" w:cs="宋体"/>
                <w:color w:val="auto"/>
                <w:spacing w:val="0"/>
                <w:w w:val="100"/>
                <w:kern w:val="2"/>
                <w:sz w:val="18"/>
                <w:szCs w:val="18"/>
                <w:lang w:val="en-US" w:eastAsia="zh-CN" w:bidi="ar-SA"/>
              </w:rPr>
            </w:pPr>
            <w:r>
              <w:rPr>
                <w:rFonts w:hint="eastAsia" w:ascii="宋体" w:hAnsi="宋体" w:eastAsia="宋体" w:cs="宋体"/>
                <w:color w:val="auto"/>
                <w:spacing w:val="0"/>
                <w:w w:val="100"/>
                <w:kern w:val="2"/>
                <w:sz w:val="18"/>
                <w:szCs w:val="18"/>
                <w:lang w:val="en-US" w:eastAsia="zh-CN" w:bidi="ar-SA"/>
              </w:rPr>
              <w:t>≥</w:t>
            </w:r>
          </w:p>
        </w:tc>
        <w:tc>
          <w:tcPr>
            <w:tcW w:w="264" w:type="pct"/>
            <w:gridSpan w:val="2"/>
            <w:noWrap w:val="0"/>
            <w:vAlign w:val="center"/>
          </w:tcPr>
          <w:p>
            <w:pPr>
              <w:widowControl w:val="0"/>
              <w:numPr>
                <w:ilvl w:val="0"/>
                <w:numId w:val="0"/>
              </w:numPr>
              <w:suppressAutoHyphens/>
              <w:bidi w:val="0"/>
              <w:snapToGrid w:val="0"/>
              <w:jc w:val="center"/>
              <w:rPr>
                <w:rFonts w:hint="eastAsia" w:ascii="宋体" w:hAnsi="宋体" w:eastAsia="宋体" w:cs="宋体"/>
                <w:color w:val="auto"/>
                <w:spacing w:val="0"/>
                <w:w w:val="100"/>
                <w:kern w:val="2"/>
                <w:sz w:val="18"/>
                <w:szCs w:val="18"/>
                <w:lang w:val="en-US" w:eastAsia="zh-CN" w:bidi="ar-SA"/>
              </w:rPr>
            </w:pPr>
            <w:r>
              <w:rPr>
                <w:rFonts w:hint="eastAsia" w:ascii="宋体" w:hAnsi="宋体" w:eastAsia="宋体" w:cs="宋体"/>
                <w:color w:val="auto"/>
                <w:spacing w:val="0"/>
                <w:w w:val="100"/>
                <w:kern w:val="2"/>
                <w:sz w:val="18"/>
                <w:szCs w:val="18"/>
                <w:lang w:val="en-US" w:eastAsia="zh-CN" w:bidi="ar-SA"/>
              </w:rPr>
              <w:t>90</w:t>
            </w:r>
          </w:p>
        </w:tc>
        <w:tc>
          <w:tcPr>
            <w:tcW w:w="536" w:type="pct"/>
            <w:noWrap w:val="0"/>
            <w:vAlign w:val="center"/>
          </w:tcPr>
          <w:p>
            <w:pPr>
              <w:widowControl w:val="0"/>
              <w:numPr>
                <w:ilvl w:val="0"/>
                <w:numId w:val="0"/>
              </w:numPr>
              <w:suppressAutoHyphens/>
              <w:bidi w:val="0"/>
              <w:snapToGrid w:val="0"/>
              <w:jc w:val="center"/>
              <w:rPr>
                <w:rFonts w:hint="eastAsia" w:ascii="宋体" w:hAnsi="宋体" w:eastAsia="宋体" w:cs="宋体"/>
                <w:color w:val="auto"/>
                <w:spacing w:val="0"/>
                <w:w w:val="100"/>
                <w:kern w:val="2"/>
                <w:sz w:val="18"/>
                <w:szCs w:val="18"/>
                <w:lang w:val="en-US" w:eastAsia="zh-CN" w:bidi="ar-SA"/>
              </w:rPr>
            </w:pPr>
            <w:r>
              <w:rPr>
                <w:rFonts w:hint="eastAsia" w:ascii="宋体" w:hAnsi="宋体" w:eastAsia="宋体" w:cs="宋体"/>
                <w:color w:val="auto"/>
                <w:spacing w:val="0"/>
                <w:w w:val="100"/>
                <w:kern w:val="2"/>
                <w:sz w:val="18"/>
                <w:szCs w:val="18"/>
                <w:lang w:val="en-US" w:eastAsia="zh-CN" w:bidi="ar-SA"/>
              </w:rPr>
              <w:t>%</w:t>
            </w:r>
          </w:p>
        </w:tc>
        <w:tc>
          <w:tcPr>
            <w:tcW w:w="363" w:type="pct"/>
            <w:noWrap w:val="0"/>
            <w:vAlign w:val="center"/>
          </w:tcPr>
          <w:p>
            <w:pPr>
              <w:widowControl w:val="0"/>
              <w:numPr>
                <w:ilvl w:val="0"/>
                <w:numId w:val="0"/>
              </w:numPr>
              <w:suppressAutoHyphens/>
              <w:bidi w:val="0"/>
              <w:snapToGrid w:val="0"/>
              <w:jc w:val="center"/>
              <w:rPr>
                <w:rFonts w:hint="eastAsia" w:ascii="宋体" w:hAnsi="宋体" w:eastAsia="宋体" w:cs="宋体"/>
                <w:color w:val="auto"/>
                <w:spacing w:val="0"/>
                <w:w w:val="100"/>
                <w:kern w:val="2"/>
                <w:sz w:val="18"/>
                <w:szCs w:val="18"/>
                <w:lang w:val="en-US" w:eastAsia="zh-CN" w:bidi="ar-SA"/>
              </w:rPr>
            </w:pPr>
            <w:r>
              <w:rPr>
                <w:rFonts w:hint="eastAsia" w:ascii="宋体" w:hAnsi="宋体" w:eastAsia="宋体" w:cs="宋体"/>
                <w:color w:val="auto"/>
                <w:spacing w:val="0"/>
                <w:w w:val="100"/>
                <w:kern w:val="2"/>
                <w:sz w:val="18"/>
                <w:szCs w:val="18"/>
                <w:lang w:val="en-US" w:eastAsia="zh-CN" w:bidi="ar-SA"/>
              </w:rPr>
              <w:t>95</w:t>
            </w:r>
          </w:p>
        </w:tc>
        <w:tc>
          <w:tcPr>
            <w:tcW w:w="269" w:type="pct"/>
            <w:noWrap w:val="0"/>
            <w:vAlign w:val="center"/>
          </w:tcPr>
          <w:p>
            <w:pPr>
              <w:widowControl w:val="0"/>
              <w:numPr>
                <w:ilvl w:val="0"/>
                <w:numId w:val="0"/>
              </w:numPr>
              <w:suppressAutoHyphens/>
              <w:bidi w:val="0"/>
              <w:snapToGrid w:val="0"/>
              <w:jc w:val="center"/>
              <w:rPr>
                <w:rFonts w:hint="eastAsia" w:ascii="宋体" w:hAnsi="宋体" w:eastAsia="宋体" w:cs="宋体"/>
                <w:color w:val="auto"/>
                <w:spacing w:val="0"/>
                <w:w w:val="100"/>
                <w:kern w:val="2"/>
                <w:sz w:val="18"/>
                <w:szCs w:val="18"/>
                <w:lang w:val="en-US" w:eastAsia="zh-CN" w:bidi="ar-SA"/>
              </w:rPr>
            </w:pPr>
            <w:r>
              <w:rPr>
                <w:rFonts w:hint="eastAsia" w:ascii="宋体" w:hAnsi="宋体" w:eastAsia="宋体" w:cs="宋体"/>
                <w:color w:val="auto"/>
                <w:spacing w:val="0"/>
                <w:w w:val="100"/>
                <w:kern w:val="2"/>
                <w:sz w:val="18"/>
                <w:szCs w:val="18"/>
                <w:lang w:val="en-US" w:eastAsia="zh-CN" w:bidi="ar-SA"/>
              </w:rPr>
              <w:t>10</w:t>
            </w:r>
          </w:p>
        </w:tc>
        <w:tc>
          <w:tcPr>
            <w:tcW w:w="529" w:type="pct"/>
            <w:noWrap w:val="0"/>
            <w:vAlign w:val="center"/>
          </w:tcPr>
          <w:p>
            <w:pPr>
              <w:widowControl w:val="0"/>
              <w:numPr>
                <w:ilvl w:val="0"/>
                <w:numId w:val="0"/>
              </w:numPr>
              <w:suppressAutoHyphens/>
              <w:bidi w:val="0"/>
              <w:snapToGrid w:val="0"/>
              <w:jc w:val="center"/>
              <w:rPr>
                <w:rFonts w:hint="eastAsia" w:ascii="宋体" w:hAnsi="宋体" w:eastAsia="宋体" w:cs="宋体"/>
                <w:color w:val="auto"/>
                <w:spacing w:val="0"/>
                <w:w w:val="100"/>
                <w:kern w:val="2"/>
                <w:sz w:val="18"/>
                <w:szCs w:val="18"/>
                <w:lang w:val="en-US" w:eastAsia="zh-CN" w:bidi="ar-SA"/>
              </w:rPr>
            </w:pPr>
            <w:r>
              <w:rPr>
                <w:rFonts w:hint="eastAsia" w:ascii="宋体" w:hAnsi="宋体" w:eastAsia="宋体" w:cs="宋体"/>
                <w:color w:val="auto"/>
                <w:spacing w:val="0"/>
                <w:w w:val="100"/>
                <w:kern w:val="2"/>
                <w:sz w:val="18"/>
                <w:szCs w:val="18"/>
                <w:lang w:val="en-US" w:eastAsia="zh-CN" w:bidi="ar-SA"/>
              </w:rPr>
              <w:t>10</w:t>
            </w:r>
          </w:p>
        </w:tc>
        <w:tc>
          <w:tcPr>
            <w:tcW w:w="973" w:type="pct"/>
            <w:noWrap w:val="0"/>
            <w:vAlign w:val="center"/>
          </w:tcPr>
          <w:p>
            <w:pPr>
              <w:widowControl w:val="0"/>
              <w:numPr>
                <w:ilvl w:val="0"/>
                <w:numId w:val="0"/>
              </w:numPr>
              <w:suppressAutoHyphens/>
              <w:bidi w:val="0"/>
              <w:snapToGrid w:val="0"/>
              <w:jc w:val="center"/>
              <w:rPr>
                <w:rFonts w:hint="eastAsia" w:ascii="宋体" w:hAnsi="宋体" w:eastAsia="宋体" w:cs="宋体"/>
                <w:color w:val="auto"/>
                <w:spacing w:val="0"/>
                <w:w w:val="10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6" w:type="pct"/>
            <w:noWrap w:val="0"/>
            <w:vAlign w:val="center"/>
          </w:tcPr>
          <w:p>
            <w:pPr>
              <w:widowControl w:val="0"/>
              <w:numPr>
                <w:ilvl w:val="0"/>
                <w:numId w:val="0"/>
              </w:numPr>
              <w:suppressAutoHyphens/>
              <w:bidi w:val="0"/>
              <w:snapToGrid w:val="0"/>
              <w:jc w:val="center"/>
              <w:rPr>
                <w:rFonts w:hint="eastAsia" w:ascii="宋体" w:hAnsi="宋体" w:eastAsia="宋体" w:cs="宋体"/>
                <w:color w:val="auto"/>
                <w:spacing w:val="0"/>
                <w:w w:val="100"/>
                <w:kern w:val="2"/>
                <w:sz w:val="18"/>
                <w:szCs w:val="18"/>
                <w:lang w:val="en-US" w:eastAsia="zh-CN" w:bidi="ar-SA"/>
              </w:rPr>
            </w:pPr>
            <w:r>
              <w:rPr>
                <w:rFonts w:hint="eastAsia" w:ascii="宋体" w:hAnsi="宋体" w:eastAsia="宋体" w:cs="宋体"/>
                <w:color w:val="auto"/>
                <w:spacing w:val="0"/>
                <w:w w:val="100"/>
                <w:kern w:val="2"/>
                <w:sz w:val="18"/>
                <w:szCs w:val="18"/>
                <w:lang w:val="en-US" w:eastAsia="zh-CN" w:bidi="ar-SA"/>
              </w:rPr>
              <w:t>合计</w:t>
            </w:r>
          </w:p>
        </w:tc>
        <w:tc>
          <w:tcPr>
            <w:tcW w:w="405" w:type="pct"/>
            <w:noWrap w:val="0"/>
            <w:vAlign w:val="center"/>
          </w:tcPr>
          <w:p>
            <w:pPr>
              <w:widowControl w:val="0"/>
              <w:numPr>
                <w:ilvl w:val="0"/>
                <w:numId w:val="0"/>
              </w:numPr>
              <w:suppressAutoHyphens/>
              <w:bidi w:val="0"/>
              <w:snapToGrid w:val="0"/>
              <w:jc w:val="center"/>
              <w:rPr>
                <w:rFonts w:hint="eastAsia" w:ascii="宋体" w:hAnsi="宋体" w:eastAsia="宋体" w:cs="宋体"/>
                <w:color w:val="auto"/>
                <w:spacing w:val="0"/>
                <w:w w:val="100"/>
                <w:kern w:val="2"/>
                <w:sz w:val="18"/>
                <w:szCs w:val="18"/>
                <w:lang w:val="en-US" w:eastAsia="zh-CN" w:bidi="ar-SA"/>
              </w:rPr>
            </w:pPr>
          </w:p>
        </w:tc>
        <w:tc>
          <w:tcPr>
            <w:tcW w:w="464" w:type="pct"/>
            <w:noWrap w:val="0"/>
            <w:vAlign w:val="center"/>
          </w:tcPr>
          <w:p>
            <w:pPr>
              <w:widowControl w:val="0"/>
              <w:numPr>
                <w:ilvl w:val="0"/>
                <w:numId w:val="0"/>
              </w:numPr>
              <w:suppressAutoHyphens/>
              <w:bidi w:val="0"/>
              <w:snapToGrid w:val="0"/>
              <w:jc w:val="center"/>
              <w:rPr>
                <w:rFonts w:hint="eastAsia" w:ascii="宋体" w:hAnsi="宋体" w:eastAsia="宋体" w:cs="宋体"/>
                <w:color w:val="auto"/>
                <w:spacing w:val="0"/>
                <w:w w:val="100"/>
                <w:kern w:val="2"/>
                <w:sz w:val="18"/>
                <w:szCs w:val="18"/>
                <w:lang w:val="en-US" w:eastAsia="zh-CN" w:bidi="ar-SA"/>
              </w:rPr>
            </w:pPr>
          </w:p>
        </w:tc>
        <w:tc>
          <w:tcPr>
            <w:tcW w:w="443" w:type="pct"/>
            <w:noWrap w:val="0"/>
            <w:vAlign w:val="center"/>
          </w:tcPr>
          <w:p>
            <w:pPr>
              <w:widowControl w:val="0"/>
              <w:numPr>
                <w:ilvl w:val="0"/>
                <w:numId w:val="0"/>
              </w:numPr>
              <w:suppressAutoHyphens/>
              <w:bidi w:val="0"/>
              <w:snapToGrid w:val="0"/>
              <w:jc w:val="center"/>
              <w:rPr>
                <w:rFonts w:hint="eastAsia" w:ascii="宋体" w:hAnsi="宋体" w:eastAsia="宋体" w:cs="宋体"/>
                <w:color w:val="auto"/>
                <w:spacing w:val="0"/>
                <w:w w:val="100"/>
                <w:kern w:val="2"/>
                <w:sz w:val="18"/>
                <w:szCs w:val="18"/>
                <w:lang w:val="en-US" w:eastAsia="zh-CN" w:bidi="ar-SA"/>
              </w:rPr>
            </w:pPr>
          </w:p>
        </w:tc>
        <w:tc>
          <w:tcPr>
            <w:tcW w:w="364" w:type="pct"/>
            <w:noWrap w:val="0"/>
            <w:vAlign w:val="center"/>
          </w:tcPr>
          <w:p>
            <w:pPr>
              <w:widowControl w:val="0"/>
              <w:numPr>
                <w:ilvl w:val="0"/>
                <w:numId w:val="0"/>
              </w:numPr>
              <w:suppressAutoHyphens/>
              <w:bidi w:val="0"/>
              <w:snapToGrid w:val="0"/>
              <w:jc w:val="center"/>
              <w:rPr>
                <w:rFonts w:hint="eastAsia" w:ascii="宋体" w:hAnsi="宋体" w:eastAsia="宋体" w:cs="宋体"/>
                <w:color w:val="auto"/>
                <w:spacing w:val="0"/>
                <w:w w:val="100"/>
                <w:kern w:val="2"/>
                <w:sz w:val="18"/>
                <w:szCs w:val="18"/>
                <w:lang w:val="en-US" w:eastAsia="zh-CN" w:bidi="ar-SA"/>
              </w:rPr>
            </w:pPr>
          </w:p>
        </w:tc>
        <w:tc>
          <w:tcPr>
            <w:tcW w:w="264" w:type="pct"/>
            <w:gridSpan w:val="2"/>
            <w:noWrap w:val="0"/>
            <w:vAlign w:val="center"/>
          </w:tcPr>
          <w:p>
            <w:pPr>
              <w:widowControl w:val="0"/>
              <w:numPr>
                <w:ilvl w:val="0"/>
                <w:numId w:val="0"/>
              </w:numPr>
              <w:suppressAutoHyphens/>
              <w:bidi w:val="0"/>
              <w:snapToGrid w:val="0"/>
              <w:jc w:val="center"/>
              <w:rPr>
                <w:rFonts w:hint="eastAsia" w:ascii="宋体" w:hAnsi="宋体" w:eastAsia="宋体" w:cs="宋体"/>
                <w:color w:val="auto"/>
                <w:spacing w:val="0"/>
                <w:w w:val="100"/>
                <w:kern w:val="2"/>
                <w:sz w:val="18"/>
                <w:szCs w:val="18"/>
                <w:lang w:val="en-US" w:eastAsia="zh-CN" w:bidi="ar-SA"/>
              </w:rPr>
            </w:pPr>
          </w:p>
        </w:tc>
        <w:tc>
          <w:tcPr>
            <w:tcW w:w="536" w:type="pct"/>
            <w:noWrap w:val="0"/>
            <w:vAlign w:val="center"/>
          </w:tcPr>
          <w:p>
            <w:pPr>
              <w:widowControl w:val="0"/>
              <w:numPr>
                <w:ilvl w:val="0"/>
                <w:numId w:val="0"/>
              </w:numPr>
              <w:suppressAutoHyphens/>
              <w:bidi w:val="0"/>
              <w:snapToGrid w:val="0"/>
              <w:jc w:val="center"/>
              <w:rPr>
                <w:rFonts w:hint="eastAsia" w:ascii="宋体" w:hAnsi="宋体" w:eastAsia="宋体" w:cs="宋体"/>
                <w:color w:val="auto"/>
                <w:spacing w:val="0"/>
                <w:w w:val="100"/>
                <w:kern w:val="2"/>
                <w:sz w:val="18"/>
                <w:szCs w:val="18"/>
                <w:lang w:val="en-US" w:eastAsia="zh-CN" w:bidi="ar-SA"/>
              </w:rPr>
            </w:pPr>
          </w:p>
        </w:tc>
        <w:tc>
          <w:tcPr>
            <w:tcW w:w="363" w:type="pct"/>
            <w:noWrap w:val="0"/>
            <w:vAlign w:val="center"/>
          </w:tcPr>
          <w:p>
            <w:pPr>
              <w:widowControl w:val="0"/>
              <w:numPr>
                <w:ilvl w:val="0"/>
                <w:numId w:val="0"/>
              </w:numPr>
              <w:suppressAutoHyphens/>
              <w:bidi w:val="0"/>
              <w:snapToGrid w:val="0"/>
              <w:jc w:val="center"/>
              <w:rPr>
                <w:rFonts w:hint="eastAsia" w:ascii="宋体" w:hAnsi="宋体" w:eastAsia="宋体" w:cs="宋体"/>
                <w:color w:val="auto"/>
                <w:spacing w:val="0"/>
                <w:w w:val="100"/>
                <w:kern w:val="2"/>
                <w:sz w:val="18"/>
                <w:szCs w:val="18"/>
                <w:lang w:val="en-US" w:eastAsia="zh-CN" w:bidi="ar-SA"/>
              </w:rPr>
            </w:pPr>
          </w:p>
        </w:tc>
        <w:tc>
          <w:tcPr>
            <w:tcW w:w="269" w:type="pct"/>
            <w:noWrap w:val="0"/>
            <w:vAlign w:val="center"/>
          </w:tcPr>
          <w:p>
            <w:pPr>
              <w:widowControl w:val="0"/>
              <w:numPr>
                <w:ilvl w:val="0"/>
                <w:numId w:val="0"/>
              </w:numPr>
              <w:suppressAutoHyphens/>
              <w:bidi w:val="0"/>
              <w:snapToGrid w:val="0"/>
              <w:jc w:val="center"/>
              <w:rPr>
                <w:rFonts w:hint="eastAsia" w:ascii="宋体" w:hAnsi="宋体" w:eastAsia="宋体" w:cs="宋体"/>
                <w:color w:val="auto"/>
                <w:spacing w:val="0"/>
                <w:w w:val="100"/>
                <w:kern w:val="2"/>
                <w:sz w:val="18"/>
                <w:szCs w:val="18"/>
                <w:lang w:val="en-US" w:eastAsia="zh-CN" w:bidi="ar-SA"/>
              </w:rPr>
            </w:pPr>
            <w:r>
              <w:rPr>
                <w:rFonts w:hint="eastAsia" w:ascii="宋体" w:hAnsi="宋体" w:eastAsia="宋体" w:cs="宋体"/>
                <w:color w:val="auto"/>
                <w:spacing w:val="0"/>
                <w:w w:val="100"/>
                <w:kern w:val="2"/>
                <w:sz w:val="18"/>
                <w:szCs w:val="18"/>
                <w:lang w:val="en-US" w:eastAsia="zh-CN" w:bidi="ar-SA"/>
              </w:rPr>
              <w:t>100</w:t>
            </w:r>
          </w:p>
        </w:tc>
        <w:tc>
          <w:tcPr>
            <w:tcW w:w="529" w:type="pct"/>
            <w:noWrap w:val="0"/>
            <w:vAlign w:val="center"/>
          </w:tcPr>
          <w:p>
            <w:pPr>
              <w:widowControl w:val="0"/>
              <w:numPr>
                <w:ilvl w:val="0"/>
                <w:numId w:val="0"/>
              </w:numPr>
              <w:suppressAutoHyphens/>
              <w:bidi w:val="0"/>
              <w:snapToGrid w:val="0"/>
              <w:jc w:val="center"/>
              <w:rPr>
                <w:rFonts w:hint="eastAsia" w:ascii="宋体" w:hAnsi="宋体" w:eastAsia="宋体" w:cs="宋体"/>
                <w:color w:val="auto"/>
                <w:spacing w:val="0"/>
                <w:w w:val="100"/>
                <w:kern w:val="2"/>
                <w:sz w:val="18"/>
                <w:szCs w:val="18"/>
                <w:lang w:val="en-US" w:eastAsia="zh-CN" w:bidi="ar-SA"/>
              </w:rPr>
            </w:pPr>
            <w:r>
              <w:rPr>
                <w:rFonts w:hint="eastAsia" w:ascii="宋体" w:hAnsi="宋体" w:eastAsia="宋体" w:cs="宋体"/>
                <w:color w:val="auto"/>
                <w:spacing w:val="0"/>
                <w:w w:val="100"/>
                <w:kern w:val="2"/>
                <w:sz w:val="18"/>
                <w:szCs w:val="18"/>
                <w:lang w:val="en-US" w:eastAsia="zh-CN" w:bidi="ar-SA"/>
              </w:rPr>
              <w:t>100</w:t>
            </w:r>
          </w:p>
        </w:tc>
        <w:tc>
          <w:tcPr>
            <w:tcW w:w="973" w:type="pct"/>
            <w:noWrap w:val="0"/>
            <w:vAlign w:val="center"/>
          </w:tcPr>
          <w:p>
            <w:pPr>
              <w:widowControl w:val="0"/>
              <w:numPr>
                <w:ilvl w:val="0"/>
                <w:numId w:val="0"/>
              </w:numPr>
              <w:suppressAutoHyphens/>
              <w:bidi w:val="0"/>
              <w:snapToGrid w:val="0"/>
              <w:jc w:val="center"/>
              <w:rPr>
                <w:rFonts w:hint="eastAsia" w:ascii="宋体" w:hAnsi="宋体" w:eastAsia="宋体" w:cs="宋体"/>
                <w:color w:val="auto"/>
                <w:spacing w:val="0"/>
                <w:w w:val="10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6" w:type="pct"/>
            <w:noWrap w:val="0"/>
            <w:vAlign w:val="center"/>
          </w:tcPr>
          <w:p>
            <w:pPr>
              <w:widowControl w:val="0"/>
              <w:numPr>
                <w:ilvl w:val="0"/>
                <w:numId w:val="0"/>
              </w:numPr>
              <w:suppressAutoHyphens/>
              <w:bidi w:val="0"/>
              <w:snapToGrid w:val="0"/>
              <w:jc w:val="center"/>
              <w:rPr>
                <w:rFonts w:hint="eastAsia" w:ascii="宋体" w:hAnsi="宋体" w:eastAsia="宋体" w:cs="宋体"/>
                <w:color w:val="auto"/>
                <w:spacing w:val="0"/>
                <w:w w:val="100"/>
                <w:kern w:val="2"/>
                <w:sz w:val="18"/>
                <w:szCs w:val="18"/>
                <w:lang w:val="en-US" w:eastAsia="zh-CN" w:bidi="ar-SA"/>
              </w:rPr>
            </w:pPr>
            <w:r>
              <w:rPr>
                <w:rFonts w:hint="eastAsia" w:ascii="宋体" w:hAnsi="宋体" w:eastAsia="宋体" w:cs="宋体"/>
                <w:color w:val="auto"/>
                <w:spacing w:val="0"/>
                <w:w w:val="100"/>
                <w:kern w:val="2"/>
                <w:sz w:val="18"/>
                <w:szCs w:val="18"/>
                <w:lang w:val="en-US" w:eastAsia="zh-CN" w:bidi="ar-SA"/>
              </w:rPr>
              <w:t>评价结论</w:t>
            </w:r>
          </w:p>
        </w:tc>
        <w:tc>
          <w:tcPr>
            <w:tcW w:w="4613" w:type="pct"/>
            <w:gridSpan w:val="11"/>
            <w:noWrap w:val="0"/>
            <w:vAlign w:val="center"/>
          </w:tcPr>
          <w:p>
            <w:pPr>
              <w:widowControl w:val="0"/>
              <w:numPr>
                <w:ilvl w:val="0"/>
                <w:numId w:val="0"/>
              </w:numPr>
              <w:suppressAutoHyphens/>
              <w:bidi w:val="0"/>
              <w:snapToGrid w:val="0"/>
              <w:jc w:val="left"/>
              <w:rPr>
                <w:rFonts w:hint="eastAsia" w:ascii="宋体" w:hAnsi="宋体" w:eastAsia="宋体" w:cs="宋体"/>
                <w:color w:val="auto"/>
                <w:spacing w:val="0"/>
                <w:w w:val="100"/>
                <w:kern w:val="2"/>
                <w:sz w:val="18"/>
                <w:szCs w:val="18"/>
                <w:lang w:val="en-US" w:eastAsia="zh-CN" w:bidi="ar-SA"/>
              </w:rPr>
            </w:pPr>
            <w:r>
              <w:rPr>
                <w:rFonts w:hint="eastAsia" w:ascii="宋体" w:hAnsi="宋体" w:eastAsia="宋体" w:cs="宋体"/>
                <w:color w:val="auto"/>
                <w:spacing w:val="0"/>
                <w:w w:val="100"/>
                <w:kern w:val="2"/>
                <w:sz w:val="18"/>
                <w:szCs w:val="18"/>
                <w:lang w:val="en-US" w:eastAsia="zh-CN" w:bidi="ar-SA"/>
              </w:rPr>
              <w:t>严格按照相关法律法规规定开展项目评审工作，出具评审报告。统筹把控事前、事中、事后三道关口，以科学评审服务于财政项目管理，确保政府投资项目良性发展。预算数与执行数一致。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6" w:type="pct"/>
            <w:noWrap w:val="0"/>
            <w:vAlign w:val="center"/>
          </w:tcPr>
          <w:p>
            <w:pPr>
              <w:widowControl w:val="0"/>
              <w:numPr>
                <w:ilvl w:val="0"/>
                <w:numId w:val="0"/>
              </w:numPr>
              <w:suppressAutoHyphens/>
              <w:bidi w:val="0"/>
              <w:snapToGrid w:val="0"/>
              <w:jc w:val="center"/>
              <w:rPr>
                <w:rFonts w:hint="eastAsia" w:ascii="宋体" w:hAnsi="宋体" w:eastAsia="宋体" w:cs="宋体"/>
                <w:color w:val="auto"/>
                <w:spacing w:val="0"/>
                <w:w w:val="100"/>
                <w:kern w:val="2"/>
                <w:sz w:val="18"/>
                <w:szCs w:val="18"/>
                <w:lang w:val="en-US" w:eastAsia="zh-CN" w:bidi="ar-SA"/>
              </w:rPr>
            </w:pPr>
            <w:r>
              <w:rPr>
                <w:rFonts w:hint="eastAsia" w:ascii="宋体" w:hAnsi="宋体" w:eastAsia="宋体" w:cs="宋体"/>
                <w:color w:val="auto"/>
                <w:spacing w:val="0"/>
                <w:w w:val="100"/>
                <w:kern w:val="2"/>
                <w:sz w:val="18"/>
                <w:szCs w:val="18"/>
                <w:lang w:val="en-US" w:eastAsia="zh-CN" w:bidi="ar-SA"/>
              </w:rPr>
              <w:t>存在问题</w:t>
            </w:r>
          </w:p>
        </w:tc>
        <w:tc>
          <w:tcPr>
            <w:tcW w:w="4613" w:type="pct"/>
            <w:gridSpan w:val="11"/>
            <w:noWrap w:val="0"/>
            <w:vAlign w:val="center"/>
          </w:tcPr>
          <w:p>
            <w:pPr>
              <w:widowControl w:val="0"/>
              <w:numPr>
                <w:ilvl w:val="0"/>
                <w:numId w:val="0"/>
              </w:numPr>
              <w:suppressAutoHyphens/>
              <w:bidi w:val="0"/>
              <w:snapToGrid w:val="0"/>
              <w:jc w:val="center"/>
              <w:rPr>
                <w:rFonts w:hint="eastAsia" w:ascii="宋体" w:hAnsi="宋体" w:eastAsia="宋体" w:cs="宋体"/>
                <w:color w:val="auto"/>
                <w:spacing w:val="0"/>
                <w:w w:val="100"/>
                <w:kern w:val="2"/>
                <w:sz w:val="18"/>
                <w:szCs w:val="18"/>
                <w:lang w:val="en-US" w:eastAsia="zh-CN" w:bidi="ar-SA"/>
              </w:rPr>
            </w:pPr>
            <w:r>
              <w:rPr>
                <w:rFonts w:hint="eastAsia" w:ascii="宋体" w:hAnsi="宋体" w:eastAsia="宋体" w:cs="宋体"/>
                <w:color w:val="auto"/>
                <w:spacing w:val="0"/>
                <w:w w:val="100"/>
                <w:kern w:val="2"/>
                <w:sz w:val="18"/>
                <w:szCs w:val="18"/>
                <w:lang w:val="en-US" w:eastAsia="zh-CN" w:bidi="ar-SA"/>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6" w:type="pct"/>
            <w:noWrap w:val="0"/>
            <w:vAlign w:val="center"/>
          </w:tcPr>
          <w:p>
            <w:pPr>
              <w:widowControl w:val="0"/>
              <w:numPr>
                <w:ilvl w:val="0"/>
                <w:numId w:val="0"/>
              </w:numPr>
              <w:suppressAutoHyphens/>
              <w:bidi w:val="0"/>
              <w:snapToGrid w:val="0"/>
              <w:jc w:val="center"/>
              <w:rPr>
                <w:rFonts w:hint="eastAsia" w:ascii="宋体" w:hAnsi="宋体" w:eastAsia="宋体" w:cs="宋体"/>
                <w:color w:val="auto"/>
                <w:spacing w:val="0"/>
                <w:w w:val="100"/>
                <w:kern w:val="2"/>
                <w:sz w:val="18"/>
                <w:szCs w:val="18"/>
                <w:lang w:val="en-US" w:eastAsia="zh-CN" w:bidi="ar-SA"/>
              </w:rPr>
            </w:pPr>
            <w:r>
              <w:rPr>
                <w:rFonts w:hint="eastAsia" w:ascii="宋体" w:hAnsi="宋体" w:eastAsia="宋体" w:cs="宋体"/>
                <w:color w:val="auto"/>
                <w:spacing w:val="0"/>
                <w:w w:val="100"/>
                <w:kern w:val="2"/>
                <w:sz w:val="18"/>
                <w:szCs w:val="18"/>
                <w:lang w:val="en-US" w:eastAsia="zh-CN" w:bidi="ar-SA"/>
              </w:rPr>
              <w:t>改进措施</w:t>
            </w:r>
          </w:p>
        </w:tc>
        <w:tc>
          <w:tcPr>
            <w:tcW w:w="4613" w:type="pct"/>
            <w:gridSpan w:val="11"/>
            <w:noWrap w:val="0"/>
            <w:vAlign w:val="center"/>
          </w:tcPr>
          <w:p>
            <w:pPr>
              <w:widowControl w:val="0"/>
              <w:numPr>
                <w:ilvl w:val="0"/>
                <w:numId w:val="0"/>
              </w:numPr>
              <w:suppressAutoHyphens/>
              <w:bidi w:val="0"/>
              <w:snapToGrid w:val="0"/>
              <w:jc w:val="center"/>
              <w:rPr>
                <w:rFonts w:hint="eastAsia" w:ascii="宋体" w:hAnsi="宋体" w:eastAsia="宋体" w:cs="宋体"/>
                <w:color w:val="auto"/>
                <w:spacing w:val="0"/>
                <w:w w:val="100"/>
                <w:kern w:val="2"/>
                <w:sz w:val="18"/>
                <w:szCs w:val="18"/>
                <w:lang w:val="en-US" w:eastAsia="zh-CN" w:bidi="ar-SA"/>
              </w:rPr>
            </w:pPr>
            <w:r>
              <w:rPr>
                <w:rFonts w:hint="eastAsia" w:ascii="宋体" w:hAnsi="宋体" w:eastAsia="宋体" w:cs="宋体"/>
                <w:color w:val="auto"/>
                <w:spacing w:val="0"/>
                <w:w w:val="100"/>
                <w:kern w:val="2"/>
                <w:sz w:val="18"/>
                <w:szCs w:val="18"/>
                <w:lang w:val="en-US" w:eastAsia="zh-CN" w:bidi="ar-SA"/>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3" w:type="pct"/>
            <w:gridSpan w:val="5"/>
            <w:noWrap w:val="0"/>
            <w:vAlign w:val="center"/>
          </w:tcPr>
          <w:p>
            <w:pPr>
              <w:widowControl w:val="0"/>
              <w:numPr>
                <w:ilvl w:val="0"/>
                <w:numId w:val="0"/>
              </w:numPr>
              <w:suppressAutoHyphens/>
              <w:bidi w:val="0"/>
              <w:snapToGrid w:val="0"/>
              <w:jc w:val="center"/>
              <w:rPr>
                <w:rFonts w:hint="eastAsia" w:ascii="宋体" w:hAnsi="宋体" w:eastAsia="宋体" w:cs="宋体"/>
                <w:color w:val="auto"/>
                <w:spacing w:val="0"/>
                <w:w w:val="100"/>
                <w:kern w:val="2"/>
                <w:sz w:val="18"/>
                <w:szCs w:val="18"/>
                <w:lang w:val="en-US" w:eastAsia="zh-CN" w:bidi="ar-SA"/>
              </w:rPr>
            </w:pPr>
            <w:r>
              <w:rPr>
                <w:rFonts w:hint="eastAsia" w:ascii="宋体" w:hAnsi="宋体" w:eastAsia="宋体" w:cs="宋体"/>
                <w:color w:val="auto"/>
                <w:spacing w:val="0"/>
                <w:w w:val="100"/>
                <w:kern w:val="2"/>
                <w:sz w:val="18"/>
                <w:szCs w:val="18"/>
                <w:lang w:val="en-US" w:eastAsia="zh-CN" w:bidi="ar-SA"/>
              </w:rPr>
              <w:t>项目负责人：曾 诚</w:t>
            </w:r>
          </w:p>
        </w:tc>
        <w:tc>
          <w:tcPr>
            <w:tcW w:w="2936" w:type="pct"/>
            <w:gridSpan w:val="7"/>
            <w:noWrap w:val="0"/>
            <w:vAlign w:val="center"/>
          </w:tcPr>
          <w:p>
            <w:pPr>
              <w:widowControl w:val="0"/>
              <w:numPr>
                <w:ilvl w:val="0"/>
                <w:numId w:val="0"/>
              </w:numPr>
              <w:suppressAutoHyphens/>
              <w:bidi w:val="0"/>
              <w:snapToGrid w:val="0"/>
              <w:jc w:val="center"/>
              <w:rPr>
                <w:rFonts w:hint="eastAsia" w:ascii="宋体" w:hAnsi="宋体" w:eastAsia="宋体" w:cs="宋体"/>
                <w:color w:val="auto"/>
                <w:spacing w:val="0"/>
                <w:w w:val="100"/>
                <w:kern w:val="2"/>
                <w:sz w:val="18"/>
                <w:szCs w:val="18"/>
                <w:lang w:val="en-US" w:eastAsia="zh-CN" w:bidi="ar-SA"/>
              </w:rPr>
            </w:pPr>
            <w:r>
              <w:rPr>
                <w:rFonts w:hint="eastAsia" w:ascii="宋体" w:hAnsi="宋体" w:eastAsia="宋体" w:cs="宋体"/>
                <w:color w:val="auto"/>
                <w:spacing w:val="0"/>
                <w:w w:val="100"/>
                <w:kern w:val="2"/>
                <w:sz w:val="18"/>
                <w:szCs w:val="18"/>
                <w:lang w:val="en-US" w:eastAsia="zh-CN" w:bidi="ar-SA"/>
              </w:rPr>
              <w:t>财务负责人：葛敏</w:t>
            </w:r>
          </w:p>
        </w:tc>
      </w:tr>
    </w:tbl>
    <w:p>
      <w:pPr>
        <w:pStyle w:val="2"/>
        <w:spacing w:before="93"/>
        <w:rPr>
          <w:rFonts w:hint="eastAsia" w:hAnsi="宋体" w:cs="宋体"/>
          <w:sz w:val="32"/>
          <w:szCs w:val="32"/>
          <w:shd w:val="clear" w:color="auto" w:fill="FFFFFF"/>
          <w:lang w:val="zh-CN"/>
        </w:rPr>
      </w:pPr>
    </w:p>
    <w:p>
      <w:pPr>
        <w:pStyle w:val="2"/>
        <w:spacing w:before="93"/>
        <w:rPr>
          <w:rFonts w:hint="eastAsia" w:hAnsi="宋体" w:cs="宋体"/>
          <w:sz w:val="32"/>
          <w:szCs w:val="32"/>
          <w:shd w:val="clear" w:color="auto" w:fill="FFFFFF"/>
          <w:lang w:val="zh-CN"/>
        </w:rPr>
      </w:pPr>
    </w:p>
    <w:p>
      <w:pPr>
        <w:pStyle w:val="2"/>
        <w:spacing w:before="93"/>
        <w:rPr>
          <w:rFonts w:hint="eastAsia" w:hAnsi="宋体" w:cs="宋体"/>
          <w:sz w:val="32"/>
          <w:szCs w:val="32"/>
          <w:shd w:val="clear" w:color="auto" w:fill="FFFFFF"/>
          <w:lang w:val="zh-CN"/>
        </w:rPr>
      </w:pPr>
    </w:p>
    <w:p>
      <w:pPr>
        <w:pStyle w:val="6"/>
        <w:rPr>
          <w:rFonts w:hint="eastAsia"/>
          <w:lang w:val="en-US"/>
        </w:rPr>
      </w:pPr>
    </w:p>
    <w:p>
      <w:pPr>
        <w:rPr>
          <w:rFonts w:hint="eastAsia"/>
          <w:lang w:val="en-US"/>
        </w:rPr>
      </w:pPr>
    </w:p>
    <w:p>
      <w:pPr>
        <w:spacing w:line="600" w:lineRule="exact"/>
        <w:jc w:val="center"/>
        <w:outlineLvl w:val="0"/>
        <w:rPr>
          <w:rFonts w:hint="eastAsia" w:ascii="黑体" w:hAnsi="黑体" w:eastAsia="黑体"/>
          <w:sz w:val="44"/>
          <w:szCs w:val="44"/>
        </w:rPr>
      </w:pPr>
      <w:bookmarkStart w:id="74" w:name="_Toc15291"/>
      <w:bookmarkStart w:id="75" w:name="_Toc15396618"/>
    </w:p>
    <w:p>
      <w:pPr>
        <w:pStyle w:val="15"/>
        <w:rPr>
          <w:rFonts w:hint="eastAsia" w:ascii="黑体" w:hAnsi="黑体" w:eastAsia="黑体"/>
          <w:sz w:val="44"/>
          <w:szCs w:val="44"/>
        </w:rPr>
      </w:pPr>
    </w:p>
    <w:p>
      <w:pPr>
        <w:pStyle w:val="8"/>
        <w:rPr>
          <w:rFonts w:hint="eastAsia" w:ascii="黑体" w:hAnsi="黑体" w:eastAsia="黑体"/>
          <w:sz w:val="44"/>
          <w:szCs w:val="44"/>
        </w:rPr>
      </w:pPr>
    </w:p>
    <w:p>
      <w:pPr>
        <w:rPr>
          <w:rFonts w:hint="eastAsia" w:ascii="黑体" w:hAnsi="黑体" w:eastAsia="黑体"/>
          <w:sz w:val="44"/>
          <w:szCs w:val="44"/>
        </w:rPr>
      </w:pPr>
    </w:p>
    <w:p>
      <w:pPr>
        <w:pStyle w:val="2"/>
        <w:rPr>
          <w:rFonts w:hint="eastAsia" w:ascii="黑体" w:hAnsi="黑体" w:eastAsia="黑体"/>
          <w:sz w:val="44"/>
          <w:szCs w:val="44"/>
        </w:rPr>
      </w:pPr>
    </w:p>
    <w:p>
      <w:pPr>
        <w:pStyle w:val="2"/>
        <w:rPr>
          <w:rFonts w:hint="eastAsia" w:ascii="黑体" w:hAnsi="黑体" w:eastAsia="黑体"/>
          <w:sz w:val="44"/>
          <w:szCs w:val="44"/>
        </w:rPr>
      </w:pPr>
    </w:p>
    <w:p>
      <w:pPr>
        <w:pStyle w:val="10"/>
        <w:rPr>
          <w:rFonts w:hint="eastAsia" w:ascii="黑体" w:hAnsi="黑体" w:eastAsia="黑体"/>
          <w:b/>
          <w:bCs/>
          <w:sz w:val="44"/>
          <w:szCs w:val="44"/>
        </w:rPr>
      </w:pPr>
    </w:p>
    <w:p>
      <w:pPr>
        <w:keepNext w:val="0"/>
        <w:keepLines w:val="0"/>
        <w:pageBreakBefore w:val="0"/>
        <w:widowControl w:val="0"/>
        <w:numPr>
          <w:ilvl w:val="0"/>
          <w:numId w:val="3"/>
        </w:numPr>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附</w:t>
      </w:r>
      <w:r>
        <w:rPr>
          <w:rFonts w:hint="eastAsia" w:ascii="方正小标宋_GBK" w:hAnsi="方正小标宋_GBK" w:eastAsia="方正小标宋_GBK" w:cs="方正小标宋_GBK"/>
          <w:sz w:val="36"/>
          <w:szCs w:val="36"/>
          <w:lang w:val="en-US" w:eastAsia="zh-CN"/>
        </w:rPr>
        <w:t xml:space="preserve">  </w:t>
      </w:r>
      <w:r>
        <w:rPr>
          <w:rFonts w:hint="eastAsia" w:ascii="方正小标宋_GBK" w:hAnsi="方正小标宋_GBK" w:eastAsia="方正小标宋_GBK" w:cs="方正小标宋_GBK"/>
          <w:sz w:val="36"/>
          <w:szCs w:val="36"/>
        </w:rPr>
        <w:t>表</w:t>
      </w:r>
      <w:bookmarkEnd w:id="71"/>
      <w:bookmarkEnd w:id="74"/>
      <w:bookmarkEnd w:id="75"/>
      <w:bookmarkStart w:id="76" w:name="_Toc15396619"/>
    </w:p>
    <w:p>
      <w:pPr>
        <w:pStyle w:val="10"/>
        <w:numPr>
          <w:ilvl w:val="0"/>
          <w:numId w:val="0"/>
        </w:numPr>
        <w:rPr>
          <w:rFonts w:hint="eastAsia"/>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bookmarkStart w:id="77" w:name="_Toc368"/>
      <w:r>
        <w:rPr>
          <w:rFonts w:hint="eastAsia" w:ascii="黑体" w:hAnsi="黑体" w:eastAsia="黑体" w:cs="黑体"/>
          <w:sz w:val="32"/>
          <w:szCs w:val="32"/>
        </w:rPr>
        <w:t>一、收入支出决算总表</w:t>
      </w:r>
      <w:bookmarkEnd w:id="76"/>
      <w:bookmarkEnd w:id="77"/>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bookmarkStart w:id="78" w:name="_Toc15396620"/>
      <w:bookmarkStart w:id="79" w:name="_Toc24530"/>
      <w:r>
        <w:rPr>
          <w:rFonts w:hint="eastAsia" w:ascii="黑体" w:hAnsi="黑体" w:eastAsia="黑体" w:cs="黑体"/>
          <w:sz w:val="32"/>
          <w:szCs w:val="32"/>
        </w:rPr>
        <w:t>二、收入决算表</w:t>
      </w:r>
      <w:bookmarkEnd w:id="78"/>
      <w:bookmarkEnd w:id="79"/>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bookmarkStart w:id="80" w:name="_Toc15396621"/>
      <w:bookmarkStart w:id="81" w:name="_Toc5208"/>
      <w:r>
        <w:rPr>
          <w:rFonts w:hint="eastAsia" w:ascii="黑体" w:hAnsi="黑体" w:eastAsia="黑体" w:cs="黑体"/>
          <w:sz w:val="32"/>
          <w:szCs w:val="32"/>
        </w:rPr>
        <w:t>三、支出决算表</w:t>
      </w:r>
      <w:bookmarkEnd w:id="80"/>
      <w:bookmarkEnd w:id="81"/>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bookmarkStart w:id="82" w:name="_Toc15396622"/>
      <w:bookmarkStart w:id="83" w:name="_Toc11573"/>
      <w:r>
        <w:rPr>
          <w:rFonts w:hint="eastAsia" w:ascii="黑体" w:hAnsi="黑体" w:eastAsia="黑体" w:cs="黑体"/>
          <w:sz w:val="32"/>
          <w:szCs w:val="32"/>
        </w:rPr>
        <w:t>四、财政拨款收入支出决算总表</w:t>
      </w:r>
      <w:bookmarkEnd w:id="82"/>
      <w:bookmarkEnd w:id="83"/>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bookmarkStart w:id="84" w:name="_Toc3839"/>
      <w:bookmarkStart w:id="85" w:name="_Toc15396623"/>
      <w:r>
        <w:rPr>
          <w:rFonts w:hint="eastAsia" w:ascii="黑体" w:hAnsi="黑体" w:eastAsia="黑体" w:cs="黑体"/>
          <w:sz w:val="32"/>
          <w:szCs w:val="32"/>
        </w:rPr>
        <w:t>五、财政拨款支出决算明细表</w:t>
      </w:r>
      <w:bookmarkEnd w:id="84"/>
      <w:bookmarkEnd w:id="85"/>
      <w:bookmarkStart w:id="86" w:name="_Toc15396624"/>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bookmarkStart w:id="87" w:name="_Toc13681"/>
      <w:r>
        <w:rPr>
          <w:rFonts w:hint="eastAsia" w:ascii="黑体" w:hAnsi="黑体" w:eastAsia="黑体" w:cs="黑体"/>
          <w:sz w:val="32"/>
          <w:szCs w:val="32"/>
        </w:rPr>
        <w:t>六、一般公共预算财政拨款支出决算表</w:t>
      </w:r>
      <w:bookmarkEnd w:id="86"/>
      <w:bookmarkEnd w:id="87"/>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bookmarkStart w:id="88" w:name="_Toc15396625"/>
      <w:bookmarkStart w:id="89" w:name="_Toc11225"/>
      <w:r>
        <w:rPr>
          <w:rFonts w:hint="eastAsia" w:ascii="黑体" w:hAnsi="黑体" w:eastAsia="黑体" w:cs="黑体"/>
          <w:sz w:val="32"/>
          <w:szCs w:val="32"/>
        </w:rPr>
        <w:t>七、一般公共预算财政拨款支出决算明细表</w:t>
      </w:r>
      <w:bookmarkEnd w:id="88"/>
      <w:bookmarkEnd w:id="89"/>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bookmarkStart w:id="90" w:name="_Toc25567"/>
      <w:bookmarkStart w:id="91" w:name="_Toc15396626"/>
      <w:r>
        <w:rPr>
          <w:rFonts w:hint="eastAsia" w:ascii="黑体" w:hAnsi="黑体" w:eastAsia="黑体" w:cs="黑体"/>
          <w:sz w:val="32"/>
          <w:szCs w:val="32"/>
        </w:rPr>
        <w:t>八、一般公共预算财政拨款基本支出决算</w:t>
      </w:r>
      <w:r>
        <w:rPr>
          <w:rFonts w:hint="eastAsia" w:ascii="黑体" w:hAnsi="黑体" w:eastAsia="黑体" w:cs="黑体"/>
          <w:sz w:val="32"/>
          <w:szCs w:val="32"/>
          <w:lang w:eastAsia="zh-CN"/>
        </w:rPr>
        <w:t>明细</w:t>
      </w:r>
      <w:r>
        <w:rPr>
          <w:rFonts w:hint="eastAsia" w:ascii="黑体" w:hAnsi="黑体" w:eastAsia="黑体" w:cs="黑体"/>
          <w:sz w:val="32"/>
          <w:szCs w:val="32"/>
        </w:rPr>
        <w:t>表</w:t>
      </w:r>
      <w:bookmarkEnd w:id="90"/>
      <w:bookmarkEnd w:id="91"/>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bookmarkStart w:id="92" w:name="_Toc15396627"/>
      <w:bookmarkStart w:id="93" w:name="_Toc8387"/>
      <w:r>
        <w:rPr>
          <w:rFonts w:hint="eastAsia" w:ascii="黑体" w:hAnsi="黑体" w:eastAsia="黑体" w:cs="黑体"/>
          <w:sz w:val="32"/>
          <w:szCs w:val="32"/>
        </w:rPr>
        <w:t>九、一般公共预算财政拨款项目支出决算表</w:t>
      </w:r>
      <w:bookmarkEnd w:id="92"/>
      <w:bookmarkEnd w:id="93"/>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bookmarkStart w:id="94" w:name="_Toc15396628"/>
      <w:bookmarkStart w:id="95" w:name="_Toc22307"/>
      <w:r>
        <w:rPr>
          <w:rFonts w:hint="eastAsia" w:ascii="黑体" w:hAnsi="黑体" w:eastAsia="黑体" w:cs="黑体"/>
          <w:sz w:val="32"/>
          <w:szCs w:val="32"/>
        </w:rPr>
        <w:t>十、</w:t>
      </w:r>
      <w:bookmarkEnd w:id="94"/>
      <w:r>
        <w:rPr>
          <w:rFonts w:hint="eastAsia" w:ascii="黑体" w:hAnsi="黑体" w:eastAsia="黑体" w:cs="黑体"/>
          <w:sz w:val="32"/>
          <w:szCs w:val="32"/>
        </w:rPr>
        <w:t>政府性基金预算财政拨款收入支出决算表</w:t>
      </w:r>
      <w:bookmarkEnd w:id="95"/>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bookmarkStart w:id="96" w:name="_Toc15396629"/>
      <w:bookmarkStart w:id="97" w:name="_Toc22795"/>
      <w:r>
        <w:rPr>
          <w:rFonts w:hint="eastAsia" w:ascii="黑体" w:hAnsi="黑体" w:eastAsia="黑体" w:cs="黑体"/>
          <w:sz w:val="32"/>
          <w:szCs w:val="32"/>
        </w:rPr>
        <w:t>十一、</w:t>
      </w:r>
      <w:bookmarkEnd w:id="96"/>
      <w:r>
        <w:rPr>
          <w:rFonts w:hint="eastAsia" w:ascii="黑体" w:hAnsi="黑体" w:eastAsia="黑体" w:cs="黑体"/>
          <w:sz w:val="32"/>
          <w:szCs w:val="32"/>
        </w:rPr>
        <w:t>国有资本经营预算财政拨款收入支出决算表</w:t>
      </w:r>
      <w:bookmarkEnd w:id="97"/>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bookmarkStart w:id="98" w:name="_Toc15396630"/>
      <w:bookmarkStart w:id="99" w:name="_Toc24491"/>
      <w:r>
        <w:rPr>
          <w:rFonts w:hint="eastAsia" w:ascii="黑体" w:hAnsi="黑体" w:eastAsia="黑体" w:cs="黑体"/>
          <w:sz w:val="32"/>
          <w:szCs w:val="32"/>
        </w:rPr>
        <w:t>十二、</w:t>
      </w:r>
      <w:bookmarkEnd w:id="98"/>
      <w:r>
        <w:rPr>
          <w:rFonts w:hint="eastAsia" w:ascii="黑体" w:hAnsi="黑体" w:eastAsia="黑体" w:cs="黑体"/>
          <w:sz w:val="32"/>
          <w:szCs w:val="32"/>
        </w:rPr>
        <w:t>国有资本经营预算财政拨款支出决算表</w:t>
      </w:r>
      <w:bookmarkEnd w:id="99"/>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bookmarkStart w:id="100" w:name="_Toc15396631"/>
      <w:bookmarkStart w:id="101" w:name="_Toc29812"/>
      <w:r>
        <w:rPr>
          <w:rFonts w:hint="eastAsia" w:ascii="黑体" w:hAnsi="黑体" w:eastAsia="黑体" w:cs="黑体"/>
          <w:sz w:val="32"/>
          <w:szCs w:val="32"/>
        </w:rPr>
        <w:t>十三、</w:t>
      </w:r>
      <w:bookmarkEnd w:id="100"/>
      <w:r>
        <w:rPr>
          <w:rFonts w:hint="eastAsia" w:ascii="黑体" w:hAnsi="黑体" w:eastAsia="黑体" w:cs="黑体"/>
          <w:sz w:val="32"/>
          <w:szCs w:val="32"/>
        </w:rPr>
        <w:t>财政拨款“三公”经费支出决算表</w:t>
      </w:r>
      <w:bookmarkEnd w:id="101"/>
    </w:p>
    <w:sectPr>
      <w:headerReference r:id="rId4" w:type="first"/>
      <w:footerReference r:id="rId6" w:type="first"/>
      <w:headerReference r:id="rId3" w:type="default"/>
      <w:footerReference r:id="rId5" w:type="default"/>
      <w:pgSz w:w="11906" w:h="16838"/>
      <w:pgMar w:top="2041" w:right="1468" w:bottom="1587" w:left="1468" w:header="851" w:footer="1077"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94126D5-B9B2-4446-B696-72B5B7E2BCF1}"/>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B2673259-33F8-46D4-8D05-7DA4F94680BB}"/>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embedRegular r:id="rId3" w:fontKey="{D6AA2954-812A-4527-8E6F-4BD079D42E08}"/>
  </w:font>
  <w:font w:name="仿宋">
    <w:panose1 w:val="02010609060101010101"/>
    <w:charset w:val="86"/>
    <w:family w:val="modern"/>
    <w:pitch w:val="default"/>
    <w:sig w:usb0="800002BF" w:usb1="38CF7CFA" w:usb2="00000016" w:usb3="00000000" w:csb0="00040001" w:csb1="00000000"/>
    <w:embedRegular r:id="rId4" w:fontKey="{A1C2044E-77FA-4F63-A7F6-F9531FC56CCA}"/>
  </w:font>
  <w:font w:name="??">
    <w:altName w:val="Times New Roman"/>
    <w:panose1 w:val="00000000000000000000"/>
    <w:charset w:val="00"/>
    <w:family w:val="roman"/>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embedRegular r:id="rId5" w:fontKey="{D6E8C42E-FCAD-4C95-8F92-CAA5C2566174}"/>
  </w:font>
  <w:font w:name="楷体_GB2312">
    <w:panose1 w:val="02010609030101010101"/>
    <w:charset w:val="86"/>
    <w:family w:val="modern"/>
    <w:pitch w:val="default"/>
    <w:sig w:usb0="00000001" w:usb1="080E0000" w:usb2="00000000" w:usb3="00000000" w:csb0="00040000" w:csb1="00000000"/>
    <w:embedRegular r:id="rId6" w:fontKey="{A0878A96-1AFA-41A8-B837-3E5D3CEC1BBA}"/>
  </w:font>
  <w:font w:name="楷体">
    <w:panose1 w:val="02010609060101010101"/>
    <w:charset w:val="86"/>
    <w:family w:val="auto"/>
    <w:pitch w:val="default"/>
    <w:sig w:usb0="800002BF" w:usb1="38CF7CFA" w:usb2="00000016" w:usb3="00000000" w:csb0="00040001" w:csb1="00000000"/>
    <w:embedRegular r:id="rId7" w:fontKey="{2C131952-D42B-487A-A71B-DB4815C6797D}"/>
  </w:font>
  <w:font w:name="方正小标宋_GBK">
    <w:panose1 w:val="03000509000000000000"/>
    <w:charset w:val="86"/>
    <w:family w:val="auto"/>
    <w:pitch w:val="default"/>
    <w:sig w:usb0="00000001" w:usb1="080E0000" w:usb2="00000000" w:usb3="00000000" w:csb0="00040000" w:csb1="00000000"/>
    <w:embedRegular r:id="rId8" w:fontKey="{6FB47938-61C2-4700-B496-C033AC5E6F0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-114300</wp:posOffset>
              </wp:positionV>
              <wp:extent cx="1006475" cy="250825"/>
              <wp:effectExtent l="0" t="0" r="0" b="0"/>
              <wp:wrapNone/>
              <wp:docPr id="1" name="文本框 1"/>
              <wp:cNvGraphicFramePr/>
              <a:graphic xmlns:a="http://schemas.openxmlformats.org/drawingml/2006/main">
                <a:graphicData uri="http://schemas.microsoft.com/office/word/2010/wordprocessingShape">
                  <wps:wsp>
                    <wps:cNvSpPr txBox="1"/>
                    <wps:spPr>
                      <a:xfrm>
                        <a:off x="0" y="0"/>
                        <a:ext cx="1006475" cy="2508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ind w:firstLine="280" w:firstLineChars="1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2</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9pt;height:19.75pt;width:79.25pt;mso-position-horizontal:outside;mso-position-horizontal-relative:margin;z-index:251659264;mso-width-relative:page;mso-height-relative:page;" filled="f" stroked="f" coordsize="21600,21600" o:gfxdata="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AAA3oD1QAAAAcBAAAPAAAAAAAAAAEAIAAAACIAAABkcnMvZG93bnJldi54&#10;bWxQSwECFAAUAAAACACHTuJAHZWVjzYCAABiBAAADgAAAAAAAAABACAAAAAkAQAAZHJzL2Uyb0Rv&#10;Yy54bWxQSwUGAAAAAAYABgBZAQAAzAUAAAAA&#10;">
              <v:fill on="f" focussize="0,0"/>
              <v:stroke on="f" weight="0.5pt"/>
              <v:imagedata o:title=""/>
              <o:lock v:ext="edit" aspectratio="f"/>
              <v:textbox inset="0mm,0mm,0mm,0mm">
                <w:txbxContent>
                  <w:p>
                    <w:pPr>
                      <w:pStyle w:val="12"/>
                      <w:ind w:firstLine="280" w:firstLineChars="1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2</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-114300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9pt;height:144pt;width:144pt;mso-position-horizontal:outside;mso-position-horizontal-relative:margin;mso-wrap-style:none;z-index:251660288;mso-width-relative:page;mso-height-relative:page;" filled="f" stroked="f" coordsize="21600,21600" o:gfxdata="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Bdon/n1AAAAAgBAAAPAAAAAAAAAAEAIAAAACIAAABkcnMvZG93bnJldi54bWxQSwEC&#10;FAAUAAAACACHTuJAJIJGtDECAABhBAAADgAAAAAAAAABACAAAAAjAQAAZHJzL2Uyb0RvYy54bWxQ&#10;SwUGAAAAAAYABgBZAQAAxgUAAAAA&#10;">
              <v:fill on="f" focussize="0,0"/>
              <v:stroke on="f" weight="0.5pt"/>
              <v:imagedata o:title=""/>
              <o:lock v:ext="edit" aspectratio="f"/>
              <v:textbox inset="0mm,0mm,0mm,0mm" style="mso-fit-shape-to-text:t;">
                <w:txbxContent>
                  <w:p>
                    <w:pPr>
                      <w:pStyle w:val="12"/>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1F2F0F"/>
    <w:multiLevelType w:val="singleLevel"/>
    <w:tmpl w:val="9C1F2F0F"/>
    <w:lvl w:ilvl="0" w:tentative="0">
      <w:start w:val="5"/>
      <w:numFmt w:val="chineseCounting"/>
      <w:suff w:val="space"/>
      <w:lvlText w:val="第%1部分"/>
      <w:lvlJc w:val="left"/>
      <w:rPr>
        <w:rFonts w:hint="eastAsia"/>
      </w:rPr>
    </w:lvl>
  </w:abstractNum>
  <w:abstractNum w:abstractNumId="1">
    <w:nsid w:val="00000002"/>
    <w:multiLevelType w:val="singleLevel"/>
    <w:tmpl w:val="00000002"/>
    <w:lvl w:ilvl="0" w:tentative="0">
      <w:start w:val="9"/>
      <w:numFmt w:val="chineseCounting"/>
      <w:suff w:val="nothing"/>
      <w:lvlText w:val="%1、"/>
      <w:lvlJc w:val="left"/>
      <w:rPr>
        <w:rFonts w:hint="eastAsia"/>
      </w:rPr>
    </w:lvl>
  </w:abstractNum>
  <w:abstractNum w:abstractNumId="2">
    <w:nsid w:val="0969FD8D"/>
    <w:multiLevelType w:val="singleLevel"/>
    <w:tmpl w:val="0969FD8D"/>
    <w:lvl w:ilvl="0" w:tentative="0">
      <w:start w:val="3"/>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EzNmUxMzM0NDc0NDg4ZGNjMjBiYThhNDM1ZjRlNWEifQ=="/>
  </w:docVars>
  <w:rsids>
    <w:rsidRoot w:val="00000000"/>
    <w:rsid w:val="00076B62"/>
    <w:rsid w:val="001E403F"/>
    <w:rsid w:val="00212106"/>
    <w:rsid w:val="00497811"/>
    <w:rsid w:val="005F037B"/>
    <w:rsid w:val="00902C2A"/>
    <w:rsid w:val="00973FB8"/>
    <w:rsid w:val="00E158AC"/>
    <w:rsid w:val="00EC11CA"/>
    <w:rsid w:val="00F54158"/>
    <w:rsid w:val="00FD071F"/>
    <w:rsid w:val="01213882"/>
    <w:rsid w:val="0147153B"/>
    <w:rsid w:val="01814321"/>
    <w:rsid w:val="01A1163F"/>
    <w:rsid w:val="01D5610F"/>
    <w:rsid w:val="01D94E22"/>
    <w:rsid w:val="02094A42"/>
    <w:rsid w:val="0214117B"/>
    <w:rsid w:val="022573A2"/>
    <w:rsid w:val="024C77AE"/>
    <w:rsid w:val="02D96CAF"/>
    <w:rsid w:val="03045209"/>
    <w:rsid w:val="03B30D15"/>
    <w:rsid w:val="03DE5A5A"/>
    <w:rsid w:val="04365896"/>
    <w:rsid w:val="046D56F7"/>
    <w:rsid w:val="04770389"/>
    <w:rsid w:val="04EC3681"/>
    <w:rsid w:val="04F25C61"/>
    <w:rsid w:val="05085485"/>
    <w:rsid w:val="052E47BF"/>
    <w:rsid w:val="056D51BF"/>
    <w:rsid w:val="05791EDF"/>
    <w:rsid w:val="05B80C59"/>
    <w:rsid w:val="05D37841"/>
    <w:rsid w:val="05D7519E"/>
    <w:rsid w:val="06503885"/>
    <w:rsid w:val="066260D6"/>
    <w:rsid w:val="06A64F55"/>
    <w:rsid w:val="06AE5BB8"/>
    <w:rsid w:val="07062A6D"/>
    <w:rsid w:val="07987E6E"/>
    <w:rsid w:val="07CC09EB"/>
    <w:rsid w:val="07F77D7D"/>
    <w:rsid w:val="0838377F"/>
    <w:rsid w:val="084F6F27"/>
    <w:rsid w:val="086230FE"/>
    <w:rsid w:val="089F6E20"/>
    <w:rsid w:val="08A76D63"/>
    <w:rsid w:val="08EC0C19"/>
    <w:rsid w:val="08FF019C"/>
    <w:rsid w:val="09150170"/>
    <w:rsid w:val="0A2D14EA"/>
    <w:rsid w:val="0A2F466E"/>
    <w:rsid w:val="0A9A411E"/>
    <w:rsid w:val="0AA56CF8"/>
    <w:rsid w:val="0AB01ACA"/>
    <w:rsid w:val="0AD45054"/>
    <w:rsid w:val="0ADC4AE3"/>
    <w:rsid w:val="0AEE6ECB"/>
    <w:rsid w:val="0AFE4248"/>
    <w:rsid w:val="0B3F7726"/>
    <w:rsid w:val="0B8A1A6C"/>
    <w:rsid w:val="0B927856"/>
    <w:rsid w:val="0BB84894"/>
    <w:rsid w:val="0C5F761D"/>
    <w:rsid w:val="0C632FA1"/>
    <w:rsid w:val="0C8732E3"/>
    <w:rsid w:val="0C965124"/>
    <w:rsid w:val="0CEA2B4F"/>
    <w:rsid w:val="0D2D4F52"/>
    <w:rsid w:val="0D3E0D03"/>
    <w:rsid w:val="0DDE3227"/>
    <w:rsid w:val="0E1E1875"/>
    <w:rsid w:val="0EB14A06"/>
    <w:rsid w:val="0EC63CAC"/>
    <w:rsid w:val="0EC96B65"/>
    <w:rsid w:val="0EFF16A6"/>
    <w:rsid w:val="0FA933C0"/>
    <w:rsid w:val="0FB07A16"/>
    <w:rsid w:val="0FDF12B9"/>
    <w:rsid w:val="0FE4089C"/>
    <w:rsid w:val="0FF705D0"/>
    <w:rsid w:val="100D1BA1"/>
    <w:rsid w:val="10615A49"/>
    <w:rsid w:val="108F3E01"/>
    <w:rsid w:val="10C5422A"/>
    <w:rsid w:val="10C91C32"/>
    <w:rsid w:val="10D31F69"/>
    <w:rsid w:val="10F863AD"/>
    <w:rsid w:val="11255BCA"/>
    <w:rsid w:val="11484E1A"/>
    <w:rsid w:val="11496C09"/>
    <w:rsid w:val="117375AD"/>
    <w:rsid w:val="1191235E"/>
    <w:rsid w:val="11EC3A38"/>
    <w:rsid w:val="11FF19BD"/>
    <w:rsid w:val="1214410B"/>
    <w:rsid w:val="12D80998"/>
    <w:rsid w:val="132C0590"/>
    <w:rsid w:val="135B2C24"/>
    <w:rsid w:val="1393035F"/>
    <w:rsid w:val="146B333A"/>
    <w:rsid w:val="148C0AB2"/>
    <w:rsid w:val="148D32B1"/>
    <w:rsid w:val="14DF603C"/>
    <w:rsid w:val="15162BEE"/>
    <w:rsid w:val="15367641"/>
    <w:rsid w:val="15B4486D"/>
    <w:rsid w:val="15CC09DD"/>
    <w:rsid w:val="15EB4733"/>
    <w:rsid w:val="1601311F"/>
    <w:rsid w:val="161029E6"/>
    <w:rsid w:val="16D40834"/>
    <w:rsid w:val="16D45DA9"/>
    <w:rsid w:val="16FA09A5"/>
    <w:rsid w:val="171B1048"/>
    <w:rsid w:val="176A3D0C"/>
    <w:rsid w:val="17B0754B"/>
    <w:rsid w:val="17E4768B"/>
    <w:rsid w:val="17F6119F"/>
    <w:rsid w:val="180E64B6"/>
    <w:rsid w:val="185C7097"/>
    <w:rsid w:val="18E216F1"/>
    <w:rsid w:val="18EB6462"/>
    <w:rsid w:val="192A178A"/>
    <w:rsid w:val="19616F1C"/>
    <w:rsid w:val="1A02029D"/>
    <w:rsid w:val="1A8E38DF"/>
    <w:rsid w:val="1AC11F06"/>
    <w:rsid w:val="1AFA434C"/>
    <w:rsid w:val="1B245FF1"/>
    <w:rsid w:val="1B3C333B"/>
    <w:rsid w:val="1B811695"/>
    <w:rsid w:val="1B866CAC"/>
    <w:rsid w:val="1C7E42B5"/>
    <w:rsid w:val="1C83719E"/>
    <w:rsid w:val="1C9868C0"/>
    <w:rsid w:val="1CEC3E5E"/>
    <w:rsid w:val="1DB73400"/>
    <w:rsid w:val="1DBE44DB"/>
    <w:rsid w:val="1DC835AB"/>
    <w:rsid w:val="1DF57D73"/>
    <w:rsid w:val="1EDF0BAD"/>
    <w:rsid w:val="1FC2004D"/>
    <w:rsid w:val="1FCC75E6"/>
    <w:rsid w:val="1FE3647B"/>
    <w:rsid w:val="20050FBC"/>
    <w:rsid w:val="20344F28"/>
    <w:rsid w:val="208F6602"/>
    <w:rsid w:val="20A1348F"/>
    <w:rsid w:val="20A2784F"/>
    <w:rsid w:val="20E44194"/>
    <w:rsid w:val="21B42CDC"/>
    <w:rsid w:val="21BD78F4"/>
    <w:rsid w:val="21CB5A95"/>
    <w:rsid w:val="21EC46D7"/>
    <w:rsid w:val="221D6C29"/>
    <w:rsid w:val="2265761B"/>
    <w:rsid w:val="22E23759"/>
    <w:rsid w:val="233A0AA7"/>
    <w:rsid w:val="236478D2"/>
    <w:rsid w:val="236B0C61"/>
    <w:rsid w:val="23764A11"/>
    <w:rsid w:val="237F470C"/>
    <w:rsid w:val="23801B75"/>
    <w:rsid w:val="2389558B"/>
    <w:rsid w:val="240406D3"/>
    <w:rsid w:val="2423153B"/>
    <w:rsid w:val="24D32D64"/>
    <w:rsid w:val="254A2AF8"/>
    <w:rsid w:val="25535E50"/>
    <w:rsid w:val="257D2ECD"/>
    <w:rsid w:val="258370EC"/>
    <w:rsid w:val="25932C98"/>
    <w:rsid w:val="25EE7DC2"/>
    <w:rsid w:val="25F5110B"/>
    <w:rsid w:val="260E5580"/>
    <w:rsid w:val="26321F3E"/>
    <w:rsid w:val="265A1287"/>
    <w:rsid w:val="2667250D"/>
    <w:rsid w:val="26B741BD"/>
    <w:rsid w:val="272F1DE5"/>
    <w:rsid w:val="276A122F"/>
    <w:rsid w:val="27BA03C5"/>
    <w:rsid w:val="27CC1EEA"/>
    <w:rsid w:val="286A598B"/>
    <w:rsid w:val="2898252A"/>
    <w:rsid w:val="28990A03"/>
    <w:rsid w:val="28F74D45"/>
    <w:rsid w:val="28F95D99"/>
    <w:rsid w:val="29872550"/>
    <w:rsid w:val="298C1931"/>
    <w:rsid w:val="29AD36BA"/>
    <w:rsid w:val="29BD4231"/>
    <w:rsid w:val="29DC6DF2"/>
    <w:rsid w:val="2A6D0569"/>
    <w:rsid w:val="2A7C15B5"/>
    <w:rsid w:val="2ABD3739"/>
    <w:rsid w:val="2AD73080"/>
    <w:rsid w:val="2ADE7F6A"/>
    <w:rsid w:val="2B165956"/>
    <w:rsid w:val="2B1B2F6C"/>
    <w:rsid w:val="2B30453E"/>
    <w:rsid w:val="2B3402AE"/>
    <w:rsid w:val="2B577D1D"/>
    <w:rsid w:val="2B6212D7"/>
    <w:rsid w:val="2B6D6E5E"/>
    <w:rsid w:val="2BD5201F"/>
    <w:rsid w:val="2C142774"/>
    <w:rsid w:val="2C4B7881"/>
    <w:rsid w:val="2C7E2617"/>
    <w:rsid w:val="2C82701B"/>
    <w:rsid w:val="2CB05936"/>
    <w:rsid w:val="2D0619FA"/>
    <w:rsid w:val="2D4F6B6B"/>
    <w:rsid w:val="2D9D25A3"/>
    <w:rsid w:val="2DB36779"/>
    <w:rsid w:val="2DB87198"/>
    <w:rsid w:val="2DBA4DD6"/>
    <w:rsid w:val="2DD10887"/>
    <w:rsid w:val="2E0715B0"/>
    <w:rsid w:val="2E560F6F"/>
    <w:rsid w:val="2E6D7396"/>
    <w:rsid w:val="2E720E09"/>
    <w:rsid w:val="2E81758A"/>
    <w:rsid w:val="2EA71A0D"/>
    <w:rsid w:val="2F1F32BF"/>
    <w:rsid w:val="2F535B76"/>
    <w:rsid w:val="2F8D2A62"/>
    <w:rsid w:val="2FAD0853"/>
    <w:rsid w:val="2FBE480E"/>
    <w:rsid w:val="2FDF00FD"/>
    <w:rsid w:val="2FF01FD7"/>
    <w:rsid w:val="3098505F"/>
    <w:rsid w:val="30C23404"/>
    <w:rsid w:val="30CE7C8C"/>
    <w:rsid w:val="30F72DBA"/>
    <w:rsid w:val="30F76205"/>
    <w:rsid w:val="312D39F9"/>
    <w:rsid w:val="31757D79"/>
    <w:rsid w:val="317C04DD"/>
    <w:rsid w:val="31A17F44"/>
    <w:rsid w:val="31D11919"/>
    <w:rsid w:val="322D668A"/>
    <w:rsid w:val="323E69F6"/>
    <w:rsid w:val="32670CCC"/>
    <w:rsid w:val="32C0264B"/>
    <w:rsid w:val="33430544"/>
    <w:rsid w:val="3428487A"/>
    <w:rsid w:val="3433268A"/>
    <w:rsid w:val="34334417"/>
    <w:rsid w:val="344E43B3"/>
    <w:rsid w:val="348F22D5"/>
    <w:rsid w:val="349D49F2"/>
    <w:rsid w:val="34CF1173"/>
    <w:rsid w:val="34D636DF"/>
    <w:rsid w:val="34DB599D"/>
    <w:rsid w:val="34DF14AF"/>
    <w:rsid w:val="35011425"/>
    <w:rsid w:val="35753BC1"/>
    <w:rsid w:val="359027A9"/>
    <w:rsid w:val="3595159F"/>
    <w:rsid w:val="359B52B3"/>
    <w:rsid w:val="35BF4E3C"/>
    <w:rsid w:val="35E3546D"/>
    <w:rsid w:val="3676530A"/>
    <w:rsid w:val="36812B92"/>
    <w:rsid w:val="369613EE"/>
    <w:rsid w:val="36B0094C"/>
    <w:rsid w:val="36E508D2"/>
    <w:rsid w:val="36F824DD"/>
    <w:rsid w:val="370C090F"/>
    <w:rsid w:val="372C0B89"/>
    <w:rsid w:val="376637C1"/>
    <w:rsid w:val="37C30C14"/>
    <w:rsid w:val="37FC2378"/>
    <w:rsid w:val="38283E12"/>
    <w:rsid w:val="38303DCF"/>
    <w:rsid w:val="3833384F"/>
    <w:rsid w:val="38532D07"/>
    <w:rsid w:val="38910D12"/>
    <w:rsid w:val="389B220F"/>
    <w:rsid w:val="38B467AE"/>
    <w:rsid w:val="38BB18EB"/>
    <w:rsid w:val="38C8225A"/>
    <w:rsid w:val="395871B1"/>
    <w:rsid w:val="397D3044"/>
    <w:rsid w:val="3A4D6EBA"/>
    <w:rsid w:val="3AC058DE"/>
    <w:rsid w:val="3AC20123"/>
    <w:rsid w:val="3AD71D29"/>
    <w:rsid w:val="3B296A70"/>
    <w:rsid w:val="3B3A045A"/>
    <w:rsid w:val="3B457B92"/>
    <w:rsid w:val="3C3976F6"/>
    <w:rsid w:val="3C7901A4"/>
    <w:rsid w:val="3CA7694E"/>
    <w:rsid w:val="3CD9790C"/>
    <w:rsid w:val="3CE65F8F"/>
    <w:rsid w:val="3CF12C38"/>
    <w:rsid w:val="3D282429"/>
    <w:rsid w:val="3D526EE0"/>
    <w:rsid w:val="3D6267D9"/>
    <w:rsid w:val="3D931088"/>
    <w:rsid w:val="3DB82EC7"/>
    <w:rsid w:val="3DC764B7"/>
    <w:rsid w:val="3E29379B"/>
    <w:rsid w:val="3E907559"/>
    <w:rsid w:val="3EA16330"/>
    <w:rsid w:val="3EC3774B"/>
    <w:rsid w:val="3F310B59"/>
    <w:rsid w:val="3F6E3B5B"/>
    <w:rsid w:val="3F7722E4"/>
    <w:rsid w:val="3F7C08E6"/>
    <w:rsid w:val="3FEE5436"/>
    <w:rsid w:val="3FF04570"/>
    <w:rsid w:val="408E2A64"/>
    <w:rsid w:val="409018AF"/>
    <w:rsid w:val="40955117"/>
    <w:rsid w:val="40A92971"/>
    <w:rsid w:val="410C362B"/>
    <w:rsid w:val="41546D80"/>
    <w:rsid w:val="4174388F"/>
    <w:rsid w:val="41A52703"/>
    <w:rsid w:val="41DE664A"/>
    <w:rsid w:val="4284574D"/>
    <w:rsid w:val="428B3870"/>
    <w:rsid w:val="428B6345"/>
    <w:rsid w:val="43590BE7"/>
    <w:rsid w:val="4370693A"/>
    <w:rsid w:val="438F3A45"/>
    <w:rsid w:val="43B066D8"/>
    <w:rsid w:val="43D16466"/>
    <w:rsid w:val="43F32B2E"/>
    <w:rsid w:val="44140221"/>
    <w:rsid w:val="44B57B36"/>
    <w:rsid w:val="44F27FEE"/>
    <w:rsid w:val="45683C3B"/>
    <w:rsid w:val="459B6A00"/>
    <w:rsid w:val="45A831F7"/>
    <w:rsid w:val="45F25F74"/>
    <w:rsid w:val="45FD1795"/>
    <w:rsid w:val="46026DAB"/>
    <w:rsid w:val="461F3FED"/>
    <w:rsid w:val="465D66D7"/>
    <w:rsid w:val="46BD7176"/>
    <w:rsid w:val="46C6602A"/>
    <w:rsid w:val="46CC1167"/>
    <w:rsid w:val="47352751"/>
    <w:rsid w:val="47537E36"/>
    <w:rsid w:val="47E6307E"/>
    <w:rsid w:val="48224860"/>
    <w:rsid w:val="483F42E6"/>
    <w:rsid w:val="48486AFA"/>
    <w:rsid w:val="484D0086"/>
    <w:rsid w:val="485811E2"/>
    <w:rsid w:val="48693111"/>
    <w:rsid w:val="488C1512"/>
    <w:rsid w:val="48961A2D"/>
    <w:rsid w:val="49095DF0"/>
    <w:rsid w:val="491B0746"/>
    <w:rsid w:val="493E5906"/>
    <w:rsid w:val="494B0A69"/>
    <w:rsid w:val="499523D7"/>
    <w:rsid w:val="4A1E5AAC"/>
    <w:rsid w:val="4A556FE7"/>
    <w:rsid w:val="4A7B35D0"/>
    <w:rsid w:val="4AB202BA"/>
    <w:rsid w:val="4AB92302"/>
    <w:rsid w:val="4AEE5B50"/>
    <w:rsid w:val="4AF7544C"/>
    <w:rsid w:val="4B09298A"/>
    <w:rsid w:val="4B2E0813"/>
    <w:rsid w:val="4B4962BD"/>
    <w:rsid w:val="4C3677AE"/>
    <w:rsid w:val="4CAE37E9"/>
    <w:rsid w:val="4CBD57DA"/>
    <w:rsid w:val="4D344DF7"/>
    <w:rsid w:val="4D491763"/>
    <w:rsid w:val="4D5F4AE3"/>
    <w:rsid w:val="4E7E1755"/>
    <w:rsid w:val="4EB33338"/>
    <w:rsid w:val="4EEA5D88"/>
    <w:rsid w:val="4F22226C"/>
    <w:rsid w:val="4F820F5D"/>
    <w:rsid w:val="4FB21842"/>
    <w:rsid w:val="4FC1669B"/>
    <w:rsid w:val="5006393C"/>
    <w:rsid w:val="50100316"/>
    <w:rsid w:val="503A0FFF"/>
    <w:rsid w:val="50451E54"/>
    <w:rsid w:val="505C17AE"/>
    <w:rsid w:val="50874A7C"/>
    <w:rsid w:val="509677D0"/>
    <w:rsid w:val="50AA4B2B"/>
    <w:rsid w:val="50BD049E"/>
    <w:rsid w:val="50D8144F"/>
    <w:rsid w:val="50DA209B"/>
    <w:rsid w:val="50E023DF"/>
    <w:rsid w:val="510E7037"/>
    <w:rsid w:val="514C1822"/>
    <w:rsid w:val="514F5C6A"/>
    <w:rsid w:val="517008C5"/>
    <w:rsid w:val="517C7EE7"/>
    <w:rsid w:val="51D35A9F"/>
    <w:rsid w:val="51E67581"/>
    <w:rsid w:val="522D3402"/>
    <w:rsid w:val="52BE04FE"/>
    <w:rsid w:val="52F537F4"/>
    <w:rsid w:val="52F55ED8"/>
    <w:rsid w:val="53057EDB"/>
    <w:rsid w:val="536B5A0F"/>
    <w:rsid w:val="5379147E"/>
    <w:rsid w:val="53B15D31"/>
    <w:rsid w:val="53D224B3"/>
    <w:rsid w:val="542E520F"/>
    <w:rsid w:val="54BC247B"/>
    <w:rsid w:val="55425416"/>
    <w:rsid w:val="559A4213"/>
    <w:rsid w:val="562C1C22"/>
    <w:rsid w:val="562E14F6"/>
    <w:rsid w:val="563277CD"/>
    <w:rsid w:val="563E0931"/>
    <w:rsid w:val="564C575A"/>
    <w:rsid w:val="5684380C"/>
    <w:rsid w:val="56AD4A20"/>
    <w:rsid w:val="575B20A9"/>
    <w:rsid w:val="577713A1"/>
    <w:rsid w:val="57957137"/>
    <w:rsid w:val="5805272B"/>
    <w:rsid w:val="58371109"/>
    <w:rsid w:val="585C67EF"/>
    <w:rsid w:val="58B03F8E"/>
    <w:rsid w:val="58DD0FB2"/>
    <w:rsid w:val="59030A18"/>
    <w:rsid w:val="594432C3"/>
    <w:rsid w:val="594B7339"/>
    <w:rsid w:val="5960040B"/>
    <w:rsid w:val="597B0388"/>
    <w:rsid w:val="59BD7302"/>
    <w:rsid w:val="59D5023D"/>
    <w:rsid w:val="59DF76D7"/>
    <w:rsid w:val="59FE7432"/>
    <w:rsid w:val="5A8C2C8F"/>
    <w:rsid w:val="5ABA77FD"/>
    <w:rsid w:val="5AD05272"/>
    <w:rsid w:val="5AE900E2"/>
    <w:rsid w:val="5B331FE9"/>
    <w:rsid w:val="5B9E482C"/>
    <w:rsid w:val="5BFA12B3"/>
    <w:rsid w:val="5C0F1DCA"/>
    <w:rsid w:val="5C392AD6"/>
    <w:rsid w:val="5CAA5985"/>
    <w:rsid w:val="5CDE4311"/>
    <w:rsid w:val="5CF54548"/>
    <w:rsid w:val="5CFC343A"/>
    <w:rsid w:val="5D0379AC"/>
    <w:rsid w:val="5D755C5D"/>
    <w:rsid w:val="5DE6128F"/>
    <w:rsid w:val="5DF11787"/>
    <w:rsid w:val="5DF64FF0"/>
    <w:rsid w:val="5EFA28BD"/>
    <w:rsid w:val="5F1C6CD8"/>
    <w:rsid w:val="5F27742B"/>
    <w:rsid w:val="5F4B4EC7"/>
    <w:rsid w:val="5F555614"/>
    <w:rsid w:val="5F922AF6"/>
    <w:rsid w:val="5FD77CF4"/>
    <w:rsid w:val="603708EB"/>
    <w:rsid w:val="6076159B"/>
    <w:rsid w:val="60CD2CBA"/>
    <w:rsid w:val="61016185"/>
    <w:rsid w:val="616F2979"/>
    <w:rsid w:val="618A333F"/>
    <w:rsid w:val="62612D76"/>
    <w:rsid w:val="62937BF4"/>
    <w:rsid w:val="62A72D5C"/>
    <w:rsid w:val="62E01DCA"/>
    <w:rsid w:val="631310CC"/>
    <w:rsid w:val="632A5196"/>
    <w:rsid w:val="63666773"/>
    <w:rsid w:val="636B3D8A"/>
    <w:rsid w:val="6399194E"/>
    <w:rsid w:val="63E05484"/>
    <w:rsid w:val="63E57717"/>
    <w:rsid w:val="63E762F0"/>
    <w:rsid w:val="63E76481"/>
    <w:rsid w:val="63FF0976"/>
    <w:rsid w:val="642E6B65"/>
    <w:rsid w:val="646E64AD"/>
    <w:rsid w:val="649966D5"/>
    <w:rsid w:val="649C62B2"/>
    <w:rsid w:val="653114E9"/>
    <w:rsid w:val="65624D19"/>
    <w:rsid w:val="65B763A9"/>
    <w:rsid w:val="65DA12D2"/>
    <w:rsid w:val="65F02F85"/>
    <w:rsid w:val="66224108"/>
    <w:rsid w:val="6635242D"/>
    <w:rsid w:val="665926B5"/>
    <w:rsid w:val="66631110"/>
    <w:rsid w:val="66A30E71"/>
    <w:rsid w:val="67317098"/>
    <w:rsid w:val="675D7E8D"/>
    <w:rsid w:val="676761D3"/>
    <w:rsid w:val="676A25AA"/>
    <w:rsid w:val="676B534F"/>
    <w:rsid w:val="67753429"/>
    <w:rsid w:val="6776097B"/>
    <w:rsid w:val="678816CB"/>
    <w:rsid w:val="678B2F99"/>
    <w:rsid w:val="682B3AE8"/>
    <w:rsid w:val="68435CC2"/>
    <w:rsid w:val="68474187"/>
    <w:rsid w:val="6874270D"/>
    <w:rsid w:val="68BC4A27"/>
    <w:rsid w:val="68D104C1"/>
    <w:rsid w:val="694810F2"/>
    <w:rsid w:val="694F2EC9"/>
    <w:rsid w:val="69733998"/>
    <w:rsid w:val="69BB70ED"/>
    <w:rsid w:val="6A2C3B47"/>
    <w:rsid w:val="6AB524CF"/>
    <w:rsid w:val="6AB75B07"/>
    <w:rsid w:val="6AD11D51"/>
    <w:rsid w:val="6B00437F"/>
    <w:rsid w:val="6B122D3D"/>
    <w:rsid w:val="6B2324F2"/>
    <w:rsid w:val="6B3D425E"/>
    <w:rsid w:val="6BBB33D4"/>
    <w:rsid w:val="6C41626E"/>
    <w:rsid w:val="6C951E77"/>
    <w:rsid w:val="6CC25CE0"/>
    <w:rsid w:val="6CCA5D55"/>
    <w:rsid w:val="6CCB7647"/>
    <w:rsid w:val="6CED3A62"/>
    <w:rsid w:val="6CFC0073"/>
    <w:rsid w:val="6D544E73"/>
    <w:rsid w:val="6D5E0469"/>
    <w:rsid w:val="6D785A21"/>
    <w:rsid w:val="6DE77B49"/>
    <w:rsid w:val="6E0B2BF4"/>
    <w:rsid w:val="6E1B09FD"/>
    <w:rsid w:val="6E486BBF"/>
    <w:rsid w:val="6E837F13"/>
    <w:rsid w:val="6EBD1212"/>
    <w:rsid w:val="6EDA5791"/>
    <w:rsid w:val="6EFC4430"/>
    <w:rsid w:val="6F064323"/>
    <w:rsid w:val="6FE41C9B"/>
    <w:rsid w:val="6FFB46E7"/>
    <w:rsid w:val="700C06A3"/>
    <w:rsid w:val="70822713"/>
    <w:rsid w:val="70F058CE"/>
    <w:rsid w:val="70F660A9"/>
    <w:rsid w:val="7125457C"/>
    <w:rsid w:val="71893AFC"/>
    <w:rsid w:val="72210BEB"/>
    <w:rsid w:val="72451C4A"/>
    <w:rsid w:val="72695938"/>
    <w:rsid w:val="727A362F"/>
    <w:rsid w:val="72872262"/>
    <w:rsid w:val="72BA06E7"/>
    <w:rsid w:val="72CE1C3F"/>
    <w:rsid w:val="73473456"/>
    <w:rsid w:val="73EB05CF"/>
    <w:rsid w:val="7416564C"/>
    <w:rsid w:val="74233190"/>
    <w:rsid w:val="74250B99"/>
    <w:rsid w:val="746111AE"/>
    <w:rsid w:val="74DF1EE2"/>
    <w:rsid w:val="750758DC"/>
    <w:rsid w:val="7555087C"/>
    <w:rsid w:val="759A46CB"/>
    <w:rsid w:val="75A076AB"/>
    <w:rsid w:val="75F776FF"/>
    <w:rsid w:val="763F69C9"/>
    <w:rsid w:val="767D5E56"/>
    <w:rsid w:val="773B0E7C"/>
    <w:rsid w:val="77A70E58"/>
    <w:rsid w:val="78512A81"/>
    <w:rsid w:val="787065C4"/>
    <w:rsid w:val="79164340"/>
    <w:rsid w:val="79202AC9"/>
    <w:rsid w:val="7971028C"/>
    <w:rsid w:val="79A92E6E"/>
    <w:rsid w:val="79DC35C4"/>
    <w:rsid w:val="7A13741D"/>
    <w:rsid w:val="7A3028B6"/>
    <w:rsid w:val="7A4A2C13"/>
    <w:rsid w:val="7A611C57"/>
    <w:rsid w:val="7A98414B"/>
    <w:rsid w:val="7ADB0FA6"/>
    <w:rsid w:val="7AFF5897"/>
    <w:rsid w:val="7B1D3764"/>
    <w:rsid w:val="7B387A1F"/>
    <w:rsid w:val="7B3C5469"/>
    <w:rsid w:val="7B887941"/>
    <w:rsid w:val="7B90009C"/>
    <w:rsid w:val="7BE559D6"/>
    <w:rsid w:val="7BEA793B"/>
    <w:rsid w:val="7C0D35DB"/>
    <w:rsid w:val="7C151FDC"/>
    <w:rsid w:val="7CFE57E6"/>
    <w:rsid w:val="7D4A0A5C"/>
    <w:rsid w:val="7D895E75"/>
    <w:rsid w:val="7DB65946"/>
    <w:rsid w:val="7DBB54B6"/>
    <w:rsid w:val="7DDC3C31"/>
    <w:rsid w:val="7E1006A8"/>
    <w:rsid w:val="7E363A8B"/>
    <w:rsid w:val="7E70004F"/>
    <w:rsid w:val="7E906943"/>
    <w:rsid w:val="7EA06B86"/>
    <w:rsid w:val="7EA364AE"/>
    <w:rsid w:val="7F264BB1"/>
    <w:rsid w:val="7F6D458E"/>
    <w:rsid w:val="7FCC7FB2"/>
    <w:rsid w:val="7FDC412A"/>
    <w:rsid w:val="7FEA409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2"/>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3"/>
    <w:qFormat/>
    <w:uiPriority w:val="9"/>
    <w:pPr>
      <w:keepNext/>
      <w:keepLines/>
      <w:spacing w:before="260" w:after="260" w:line="416" w:lineRule="auto"/>
      <w:outlineLvl w:val="1"/>
    </w:pPr>
    <w:rPr>
      <w:rFonts w:ascii="Cambria" w:hAnsi="Cambria" w:eastAsia="宋体" w:cs="宋体"/>
      <w:b/>
      <w:bCs/>
      <w:sz w:val="32"/>
      <w:szCs w:val="32"/>
    </w:rPr>
  </w:style>
  <w:style w:type="paragraph" w:styleId="5">
    <w:name w:val="heading 3"/>
    <w:basedOn w:val="1"/>
    <w:next w:val="1"/>
    <w:link w:val="36"/>
    <w:qFormat/>
    <w:uiPriority w:val="9"/>
    <w:pPr>
      <w:keepNext/>
      <w:keepLines/>
      <w:spacing w:before="260" w:after="260" w:line="416" w:lineRule="auto"/>
      <w:outlineLvl w:val="2"/>
    </w:pPr>
    <w:rPr>
      <w:b/>
      <w:bCs/>
      <w:sz w:val="32"/>
      <w:szCs w:val="32"/>
    </w:rPr>
  </w:style>
  <w:style w:type="character" w:default="1" w:styleId="20">
    <w:name w:val="Default Paragraph Font"/>
    <w:qFormat/>
    <w:uiPriority w:val="1"/>
  </w:style>
  <w:style w:type="table" w:default="1" w:styleId="18">
    <w:name w:val="Normal Table"/>
    <w:qFormat/>
    <w:uiPriority w:val="99"/>
    <w:tblPr>
      <w:tblCellMar>
        <w:top w:w="0" w:type="dxa"/>
        <w:left w:w="108" w:type="dxa"/>
        <w:bottom w:w="0" w:type="dxa"/>
        <w:right w:w="108" w:type="dxa"/>
      </w:tblCellMar>
    </w:tblPr>
  </w:style>
  <w:style w:type="paragraph" w:styleId="2">
    <w:name w:val="Body Text"/>
    <w:basedOn w:val="1"/>
    <w:link w:val="29"/>
    <w:qFormat/>
    <w:uiPriority w:val="99"/>
    <w:pPr>
      <w:spacing w:beforeLines="30"/>
    </w:pPr>
    <w:rPr>
      <w:rFonts w:ascii="仿宋_GB2312" w:eastAsia="仿宋_GB2312"/>
      <w:kern w:val="0"/>
      <w:sz w:val="30"/>
    </w:rPr>
  </w:style>
  <w:style w:type="paragraph" w:styleId="6">
    <w:name w:val="Salutation"/>
    <w:basedOn w:val="1"/>
    <w:next w:val="1"/>
    <w:qFormat/>
    <w:uiPriority w:val="0"/>
    <w:pPr>
      <w:adjustRightInd w:val="0"/>
      <w:snapToGrid w:val="0"/>
    </w:pPr>
    <w:rPr>
      <w:rFonts w:ascii="Calibri" w:hAnsi="Calibri"/>
    </w:rPr>
  </w:style>
  <w:style w:type="paragraph" w:styleId="7">
    <w:name w:val="Body Text Indent"/>
    <w:basedOn w:val="1"/>
    <w:next w:val="8"/>
    <w:qFormat/>
    <w:uiPriority w:val="0"/>
    <w:pPr>
      <w:spacing w:after="120"/>
      <w:ind w:left="200" w:leftChars="200"/>
    </w:pPr>
    <w:rPr>
      <w:rFonts w:ascii="仿宋_GB2312"/>
      <w:szCs w:val="32"/>
    </w:rPr>
  </w:style>
  <w:style w:type="paragraph" w:styleId="8">
    <w:name w:val="Body Text First Indent 2"/>
    <w:basedOn w:val="7"/>
    <w:next w:val="1"/>
    <w:qFormat/>
    <w:uiPriority w:val="99"/>
    <w:pPr>
      <w:ind w:firstLine="420" w:firstLineChars="200"/>
    </w:pPr>
  </w:style>
  <w:style w:type="paragraph" w:styleId="9">
    <w:name w:val="toc 3"/>
    <w:basedOn w:val="1"/>
    <w:next w:val="1"/>
    <w:qFormat/>
    <w:uiPriority w:val="39"/>
    <w:pPr>
      <w:tabs>
        <w:tab w:val="right" w:leader="dot" w:pos="8296"/>
      </w:tabs>
      <w:ind w:left="840" w:leftChars="400"/>
    </w:pPr>
  </w:style>
  <w:style w:type="paragraph" w:styleId="10">
    <w:name w:val="Plain Text"/>
    <w:basedOn w:val="1"/>
    <w:qFormat/>
    <w:uiPriority w:val="99"/>
    <w:rPr>
      <w:rFonts w:ascii="宋体" w:hAnsi="Courier New" w:eastAsia="宋体"/>
      <w:szCs w:val="21"/>
    </w:rPr>
  </w:style>
  <w:style w:type="paragraph" w:styleId="11">
    <w:name w:val="Balloon Text"/>
    <w:basedOn w:val="1"/>
    <w:link w:val="35"/>
    <w:qFormat/>
    <w:uiPriority w:val="99"/>
    <w:rPr>
      <w:sz w:val="18"/>
      <w:szCs w:val="18"/>
    </w:rPr>
  </w:style>
  <w:style w:type="paragraph" w:styleId="12">
    <w:name w:val="footer"/>
    <w:basedOn w:val="1"/>
    <w:link w:val="27"/>
    <w:qFormat/>
    <w:uiPriority w:val="99"/>
    <w:pPr>
      <w:tabs>
        <w:tab w:val="center" w:pos="4153"/>
        <w:tab w:val="right" w:pos="8306"/>
      </w:tabs>
      <w:snapToGrid w:val="0"/>
      <w:jc w:val="left"/>
    </w:pPr>
    <w:rPr>
      <w:rFonts w:ascii="Calibri" w:hAnsi="Calibri"/>
      <w:kern w:val="0"/>
      <w:sz w:val="18"/>
      <w:szCs w:val="18"/>
    </w:rPr>
  </w:style>
  <w:style w:type="paragraph" w:styleId="13">
    <w:name w:val="header"/>
    <w:basedOn w:val="1"/>
    <w:link w:val="25"/>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4">
    <w:name w:val="toc 1"/>
    <w:basedOn w:val="1"/>
    <w:next w:val="1"/>
    <w:qFormat/>
    <w:uiPriority w:val="39"/>
    <w:pPr>
      <w:tabs>
        <w:tab w:val="right" w:leader="dot" w:pos="8296"/>
      </w:tabs>
      <w:spacing w:before="93"/>
      <w:jc w:val="center"/>
    </w:pPr>
    <w:rPr>
      <w:rFonts w:ascii="仿宋" w:hAnsi="仿宋" w:eastAsia="仿宋"/>
      <w:sz w:val="28"/>
      <w:szCs w:val="28"/>
    </w:rPr>
  </w:style>
  <w:style w:type="paragraph" w:styleId="15">
    <w:name w:val="footnote text"/>
    <w:basedOn w:val="1"/>
    <w:next w:val="8"/>
    <w:semiHidden/>
    <w:qFormat/>
    <w:uiPriority w:val="0"/>
    <w:pPr>
      <w:snapToGrid w:val="0"/>
      <w:jc w:val="left"/>
    </w:pPr>
    <w:rPr>
      <w:sz w:val="18"/>
      <w:szCs w:val="18"/>
    </w:rPr>
  </w:style>
  <w:style w:type="paragraph" w:styleId="16">
    <w:name w:val="table of figures"/>
    <w:basedOn w:val="1"/>
    <w:next w:val="1"/>
    <w:qFormat/>
    <w:uiPriority w:val="0"/>
    <w:pPr>
      <w:ind w:left="200" w:leftChars="200" w:hanging="200" w:hangingChars="200"/>
    </w:pPr>
  </w:style>
  <w:style w:type="paragraph" w:styleId="17">
    <w:name w:val="toc 2"/>
    <w:basedOn w:val="1"/>
    <w:next w:val="1"/>
    <w:qFormat/>
    <w:uiPriority w:val="39"/>
    <w:pPr>
      <w:tabs>
        <w:tab w:val="right" w:leader="dot" w:pos="8296"/>
      </w:tabs>
      <w:ind w:left="420" w:leftChars="200"/>
    </w:pPr>
  </w:style>
  <w:style w:type="table" w:styleId="19">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99"/>
    <w:rPr>
      <w:b/>
    </w:rPr>
  </w:style>
  <w:style w:type="character" w:styleId="22">
    <w:name w:val="Hyperlink"/>
    <w:basedOn w:val="20"/>
    <w:qFormat/>
    <w:uiPriority w:val="99"/>
    <w:rPr>
      <w:color w:val="0000FF"/>
      <w:u w:val="single"/>
    </w:rPr>
  </w:style>
  <w:style w:type="paragraph" w:customStyle="1" w:styleId="23">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4">
    <w:name w:val="Header Char_d3acd3db-d79b-4550-b6d9-b86474903cdb"/>
    <w:basedOn w:val="20"/>
    <w:qFormat/>
    <w:uiPriority w:val="99"/>
    <w:rPr>
      <w:rFonts w:ascii="Times New Roman" w:hAnsi="Times New Roman"/>
      <w:sz w:val="18"/>
      <w:szCs w:val="18"/>
    </w:rPr>
  </w:style>
  <w:style w:type="character" w:customStyle="1" w:styleId="25">
    <w:name w:val="页眉 字符"/>
    <w:link w:val="13"/>
    <w:qFormat/>
    <w:uiPriority w:val="99"/>
    <w:rPr>
      <w:sz w:val="18"/>
    </w:rPr>
  </w:style>
  <w:style w:type="character" w:customStyle="1" w:styleId="26">
    <w:name w:val="Footer Char_b6f12fff-9a39-4e9c-a8b2-c045df0c9ff3"/>
    <w:basedOn w:val="20"/>
    <w:qFormat/>
    <w:uiPriority w:val="99"/>
    <w:rPr>
      <w:rFonts w:ascii="Times New Roman" w:hAnsi="Times New Roman"/>
      <w:sz w:val="18"/>
      <w:szCs w:val="18"/>
    </w:rPr>
  </w:style>
  <w:style w:type="character" w:customStyle="1" w:styleId="27">
    <w:name w:val="页脚 字符"/>
    <w:link w:val="12"/>
    <w:qFormat/>
    <w:uiPriority w:val="99"/>
    <w:rPr>
      <w:sz w:val="18"/>
    </w:rPr>
  </w:style>
  <w:style w:type="character" w:customStyle="1" w:styleId="28">
    <w:name w:val="Body Text Char"/>
    <w:basedOn w:val="20"/>
    <w:qFormat/>
    <w:uiPriority w:val="99"/>
    <w:rPr>
      <w:rFonts w:ascii="Times New Roman" w:hAnsi="Times New Roman"/>
      <w:szCs w:val="24"/>
    </w:rPr>
  </w:style>
  <w:style w:type="character" w:customStyle="1" w:styleId="29">
    <w:name w:val="正文文本 字符"/>
    <w:link w:val="2"/>
    <w:qFormat/>
    <w:uiPriority w:val="99"/>
    <w:rPr>
      <w:rFonts w:ascii="仿宋_GB2312" w:hAnsi="Times New Roman" w:eastAsia="仿宋_GB2312"/>
      <w:sz w:val="24"/>
    </w:rPr>
  </w:style>
  <w:style w:type="paragraph" w:customStyle="1" w:styleId="30">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31">
    <w:name w:val="List Paragraph"/>
    <w:basedOn w:val="1"/>
    <w:qFormat/>
    <w:uiPriority w:val="34"/>
    <w:pPr>
      <w:ind w:firstLine="420" w:firstLineChars="200"/>
    </w:pPr>
  </w:style>
  <w:style w:type="character" w:customStyle="1" w:styleId="32">
    <w:name w:val="标题 1 字符"/>
    <w:basedOn w:val="20"/>
    <w:link w:val="3"/>
    <w:qFormat/>
    <w:uiPriority w:val="9"/>
    <w:rPr>
      <w:rFonts w:ascii="Times New Roman" w:hAnsi="Times New Roman"/>
      <w:b/>
      <w:bCs/>
      <w:kern w:val="44"/>
      <w:sz w:val="44"/>
      <w:szCs w:val="44"/>
    </w:rPr>
  </w:style>
  <w:style w:type="character" w:customStyle="1" w:styleId="33">
    <w:name w:val="标题 2 字符"/>
    <w:basedOn w:val="20"/>
    <w:link w:val="4"/>
    <w:qFormat/>
    <w:uiPriority w:val="9"/>
    <w:rPr>
      <w:rFonts w:ascii="Cambria" w:hAnsi="Cambria" w:eastAsia="宋体" w:cs="宋体"/>
      <w:b/>
      <w:bCs/>
      <w:kern w:val="2"/>
      <w:sz w:val="32"/>
      <w:szCs w:val="32"/>
    </w:rPr>
  </w:style>
  <w:style w:type="paragraph" w:customStyle="1" w:styleId="34">
    <w:name w:val="TOC 标题1"/>
    <w:basedOn w:val="3"/>
    <w:next w:val="1"/>
    <w:qFormat/>
    <w:uiPriority w:val="39"/>
    <w:pPr>
      <w:widowControl/>
      <w:spacing w:before="480" w:after="0" w:line="276" w:lineRule="auto"/>
      <w:jc w:val="left"/>
      <w:outlineLvl w:val="9"/>
    </w:pPr>
    <w:rPr>
      <w:rFonts w:ascii="Cambria" w:hAnsi="Cambria" w:eastAsia="宋体" w:cs="宋体"/>
      <w:color w:val="376092"/>
      <w:kern w:val="0"/>
      <w:sz w:val="28"/>
      <w:szCs w:val="28"/>
    </w:rPr>
  </w:style>
  <w:style w:type="character" w:customStyle="1" w:styleId="35">
    <w:name w:val="批注框文本 字符"/>
    <w:basedOn w:val="20"/>
    <w:link w:val="11"/>
    <w:qFormat/>
    <w:uiPriority w:val="99"/>
    <w:rPr>
      <w:rFonts w:ascii="Times New Roman" w:hAnsi="Times New Roman"/>
      <w:kern w:val="2"/>
      <w:sz w:val="18"/>
      <w:szCs w:val="18"/>
    </w:rPr>
  </w:style>
  <w:style w:type="character" w:customStyle="1" w:styleId="36">
    <w:name w:val="标题 3 字符"/>
    <w:basedOn w:val="20"/>
    <w:link w:val="5"/>
    <w:qFormat/>
    <w:uiPriority w:val="9"/>
    <w:rPr>
      <w:rFonts w:ascii="Times New Roman" w:hAnsi="Times New Roman"/>
      <w:b/>
      <w:bCs/>
      <w:kern w:val="2"/>
      <w:sz w:val="32"/>
      <w:szCs w:val="32"/>
    </w:rPr>
  </w:style>
  <w:style w:type="paragraph" w:customStyle="1" w:styleId="37">
    <w:name w:val="TOC 标题2"/>
    <w:basedOn w:val="3"/>
    <w:next w:val="1"/>
    <w:qFormat/>
    <w:uiPriority w:val="39"/>
    <w:pPr>
      <w:widowControl/>
      <w:spacing w:before="480" w:after="0" w:line="276" w:lineRule="auto"/>
      <w:jc w:val="left"/>
      <w:outlineLvl w:val="9"/>
    </w:pPr>
    <w:rPr>
      <w:rFonts w:ascii="Cambria" w:hAnsi="Cambria" w:eastAsia="宋体" w:cs="宋体"/>
      <w:color w:val="376092"/>
      <w:kern w:val="0"/>
      <w:sz w:val="28"/>
      <w:szCs w:val="28"/>
    </w:rPr>
  </w:style>
  <w:style w:type="paragraph" w:customStyle="1" w:styleId="38">
    <w:name w:val="四号正文"/>
    <w:basedOn w:val="1"/>
    <w:qFormat/>
    <w:uiPriority w:val="0"/>
    <w:pPr>
      <w:spacing w:line="360" w:lineRule="auto"/>
    </w:pPr>
    <w:rPr>
      <w:rFonts w:ascii="??" w:hAnsi="??"/>
      <w:color w:val="000000"/>
      <w:kern w:val="0"/>
      <w:sz w:val="28"/>
      <w:szCs w:val="21"/>
      <w:lang w:val="zh-CN"/>
    </w:rPr>
  </w:style>
  <w:style w:type="paragraph" w:customStyle="1" w:styleId="39">
    <w:name w:val="〖C01〗正文"/>
    <w:qFormat/>
    <w:uiPriority w:val="99"/>
    <w:pPr>
      <w:widowControl w:val="0"/>
      <w:topLinePunct/>
      <w:spacing w:line="600" w:lineRule="exact"/>
      <w:ind w:firstLine="637" w:firstLineChars="200"/>
    </w:pPr>
    <w:rPr>
      <w:rFonts w:ascii="仿宋_GB2312" w:hAnsi="Calibri" w:eastAsia="仿宋_GB2312" w:cs="Times New Roman"/>
      <w:kern w:val="2"/>
      <w:sz w:val="32"/>
      <w:szCs w:val="32"/>
      <w:lang w:val="en-US" w:eastAsia="zh-CN" w:bidi="ar-SA"/>
    </w:rPr>
  </w:style>
  <w:style w:type="character" w:customStyle="1" w:styleId="40">
    <w:name w:val="font51"/>
    <w:basedOn w:val="20"/>
    <w:qFormat/>
    <w:uiPriority w:val="0"/>
    <w:rPr>
      <w:rFonts w:hint="eastAsia" w:ascii="微软雅黑" w:hAnsi="微软雅黑" w:eastAsia="微软雅黑" w:cs="微软雅黑"/>
      <w:color w:val="000000"/>
      <w:sz w:val="16"/>
      <w:szCs w:val="16"/>
      <w:u w:val="none"/>
    </w:rPr>
  </w:style>
  <w:style w:type="character" w:customStyle="1" w:styleId="41">
    <w:name w:val="font61"/>
    <w:basedOn w:val="20"/>
    <w:qFormat/>
    <w:uiPriority w:val="0"/>
    <w:rPr>
      <w:rFonts w:hint="eastAsia" w:ascii="微软雅黑" w:hAnsi="微软雅黑" w:eastAsia="微软雅黑" w:cs="微软雅黑"/>
      <w:color w:val="000000"/>
      <w:sz w:val="16"/>
      <w:szCs w:val="16"/>
      <w:u w:val="none"/>
    </w:rPr>
  </w:style>
  <w:style w:type="paragraph" w:customStyle="1" w:styleId="42">
    <w:name w:val="WPSOffice手动目录 1"/>
    <w:qFormat/>
    <w:uiPriority w:val="0"/>
    <w:pPr>
      <w:ind w:leftChars="0"/>
    </w:pPr>
    <w:rPr>
      <w:rFonts w:ascii="Times New Roman" w:hAnsi="Times New Roman" w:eastAsia="宋体" w:cs="Times New Roman"/>
      <w:sz w:val="20"/>
      <w:szCs w:val="20"/>
    </w:rPr>
  </w:style>
  <w:style w:type="paragraph" w:customStyle="1" w:styleId="43">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chart" Target="charts/chart2.xml"/><Relationship Id="rId8" Type="http://schemas.openxmlformats.org/officeDocument/2006/relationships/chart" Target="charts/chart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chart" Target="charts/chart7.xml"/><Relationship Id="rId13" Type="http://schemas.openxmlformats.org/officeDocument/2006/relationships/chart" Target="charts/chart6.xml"/><Relationship Id="rId12" Type="http://schemas.openxmlformats.org/officeDocument/2006/relationships/chart" Target="charts/chart5.xml"/><Relationship Id="rId11" Type="http://schemas.openxmlformats.org/officeDocument/2006/relationships/chart" Target="charts/chart4.xml"/><Relationship Id="rId10" Type="http://schemas.openxmlformats.org/officeDocument/2006/relationships/chart" Target="charts/chart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7.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package" Target="../embeddings/Workbook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260" b="1" i="0" u="none" strike="noStrike" kern="1200" baseline="0">
              <a:solidFill>
                <a:schemeClr val="tx1">
                  <a:lumMod val="75000"/>
                  <a:lumOff val="25000"/>
                </a:schemeClr>
              </a:solidFill>
              <a:latin typeface="+mn-lt"/>
              <a:ea typeface="+mn-ea"/>
              <a:cs typeface="+mn-cs"/>
            </a:defRPr>
          </a:pPr>
        </a:p>
      </c:txPr>
    </c:title>
    <c:autoTitleDeleted val="0"/>
    <c:plotArea>
      <c:layout>
        <c:manualLayout>
          <c:layoutTarget val="inner"/>
          <c:xMode val="edge"/>
          <c:yMode val="edge"/>
          <c:x val="0.0998363785110445"/>
          <c:y val="0.165312843029638"/>
          <c:w val="0.872211617125716"/>
          <c:h val="0.717848518111965"/>
        </c:manualLayout>
      </c:layout>
      <c:barChart>
        <c:barDir val="col"/>
        <c:grouping val="clustered"/>
        <c:varyColors val="0"/>
        <c:ser>
          <c:idx val="0"/>
          <c:order val="0"/>
          <c:tx>
            <c:strRef>
              <c:f>Sheet1!$B$1</c:f>
              <c:strCache>
                <c:ptCount val="1"/>
                <c:pt idx="0">
                  <c:v>收、支决算总计变动情况图   单位：万元</c:v>
                </c:pt>
              </c:strCache>
            </c:strRef>
          </c:tx>
          <c:spPr>
            <a:solidFill>
              <a:schemeClr val="accent1"/>
            </a:solidFill>
            <a:ln>
              <a:noFill/>
            </a:ln>
            <a:effectLst/>
          </c:spPr>
          <c:invertIfNegative val="0"/>
          <c:dLbls>
            <c:dLbl>
              <c:idx val="0"/>
              <c:layout>
                <c:manualLayout>
                  <c:x val="0"/>
                  <c:y val="0.0164654226125137"/>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0204526861194437"/>
                  <c:y val="0.0164654226125137"/>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5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2023年</c:v>
                </c:pt>
                <c:pt idx="1">
                  <c:v>2024年</c:v>
                </c:pt>
              </c:strCache>
            </c:strRef>
          </c:cat>
          <c:val>
            <c:numRef>
              <c:f>Sheet1!$B$2:$B$3</c:f>
              <c:numCache>
                <c:formatCode>General</c:formatCode>
                <c:ptCount val="2"/>
                <c:pt idx="0">
                  <c:v>3176.27</c:v>
                </c:pt>
                <c:pt idx="1">
                  <c:v>2338.25</c:v>
                </c:pt>
              </c:numCache>
            </c:numRef>
          </c:val>
        </c:ser>
        <c:dLbls>
          <c:showLegendKey val="0"/>
          <c:showVal val="1"/>
          <c:showCatName val="0"/>
          <c:showSerName val="0"/>
          <c:showPercent val="0"/>
          <c:showBubbleSize val="0"/>
        </c:dLbls>
        <c:gapWidth val="246"/>
        <c:overlap val="-28"/>
        <c:axId val="350431818"/>
        <c:axId val="916712096"/>
      </c:barChart>
      <c:catAx>
        <c:axId val="350431818"/>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1050" b="0" i="0" u="none" strike="noStrike" kern="1200" baseline="0">
                <a:solidFill>
                  <a:schemeClr val="tx1">
                    <a:lumMod val="65000"/>
                    <a:lumOff val="35000"/>
                  </a:schemeClr>
                </a:solidFill>
                <a:latin typeface="+mn-lt"/>
                <a:ea typeface="+mn-ea"/>
                <a:cs typeface="+mn-cs"/>
              </a:defRPr>
            </a:pPr>
          </a:p>
        </c:txPr>
        <c:crossAx val="916712096"/>
        <c:crosses val="autoZero"/>
        <c:auto val="1"/>
        <c:lblAlgn val="ctr"/>
        <c:lblOffset val="100"/>
        <c:noMultiLvlLbl val="0"/>
      </c:catAx>
      <c:valAx>
        <c:axId val="916712096"/>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1050" b="0" i="0" u="none" strike="noStrike" kern="1200" baseline="0">
                <a:solidFill>
                  <a:schemeClr val="tx1">
                    <a:lumMod val="65000"/>
                    <a:lumOff val="35000"/>
                  </a:schemeClr>
                </a:solidFill>
                <a:latin typeface="+mn-lt"/>
                <a:ea typeface="+mn-ea"/>
                <a:cs typeface="+mn-cs"/>
              </a:defRPr>
            </a:pPr>
          </a:p>
        </c:txPr>
        <c:crossAx val="35043181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sz="1050"/>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pieChart>
        <c:varyColors val="1"/>
        <c:ser>
          <c:idx val="0"/>
          <c:order val="0"/>
          <c:tx>
            <c:strRef>
              <c:f>Sheet1!$B$1</c:f>
              <c:strCache>
                <c:ptCount val="1"/>
                <c:pt idx="0">
                  <c:v>收入决算结构图   </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Pt>
            <c:idx val="5"/>
            <c:bubble3D val="0"/>
            <c:spPr>
              <a:solidFill>
                <a:schemeClr val="accent6"/>
              </a:solidFill>
              <a:ln>
                <a:solidFill>
                  <a:schemeClr val="bg1"/>
                </a:solidFill>
              </a:ln>
              <a:effectLst/>
            </c:spPr>
          </c:dPt>
          <c:dPt>
            <c:idx val="6"/>
            <c:bubble3D val="0"/>
            <c:spPr>
              <a:solidFill>
                <a:schemeClr val="accent1">
                  <a:lumMod val="60000"/>
                </a:schemeClr>
              </a:solidFill>
              <a:ln>
                <a:solidFill>
                  <a:schemeClr val="bg1"/>
                </a:solidFill>
              </a:ln>
              <a:effectLst/>
            </c:spPr>
          </c:dPt>
          <c:dPt>
            <c:idx val="7"/>
            <c:bubble3D val="0"/>
            <c:spPr>
              <a:solidFill>
                <a:schemeClr val="accent2">
                  <a:lumMod val="60000"/>
                </a:schemeClr>
              </a:solidFill>
              <a:ln>
                <a:solidFill>
                  <a:schemeClr val="bg1"/>
                </a:solidFill>
              </a:ln>
              <a:effectLst/>
            </c:spPr>
          </c:dPt>
          <c:dLbls>
            <c:dLbl>
              <c:idx val="0"/>
              <c:layout>
                <c:manualLayout>
                  <c:x val="-0.00362406378352259"/>
                  <c:y val="-0.176370590735232"/>
                </c:manualLayout>
              </c:layout>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1"/>
              <c:showBubbleSize val="0"/>
              <c:extLst>
                <c:ext xmlns:c15="http://schemas.microsoft.com/office/drawing/2012/chart" uri="{CE6537A1-D6FC-4f65-9D91-7224C49458BB}">
                  <c15:layout/>
                </c:ext>
              </c:extLst>
            </c:dLbl>
            <c:dLbl>
              <c:idx val="1"/>
              <c:layout>
                <c:manualLayout>
                  <c:x val="0.0736892969316261"/>
                  <c:y val="-0.0998725031874204"/>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2"/>
              <c:layout>
                <c:manualLayout>
                  <c:x val="-0.140130466296207"/>
                  <c:y val="0.0339991500212494"/>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3"/>
              <c:layout>
                <c:manualLayout>
                  <c:x val="0.10630587098333"/>
                  <c:y val="0.0424989375265618"/>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4"/>
              <c:layout>
                <c:manualLayout>
                  <c:x val="-0.125634211162116"/>
                  <c:y val="-0.0169995750106247"/>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5"/>
              <c:layout>
                <c:manualLayout>
                  <c:x val="-0.0398647016187485"/>
                  <c:y val="-0.121121971950701"/>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6"/>
              <c:layout>
                <c:manualLayout>
                  <c:x val="0.122010147378594"/>
                  <c:y val="-0.0403739906502338"/>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7"/>
              <c:layout>
                <c:manualLayout>
                  <c:x val="-0.102681807199807"/>
                  <c:y val="-0.0658733531661709"/>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Sheet1!$A$2:$A$9</c:f>
              <c:strCache>
                <c:ptCount val="8"/>
                <c:pt idx="0">
                  <c:v>一般公共预算财政拨款收入</c:v>
                </c:pt>
                <c:pt idx="1">
                  <c:v>政府性基金预算财政拨款收入</c:v>
                </c:pt>
                <c:pt idx="2">
                  <c:v>国有资本经营预算财政拨款收入</c:v>
                </c:pt>
                <c:pt idx="3">
                  <c:v>上级补助收入</c:v>
                </c:pt>
                <c:pt idx="4">
                  <c:v>事业收入</c:v>
                </c:pt>
                <c:pt idx="5">
                  <c:v>经营收入</c:v>
                </c:pt>
                <c:pt idx="6">
                  <c:v>附属单位上缴收入</c:v>
                </c:pt>
                <c:pt idx="7">
                  <c:v>其他收入</c:v>
                </c:pt>
              </c:strCache>
            </c:strRef>
          </c:cat>
          <c:val>
            <c:numRef>
              <c:f>Sheet1!$B$2:$B$9</c:f>
              <c:numCache>
                <c:formatCode>General</c:formatCode>
                <c:ptCount val="8"/>
                <c:pt idx="0">
                  <c:v>2327.65</c:v>
                </c:pt>
                <c:pt idx="1">
                  <c:v>10.6</c:v>
                </c:pt>
                <c:pt idx="2">
                  <c:v>0</c:v>
                </c:pt>
                <c:pt idx="3">
                  <c:v>0</c:v>
                </c:pt>
                <c:pt idx="4">
                  <c:v>0</c:v>
                </c:pt>
                <c:pt idx="5">
                  <c:v>0</c:v>
                </c:pt>
                <c:pt idx="6">
                  <c:v>0</c:v>
                </c:pt>
                <c:pt idx="7">
                  <c:v>0</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t"/>
      <c:layout>
        <c:manualLayout>
          <c:xMode val="edge"/>
          <c:yMode val="edge"/>
          <c:x val="0.128050253684465"/>
          <c:y val="0.12027199320017"/>
          <c:w val="0.721671901425465"/>
          <c:h val="0.137484062898428"/>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pieChart>
        <c:varyColors val="1"/>
        <c:ser>
          <c:idx val="0"/>
          <c:order val="0"/>
          <c:tx>
            <c:strRef>
              <c:f>Sheet1!$B$1</c:f>
              <c:strCache>
                <c:ptCount val="1"/>
                <c:pt idx="0">
                  <c:v>支出决算结构图   </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Lbls>
            <c:dLbl>
              <c:idx val="0"/>
              <c:layout>
                <c:manualLayout>
                  <c:x val="-0.0365808676726438"/>
                  <c:y val="-0.203472899717048"/>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1"/>
              <c:layout>
                <c:manualLayout>
                  <c:x val="-0.103438400013748"/>
                  <c:y val="0.0873838221346767"/>
                </c:manualLayout>
              </c:layout>
              <c:dLblPos val="bestFit"/>
              <c:showLegendKey val="0"/>
              <c:showVal val="0"/>
              <c:showCatName val="0"/>
              <c:showSerName val="0"/>
              <c:showPercent val="1"/>
              <c:showBubbleSize val="0"/>
              <c:extLst>
                <c:ext xmlns:c15="http://schemas.microsoft.com/office/drawing/2012/chart" uri="{CE6537A1-D6FC-4f65-9D91-7224C49458BB}">
                  <c15:layout>
                    <c:manualLayout>
                      <c:w val="0.0989801255230126"/>
                      <c:h val="0.0928210880538418"/>
                    </c:manualLayout>
                  </c15:layout>
                </c:ext>
              </c:extLst>
            </c:dLbl>
            <c:dLbl>
              <c:idx val="2"/>
              <c:layout>
                <c:manualLayout>
                  <c:x val="-0.073689296931626"/>
                  <c:y val="-0.023374415639609"/>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3"/>
              <c:layout>
                <c:manualLayout>
                  <c:x val="0.117178062333897"/>
                  <c:y val="-0.023374415639609"/>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4"/>
              <c:layout>
                <c:manualLayout>
                  <c:x val="0.130466296206813"/>
                  <c:y val="0.0403739906502337"/>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基本支出</c:v>
                </c:pt>
                <c:pt idx="1">
                  <c:v>项目支出</c:v>
                </c:pt>
                <c:pt idx="2">
                  <c:v>上缴上级支出</c:v>
                </c:pt>
                <c:pt idx="3">
                  <c:v>经营支出</c:v>
                </c:pt>
                <c:pt idx="4">
                  <c:v>对附属单位补助支出</c:v>
                </c:pt>
              </c:strCache>
            </c:strRef>
          </c:cat>
          <c:val>
            <c:numRef>
              <c:f>Sheet1!$B$2:$B$6</c:f>
              <c:numCache>
                <c:formatCode>General</c:formatCode>
                <c:ptCount val="5"/>
                <c:pt idx="0">
                  <c:v>2102.35</c:v>
                </c:pt>
                <c:pt idx="1">
                  <c:v>235.9</c:v>
                </c:pt>
                <c:pt idx="2">
                  <c:v>0</c:v>
                </c:pt>
                <c:pt idx="3">
                  <c:v>0</c:v>
                </c:pt>
                <c:pt idx="4">
                  <c:v>0</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260" b="1" i="0" u="none" strike="noStrike" kern="1200" baseline="0">
              <a:solidFill>
                <a:schemeClr val="tx1">
                  <a:lumMod val="75000"/>
                  <a:lumOff val="25000"/>
                </a:schemeClr>
              </a:solidFill>
              <a:latin typeface="+mn-lt"/>
              <a:ea typeface="+mn-ea"/>
              <a:cs typeface="+mn-cs"/>
            </a:defRPr>
          </a:pPr>
        </a:p>
      </c:txPr>
    </c:title>
    <c:autoTitleDeleted val="0"/>
    <c:plotArea>
      <c:layout/>
      <c:barChart>
        <c:barDir val="col"/>
        <c:grouping val="clustered"/>
        <c:varyColors val="0"/>
        <c:ser>
          <c:idx val="0"/>
          <c:order val="0"/>
          <c:tx>
            <c:strRef>
              <c:f>Sheet1!$B$1</c:f>
              <c:strCache>
                <c:ptCount val="1"/>
                <c:pt idx="0">
                  <c:v>财政拨款收、支决算总计变动情况   单位：万元</c:v>
                </c:pt>
              </c:strCache>
            </c:strRef>
          </c:tx>
          <c:spPr>
            <a:solidFill>
              <a:schemeClr val="accent1"/>
            </a:solidFill>
            <a:ln>
              <a:noFill/>
            </a:ln>
            <a:effectLst/>
          </c:spPr>
          <c:invertIfNegative val="0"/>
          <c:dLbls>
            <c:numFmt formatCode="0.00_);[Red]\(0.00\)" sourceLinked="0"/>
            <c:spPr>
              <a:noFill/>
              <a:ln>
                <a:noFill/>
              </a:ln>
              <a:effectLst/>
            </c:spPr>
            <c:txPr>
              <a:bodyPr rot="0" spcFirstLastPara="0" vertOverflow="ellipsis" vert="horz" wrap="square" lIns="38100" tIns="19050" rIns="38100" bIns="19050" anchor="ctr" anchorCtr="1"/>
              <a:lstStyle/>
              <a:p>
                <a:pPr>
                  <a:defRPr lang="zh-CN" sz="105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2023年</c:v>
                </c:pt>
                <c:pt idx="1">
                  <c:v>2024年</c:v>
                </c:pt>
              </c:strCache>
            </c:strRef>
          </c:cat>
          <c:val>
            <c:numRef>
              <c:f>Sheet1!$B$2:$B$3</c:f>
              <c:numCache>
                <c:formatCode>General</c:formatCode>
                <c:ptCount val="2"/>
                <c:pt idx="0">
                  <c:v>3173.05</c:v>
                </c:pt>
                <c:pt idx="1">
                  <c:v>2338.25</c:v>
                </c:pt>
              </c:numCache>
            </c:numRef>
          </c:val>
        </c:ser>
        <c:dLbls>
          <c:showLegendKey val="0"/>
          <c:showVal val="1"/>
          <c:showCatName val="0"/>
          <c:showSerName val="0"/>
          <c:showPercent val="0"/>
          <c:showBubbleSize val="0"/>
        </c:dLbls>
        <c:gapWidth val="246"/>
        <c:overlap val="-28"/>
        <c:axId val="175444600"/>
        <c:axId val="24839702"/>
      </c:barChart>
      <c:catAx>
        <c:axId val="175444600"/>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1050" b="0" i="0" u="none" strike="noStrike" kern="1200" baseline="0">
                <a:solidFill>
                  <a:schemeClr val="tx1">
                    <a:lumMod val="65000"/>
                    <a:lumOff val="35000"/>
                  </a:schemeClr>
                </a:solidFill>
                <a:latin typeface="+mn-lt"/>
                <a:ea typeface="+mn-ea"/>
                <a:cs typeface="+mn-cs"/>
              </a:defRPr>
            </a:pPr>
          </a:p>
        </c:txPr>
        <c:crossAx val="24839702"/>
        <c:crosses val="autoZero"/>
        <c:auto val="1"/>
        <c:lblAlgn val="ctr"/>
        <c:lblOffset val="100"/>
        <c:noMultiLvlLbl val="0"/>
      </c:catAx>
      <c:valAx>
        <c:axId val="24839702"/>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1050" b="0" i="0" u="none" strike="noStrike" kern="1200" baseline="0">
                <a:solidFill>
                  <a:schemeClr val="tx1">
                    <a:lumMod val="65000"/>
                    <a:lumOff val="35000"/>
                  </a:schemeClr>
                </a:solidFill>
                <a:latin typeface="+mn-lt"/>
                <a:ea typeface="+mn-ea"/>
                <a:cs typeface="+mn-cs"/>
              </a:defRPr>
            </a:pPr>
          </a:p>
        </c:txPr>
        <c:crossAx val="17544460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sz="1050"/>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176691027041865"/>
          <c:y val="0.0371527377461614"/>
        </c:manualLayout>
      </c:layout>
      <c:overlay val="0"/>
      <c:spPr>
        <a:noFill/>
        <a:ln>
          <a:noFill/>
        </a:ln>
        <a:effectLst/>
      </c:spPr>
      <c:txPr>
        <a:bodyPr rot="0" spcFirstLastPara="0" vertOverflow="ellipsis" vert="horz" wrap="square" anchor="ctr" anchorCtr="1"/>
        <a:lstStyle/>
        <a:p>
          <a:pPr>
            <a:defRPr lang="zh-CN" sz="900" b="1" i="0" u="none" strike="noStrike" kern="1200" baseline="0">
              <a:solidFill>
                <a:schemeClr val="tx1">
                  <a:lumMod val="75000"/>
                  <a:lumOff val="25000"/>
                </a:schemeClr>
              </a:solidFill>
              <a:latin typeface="+mn-lt"/>
              <a:ea typeface="+mn-ea"/>
              <a:cs typeface="+mn-cs"/>
            </a:defRPr>
          </a:pPr>
        </a:p>
      </c:txPr>
    </c:title>
    <c:autoTitleDeleted val="0"/>
    <c:plotArea>
      <c:layout/>
      <c:barChart>
        <c:barDir val="col"/>
        <c:grouping val="clustered"/>
        <c:varyColors val="0"/>
        <c:ser>
          <c:idx val="0"/>
          <c:order val="0"/>
          <c:tx>
            <c:strRef>
              <c:f>Sheet1!$B$1</c:f>
              <c:strCache>
                <c:ptCount val="1"/>
                <c:pt idx="0">
                  <c:v>一般公共预算财政拨款支出决算变动情况   单位：万元</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cap="none" spc="0" normalizeH="0" baseline="0">
                    <a:solidFill>
                      <a:schemeClr val="tx1">
                        <a:lumMod val="75000"/>
                        <a:lumOff val="25000"/>
                      </a:schemeClr>
                    </a:solidFill>
                    <a:uFill>
                      <a:solidFill>
                        <a:schemeClr val="tx1">
                          <a:lumMod val="75000"/>
                          <a:lumOff val="25000"/>
                        </a:schemeClr>
                      </a:solidFill>
                    </a:u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2023年</c:v>
                </c:pt>
                <c:pt idx="1">
                  <c:v>2024年</c:v>
                </c:pt>
              </c:strCache>
            </c:strRef>
          </c:cat>
          <c:val>
            <c:numRef>
              <c:f>Sheet1!$B$2:$B$3</c:f>
              <c:numCache>
                <c:formatCode>General</c:formatCode>
                <c:ptCount val="2"/>
                <c:pt idx="0">
                  <c:v>3142.45</c:v>
                </c:pt>
                <c:pt idx="1">
                  <c:v>2327.65</c:v>
                </c:pt>
              </c:numCache>
            </c:numRef>
          </c:val>
        </c:ser>
        <c:dLbls>
          <c:showLegendKey val="0"/>
          <c:showVal val="1"/>
          <c:showCatName val="0"/>
          <c:showSerName val="0"/>
          <c:showPercent val="0"/>
          <c:showBubbleSize val="0"/>
        </c:dLbls>
        <c:gapWidth val="246"/>
        <c:overlap val="-28"/>
        <c:axId val="277153041"/>
        <c:axId val="31850717"/>
      </c:barChart>
      <c:catAx>
        <c:axId val="277153041"/>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1000" b="0" i="0" u="none" strike="noStrike" kern="1200" cap="none" spc="0" normalizeH="0" baseline="0">
                <a:solidFill>
                  <a:schemeClr val="tx1">
                    <a:lumMod val="65000"/>
                    <a:lumOff val="35000"/>
                  </a:schemeClr>
                </a:solidFill>
                <a:uFill>
                  <a:solidFill>
                    <a:schemeClr val="tx1">
                      <a:lumMod val="65000"/>
                      <a:lumOff val="35000"/>
                    </a:schemeClr>
                  </a:solidFill>
                </a:uFill>
                <a:latin typeface="+mn-lt"/>
                <a:ea typeface="+mn-ea"/>
                <a:cs typeface="+mn-cs"/>
              </a:defRPr>
            </a:pPr>
          </a:p>
        </c:txPr>
        <c:crossAx val="31850717"/>
        <c:crosses val="autoZero"/>
        <c:auto val="1"/>
        <c:lblAlgn val="ctr"/>
        <c:lblOffset val="100"/>
        <c:noMultiLvlLbl val="0"/>
      </c:catAx>
      <c:valAx>
        <c:axId val="31850717"/>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750" b="0" i="0" u="none" strike="noStrike" kern="1200" baseline="0">
                <a:solidFill>
                  <a:schemeClr val="tx1">
                    <a:lumMod val="65000"/>
                    <a:lumOff val="35000"/>
                  </a:schemeClr>
                </a:solidFill>
                <a:latin typeface="+mn-lt"/>
                <a:ea typeface="+mn-ea"/>
                <a:cs typeface="+mn-cs"/>
              </a:defRPr>
            </a:pPr>
          </a:p>
        </c:txPr>
        <c:crossAx val="277153041"/>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sz="750"/>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pieChart>
        <c:varyColors val="1"/>
        <c:ser>
          <c:idx val="0"/>
          <c:order val="0"/>
          <c:tx>
            <c:strRef>
              <c:f>Sheet1!$B$1</c:f>
              <c:strCache>
                <c:ptCount val="1"/>
                <c:pt idx="0">
                  <c:v>一般公共预算财政拨款支出决算结构  </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Pt>
            <c:idx val="5"/>
            <c:bubble3D val="0"/>
            <c:spPr>
              <a:solidFill>
                <a:schemeClr val="accent6"/>
              </a:solidFill>
              <a:ln>
                <a:solidFill>
                  <a:schemeClr val="bg1"/>
                </a:solidFill>
              </a:ln>
              <a:effectLst/>
            </c:spPr>
          </c:dPt>
          <c:dPt>
            <c:idx val="6"/>
            <c:bubble3D val="0"/>
            <c:spPr>
              <a:solidFill>
                <a:schemeClr val="accent1">
                  <a:lumMod val="60000"/>
                </a:schemeClr>
              </a:solidFill>
              <a:ln>
                <a:solidFill>
                  <a:schemeClr val="bg1"/>
                </a:solidFill>
              </a:ln>
              <a:effectLst/>
            </c:spPr>
          </c:dPt>
          <c:dPt>
            <c:idx val="7"/>
            <c:bubble3D val="0"/>
            <c:spPr>
              <a:solidFill>
                <a:schemeClr val="accent2">
                  <a:lumMod val="60000"/>
                </a:schemeClr>
              </a:solidFill>
              <a:ln>
                <a:solidFill>
                  <a:schemeClr val="bg1"/>
                </a:solidFill>
              </a:ln>
              <a:effectLst/>
            </c:spPr>
          </c:dPt>
          <c:dPt>
            <c:idx val="8"/>
            <c:bubble3D val="0"/>
            <c:spPr>
              <a:solidFill>
                <a:schemeClr val="accent3">
                  <a:lumMod val="60000"/>
                </a:schemeClr>
              </a:solidFill>
              <a:ln>
                <a:solidFill>
                  <a:schemeClr val="bg1"/>
                </a:solidFill>
              </a:ln>
              <a:effectLst/>
            </c:spPr>
          </c:dPt>
          <c:dLbls>
            <c:dLbl>
              <c:idx val="1"/>
              <c:layout>
                <c:manualLayout>
                  <c:x val="-0.129124511787119"/>
                  <c:y val="0.0380984740290908"/>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2"/>
              <c:layout>
                <c:manualLayout>
                  <c:x val="-0.0650993849448866"/>
                  <c:y val="0.0784724646793246"/>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3"/>
              <c:layout>
                <c:manualLayout>
                  <c:x val="-0.075676024434288"/>
                  <c:y val="-0.0336741894712902"/>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4"/>
              <c:layout>
                <c:manualLayout>
                  <c:x val="-0.0437743992193139"/>
                  <c:y val="-0.084818440271856"/>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5"/>
              <c:layout>
                <c:manualLayout>
                  <c:x val="0.0134906486686985"/>
                  <c:y val="-0.134540652108965"/>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6"/>
              <c:layout>
                <c:manualLayout>
                  <c:x val="-0.0764293908450893"/>
                  <c:y val="-0.0706435675875016"/>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7"/>
              <c:layout>
                <c:manualLayout>
                  <c:x val="0.121680562716871"/>
                  <c:y val="-0.0767953508460382"/>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8"/>
              <c:layout>
                <c:manualLayout>
                  <c:x val="0.161730223447484"/>
                  <c:y val="-0.00520960286573691"/>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Sheet1!$A$2:$A$10</c:f>
              <c:strCache>
                <c:ptCount val="9"/>
                <c:pt idx="0">
                  <c:v>一般公共服务支出</c:v>
                </c:pt>
                <c:pt idx="1">
                  <c:v>教育支出</c:v>
                </c:pt>
                <c:pt idx="2">
                  <c:v>科学技术支出</c:v>
                </c:pt>
                <c:pt idx="3">
                  <c:v>文化旅游体育与传媒支出</c:v>
                </c:pt>
                <c:pt idx="4">
                  <c:v>社会保障和就业支出</c:v>
                </c:pt>
                <c:pt idx="5">
                  <c:v>卫生健康支出</c:v>
                </c:pt>
                <c:pt idx="6">
                  <c:v>农林水支出</c:v>
                </c:pt>
                <c:pt idx="7">
                  <c:v>金融支出</c:v>
                </c:pt>
                <c:pt idx="8">
                  <c:v>住房保障支出</c:v>
                </c:pt>
              </c:strCache>
            </c:strRef>
          </c:cat>
          <c:val>
            <c:numRef>
              <c:f>Sheet1!$B$2:$B$10</c:f>
              <c:numCache>
                <c:formatCode>General</c:formatCode>
                <c:ptCount val="9"/>
                <c:pt idx="0">
                  <c:v>1904.42</c:v>
                </c:pt>
                <c:pt idx="1">
                  <c:v>0</c:v>
                </c:pt>
                <c:pt idx="2">
                  <c:v>0</c:v>
                </c:pt>
                <c:pt idx="3">
                  <c:v>0</c:v>
                </c:pt>
                <c:pt idx="4">
                  <c:v>236.33</c:v>
                </c:pt>
                <c:pt idx="5">
                  <c:v>68.19</c:v>
                </c:pt>
                <c:pt idx="6">
                  <c:v>0</c:v>
                </c:pt>
                <c:pt idx="7">
                  <c:v>0</c:v>
                </c:pt>
                <c:pt idx="8">
                  <c:v>118.7</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t"/>
      <c:layout>
        <c:manualLayout>
          <c:xMode val="edge"/>
          <c:yMode val="edge"/>
          <c:x val="0.04057343792264"/>
          <c:y val="0.119161105815062"/>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pieChart>
        <c:varyColors val="1"/>
        <c:ser>
          <c:idx val="0"/>
          <c:order val="0"/>
          <c:tx>
            <c:strRef>
              <c:f>Sheet1!$B$1</c:f>
              <c:strCache>
                <c:ptCount val="1"/>
                <c:pt idx="0">
                  <c:v>“三公”经费财政拨款支出结构  </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Lbls>
            <c:dLbl>
              <c:idx val="0"/>
              <c:layout>
                <c:manualLayout>
                  <c:x val="-0.0604010630587098"/>
                  <c:y val="-0.0148746281342966"/>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2"/>
              <c:layout>
                <c:manualLayout>
                  <c:x val="0.0724812756704518"/>
                  <c:y val="0.00849978750531237"/>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因公出国（境）费支出</c:v>
                </c:pt>
                <c:pt idx="1">
                  <c:v>公务用车购置及运行维护费支出</c:v>
                </c:pt>
                <c:pt idx="2">
                  <c:v>公务接待费支出</c:v>
                </c:pt>
              </c:strCache>
            </c:strRef>
          </c:cat>
          <c:val>
            <c:numRef>
              <c:f>Sheet1!$B$2:$B$4</c:f>
              <c:numCache>
                <c:formatCode>General</c:formatCode>
                <c:ptCount val="3"/>
                <c:pt idx="0">
                  <c:v>0</c:v>
                </c:pt>
                <c:pt idx="1">
                  <c:v>8.24</c:v>
                </c:pt>
                <c:pt idx="2">
                  <c:v>0.15</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42</Pages>
  <Words>16369</Words>
  <Characters>18687</Characters>
  <Paragraphs>3073</Paragraphs>
  <TotalTime>68</TotalTime>
  <ScaleCrop>false</ScaleCrop>
  <LinksUpToDate>false</LinksUpToDate>
  <CharactersWithSpaces>18841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2023-11-30T13:49:00Z</dcterms:created>
  <dc:creator>曹颖</dc:creator>
  <cp:lastModifiedBy>Administrator</cp:lastModifiedBy>
  <cp:lastPrinted>2025-12-03T10:09:00Z</cp:lastPrinted>
  <dcterms:modified xsi:type="dcterms:W3CDTF">2025-12-05T07:05:37Z</dcterms:modified>
  <dc:title>四川省***</dc:title>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BDC15E33AFCD4E28B635DC9C5BEDCA33_13</vt:lpwstr>
  </property>
</Properties>
</file>