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hint="eastAsia" w:ascii="方正小标宋简体" w:hAnsi="宋体" w:eastAsia="方正小标宋简体"/>
          <w:szCs w:val="21"/>
        </w:rPr>
      </w:pPr>
      <w:bookmarkStart w:id="0"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bookmarkEnd w:id="0"/>
    <w:p>
      <w:pPr>
        <w:adjustRightInd w:val="0"/>
        <w:snapToGrid w:val="0"/>
        <w:spacing w:line="360" w:lineRule="auto"/>
        <w:jc w:val="both"/>
        <w:outlineLvl w:val="0"/>
        <w:rPr>
          <w:rFonts w:hint="eastAsia" w:ascii="方正小标宋简体" w:hAnsi="方正小标宋简体" w:eastAsia="方正小标宋简体" w:cs="方正小标宋简体"/>
          <w:sz w:val="56"/>
          <w:szCs w:val="56"/>
          <w:lang w:val="en-US" w:eastAsia="zh-CN"/>
        </w:rPr>
      </w:pPr>
      <w:bookmarkStart w:id="1" w:name="_Toc15377194"/>
      <w:bookmarkStart w:id="2" w:name="_Toc15396598"/>
      <w:bookmarkStart w:id="3" w:name="_Toc10223"/>
      <w:bookmarkStart w:id="4" w:name="_Toc15378442"/>
      <w:bookmarkStart w:id="5" w:name="_Toc15396476"/>
      <w:bookmarkStart w:id="6" w:name="_Toc15306268"/>
      <w:bookmarkStart w:id="7" w:name="_Toc15377426"/>
    </w:p>
    <w:p>
      <w:pPr>
        <w:adjustRightInd w:val="0"/>
        <w:snapToGrid w:val="0"/>
        <w:spacing w:line="360" w:lineRule="auto"/>
        <w:jc w:val="center"/>
        <w:outlineLvl w:val="0"/>
        <w:rPr>
          <w:rFonts w:hint="eastAsia" w:ascii="方正小标宋简体" w:hAnsi="方正小标宋简体" w:eastAsia="方正小标宋简体" w:cs="方正小标宋简体"/>
          <w:sz w:val="56"/>
          <w:szCs w:val="56"/>
          <w:lang w:val="en-US" w:eastAsia="zh-CN"/>
        </w:rPr>
      </w:pPr>
    </w:p>
    <w:p>
      <w:pPr>
        <w:adjustRightInd w:val="0"/>
        <w:snapToGrid w:val="0"/>
        <w:spacing w:line="360" w:lineRule="auto"/>
        <w:jc w:val="center"/>
        <w:outlineLvl w:val="0"/>
        <w:rPr>
          <w:rFonts w:hint="eastAsia" w:ascii="方正小标宋简体" w:hAnsi="方正小标宋简体" w:eastAsia="方正小标宋简体" w:cs="方正小标宋简体"/>
          <w:sz w:val="56"/>
          <w:szCs w:val="56"/>
          <w:lang w:val="en-US" w:eastAsia="zh-CN"/>
        </w:rPr>
      </w:pPr>
      <w:r>
        <w:rPr>
          <w:rFonts w:hint="eastAsia" w:ascii="方正小标宋简体" w:hAnsi="方正小标宋简体" w:eastAsia="方正小标宋简体" w:cs="方正小标宋简体"/>
          <w:sz w:val="56"/>
          <w:szCs w:val="56"/>
          <w:lang w:val="en-US" w:eastAsia="zh-CN"/>
        </w:rPr>
        <w:t>2024年度峨眉山市财政局（本级）</w:t>
      </w:r>
      <w:bookmarkStart w:id="8" w:name="_Toc14262"/>
      <w:bookmarkStart w:id="9" w:name="_Toc15377425"/>
      <w:bookmarkStart w:id="10" w:name="_Toc15378441"/>
      <w:bookmarkStart w:id="11" w:name="_Toc15377193"/>
      <w:bookmarkStart w:id="12" w:name="_Toc15396475"/>
      <w:bookmarkStart w:id="13" w:name="_Toc15396597"/>
    </w:p>
    <w:p>
      <w:pPr>
        <w:pStyle w:val="2"/>
        <w:jc w:val="center"/>
        <w:rPr>
          <w:rFonts w:hint="eastAsia"/>
          <w:lang w:val="en-US" w:eastAsia="zh-CN"/>
        </w:rPr>
      </w:pPr>
      <w:r>
        <w:rPr>
          <w:rFonts w:hint="eastAsia" w:ascii="方正小标宋简体" w:hAnsi="方正小标宋简体" w:eastAsia="方正小标宋简体" w:cs="方正小标宋简体"/>
          <w:sz w:val="56"/>
          <w:szCs w:val="56"/>
          <w:lang w:val="en-US" w:eastAsia="zh-CN"/>
        </w:rPr>
        <w:t>单位决算</w:t>
      </w:r>
    </w:p>
    <w:bookmarkEnd w:id="1"/>
    <w:bookmarkEnd w:id="2"/>
    <w:bookmarkEnd w:id="3"/>
    <w:bookmarkEnd w:id="4"/>
    <w:bookmarkEnd w:id="5"/>
    <w:bookmarkEnd w:id="6"/>
    <w:bookmarkEnd w:id="7"/>
    <w:bookmarkEnd w:id="8"/>
    <w:bookmarkEnd w:id="9"/>
    <w:bookmarkEnd w:id="10"/>
    <w:bookmarkEnd w:id="11"/>
    <w:bookmarkEnd w:id="12"/>
    <w:bookmarkEnd w:id="13"/>
    <w:p>
      <w:pPr>
        <w:pStyle w:val="9"/>
        <w:jc w:val="center"/>
        <w:rPr>
          <w:rFonts w:hint="eastAsia" w:ascii="方正小标宋简体" w:hAnsi="方正小标宋简体" w:eastAsia="方正小标宋简体" w:cs="方正小标宋简体"/>
          <w:sz w:val="56"/>
          <w:szCs w:val="56"/>
        </w:rPr>
      </w:pPr>
    </w:p>
    <w:p>
      <w:pPr>
        <w:pStyle w:val="9"/>
        <w:rPr>
          <w:rFonts w:hint="eastAsia" w:ascii="方正小标宋简体" w:hAnsi="方正小标宋简体" w:eastAsia="方正小标宋简体" w:cs="方正小标宋简体"/>
          <w:sz w:val="56"/>
          <w:szCs w:val="56"/>
        </w:rPr>
      </w:pPr>
    </w:p>
    <w:p>
      <w:pPr>
        <w:pStyle w:val="9"/>
        <w:rPr>
          <w:rFonts w:hint="eastAsia" w:ascii="方正小标宋简体" w:hAnsi="方正小标宋简体" w:eastAsia="方正小标宋简体" w:cs="方正小标宋简体"/>
          <w:sz w:val="56"/>
          <w:szCs w:val="56"/>
        </w:rPr>
      </w:pPr>
    </w:p>
    <w:p>
      <w:pPr>
        <w:pStyle w:val="9"/>
        <w:rPr>
          <w:rFonts w:hint="eastAsia" w:ascii="方正小标宋简体" w:hAnsi="方正小标宋简体" w:eastAsia="方正小标宋简体" w:cs="方正小标宋简体"/>
          <w:sz w:val="56"/>
          <w:szCs w:val="56"/>
        </w:rPr>
      </w:pPr>
    </w:p>
    <w:p>
      <w:pPr>
        <w:pStyle w:val="9"/>
        <w:rPr>
          <w:rFonts w:hint="eastAsia" w:ascii="方正小标宋简体" w:hAnsi="方正小标宋简体" w:eastAsia="方正小标宋简体" w:cs="方正小标宋简体"/>
          <w:sz w:val="56"/>
          <w:szCs w:val="56"/>
        </w:rPr>
      </w:pPr>
    </w:p>
    <w:p>
      <w:pPr>
        <w:pStyle w:val="14"/>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公开时间：202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月</w:t>
      </w:r>
      <w:bookmarkStart w:id="102" w:name="_GoBack"/>
      <w:bookmarkEnd w:id="102"/>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日</w:t>
      </w:r>
    </w:p>
    <w:p>
      <w:pPr>
        <w:widowControl/>
        <w:jc w:val="center"/>
        <w:rPr>
          <w:rFonts w:ascii="黑体" w:hAnsi="黑体" w:eastAsia="黑体"/>
          <w:sz w:val="44"/>
          <w:szCs w:val="44"/>
        </w:rPr>
      </w:pPr>
      <w:r>
        <w:rPr>
          <w:rFonts w:ascii="方正小标宋简体" w:hAnsi="宋体" w:eastAsia="方正小标宋简体"/>
          <w:sz w:val="36"/>
          <w:szCs w:val="36"/>
        </w:rPr>
        <w:br w:type="page"/>
      </w:r>
      <w:r>
        <w:rPr>
          <w:rFonts w:hint="eastAsia" w:ascii="黑体" w:hAnsi="黑体" w:eastAsia="黑体"/>
          <w:sz w:val="44"/>
          <w:szCs w:val="44"/>
        </w:rPr>
        <w:t>目</w:t>
      </w:r>
      <w:r>
        <w:rPr>
          <w:rFonts w:hint="eastAsia" w:ascii="黑体" w:hAnsi="黑体" w:eastAsia="黑体"/>
          <w:sz w:val="44"/>
          <w:szCs w:val="44"/>
          <w:lang w:val="en-US" w:eastAsia="zh-CN"/>
        </w:rPr>
        <w:t xml:space="preserve">  </w:t>
      </w:r>
      <w:r>
        <w:rPr>
          <w:rFonts w:hint="eastAsia" w:ascii="黑体" w:hAnsi="黑体" w:eastAsia="黑体"/>
          <w:sz w:val="44"/>
          <w:szCs w:val="44"/>
        </w:rPr>
        <w:t>录</w:t>
      </w:r>
    </w:p>
    <w:sdt>
      <w:sdtPr>
        <w:rPr>
          <w:rFonts w:ascii="宋体" w:hAnsi="宋体" w:eastAsia="宋体" w:cs="Times New Roman"/>
          <w:kern w:val="2"/>
          <w:sz w:val="21"/>
          <w:szCs w:val="24"/>
          <w:lang w:val="en-US" w:eastAsia="zh-CN" w:bidi="ar-SA"/>
        </w:rPr>
        <w:id w:val="147470920"/>
        <w15:color w:val="DBDBDB"/>
        <w:docPartObj>
          <w:docPartGallery w:val="Table of Contents"/>
          <w:docPartUnique/>
        </w:docPartObj>
      </w:sdtPr>
      <w:sdtEndPr>
        <w:rPr>
          <w:rFonts w:hint="eastAsia" w:ascii="仿宋_GB2312" w:hAnsi="仿宋_GB2312" w:eastAsia="仿宋_GB2312" w:cs="仿宋_GB2312"/>
          <w:b/>
          <w:kern w:val="2"/>
          <w:sz w:val="24"/>
          <w:szCs w:val="24"/>
          <w:lang w:val="en-US" w:eastAsia="zh-CN" w:bidi="ar-SA"/>
        </w:rPr>
      </w:sdtEndPr>
      <w:sdtContent>
        <w:p>
          <w:pPr>
            <w:pStyle w:val="36"/>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b/>
              <w:sz w:val="24"/>
              <w:szCs w:val="24"/>
            </w:rPr>
          </w:pPr>
          <w:bookmarkStart w:id="14" w:name="_Toc15396599"/>
          <w:bookmarkStart w:id="15" w:name="_Toc15377196"/>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TOC \o "1-2" \h \u </w:instrText>
          </w:r>
          <w:r>
            <w:rPr>
              <w:rFonts w:hint="eastAsia" w:ascii="仿宋_GB2312" w:hAnsi="仿宋_GB2312" w:eastAsia="仿宋_GB2312" w:cs="仿宋_GB2312"/>
              <w:sz w:val="24"/>
              <w:szCs w:val="24"/>
            </w:rPr>
            <w:fldChar w:fldCharType="separate"/>
          </w:r>
        </w:p>
        <w:p>
          <w:pPr>
            <w:pStyle w:val="36"/>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黑体"/>
              <w:b w:val="0"/>
              <w:bCs/>
              <w:sz w:val="24"/>
              <w:szCs w:val="24"/>
            </w:rPr>
          </w:pPr>
          <w:r>
            <w:rPr>
              <w:rFonts w:hint="eastAsia" w:ascii="黑体" w:hAnsi="黑体" w:eastAsia="黑体" w:cs="黑体"/>
              <w:b w:val="0"/>
              <w:bCs/>
              <w:sz w:val="24"/>
              <w:szCs w:val="24"/>
            </w:rPr>
            <w:fldChar w:fldCharType="begin"/>
          </w:r>
          <w:r>
            <w:rPr>
              <w:rFonts w:hint="eastAsia" w:ascii="黑体" w:hAnsi="黑体" w:eastAsia="黑体" w:cs="黑体"/>
              <w:b w:val="0"/>
              <w:bCs/>
              <w:sz w:val="24"/>
              <w:szCs w:val="24"/>
            </w:rPr>
            <w:instrText xml:space="preserve"> HYPERLINK \l _Toc23801 </w:instrText>
          </w:r>
          <w:r>
            <w:rPr>
              <w:rFonts w:hint="eastAsia" w:ascii="黑体" w:hAnsi="黑体" w:eastAsia="黑体" w:cs="黑体"/>
              <w:b w:val="0"/>
              <w:bCs/>
              <w:sz w:val="24"/>
              <w:szCs w:val="24"/>
            </w:rPr>
            <w:fldChar w:fldCharType="separate"/>
          </w:r>
          <w:r>
            <w:rPr>
              <w:rFonts w:hint="eastAsia" w:ascii="黑体" w:hAnsi="黑体" w:eastAsia="黑体" w:cs="黑体"/>
              <w:b w:val="0"/>
              <w:bCs/>
              <w:sz w:val="24"/>
              <w:szCs w:val="24"/>
            </w:rPr>
            <w:t>第一部分 单位概况</w:t>
          </w:r>
          <w:r>
            <w:rPr>
              <w:rFonts w:hint="eastAsia" w:ascii="黑体" w:hAnsi="黑体" w:eastAsia="黑体" w:cs="黑体"/>
              <w:b w:val="0"/>
              <w:bCs/>
              <w:sz w:val="24"/>
              <w:szCs w:val="24"/>
            </w:rPr>
            <w:tab/>
          </w:r>
          <w:r>
            <w:rPr>
              <w:rFonts w:hint="eastAsia" w:ascii="黑体" w:hAnsi="黑体" w:eastAsia="黑体" w:cs="黑体"/>
              <w:b w:val="0"/>
              <w:bCs/>
              <w:sz w:val="24"/>
              <w:szCs w:val="24"/>
            </w:rPr>
            <w:fldChar w:fldCharType="begin"/>
          </w:r>
          <w:r>
            <w:rPr>
              <w:rFonts w:hint="eastAsia" w:ascii="黑体" w:hAnsi="黑体" w:eastAsia="黑体" w:cs="黑体"/>
              <w:b w:val="0"/>
              <w:bCs/>
              <w:sz w:val="24"/>
              <w:szCs w:val="24"/>
            </w:rPr>
            <w:instrText xml:space="preserve"> PAGEREF _Toc23801 </w:instrText>
          </w:r>
          <w:r>
            <w:rPr>
              <w:rFonts w:hint="eastAsia" w:ascii="黑体" w:hAnsi="黑体" w:eastAsia="黑体" w:cs="黑体"/>
              <w:b w:val="0"/>
              <w:bCs/>
              <w:sz w:val="24"/>
              <w:szCs w:val="24"/>
            </w:rPr>
            <w:fldChar w:fldCharType="separate"/>
          </w:r>
          <w:r>
            <w:rPr>
              <w:rFonts w:hint="eastAsia" w:ascii="黑体" w:hAnsi="黑体" w:eastAsia="黑体" w:cs="黑体"/>
              <w:b w:val="0"/>
              <w:bCs/>
              <w:sz w:val="24"/>
              <w:szCs w:val="24"/>
            </w:rPr>
            <w:t>3</w:t>
          </w:r>
          <w:r>
            <w:rPr>
              <w:rFonts w:hint="eastAsia" w:ascii="黑体" w:hAnsi="黑体" w:eastAsia="黑体" w:cs="黑体"/>
              <w:b w:val="0"/>
              <w:bCs/>
              <w:sz w:val="24"/>
              <w:szCs w:val="24"/>
            </w:rPr>
            <w:fldChar w:fldCharType="end"/>
          </w:r>
          <w:r>
            <w:rPr>
              <w:rFonts w:hint="eastAsia" w:ascii="黑体" w:hAnsi="黑体" w:eastAsia="黑体" w:cs="黑体"/>
              <w:b w:val="0"/>
              <w:bCs/>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_Toc19243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rPr>
            <w:t>一、主要职责</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_Toc19243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_Toc15697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lang w:val="en-US" w:eastAsia="zh-CN" w:bidi="ar-SA"/>
            </w:rPr>
            <w:t>二、机构设置</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_Toc15697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6"/>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黑体"/>
              <w:b w:val="0"/>
              <w:bCs/>
              <w:sz w:val="24"/>
              <w:szCs w:val="24"/>
            </w:rPr>
          </w:pPr>
          <w:r>
            <w:rPr>
              <w:rFonts w:hint="eastAsia" w:ascii="黑体" w:hAnsi="黑体" w:eastAsia="黑体" w:cs="黑体"/>
              <w:b w:val="0"/>
              <w:bCs/>
              <w:sz w:val="24"/>
              <w:szCs w:val="24"/>
            </w:rPr>
            <w:fldChar w:fldCharType="begin"/>
          </w:r>
          <w:r>
            <w:rPr>
              <w:rFonts w:hint="eastAsia" w:ascii="黑体" w:hAnsi="黑体" w:eastAsia="黑体" w:cs="黑体"/>
              <w:b w:val="0"/>
              <w:bCs/>
              <w:sz w:val="24"/>
              <w:szCs w:val="24"/>
            </w:rPr>
            <w:instrText xml:space="preserve"> HYPERLINK \l _Toc17053 </w:instrText>
          </w:r>
          <w:r>
            <w:rPr>
              <w:rFonts w:hint="eastAsia" w:ascii="黑体" w:hAnsi="黑体" w:eastAsia="黑体" w:cs="黑体"/>
              <w:b w:val="0"/>
              <w:bCs/>
              <w:sz w:val="24"/>
              <w:szCs w:val="24"/>
            </w:rPr>
            <w:fldChar w:fldCharType="separate"/>
          </w:r>
          <w:r>
            <w:rPr>
              <w:rFonts w:hint="eastAsia" w:ascii="黑体" w:hAnsi="黑体" w:eastAsia="黑体" w:cs="黑体"/>
              <w:b w:val="0"/>
              <w:bCs/>
              <w:sz w:val="24"/>
              <w:szCs w:val="24"/>
            </w:rPr>
            <w:t>第二部分 202</w:t>
          </w:r>
          <w:r>
            <w:rPr>
              <w:rFonts w:hint="eastAsia" w:ascii="黑体" w:hAnsi="黑体" w:eastAsia="黑体" w:cs="黑体"/>
              <w:b w:val="0"/>
              <w:bCs/>
              <w:sz w:val="24"/>
              <w:szCs w:val="24"/>
              <w:lang w:val="en-US" w:eastAsia="zh-CN"/>
            </w:rPr>
            <w:t>4</w:t>
          </w:r>
          <w:r>
            <w:rPr>
              <w:rFonts w:hint="eastAsia" w:ascii="黑体" w:hAnsi="黑体" w:eastAsia="黑体" w:cs="黑体"/>
              <w:b w:val="0"/>
              <w:bCs/>
              <w:sz w:val="24"/>
              <w:szCs w:val="24"/>
            </w:rPr>
            <w:t>年度单位决算情况说明</w:t>
          </w:r>
          <w:r>
            <w:rPr>
              <w:rFonts w:hint="eastAsia" w:ascii="黑体" w:hAnsi="黑体" w:eastAsia="黑体" w:cs="黑体"/>
              <w:b w:val="0"/>
              <w:bCs/>
              <w:sz w:val="24"/>
              <w:szCs w:val="24"/>
            </w:rPr>
            <w:tab/>
          </w:r>
          <w:r>
            <w:rPr>
              <w:rFonts w:hint="eastAsia" w:ascii="黑体" w:hAnsi="黑体" w:eastAsia="黑体" w:cs="黑体"/>
              <w:b w:val="0"/>
              <w:bCs/>
              <w:sz w:val="24"/>
              <w:szCs w:val="24"/>
            </w:rPr>
            <w:fldChar w:fldCharType="begin"/>
          </w:r>
          <w:r>
            <w:rPr>
              <w:rFonts w:hint="eastAsia" w:ascii="黑体" w:hAnsi="黑体" w:eastAsia="黑体" w:cs="黑体"/>
              <w:b w:val="0"/>
              <w:bCs/>
              <w:sz w:val="24"/>
              <w:szCs w:val="24"/>
            </w:rPr>
            <w:instrText xml:space="preserve"> PAGEREF _Toc17053 </w:instrText>
          </w:r>
          <w:r>
            <w:rPr>
              <w:rFonts w:hint="eastAsia" w:ascii="黑体" w:hAnsi="黑体" w:eastAsia="黑体" w:cs="黑体"/>
              <w:b w:val="0"/>
              <w:bCs/>
              <w:sz w:val="24"/>
              <w:szCs w:val="24"/>
            </w:rPr>
            <w:fldChar w:fldCharType="separate"/>
          </w:r>
          <w:r>
            <w:rPr>
              <w:rFonts w:hint="eastAsia" w:ascii="黑体" w:hAnsi="黑体" w:eastAsia="黑体" w:cs="黑体"/>
              <w:b w:val="0"/>
              <w:bCs/>
              <w:sz w:val="24"/>
              <w:szCs w:val="24"/>
            </w:rPr>
            <w:t>4</w:t>
          </w:r>
          <w:r>
            <w:rPr>
              <w:rFonts w:hint="eastAsia" w:ascii="黑体" w:hAnsi="黑体" w:eastAsia="黑体" w:cs="黑体"/>
              <w:b w:val="0"/>
              <w:bCs/>
              <w:sz w:val="24"/>
              <w:szCs w:val="24"/>
            </w:rPr>
            <w:fldChar w:fldCharType="end"/>
          </w:r>
          <w:r>
            <w:rPr>
              <w:rFonts w:hint="eastAsia" w:ascii="黑体" w:hAnsi="黑体" w:eastAsia="黑体" w:cs="黑体"/>
              <w:b w:val="0"/>
              <w:bCs/>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_Toc10673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一、 收入支出决算总体情况说明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_Toc10673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_Toc12539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二、 收入决算情况说明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_Toc12539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_Toc19174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三、 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_Toc19174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_Toc26757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四、财政拨款收入支出决算总体情况说明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_Toc26757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_Toc29449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五、一般公共预算财政拨款支出决算情况说明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_Toc29449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_Toc13476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六、一般公共预算财政拨款基本支出决算情况说明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_Toc13476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_Toc25740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七、财政拨款“三公”经费支出决算情况说明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_Toc25740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_Toc28189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八、政府性基金预算支出决算情况说明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_Toc28189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_Toc24379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九、 国有资本经营预算支出决算情况说明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_Toc24379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_Toc5474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十、 其他重要事项的情况说明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_Toc5474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6"/>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黑体"/>
              <w:b w:val="0"/>
              <w:bCs/>
              <w:sz w:val="24"/>
              <w:szCs w:val="24"/>
            </w:rPr>
          </w:pPr>
          <w:r>
            <w:rPr>
              <w:rFonts w:hint="eastAsia" w:ascii="黑体" w:hAnsi="黑体" w:eastAsia="黑体" w:cs="黑体"/>
              <w:b w:val="0"/>
              <w:bCs/>
              <w:sz w:val="24"/>
              <w:szCs w:val="24"/>
            </w:rPr>
            <w:fldChar w:fldCharType="begin"/>
          </w:r>
          <w:r>
            <w:rPr>
              <w:rFonts w:hint="eastAsia" w:ascii="黑体" w:hAnsi="黑体" w:eastAsia="黑体" w:cs="黑体"/>
              <w:b w:val="0"/>
              <w:bCs/>
              <w:sz w:val="24"/>
              <w:szCs w:val="24"/>
            </w:rPr>
            <w:instrText xml:space="preserve"> HYPERLINK \l _Toc32155 </w:instrText>
          </w:r>
          <w:r>
            <w:rPr>
              <w:rFonts w:hint="eastAsia" w:ascii="黑体" w:hAnsi="黑体" w:eastAsia="黑体" w:cs="黑体"/>
              <w:b w:val="0"/>
              <w:bCs/>
              <w:sz w:val="24"/>
              <w:szCs w:val="24"/>
            </w:rPr>
            <w:fldChar w:fldCharType="separate"/>
          </w:r>
          <w:r>
            <w:rPr>
              <w:rFonts w:hint="eastAsia" w:ascii="黑体" w:hAnsi="黑体" w:eastAsia="黑体" w:cs="黑体"/>
              <w:b w:val="0"/>
              <w:bCs/>
              <w:sz w:val="24"/>
              <w:szCs w:val="24"/>
              <w:lang w:val="en-US" w:eastAsia="zh-CN"/>
            </w:rPr>
            <w:t>第三部分名词解释</w:t>
          </w:r>
          <w:r>
            <w:rPr>
              <w:rFonts w:hint="eastAsia" w:ascii="黑体" w:hAnsi="黑体" w:eastAsia="黑体" w:cs="黑体"/>
              <w:b w:val="0"/>
              <w:bCs/>
              <w:sz w:val="24"/>
              <w:szCs w:val="24"/>
            </w:rPr>
            <w:tab/>
          </w:r>
          <w:r>
            <w:rPr>
              <w:rFonts w:hint="eastAsia" w:ascii="黑体" w:hAnsi="黑体" w:eastAsia="黑体" w:cs="黑体"/>
              <w:b w:val="0"/>
              <w:bCs/>
              <w:sz w:val="24"/>
              <w:szCs w:val="24"/>
            </w:rPr>
            <w:fldChar w:fldCharType="begin"/>
          </w:r>
          <w:r>
            <w:rPr>
              <w:rFonts w:hint="eastAsia" w:ascii="黑体" w:hAnsi="黑体" w:eastAsia="黑体" w:cs="黑体"/>
              <w:b w:val="0"/>
              <w:bCs/>
              <w:sz w:val="24"/>
              <w:szCs w:val="24"/>
            </w:rPr>
            <w:instrText xml:space="preserve"> PAGEREF _Toc32155 </w:instrText>
          </w:r>
          <w:r>
            <w:rPr>
              <w:rFonts w:hint="eastAsia" w:ascii="黑体" w:hAnsi="黑体" w:eastAsia="黑体" w:cs="黑体"/>
              <w:b w:val="0"/>
              <w:bCs/>
              <w:sz w:val="24"/>
              <w:szCs w:val="24"/>
            </w:rPr>
            <w:fldChar w:fldCharType="separate"/>
          </w:r>
          <w:r>
            <w:rPr>
              <w:rFonts w:hint="eastAsia" w:ascii="黑体" w:hAnsi="黑体" w:eastAsia="黑体" w:cs="黑体"/>
              <w:b w:val="0"/>
              <w:bCs/>
              <w:sz w:val="24"/>
              <w:szCs w:val="24"/>
            </w:rPr>
            <w:t>13</w:t>
          </w:r>
          <w:r>
            <w:rPr>
              <w:rFonts w:hint="eastAsia" w:ascii="黑体" w:hAnsi="黑体" w:eastAsia="黑体" w:cs="黑体"/>
              <w:b w:val="0"/>
              <w:bCs/>
              <w:sz w:val="24"/>
              <w:szCs w:val="24"/>
            </w:rPr>
            <w:fldChar w:fldCharType="end"/>
          </w:r>
          <w:r>
            <w:rPr>
              <w:rFonts w:hint="eastAsia" w:ascii="黑体" w:hAnsi="黑体" w:eastAsia="黑体" w:cs="黑体"/>
              <w:b w:val="0"/>
              <w:bCs/>
              <w:sz w:val="24"/>
              <w:szCs w:val="24"/>
            </w:rPr>
            <w:fldChar w:fldCharType="end"/>
          </w:r>
        </w:p>
        <w:p>
          <w:pPr>
            <w:pStyle w:val="36"/>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黑体"/>
              <w:b w:val="0"/>
              <w:bCs/>
              <w:sz w:val="24"/>
              <w:szCs w:val="24"/>
            </w:rPr>
          </w:pPr>
          <w:r>
            <w:rPr>
              <w:rFonts w:hint="eastAsia" w:ascii="黑体" w:hAnsi="黑体" w:eastAsia="黑体" w:cs="黑体"/>
              <w:b w:val="0"/>
              <w:bCs/>
              <w:sz w:val="24"/>
              <w:szCs w:val="24"/>
            </w:rPr>
            <w:fldChar w:fldCharType="begin"/>
          </w:r>
          <w:r>
            <w:rPr>
              <w:rFonts w:hint="eastAsia" w:ascii="黑体" w:hAnsi="黑体" w:eastAsia="黑体" w:cs="黑体"/>
              <w:b w:val="0"/>
              <w:bCs/>
              <w:sz w:val="24"/>
              <w:szCs w:val="24"/>
            </w:rPr>
            <w:instrText xml:space="preserve"> HYPERLINK \l _Toc28498 </w:instrText>
          </w:r>
          <w:r>
            <w:rPr>
              <w:rFonts w:hint="eastAsia" w:ascii="黑体" w:hAnsi="黑体" w:eastAsia="黑体" w:cs="黑体"/>
              <w:b w:val="0"/>
              <w:bCs/>
              <w:sz w:val="24"/>
              <w:szCs w:val="24"/>
            </w:rPr>
            <w:fldChar w:fldCharType="separate"/>
          </w:r>
          <w:r>
            <w:rPr>
              <w:rFonts w:hint="eastAsia" w:ascii="黑体" w:hAnsi="黑体" w:eastAsia="黑体" w:cs="黑体"/>
              <w:b w:val="0"/>
              <w:bCs/>
              <w:sz w:val="24"/>
              <w:szCs w:val="24"/>
              <w:lang w:val="en-US" w:eastAsia="zh-CN"/>
            </w:rPr>
            <w:t>第四部分 附件</w:t>
          </w:r>
          <w:r>
            <w:rPr>
              <w:rFonts w:hint="eastAsia" w:ascii="黑体" w:hAnsi="黑体" w:eastAsia="黑体" w:cs="黑体"/>
              <w:b w:val="0"/>
              <w:bCs/>
              <w:sz w:val="24"/>
              <w:szCs w:val="24"/>
            </w:rPr>
            <w:tab/>
          </w:r>
          <w:r>
            <w:rPr>
              <w:rFonts w:hint="eastAsia" w:ascii="黑体" w:hAnsi="黑体" w:eastAsia="黑体" w:cs="黑体"/>
              <w:b w:val="0"/>
              <w:bCs/>
              <w:sz w:val="24"/>
              <w:szCs w:val="24"/>
            </w:rPr>
            <w:fldChar w:fldCharType="begin"/>
          </w:r>
          <w:r>
            <w:rPr>
              <w:rFonts w:hint="eastAsia" w:ascii="黑体" w:hAnsi="黑体" w:eastAsia="黑体" w:cs="黑体"/>
              <w:b w:val="0"/>
              <w:bCs/>
              <w:sz w:val="24"/>
              <w:szCs w:val="24"/>
            </w:rPr>
            <w:instrText xml:space="preserve"> PAGEREF _Toc28498 </w:instrText>
          </w:r>
          <w:r>
            <w:rPr>
              <w:rFonts w:hint="eastAsia" w:ascii="黑体" w:hAnsi="黑体" w:eastAsia="黑体" w:cs="黑体"/>
              <w:b w:val="0"/>
              <w:bCs/>
              <w:sz w:val="24"/>
              <w:szCs w:val="24"/>
            </w:rPr>
            <w:fldChar w:fldCharType="separate"/>
          </w:r>
          <w:r>
            <w:rPr>
              <w:rFonts w:hint="eastAsia" w:ascii="黑体" w:hAnsi="黑体" w:eastAsia="黑体" w:cs="黑体"/>
              <w:b w:val="0"/>
              <w:bCs/>
              <w:sz w:val="24"/>
              <w:szCs w:val="24"/>
            </w:rPr>
            <w:t>16</w:t>
          </w:r>
          <w:r>
            <w:rPr>
              <w:rFonts w:hint="eastAsia" w:ascii="黑体" w:hAnsi="黑体" w:eastAsia="黑体" w:cs="黑体"/>
              <w:b w:val="0"/>
              <w:bCs/>
              <w:sz w:val="24"/>
              <w:szCs w:val="24"/>
            </w:rPr>
            <w:fldChar w:fldCharType="end"/>
          </w:r>
          <w:r>
            <w:rPr>
              <w:rFonts w:hint="eastAsia" w:ascii="黑体" w:hAnsi="黑体" w:eastAsia="黑体" w:cs="黑体"/>
              <w:b w:val="0"/>
              <w:bCs/>
              <w:sz w:val="24"/>
              <w:szCs w:val="24"/>
            </w:rPr>
            <w:fldChar w:fldCharType="end"/>
          </w:r>
        </w:p>
        <w:p>
          <w:pPr>
            <w:pStyle w:val="36"/>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黑体"/>
              <w:b w:val="0"/>
              <w:bCs/>
              <w:sz w:val="24"/>
              <w:szCs w:val="24"/>
            </w:rPr>
          </w:pPr>
          <w:r>
            <w:rPr>
              <w:rFonts w:hint="eastAsia" w:ascii="黑体" w:hAnsi="黑体" w:eastAsia="黑体" w:cs="黑体"/>
              <w:b w:val="0"/>
              <w:bCs/>
              <w:sz w:val="24"/>
              <w:szCs w:val="24"/>
            </w:rPr>
            <w:fldChar w:fldCharType="begin"/>
          </w:r>
          <w:r>
            <w:rPr>
              <w:rFonts w:hint="eastAsia" w:ascii="黑体" w:hAnsi="黑体" w:eastAsia="黑体" w:cs="黑体"/>
              <w:b w:val="0"/>
              <w:bCs/>
              <w:sz w:val="24"/>
              <w:szCs w:val="24"/>
            </w:rPr>
            <w:instrText xml:space="preserve"> HYPERLINK \l _Toc31675 </w:instrText>
          </w:r>
          <w:r>
            <w:rPr>
              <w:rFonts w:hint="eastAsia" w:ascii="黑体" w:hAnsi="黑体" w:eastAsia="黑体" w:cs="黑体"/>
              <w:b w:val="0"/>
              <w:bCs/>
              <w:sz w:val="24"/>
              <w:szCs w:val="24"/>
            </w:rPr>
            <w:fldChar w:fldCharType="separate"/>
          </w:r>
          <w:r>
            <w:rPr>
              <w:rFonts w:hint="eastAsia" w:ascii="黑体" w:hAnsi="黑体" w:eastAsia="黑体" w:cs="黑体"/>
              <w:b w:val="0"/>
              <w:bCs/>
              <w:sz w:val="24"/>
              <w:szCs w:val="24"/>
            </w:rPr>
            <w:t>第五部分 附表</w:t>
          </w:r>
          <w:r>
            <w:rPr>
              <w:rFonts w:hint="eastAsia" w:ascii="黑体" w:hAnsi="黑体" w:eastAsia="黑体" w:cs="黑体"/>
              <w:b w:val="0"/>
              <w:bCs/>
              <w:sz w:val="24"/>
              <w:szCs w:val="24"/>
            </w:rPr>
            <w:tab/>
          </w:r>
          <w:r>
            <w:rPr>
              <w:rFonts w:hint="eastAsia" w:ascii="黑体" w:hAnsi="黑体" w:eastAsia="黑体" w:cs="黑体"/>
              <w:b w:val="0"/>
              <w:bCs/>
              <w:sz w:val="24"/>
              <w:szCs w:val="24"/>
            </w:rPr>
            <w:fldChar w:fldCharType="begin"/>
          </w:r>
          <w:r>
            <w:rPr>
              <w:rFonts w:hint="eastAsia" w:ascii="黑体" w:hAnsi="黑体" w:eastAsia="黑体" w:cs="黑体"/>
              <w:b w:val="0"/>
              <w:bCs/>
              <w:sz w:val="24"/>
              <w:szCs w:val="24"/>
            </w:rPr>
            <w:instrText xml:space="preserve"> PAGEREF _Toc31675 </w:instrText>
          </w:r>
          <w:r>
            <w:rPr>
              <w:rFonts w:hint="eastAsia" w:ascii="黑体" w:hAnsi="黑体" w:eastAsia="黑体" w:cs="黑体"/>
              <w:b w:val="0"/>
              <w:bCs/>
              <w:sz w:val="24"/>
              <w:szCs w:val="24"/>
            </w:rPr>
            <w:fldChar w:fldCharType="separate"/>
          </w:r>
          <w:r>
            <w:rPr>
              <w:rFonts w:hint="eastAsia" w:ascii="黑体" w:hAnsi="黑体" w:eastAsia="黑体" w:cs="黑体"/>
              <w:b w:val="0"/>
              <w:bCs/>
              <w:sz w:val="24"/>
              <w:szCs w:val="24"/>
            </w:rPr>
            <w:t>29</w:t>
          </w:r>
          <w:r>
            <w:rPr>
              <w:rFonts w:hint="eastAsia" w:ascii="黑体" w:hAnsi="黑体" w:eastAsia="黑体" w:cs="黑体"/>
              <w:b w:val="0"/>
              <w:bCs/>
              <w:sz w:val="24"/>
              <w:szCs w:val="24"/>
            </w:rPr>
            <w:fldChar w:fldCharType="end"/>
          </w:r>
          <w:r>
            <w:rPr>
              <w:rFonts w:hint="eastAsia" w:ascii="黑体" w:hAnsi="黑体" w:eastAsia="黑体" w:cs="黑体"/>
              <w:b w:val="0"/>
              <w:bCs/>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_Toc20420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一、收</w:t>
          </w:r>
          <w:r>
            <w:rPr>
              <w:rFonts w:hint="eastAsia" w:ascii="仿宋_GB2312" w:hAnsi="仿宋_GB2312" w:eastAsia="仿宋_GB2312" w:cs="仿宋_GB2312"/>
              <w:bCs w:val="0"/>
              <w:sz w:val="24"/>
              <w:szCs w:val="24"/>
            </w:rPr>
            <w:t>入支出决算总表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_Toc20420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_Toc19982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二、收</w:t>
          </w:r>
          <w:r>
            <w:rPr>
              <w:rFonts w:hint="eastAsia" w:ascii="仿宋_GB2312" w:hAnsi="仿宋_GB2312" w:eastAsia="仿宋_GB2312" w:cs="仿宋_GB2312"/>
              <w:bCs w:val="0"/>
              <w:sz w:val="24"/>
              <w:szCs w:val="24"/>
            </w:rPr>
            <w:t>入决算表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_Toc19982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_Toc29041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rPr>
            <w:t>三、</w:t>
          </w:r>
          <w:r>
            <w:rPr>
              <w:rFonts w:hint="eastAsia" w:ascii="仿宋_GB2312" w:hAnsi="仿宋_GB2312" w:eastAsia="仿宋_GB2312" w:cs="仿宋_GB2312"/>
              <w:sz w:val="24"/>
              <w:szCs w:val="24"/>
            </w:rPr>
            <w:t>支</w:t>
          </w:r>
          <w:r>
            <w:rPr>
              <w:rFonts w:hint="eastAsia" w:ascii="仿宋_GB2312" w:hAnsi="仿宋_GB2312" w:eastAsia="仿宋_GB2312" w:cs="仿宋_GB2312"/>
              <w:bCs w:val="0"/>
              <w:sz w:val="24"/>
              <w:szCs w:val="24"/>
            </w:rPr>
            <w:t>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_Toc29041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_Toc17458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rPr>
            <w:t>四、</w:t>
          </w:r>
          <w:r>
            <w:rPr>
              <w:rFonts w:hint="eastAsia" w:ascii="仿宋_GB2312" w:hAnsi="仿宋_GB2312" w:eastAsia="仿宋_GB2312" w:cs="仿宋_GB2312"/>
              <w:sz w:val="24"/>
              <w:szCs w:val="24"/>
            </w:rPr>
            <w:t>财</w:t>
          </w:r>
          <w:r>
            <w:rPr>
              <w:rFonts w:hint="eastAsia" w:ascii="仿宋_GB2312" w:hAnsi="仿宋_GB2312" w:eastAsia="仿宋_GB2312" w:cs="仿宋_GB2312"/>
              <w:bCs w:val="0"/>
              <w:sz w:val="24"/>
              <w:szCs w:val="24"/>
            </w:rPr>
            <w:t>政拨款收入支出决算总表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_Toc17458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_Toc3619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rPr>
            <w:t>五、</w:t>
          </w:r>
          <w:r>
            <w:rPr>
              <w:rFonts w:hint="eastAsia" w:ascii="仿宋_GB2312" w:hAnsi="仿宋_GB2312" w:eastAsia="仿宋_GB2312" w:cs="仿宋_GB2312"/>
              <w:sz w:val="24"/>
              <w:szCs w:val="24"/>
            </w:rPr>
            <w:t>财</w:t>
          </w:r>
          <w:r>
            <w:rPr>
              <w:rFonts w:hint="eastAsia" w:ascii="仿宋_GB2312" w:hAnsi="仿宋_GB2312" w:eastAsia="仿宋_GB2312" w:cs="仿宋_GB2312"/>
              <w:bCs w:val="0"/>
              <w:sz w:val="24"/>
              <w:szCs w:val="24"/>
            </w:rPr>
            <w:t>政拨款支出决算明细表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_Toc3619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_Toc16102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rPr>
            <w:t>六、</w:t>
          </w:r>
          <w:r>
            <w:rPr>
              <w:rFonts w:hint="eastAsia" w:ascii="仿宋_GB2312" w:hAnsi="仿宋_GB2312" w:eastAsia="仿宋_GB2312" w:cs="仿宋_GB2312"/>
              <w:sz w:val="24"/>
              <w:szCs w:val="24"/>
            </w:rPr>
            <w:t>一</w:t>
          </w:r>
          <w:r>
            <w:rPr>
              <w:rFonts w:hint="eastAsia" w:ascii="仿宋_GB2312" w:hAnsi="仿宋_GB2312" w:eastAsia="仿宋_GB2312" w:cs="仿宋_GB2312"/>
              <w:bCs w:val="0"/>
              <w:sz w:val="24"/>
              <w:szCs w:val="24"/>
            </w:rPr>
            <w:t>般公共预算财政拨款支出决算表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_Toc16102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_Toc16715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rPr>
            <w:t>七、</w:t>
          </w:r>
          <w:r>
            <w:rPr>
              <w:rFonts w:hint="eastAsia" w:ascii="仿宋_GB2312" w:hAnsi="仿宋_GB2312" w:eastAsia="仿宋_GB2312" w:cs="仿宋_GB2312"/>
              <w:sz w:val="24"/>
              <w:szCs w:val="24"/>
            </w:rPr>
            <w:t>一</w:t>
          </w:r>
          <w:r>
            <w:rPr>
              <w:rFonts w:hint="eastAsia" w:ascii="仿宋_GB2312" w:hAnsi="仿宋_GB2312" w:eastAsia="仿宋_GB2312" w:cs="仿宋_GB2312"/>
              <w:bCs w:val="0"/>
              <w:sz w:val="24"/>
              <w:szCs w:val="24"/>
            </w:rPr>
            <w:t>般公共预算财政拨款支出决算明细表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_Toc16715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_Toc31421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rPr>
            <w:t>八、</w:t>
          </w:r>
          <w:r>
            <w:rPr>
              <w:rFonts w:hint="eastAsia" w:ascii="仿宋_GB2312" w:hAnsi="仿宋_GB2312" w:eastAsia="仿宋_GB2312" w:cs="仿宋_GB2312"/>
              <w:sz w:val="24"/>
              <w:szCs w:val="24"/>
            </w:rPr>
            <w:t>一</w:t>
          </w:r>
          <w:r>
            <w:rPr>
              <w:rFonts w:hint="eastAsia" w:ascii="仿宋_GB2312" w:hAnsi="仿宋_GB2312" w:eastAsia="仿宋_GB2312" w:cs="仿宋_GB2312"/>
              <w:bCs w:val="0"/>
              <w:sz w:val="24"/>
              <w:szCs w:val="24"/>
            </w:rPr>
            <w:t>般公共预算财政拨款基本支出决算</w:t>
          </w:r>
          <w:r>
            <w:rPr>
              <w:rFonts w:hint="eastAsia" w:ascii="仿宋_GB2312" w:hAnsi="仿宋_GB2312" w:eastAsia="仿宋_GB2312" w:cs="仿宋_GB2312"/>
              <w:bCs w:val="0"/>
              <w:sz w:val="24"/>
              <w:szCs w:val="24"/>
              <w:lang w:eastAsia="zh-CN"/>
            </w:rPr>
            <w:t>明细</w:t>
          </w:r>
          <w:r>
            <w:rPr>
              <w:rFonts w:hint="eastAsia" w:ascii="仿宋_GB2312" w:hAnsi="仿宋_GB2312" w:eastAsia="仿宋_GB2312" w:cs="仿宋_GB2312"/>
              <w:bCs w:val="0"/>
              <w:sz w:val="24"/>
              <w:szCs w:val="24"/>
            </w:rPr>
            <w:t>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_Toc31421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_Toc20599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rPr>
            <w:t>九、</w:t>
          </w:r>
          <w:r>
            <w:rPr>
              <w:rFonts w:hint="eastAsia" w:ascii="仿宋_GB2312" w:hAnsi="仿宋_GB2312" w:eastAsia="仿宋_GB2312" w:cs="仿宋_GB2312"/>
              <w:sz w:val="24"/>
              <w:szCs w:val="24"/>
            </w:rPr>
            <w:t>一</w:t>
          </w:r>
          <w:r>
            <w:rPr>
              <w:rFonts w:hint="eastAsia" w:ascii="仿宋_GB2312" w:hAnsi="仿宋_GB2312" w:eastAsia="仿宋_GB2312" w:cs="仿宋_GB2312"/>
              <w:bCs w:val="0"/>
              <w:sz w:val="24"/>
              <w:szCs w:val="24"/>
            </w:rPr>
            <w:t>般公共预算财政拨款项目支出决算表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_Toc20599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_Toc15691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rPr>
            <w:t>十、</w:t>
          </w:r>
          <w:r>
            <w:rPr>
              <w:rFonts w:hint="eastAsia" w:ascii="仿宋_GB2312" w:hAnsi="仿宋_GB2312" w:eastAsia="仿宋_GB2312" w:cs="仿宋_GB2312"/>
              <w:sz w:val="24"/>
              <w:szCs w:val="24"/>
            </w:rPr>
            <w:t>政</w:t>
          </w:r>
          <w:r>
            <w:rPr>
              <w:rFonts w:hint="eastAsia" w:ascii="仿宋_GB2312" w:hAnsi="仿宋_GB2312" w:eastAsia="仿宋_GB2312" w:cs="仿宋_GB2312"/>
              <w:bCs w:val="0"/>
              <w:sz w:val="24"/>
              <w:szCs w:val="24"/>
            </w:rPr>
            <w:t>府性基金预算财政拨款收入支出决算表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_Toc15691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_Toc4152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rPr>
            <w:t>十一、</w:t>
          </w:r>
          <w:r>
            <w:rPr>
              <w:rFonts w:hint="eastAsia" w:ascii="仿宋_GB2312" w:hAnsi="仿宋_GB2312" w:eastAsia="仿宋_GB2312" w:cs="仿宋_GB2312"/>
              <w:sz w:val="24"/>
              <w:szCs w:val="24"/>
            </w:rPr>
            <w:t>国</w:t>
          </w:r>
          <w:r>
            <w:rPr>
              <w:rFonts w:hint="eastAsia" w:ascii="仿宋_GB2312" w:hAnsi="仿宋_GB2312" w:eastAsia="仿宋_GB2312" w:cs="仿宋_GB2312"/>
              <w:bCs w:val="0"/>
              <w:sz w:val="24"/>
              <w:szCs w:val="24"/>
            </w:rPr>
            <w:t>有资本经营预算财政拨款收入支出决算表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_Toc4152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_Toc24803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rPr>
            <w:t>十二、国有资本经营预算财政拨款支出决算表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_Toc24803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_Toc4474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rPr>
            <w:t>十三、财政拨款“三公”经费支出决算表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_Toc4474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fldChar w:fldCharType="end"/>
          </w:r>
        </w:p>
      </w:sdtContent>
    </w:sdt>
    <w:p>
      <w:pPr>
        <w:widowControl/>
        <w:spacing w:line="440" w:lineRule="exact"/>
        <w:jc w:val="left"/>
        <w:rPr>
          <w:rFonts w:ascii="仿宋" w:hAnsi="仿宋" w:eastAsia="仿宋"/>
          <w:bCs/>
          <w:kern w:val="44"/>
          <w:sz w:val="24"/>
        </w:rPr>
      </w:pPr>
      <w:r>
        <w:rPr>
          <w:rFonts w:ascii="仿宋" w:hAnsi="仿宋" w:eastAsia="仿宋"/>
          <w:b/>
          <w:sz w:val="24"/>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lang w:eastAsia="zh-CN"/>
        </w:rPr>
      </w:pPr>
      <w:bookmarkStart w:id="16" w:name="_Toc23801"/>
      <w:bookmarkStart w:id="17" w:name="_Hlk146544157"/>
      <w:r>
        <w:rPr>
          <w:rFonts w:hint="eastAsia" w:ascii="方正小标宋_GBK" w:hAnsi="方正小标宋_GBK" w:eastAsia="方正小标宋_GBK" w:cs="方正小标宋_GBK"/>
          <w:sz w:val="36"/>
          <w:szCs w:val="36"/>
        </w:rPr>
        <w:t xml:space="preserve">第一部分 </w:t>
      </w:r>
      <w:r>
        <w:rPr>
          <w:rFonts w:hint="eastAsia" w:ascii="方正小标宋_GBK" w:hAnsi="方正小标宋_GBK" w:eastAsia="方正小标宋_GBK" w:cs="方正小标宋_GBK"/>
          <w:sz w:val="36"/>
          <w:szCs w:val="36"/>
          <w:lang w:eastAsia="zh-CN"/>
        </w:rPr>
        <w:t>单位</w:t>
      </w:r>
      <w:r>
        <w:rPr>
          <w:rFonts w:hint="eastAsia" w:ascii="方正小标宋_GBK" w:hAnsi="方正小标宋_GBK" w:eastAsia="方正小标宋_GBK" w:cs="方正小标宋_GBK"/>
          <w:sz w:val="36"/>
          <w:szCs w:val="36"/>
        </w:rPr>
        <w:t>概况</w:t>
      </w:r>
      <w:bookmarkEnd w:id="14"/>
      <w:bookmarkEnd w:id="15"/>
      <w:bookmarkEnd w:id="16"/>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18" w:name="_Toc19243"/>
      <w:bookmarkStart w:id="19" w:name="_Toc15377197"/>
      <w:bookmarkStart w:id="20" w:name="_Toc15396600"/>
      <w:r>
        <w:rPr>
          <w:rFonts w:hint="eastAsia" w:ascii="黑体" w:hAnsi="黑体" w:eastAsia="黑体" w:cs="黑体"/>
          <w:sz w:val="32"/>
          <w:szCs w:val="32"/>
          <w:lang w:eastAsia="zh-CN"/>
        </w:rPr>
        <w:t>一、</w:t>
      </w:r>
      <w:r>
        <w:rPr>
          <w:rFonts w:hint="eastAsia" w:ascii="黑体" w:hAnsi="黑体" w:eastAsia="黑体" w:cs="黑体"/>
          <w:sz w:val="32"/>
          <w:szCs w:val="32"/>
        </w:rPr>
        <w:t>主要职责</w:t>
      </w:r>
      <w:bookmarkEnd w:id="18"/>
    </w:p>
    <w:p>
      <w:pPr>
        <w:ind w:firstLine="640" w:firstLineChars="200"/>
        <w:rPr>
          <w:rFonts w:hint="default" w:ascii="仿宋_GB2312" w:hAnsi="仿宋_GB2312" w:eastAsia="仿宋_GB2312" w:cs="仿宋_GB2312"/>
          <w:sz w:val="32"/>
          <w:szCs w:val="32"/>
          <w:lang w:val="en-US" w:eastAsia="zh-CN"/>
        </w:rPr>
      </w:pPr>
      <w:bookmarkStart w:id="21" w:name="_Toc15697"/>
      <w:r>
        <w:rPr>
          <w:rFonts w:hint="eastAsia" w:ascii="仿宋_GB2312" w:hAnsi="仿宋_GB2312" w:eastAsia="仿宋_GB2312" w:cs="仿宋_GB2312"/>
          <w:sz w:val="32"/>
          <w:szCs w:val="32"/>
        </w:rPr>
        <w:t>市财政局基本职能为贯彻执行国家、省财税方面的方针、政策和法律、法规，按照管理权限管理全市税政事项，拟订全市财税（含财政、预算、税收、非税收入、财务、会计等）发展战略、规划、政策和改革方案并组织实施，分析预测宏观经济形势，参与制定各项宏观经济政策。承担各项财政收支管理的责任，按规定开展国库现金管理工作。负责制定政府采购制度，监督管理全市政府采购工作。组织实施企业财务制度。负责管理政府债务，防范财政风险。负责管理全市的会计工作，组织和管理全市财政业务培训，监督和规范会计行为，协助指导和管理社会审计。依法查处违反财经法纪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二、机构设置</w:t>
      </w:r>
      <w:bookmarkEnd w:id="21"/>
    </w:p>
    <w:bookmarkEnd w:id="17"/>
    <w:bookmarkEnd w:id="19"/>
    <w:bookmarkEnd w:id="20"/>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峨眉山市财政局（本级）属于峨眉山市财政局部门下属的二级预算单位，下设独立编制机构2个，其中行政机构1个，参照公务员法管理的事业机构1个，其他事业机构0个。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年度单位决算编制范围的独立编制机构包括：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rPr>
        <w:t>峨眉山市财政局（本级）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lang w:eastAsia="zh-CN"/>
        </w:rPr>
        <w:t>峨眉山市财政服务中心</w:t>
      </w: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rPr>
      </w:pPr>
      <w:bookmarkStart w:id="22" w:name="_Toc15377204"/>
      <w:bookmarkStart w:id="23" w:name="_Toc15396602"/>
      <w:bookmarkStart w:id="24" w:name="_Toc17053"/>
      <w:r>
        <w:rPr>
          <w:rFonts w:hint="eastAsia" w:ascii="方正小标宋_GBK" w:hAnsi="方正小标宋_GBK" w:eastAsia="方正小标宋_GBK" w:cs="方正小标宋_GBK"/>
          <w:sz w:val="36"/>
          <w:szCs w:val="36"/>
        </w:rPr>
        <w:t>第二部分 202</w:t>
      </w:r>
      <w:r>
        <w:rPr>
          <w:rFonts w:hint="eastAsia" w:ascii="方正小标宋_GBK" w:hAnsi="方正小标宋_GBK" w:eastAsia="方正小标宋_GBK" w:cs="方正小标宋_GBK"/>
          <w:sz w:val="36"/>
          <w:szCs w:val="36"/>
          <w:lang w:val="en-US" w:eastAsia="zh-CN"/>
        </w:rPr>
        <w:t>4</w:t>
      </w:r>
      <w:r>
        <w:rPr>
          <w:rFonts w:hint="eastAsia" w:ascii="方正小标宋_GBK" w:hAnsi="方正小标宋_GBK" w:eastAsia="方正小标宋_GBK" w:cs="方正小标宋_GBK"/>
          <w:sz w:val="36"/>
          <w:szCs w:val="36"/>
        </w:rPr>
        <w:t>年度</w:t>
      </w:r>
      <w:r>
        <w:rPr>
          <w:rFonts w:hint="eastAsia" w:ascii="方正小标宋_GBK" w:hAnsi="方正小标宋_GBK" w:eastAsia="方正小标宋_GBK" w:cs="方正小标宋_GBK"/>
          <w:b w:val="0"/>
          <w:bCs w:val="0"/>
          <w:sz w:val="36"/>
          <w:szCs w:val="36"/>
        </w:rPr>
        <w:t>单位</w:t>
      </w:r>
      <w:r>
        <w:rPr>
          <w:rFonts w:hint="eastAsia" w:ascii="方正小标宋_GBK" w:hAnsi="方正小标宋_GBK" w:eastAsia="方正小标宋_GBK" w:cs="方正小标宋_GBK"/>
          <w:sz w:val="36"/>
          <w:szCs w:val="36"/>
        </w:rPr>
        <w:t>决算情况说明</w:t>
      </w:r>
      <w:bookmarkEnd w:id="22"/>
      <w:bookmarkEnd w:id="23"/>
      <w:bookmarkEnd w:id="24"/>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Times New Roman"/>
          <w:kern w:val="2"/>
          <w:sz w:val="32"/>
          <w:szCs w:val="32"/>
          <w:lang w:val="en-US" w:eastAsia="zh-CN" w:bidi="ar-SA"/>
        </w:rPr>
      </w:pPr>
      <w:bookmarkStart w:id="25" w:name="_Toc15396603"/>
      <w:bookmarkStart w:id="26" w:name="_Toc15377205"/>
      <w:bookmarkStart w:id="27" w:name="_Toc10673"/>
      <w:r>
        <w:rPr>
          <w:rFonts w:hint="eastAsia" w:ascii="黑体" w:hAnsi="黑体" w:eastAsia="黑体" w:cs="Times New Roman"/>
          <w:kern w:val="2"/>
          <w:sz w:val="32"/>
          <w:szCs w:val="32"/>
          <w:lang w:val="en-US" w:eastAsia="zh-CN" w:bidi="ar-SA"/>
        </w:rPr>
        <w:t>一、收入支出决算总体情况说明</w:t>
      </w:r>
      <w:bookmarkEnd w:id="25"/>
      <w:bookmarkEnd w:id="26"/>
      <w:bookmarkEnd w:id="2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eastAsia="zh-CN"/>
        </w:rPr>
        <w:t>均为</w:t>
      </w:r>
      <w:r>
        <w:rPr>
          <w:rFonts w:hint="eastAsia" w:ascii="仿宋_GB2312" w:hAnsi="仿宋_GB2312" w:eastAsia="仿宋_GB2312" w:cs="仿宋_GB2312"/>
          <w:sz w:val="32"/>
          <w:szCs w:val="32"/>
          <w:lang w:val="en-US" w:eastAsia="zh-CN"/>
        </w:rPr>
        <w:t>1455.26</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相比，收、支总计</w:t>
      </w:r>
      <w:r>
        <w:rPr>
          <w:rFonts w:hint="eastAsia" w:ascii="仿宋_GB2312" w:hAnsi="仿宋_GB2312" w:eastAsia="仿宋_GB2312" w:cs="仿宋_GB2312"/>
          <w:sz w:val="32"/>
          <w:szCs w:val="32"/>
          <w:lang w:eastAsia="zh-CN"/>
        </w:rPr>
        <w:t>各减少</w:t>
      </w:r>
      <w:r>
        <w:rPr>
          <w:rFonts w:hint="eastAsia" w:ascii="仿宋_GB2312" w:hAnsi="仿宋_GB2312" w:eastAsia="仿宋_GB2312" w:cs="仿宋_GB2312"/>
          <w:sz w:val="32"/>
          <w:szCs w:val="32"/>
          <w:lang w:val="en-US" w:eastAsia="zh-CN"/>
        </w:rPr>
        <w:t>924.81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降低</w:t>
      </w:r>
      <w:r>
        <w:rPr>
          <w:rFonts w:hint="eastAsia" w:ascii="仿宋_GB2312" w:hAnsi="仿宋_GB2312" w:eastAsia="仿宋_GB2312" w:cs="仿宋_GB2312"/>
          <w:sz w:val="32"/>
          <w:szCs w:val="32"/>
          <w:lang w:val="en-US" w:eastAsia="zh-CN"/>
        </w:rPr>
        <w:t>38.86</w:t>
      </w:r>
      <w:r>
        <w:rPr>
          <w:rFonts w:hint="eastAsia" w:ascii="仿宋_GB2312" w:hAnsi="仿宋_GB2312" w:eastAsia="仿宋_GB2312" w:cs="仿宋_GB2312"/>
          <w:sz w:val="32"/>
          <w:szCs w:val="32"/>
        </w:rPr>
        <w:t>%。主要变动原因</w:t>
      </w:r>
      <w:r>
        <w:rPr>
          <w:rFonts w:hint="eastAsia" w:ascii="仿宋_GB2312" w:hAnsi="仿宋_GB2312" w:eastAsia="仿宋_GB2312" w:cs="仿宋_GB2312"/>
          <w:sz w:val="32"/>
          <w:szCs w:val="32"/>
          <w:lang w:val="en-US" w:eastAsia="zh-CN"/>
        </w:rPr>
        <w:t>是特定目标类项目减少，同时我单位秉持厉行节约的原则，节省开支，据实支付。</w:t>
      </w:r>
    </w:p>
    <w:p>
      <w:pPr>
        <w:pStyle w:val="9"/>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59264" behindDoc="0" locked="0" layoutInCell="1" allowOverlap="1">
            <wp:simplePos x="0" y="0"/>
            <wp:positionH relativeFrom="column">
              <wp:posOffset>747395</wp:posOffset>
            </wp:positionH>
            <wp:positionV relativeFrom="paragraph">
              <wp:posOffset>78740</wp:posOffset>
            </wp:positionV>
            <wp:extent cx="4472940" cy="2661285"/>
            <wp:effectExtent l="4445" t="4445" r="18415" b="2032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9"/>
        <w:rPr>
          <w:rFonts w:hint="eastAsia" w:ascii="仿宋" w:hAnsi="仿宋" w:eastAsia="仿宋"/>
          <w:sz w:val="32"/>
          <w:szCs w:val="32"/>
          <w:lang w:eastAsia="zh-CN"/>
        </w:rPr>
      </w:pPr>
    </w:p>
    <w:p>
      <w:pPr>
        <w:pStyle w:val="9"/>
        <w:rPr>
          <w:rFonts w:hint="eastAsia" w:ascii="仿宋" w:hAnsi="仿宋" w:eastAsia="仿宋"/>
          <w:sz w:val="32"/>
          <w:szCs w:val="32"/>
          <w:lang w:eastAsia="zh-CN"/>
        </w:rPr>
      </w:pPr>
    </w:p>
    <w:p>
      <w:pPr>
        <w:pStyle w:val="9"/>
        <w:rPr>
          <w:rFonts w:hint="eastAsia" w:ascii="仿宋" w:hAnsi="仿宋" w:eastAsia="仿宋"/>
          <w:sz w:val="32"/>
          <w:szCs w:val="32"/>
          <w:lang w:eastAsia="zh-CN"/>
        </w:rPr>
      </w:pPr>
    </w:p>
    <w:p>
      <w:pPr>
        <w:pStyle w:val="9"/>
        <w:rPr>
          <w:rFonts w:hint="eastAsia" w:ascii="仿宋" w:hAnsi="仿宋" w:eastAsia="仿宋"/>
          <w:sz w:val="32"/>
          <w:szCs w:val="32"/>
          <w:lang w:eastAsia="zh-CN"/>
        </w:rPr>
      </w:pPr>
    </w:p>
    <w:p>
      <w:pPr>
        <w:pStyle w:val="9"/>
        <w:rPr>
          <w:rFonts w:hint="eastAsia" w:ascii="仿宋" w:hAnsi="仿宋" w:eastAsia="仿宋"/>
          <w:sz w:val="32"/>
          <w:szCs w:val="32"/>
          <w:lang w:eastAsia="zh-CN"/>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（图1：收、支决算总计变动情况图）</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outlineLvl w:val="1"/>
        <w:rPr>
          <w:rStyle w:val="30"/>
          <w:rFonts w:ascii="黑体" w:hAnsi="黑体" w:eastAsia="黑体"/>
          <w:b w:val="0"/>
        </w:rPr>
      </w:pPr>
      <w:bookmarkStart w:id="28" w:name="_Toc15377206"/>
      <w:bookmarkStart w:id="29" w:name="_Toc15396604"/>
      <w:bookmarkStart w:id="30" w:name="_Toc12539"/>
      <w:r>
        <w:rPr>
          <w:rFonts w:hint="eastAsia" w:ascii="黑体" w:hAnsi="黑体" w:eastAsia="黑体"/>
          <w:sz w:val="32"/>
          <w:szCs w:val="32"/>
          <w:lang w:eastAsia="zh-CN"/>
        </w:rPr>
        <w:t>二、</w:t>
      </w:r>
      <w:r>
        <w:rPr>
          <w:rFonts w:hint="eastAsia" w:ascii="黑体" w:hAnsi="黑体" w:eastAsia="黑体"/>
          <w:sz w:val="32"/>
          <w:szCs w:val="32"/>
        </w:rPr>
        <w:t>收</w:t>
      </w:r>
      <w:r>
        <w:rPr>
          <w:rStyle w:val="30"/>
          <w:rFonts w:hint="eastAsia" w:ascii="黑体" w:hAnsi="黑体" w:eastAsia="黑体"/>
          <w:b w:val="0"/>
        </w:rPr>
        <w:t>入决算情况说明</w:t>
      </w:r>
      <w:bookmarkEnd w:id="28"/>
      <w:bookmarkEnd w:id="29"/>
      <w:bookmarkEnd w:id="3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eastAsia="zh-CN"/>
        </w:rPr>
        <w:sectPr>
          <w:footerReference r:id="rId5" w:type="first"/>
          <w:headerReference r:id="rId3" w:type="default"/>
          <w:footerReference r:id="rId4" w:type="default"/>
          <w:pgSz w:w="11906" w:h="16838"/>
          <w:pgMar w:top="2041" w:right="1468" w:bottom="1587" w:left="1468" w:header="851" w:footer="1077" w:gutter="0"/>
          <w:pgNumType w:fmt="decimal" w:start="1"/>
          <w:cols w:space="425" w:num="1"/>
          <w:titlePg/>
          <w:docGrid w:type="lines" w:linePitch="312" w:charSpace="0"/>
        </w:sectPr>
      </w:pPr>
      <w:bookmarkStart w:id="31" w:name="_Toc16707"/>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本年收入合计</w:t>
      </w:r>
      <w:r>
        <w:rPr>
          <w:rFonts w:hint="eastAsia" w:ascii="仿宋_GB2312" w:hAnsi="仿宋_GB2312" w:eastAsia="仿宋_GB2312" w:cs="仿宋_GB2312"/>
          <w:sz w:val="32"/>
          <w:szCs w:val="32"/>
          <w:lang w:val="en-US" w:eastAsia="zh-CN"/>
        </w:rPr>
        <w:t>1455.26</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1444.66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99.27</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0.73</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bookmarkEnd w:id="31"/>
    </w:p>
    <w:p>
      <w:pPr>
        <w:pStyle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9"/>
        <w:rPr>
          <w:rFonts w:hint="eastAsia" w:ascii="仿宋_GB2312" w:hAnsi="仿宋_GB2312" w:eastAsia="仿宋_GB2312" w:cs="仿宋_GB2312"/>
          <w:sz w:val="32"/>
          <w:szCs w:val="32"/>
        </w:rPr>
      </w:pPr>
    </w:p>
    <w:p>
      <w:pPr>
        <w:pStyle w:val="9"/>
        <w:rPr>
          <w:rFonts w:hint="eastAsia" w:ascii="仿宋_GB2312" w:hAnsi="仿宋_GB2312" w:eastAsia="仿宋_GB2312" w:cs="仿宋_GB2312"/>
          <w:sz w:val="32"/>
          <w:szCs w:val="32"/>
        </w:rPr>
      </w:pPr>
      <w:r>
        <w:rPr>
          <w:rFonts w:hint="eastAsia" w:ascii="仿宋" w:hAnsi="仿宋" w:eastAsia="仿宋"/>
          <w:sz w:val="32"/>
          <w:szCs w:val="32"/>
          <w:lang w:eastAsia="zh-CN"/>
        </w:rPr>
        <w:drawing>
          <wp:anchor distT="0" distB="0" distL="114300" distR="114300" simplePos="0" relativeHeight="251660288" behindDoc="0" locked="0" layoutInCell="1" allowOverlap="1">
            <wp:simplePos x="0" y="0"/>
            <wp:positionH relativeFrom="column">
              <wp:posOffset>909320</wp:posOffset>
            </wp:positionH>
            <wp:positionV relativeFrom="paragraph">
              <wp:posOffset>-116840</wp:posOffset>
            </wp:positionV>
            <wp:extent cx="3861435" cy="2390775"/>
            <wp:effectExtent l="4445" t="4445" r="20320" b="508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9"/>
        <w:rPr>
          <w:rFonts w:hint="eastAsia" w:ascii="仿宋_GB2312" w:hAnsi="仿宋_GB2312" w:eastAsia="仿宋_GB2312" w:cs="仿宋_GB2312"/>
          <w:sz w:val="32"/>
          <w:szCs w:val="32"/>
        </w:rPr>
      </w:pPr>
    </w:p>
    <w:p>
      <w:pPr>
        <w:pStyle w:val="9"/>
        <w:rPr>
          <w:rFonts w:hint="eastAsia" w:ascii="仿宋_GB2312" w:hAnsi="仿宋_GB2312" w:eastAsia="仿宋_GB2312" w:cs="仿宋_GB2312"/>
          <w:sz w:val="32"/>
          <w:szCs w:val="32"/>
        </w:rPr>
      </w:pPr>
    </w:p>
    <w:p>
      <w:pPr>
        <w:pStyle w:val="9"/>
        <w:rPr>
          <w:rFonts w:hint="eastAsia" w:ascii="仿宋_GB2312" w:hAnsi="仿宋_GB2312" w:eastAsia="仿宋_GB2312" w:cs="仿宋_GB2312"/>
          <w:sz w:val="32"/>
          <w:szCs w:val="32"/>
        </w:rPr>
      </w:pPr>
    </w:p>
    <w:p>
      <w:pPr>
        <w:pStyle w:val="9"/>
        <w:rPr>
          <w:rFonts w:hint="eastAsia" w:ascii="仿宋_GB2312" w:hAnsi="仿宋_GB2312" w:eastAsia="仿宋_GB2312" w:cs="仿宋_GB2312"/>
          <w:sz w:val="32"/>
          <w:szCs w:val="32"/>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（图2：收入决算结构图）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32" w:name="_Toc19174"/>
      <w:bookmarkStart w:id="33" w:name="_Toc15377207"/>
      <w:bookmarkStart w:id="34" w:name="_Toc15396605"/>
      <w:r>
        <w:rPr>
          <w:rFonts w:hint="eastAsia" w:ascii="黑体" w:hAnsi="黑体" w:eastAsia="黑体" w:cs="黑体"/>
          <w:sz w:val="32"/>
          <w:szCs w:val="32"/>
          <w:lang w:eastAsia="zh-CN"/>
        </w:rPr>
        <w:t>三、</w:t>
      </w:r>
      <w:r>
        <w:rPr>
          <w:rFonts w:hint="eastAsia" w:ascii="黑体" w:hAnsi="黑体" w:eastAsia="黑体" w:cs="黑体"/>
          <w:sz w:val="32"/>
          <w:szCs w:val="32"/>
        </w:rPr>
        <w:t>支出决算情况说明</w:t>
      </w:r>
      <w:bookmarkEnd w:id="32"/>
      <w:bookmarkEnd w:id="33"/>
      <w:bookmarkEnd w:id="3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35" w:name="_Toc14263"/>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本年支出合计</w:t>
      </w:r>
      <w:r>
        <w:rPr>
          <w:rFonts w:hint="eastAsia" w:ascii="仿宋_GB2312" w:hAnsi="仿宋_GB2312" w:eastAsia="仿宋_GB2312" w:cs="仿宋_GB2312"/>
          <w:sz w:val="32"/>
          <w:szCs w:val="32"/>
          <w:lang w:val="en-US" w:eastAsia="zh-CN"/>
        </w:rPr>
        <w:t>1455.26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1273.76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87.53</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181.5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12.47</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bookmarkEnd w:id="35"/>
    </w:p>
    <w:p>
      <w:pPr>
        <w:spacing w:line="600" w:lineRule="exact"/>
        <w:ind w:firstLine="640"/>
        <w:rPr>
          <w:rFonts w:ascii="仿宋" w:hAnsi="仿宋" w:eastAsia="仿宋"/>
          <w:sz w:val="32"/>
          <w:szCs w:val="32"/>
          <w:shd w:val="pct10" w:color="auto" w:fill="FFFFFF"/>
        </w:rPr>
      </w:pPr>
      <w:r>
        <w:rPr>
          <w:rFonts w:hint="eastAsia" w:ascii="仿宋" w:hAnsi="仿宋" w:eastAsia="仿宋"/>
          <w:sz w:val="32"/>
          <w:szCs w:val="32"/>
          <w:shd w:val="pct10" w:color="auto" w:fill="FFFFFF"/>
          <w:lang w:eastAsia="zh-CN"/>
        </w:rPr>
        <w:drawing>
          <wp:anchor distT="0" distB="0" distL="114300" distR="114300" simplePos="0" relativeHeight="251661312" behindDoc="0" locked="0" layoutInCell="1" allowOverlap="1">
            <wp:simplePos x="0" y="0"/>
            <wp:positionH relativeFrom="column">
              <wp:posOffset>1010920</wp:posOffset>
            </wp:positionH>
            <wp:positionV relativeFrom="paragraph">
              <wp:posOffset>109220</wp:posOffset>
            </wp:positionV>
            <wp:extent cx="3345815" cy="2144395"/>
            <wp:effectExtent l="4445" t="4445" r="21590" b="2286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9"/>
        <w:rPr>
          <w:rFonts w:hint="eastAsia" w:ascii="仿宋" w:hAnsi="仿宋" w:eastAsia="仿宋"/>
          <w:sz w:val="32"/>
          <w:szCs w:val="32"/>
          <w:shd w:val="pct10" w:color="auto" w:fill="FFFFFF"/>
          <w:lang w:eastAsia="zh-CN"/>
        </w:rPr>
      </w:pPr>
    </w:p>
    <w:p>
      <w:pPr>
        <w:pStyle w:val="9"/>
        <w:rPr>
          <w:rFonts w:hint="eastAsia" w:ascii="仿宋" w:hAnsi="仿宋" w:eastAsia="仿宋"/>
          <w:sz w:val="32"/>
          <w:szCs w:val="32"/>
          <w:shd w:val="pct10" w:color="auto" w:fill="FFFFFF"/>
          <w:lang w:eastAsia="zh-CN"/>
        </w:rPr>
      </w:pPr>
    </w:p>
    <w:p>
      <w:pPr>
        <w:pStyle w:val="9"/>
        <w:rPr>
          <w:rFonts w:hint="eastAsia" w:ascii="仿宋" w:hAnsi="仿宋" w:eastAsia="仿宋"/>
          <w:sz w:val="32"/>
          <w:szCs w:val="32"/>
          <w:shd w:val="pct10" w:color="auto" w:fill="FFFFFF"/>
          <w:lang w:eastAsia="zh-CN"/>
        </w:rPr>
      </w:pPr>
    </w:p>
    <w:p>
      <w:pPr>
        <w:pStyle w:val="9"/>
        <w:rPr>
          <w:rFonts w:hint="eastAsia" w:ascii="仿宋" w:hAnsi="仿宋" w:eastAsia="仿宋"/>
          <w:sz w:val="32"/>
          <w:szCs w:val="32"/>
          <w:shd w:val="pct10" w:color="auto" w:fill="FFFFFF"/>
          <w:lang w:eastAsia="zh-CN"/>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（图3：支出决算结构图）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宋体"/>
          <w:lang w:eastAsia="zh-CN"/>
        </w:rPr>
      </w:pPr>
      <w:bookmarkStart w:id="36" w:name="_Toc15377208"/>
      <w:bookmarkStart w:id="37" w:name="_Toc15396606"/>
      <w:bookmarkStart w:id="38" w:name="_Toc26757"/>
      <w:r>
        <w:rPr>
          <w:rFonts w:hint="eastAsia" w:ascii="黑体" w:hAnsi="黑体" w:eastAsia="黑体"/>
          <w:sz w:val="32"/>
          <w:szCs w:val="32"/>
          <w:lang w:eastAsia="zh-CN"/>
        </w:rPr>
        <w:t>四、</w:t>
      </w:r>
      <w:r>
        <w:rPr>
          <w:rFonts w:hint="eastAsia" w:ascii="黑体" w:hAnsi="黑体" w:eastAsia="黑体"/>
          <w:sz w:val="32"/>
          <w:szCs w:val="32"/>
        </w:rPr>
        <w:t>财</w:t>
      </w:r>
      <w:r>
        <w:rPr>
          <w:rStyle w:val="30"/>
          <w:rFonts w:hint="eastAsia" w:ascii="黑体" w:hAnsi="黑体" w:eastAsia="黑体"/>
          <w:b w:val="0"/>
        </w:rPr>
        <w:t>政拨款收入支出决算总体情况说明</w:t>
      </w:r>
      <w:bookmarkEnd w:id="36"/>
      <w:bookmarkEnd w:id="37"/>
      <w:bookmarkEnd w:id="3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2024年度财政拨款收、支总计均为1455.26万元。与2023年度相比，财政拨款收、支总计各减少921.59万元，降低38.77%。</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主要变</w:t>
      </w:r>
      <w:r>
        <w:rPr>
          <w:rFonts w:hint="eastAsia" w:ascii="仿宋_GB2312" w:hAnsi="仿宋_GB2312" w:eastAsia="仿宋_GB2312" w:cs="仿宋_GB2312"/>
          <w:sz w:val="32"/>
          <w:szCs w:val="32"/>
        </w:rPr>
        <w:t>动原因是</w:t>
      </w:r>
      <w:r>
        <w:rPr>
          <w:rFonts w:hint="eastAsia" w:ascii="仿宋_GB2312" w:hAnsi="仿宋_GB2312" w:eastAsia="仿宋_GB2312" w:cs="仿宋_GB2312"/>
          <w:sz w:val="32"/>
          <w:szCs w:val="32"/>
          <w:lang w:val="en-US" w:eastAsia="zh-CN"/>
        </w:rPr>
        <w:t>特定目标类项目减少，同时我单位秉持厉行节约的原则，节省开支，据实支付。</w:t>
      </w:r>
    </w:p>
    <w:p>
      <w:pPr>
        <w:spacing w:line="600" w:lineRule="exact"/>
        <w:rPr>
          <w:rFonts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2336" behindDoc="0" locked="0" layoutInCell="1" allowOverlap="1">
            <wp:simplePos x="0" y="0"/>
            <wp:positionH relativeFrom="column">
              <wp:posOffset>671195</wp:posOffset>
            </wp:positionH>
            <wp:positionV relativeFrom="paragraph">
              <wp:posOffset>101600</wp:posOffset>
            </wp:positionV>
            <wp:extent cx="4213225" cy="2619375"/>
            <wp:effectExtent l="4445" t="4445" r="11430" b="508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9"/>
        <w:rPr>
          <w:rFonts w:ascii="仿宋" w:hAnsi="仿宋" w:eastAsia="仿宋"/>
          <w:sz w:val="32"/>
          <w:szCs w:val="32"/>
        </w:rPr>
      </w:pPr>
    </w:p>
    <w:p>
      <w:pPr>
        <w:pStyle w:val="9"/>
        <w:rPr>
          <w:rFonts w:ascii="仿宋" w:hAnsi="仿宋" w:eastAsia="仿宋"/>
          <w:sz w:val="32"/>
          <w:szCs w:val="32"/>
        </w:rPr>
      </w:pPr>
    </w:p>
    <w:p>
      <w:pPr>
        <w:pStyle w:val="9"/>
        <w:rPr>
          <w:rFonts w:ascii="仿宋" w:hAnsi="仿宋" w:eastAsia="仿宋"/>
          <w:sz w:val="32"/>
          <w:szCs w:val="32"/>
        </w:rPr>
      </w:pPr>
    </w:p>
    <w:p>
      <w:pPr>
        <w:pStyle w:val="9"/>
        <w:rPr>
          <w:rFonts w:ascii="仿宋" w:hAnsi="仿宋" w:eastAsia="仿宋"/>
          <w:sz w:val="32"/>
          <w:szCs w:val="32"/>
        </w:rPr>
      </w:pPr>
    </w:p>
    <w:p>
      <w:pPr>
        <w:pStyle w:val="9"/>
        <w:rPr>
          <w:rFonts w:hint="eastAsia" w:ascii="仿宋" w:hAnsi="仿宋" w:eastAsia="仿宋"/>
          <w:sz w:val="32"/>
          <w:szCs w:val="32"/>
          <w:lang w:eastAsia="zh-CN"/>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（图4：财政拨款收、支决算总计变动情况）</w:t>
      </w:r>
    </w:p>
    <w:p>
      <w:pPr>
        <w:spacing w:line="600" w:lineRule="exact"/>
        <w:ind w:firstLine="640" w:firstLineChars="200"/>
        <w:outlineLvl w:val="1"/>
        <w:rPr>
          <w:rStyle w:val="30"/>
          <w:rFonts w:ascii="黑体" w:hAnsi="黑体" w:eastAsia="黑体"/>
          <w:b w:val="0"/>
        </w:rPr>
      </w:pPr>
      <w:bookmarkStart w:id="39" w:name="_Toc15377209"/>
      <w:bookmarkStart w:id="40" w:name="_Toc15396607"/>
      <w:bookmarkStart w:id="41" w:name="_Toc29449"/>
      <w:r>
        <w:rPr>
          <w:rFonts w:hint="eastAsia" w:ascii="黑体" w:hAnsi="黑体" w:eastAsia="黑体"/>
          <w:sz w:val="32"/>
          <w:szCs w:val="32"/>
        </w:rPr>
        <w:t>五、</w:t>
      </w:r>
      <w:r>
        <w:rPr>
          <w:rStyle w:val="30"/>
          <w:rFonts w:hint="eastAsia" w:ascii="黑体" w:hAnsi="黑体" w:eastAsia="黑体"/>
          <w:b w:val="0"/>
        </w:rPr>
        <w:t>一般公共预算财政拨款支出决算情况说明</w:t>
      </w:r>
      <w:bookmarkEnd w:id="39"/>
      <w:bookmarkEnd w:id="40"/>
      <w:bookmarkEnd w:id="41"/>
    </w:p>
    <w:p>
      <w:pPr>
        <w:spacing w:line="600" w:lineRule="exact"/>
        <w:ind w:firstLine="640" w:firstLineChars="200"/>
        <w:outlineLvl w:val="2"/>
        <w:rPr>
          <w:rFonts w:hint="eastAsia" w:ascii="楷体_GB2312" w:hAnsi="楷体_GB2312" w:eastAsia="楷体_GB2312" w:cs="楷体_GB2312"/>
          <w:b w:val="0"/>
          <w:bCs/>
          <w:sz w:val="32"/>
          <w:szCs w:val="32"/>
        </w:rPr>
      </w:pPr>
      <w:bookmarkStart w:id="42" w:name="_Toc15377210"/>
      <w:r>
        <w:rPr>
          <w:rFonts w:hint="eastAsia" w:ascii="楷体_GB2312" w:hAnsi="楷体_GB2312" w:eastAsia="楷体_GB2312" w:cs="楷体_GB2312"/>
          <w:b w:val="0"/>
          <w:bCs/>
          <w:sz w:val="32"/>
          <w:szCs w:val="32"/>
        </w:rPr>
        <w:t>（一）一般公共预算财政拨款支出决算总体情况</w:t>
      </w:r>
      <w:bookmarkEnd w:id="4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一般公共预算财政拨款支出1444.66万元，占本年支出合计的99.27%。与2023年度相比，一般公共预算财政拨款支出减少901.59万元，降低38.43%。主要变动原因是特定目标类项目减少，同时我单位秉持厉行节约的原则，节省开支，据实支付。</w:t>
      </w:r>
    </w:p>
    <w:p>
      <w:pPr>
        <w:pStyle w:val="2"/>
        <w:rPr>
          <w:rFonts w:hint="eastAsia" w:ascii="仿宋_GB2312" w:hAnsi="仿宋_GB2312" w:eastAsia="仿宋_GB2312" w:cs="仿宋_GB2312"/>
          <w:sz w:val="32"/>
          <w:szCs w:val="32"/>
          <w:lang w:val="en-US" w:eastAsia="zh-CN"/>
        </w:rPr>
      </w:pPr>
    </w:p>
    <w:p>
      <w:pPr>
        <w:pStyle w:val="3"/>
        <w:ind w:left="0" w:leftChars="0" w:firstLine="0" w:firstLineChars="0"/>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3360" behindDoc="0" locked="0" layoutInCell="1" allowOverlap="1">
            <wp:simplePos x="0" y="0"/>
            <wp:positionH relativeFrom="column">
              <wp:posOffset>687070</wp:posOffset>
            </wp:positionH>
            <wp:positionV relativeFrom="paragraph">
              <wp:posOffset>128270</wp:posOffset>
            </wp:positionV>
            <wp:extent cx="4213225" cy="2153285"/>
            <wp:effectExtent l="5080" t="4445" r="10795" b="1397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p>
    <w:p>
      <w:pPr>
        <w:pStyle w:val="9"/>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p>
    <w:p>
      <w:pPr>
        <w:pStyle w:val="9"/>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rPr>
      </w:pPr>
    </w:p>
    <w:p>
      <w:pPr>
        <w:pStyle w:val="9"/>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lang w:eastAsia="zh-CN"/>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（图5：一般公共预算财政拨款支出决算变动情况）</w:t>
      </w:r>
    </w:p>
    <w:p>
      <w:pPr>
        <w:spacing w:line="600" w:lineRule="exact"/>
        <w:ind w:firstLine="640" w:firstLineChars="200"/>
        <w:outlineLvl w:val="2"/>
        <w:rPr>
          <w:rFonts w:hint="eastAsia" w:ascii="楷体_GB2312" w:hAnsi="楷体_GB2312" w:eastAsia="楷体_GB2312" w:cs="楷体_GB2312"/>
          <w:b w:val="0"/>
          <w:bCs/>
          <w:color w:val="auto"/>
          <w:sz w:val="32"/>
          <w:szCs w:val="32"/>
        </w:rPr>
      </w:pPr>
      <w:bookmarkStart w:id="43" w:name="_Toc15377211"/>
      <w:r>
        <w:rPr>
          <w:rFonts w:hint="eastAsia" w:ascii="楷体_GB2312" w:hAnsi="楷体_GB2312" w:eastAsia="楷体_GB2312" w:cs="楷体_GB2312"/>
          <w:b w:val="0"/>
          <w:bCs/>
          <w:color w:val="000000" w:themeColor="text1"/>
          <w:sz w:val="32"/>
          <w:szCs w:val="32"/>
          <w14:textFill>
            <w14:solidFill>
              <w14:schemeClr w14:val="tx1"/>
            </w14:solidFill>
          </w14:textFill>
        </w:rPr>
        <w:t>（二）</w:t>
      </w:r>
      <w:r>
        <w:rPr>
          <w:rFonts w:hint="eastAsia" w:ascii="楷体_GB2312" w:hAnsi="楷体_GB2312" w:eastAsia="楷体_GB2312" w:cs="楷体_GB2312"/>
          <w:b w:val="0"/>
          <w:bCs/>
          <w:color w:val="auto"/>
          <w:sz w:val="32"/>
          <w:szCs w:val="32"/>
        </w:rPr>
        <w:t>一般公共预算财政拨款支出决算结构情况</w:t>
      </w:r>
      <w:bookmarkEnd w:id="43"/>
    </w:p>
    <w:p>
      <w:pPr>
        <w:spacing w:line="600" w:lineRule="exact"/>
        <w:ind w:firstLine="64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一般公共预算财政拨款支出</w:t>
      </w:r>
      <w:r>
        <w:rPr>
          <w:rFonts w:hint="eastAsia" w:ascii="仿宋_GB2312" w:hAnsi="仿宋_GB2312" w:eastAsia="仿宋_GB2312" w:cs="仿宋_GB2312"/>
          <w:sz w:val="32"/>
          <w:szCs w:val="32"/>
          <w:lang w:val="en-US" w:eastAsia="zh-CN"/>
        </w:rPr>
        <w:t>1444.66</w:t>
      </w:r>
      <w:r>
        <w:rPr>
          <w:rFonts w:hint="eastAsia" w:ascii="仿宋_GB2312" w:hAnsi="仿宋_GB2312" w:eastAsia="仿宋_GB2312" w:cs="仿宋_GB2312"/>
          <w:sz w:val="32"/>
          <w:szCs w:val="32"/>
        </w:rPr>
        <w:t>万元，主要用于以下方面:一般公共服务支出</w:t>
      </w:r>
      <w:r>
        <w:rPr>
          <w:rFonts w:hint="eastAsia" w:ascii="仿宋_GB2312" w:hAnsi="仿宋_GB2312" w:eastAsia="仿宋_GB2312" w:cs="仿宋_GB2312"/>
          <w:sz w:val="32"/>
          <w:szCs w:val="32"/>
          <w:lang w:val="en-US" w:eastAsia="zh-CN"/>
        </w:rPr>
        <w:t>1155.81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80.01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159.1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11.01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50.56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79.19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5.48</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4384" behindDoc="0" locked="0" layoutInCell="1" allowOverlap="1">
            <wp:simplePos x="0" y="0"/>
            <wp:positionH relativeFrom="column">
              <wp:posOffset>880745</wp:posOffset>
            </wp:positionH>
            <wp:positionV relativeFrom="paragraph">
              <wp:posOffset>127000</wp:posOffset>
            </wp:positionV>
            <wp:extent cx="4032885" cy="2600960"/>
            <wp:effectExtent l="4445" t="4445" r="20320" b="2349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rPr>
      </w:pP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rPr>
      </w:pP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rPr>
      </w:pP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（图6：一般公共预算财政拨款支出决算结构）</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color w:val="auto"/>
          <w:sz w:val="32"/>
          <w:szCs w:val="32"/>
        </w:rPr>
      </w:pPr>
      <w:bookmarkStart w:id="44" w:name="_Toc15377212"/>
      <w:r>
        <w:rPr>
          <w:rFonts w:hint="eastAsia" w:ascii="楷体_GB2312" w:hAnsi="楷体_GB2312" w:eastAsia="楷体_GB2312" w:cs="楷体_GB2312"/>
          <w:b w:val="0"/>
          <w:bCs/>
          <w:color w:val="auto"/>
          <w:sz w:val="32"/>
          <w:szCs w:val="32"/>
        </w:rPr>
        <w:t>（三）一般公共预算财政拨款支出决算具体情况</w:t>
      </w:r>
      <w:bookmarkEnd w:id="4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sz w:val="32"/>
          <w:szCs w:val="32"/>
          <w:lang w:eastAsia="zh-CN"/>
        </w:rPr>
      </w:pPr>
      <w:bookmarkStart w:id="45" w:name="_Toc15378460"/>
      <w:bookmarkStart w:id="46" w:name="_Toc15377444"/>
      <w:bookmarkStart w:id="47" w:name="_Toc15377213"/>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eastAsia="zh-CN"/>
        </w:rPr>
        <w:t>度</w:t>
      </w:r>
      <w:r>
        <w:rPr>
          <w:rFonts w:hint="eastAsia" w:ascii="仿宋_GB2312" w:hAnsi="仿宋_GB2312" w:eastAsia="仿宋_GB2312" w:cs="仿宋_GB2312"/>
          <w:b w:val="0"/>
          <w:bCs/>
          <w:sz w:val="32"/>
          <w:szCs w:val="32"/>
        </w:rPr>
        <w:t>一般公共预算支出决算数为</w:t>
      </w:r>
      <w:r>
        <w:rPr>
          <w:rFonts w:hint="eastAsia" w:ascii="仿宋_GB2312" w:hAnsi="仿宋_GB2312" w:eastAsia="仿宋_GB2312" w:cs="仿宋_GB2312"/>
          <w:b w:val="0"/>
          <w:bCs/>
          <w:sz w:val="32"/>
          <w:szCs w:val="32"/>
          <w:lang w:val="en-US" w:eastAsia="zh-CN"/>
        </w:rPr>
        <w:t>1444.66</w:t>
      </w:r>
      <w:r>
        <w:rPr>
          <w:rFonts w:hint="eastAsia" w:ascii="仿宋_GB2312" w:hAnsi="仿宋_GB2312" w:eastAsia="仿宋_GB2312" w:cs="仿宋_GB2312"/>
          <w:b w:val="0"/>
          <w:bCs/>
          <w:sz w:val="32"/>
          <w:szCs w:val="32"/>
        </w:rPr>
        <w:t>万元，</w:t>
      </w:r>
      <w:r>
        <w:rPr>
          <w:rStyle w:val="19"/>
          <w:rFonts w:hint="eastAsia" w:ascii="仿宋_GB2312" w:hAnsi="仿宋_GB2312" w:eastAsia="仿宋_GB2312" w:cs="仿宋_GB2312"/>
          <w:b w:val="0"/>
          <w:bCs/>
          <w:sz w:val="32"/>
          <w:szCs w:val="32"/>
        </w:rPr>
        <w:t>完成预算</w:t>
      </w:r>
      <w:r>
        <w:rPr>
          <w:rStyle w:val="19"/>
          <w:rFonts w:hint="eastAsia" w:ascii="仿宋_GB2312" w:hAnsi="仿宋_GB2312" w:eastAsia="仿宋_GB2312" w:cs="仿宋_GB2312"/>
          <w:b w:val="0"/>
          <w:bCs/>
          <w:sz w:val="32"/>
          <w:szCs w:val="32"/>
          <w:lang w:val="en-US" w:eastAsia="zh-CN"/>
        </w:rPr>
        <w:t>100</w:t>
      </w:r>
      <w:r>
        <w:rPr>
          <w:rStyle w:val="19"/>
          <w:rFonts w:hint="eastAsia" w:ascii="仿宋_GB2312" w:hAnsi="仿宋_GB2312" w:eastAsia="仿宋_GB2312" w:cs="仿宋_GB2312"/>
          <w:b w:val="0"/>
          <w:bCs/>
          <w:sz w:val="32"/>
          <w:szCs w:val="32"/>
        </w:rPr>
        <w:t>%。其中：</w:t>
      </w:r>
      <w:bookmarkEnd w:id="45"/>
      <w:bookmarkEnd w:id="46"/>
      <w:bookmarkEnd w:id="4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9"/>
          <w:rFonts w:hint="eastAsia" w:ascii="仿宋_GB2312" w:hAnsi="仿宋_GB2312" w:eastAsia="仿宋_GB2312" w:cs="仿宋_GB2312"/>
          <w:b w:val="0"/>
          <w:bCs/>
          <w:sz w:val="32"/>
          <w:szCs w:val="32"/>
          <w:highlight w:val="none"/>
          <w:lang w:eastAsia="zh-CN"/>
        </w:rPr>
      </w:pPr>
      <w:r>
        <w:rPr>
          <w:rStyle w:val="19"/>
          <w:rFonts w:hint="eastAsia" w:ascii="仿宋_GB2312" w:hAnsi="仿宋_GB2312" w:eastAsia="仿宋_GB2312" w:cs="仿宋_GB2312"/>
          <w:b w:val="0"/>
          <w:bCs/>
          <w:sz w:val="32"/>
          <w:szCs w:val="32"/>
          <w:highlight w:val="none"/>
          <w:lang w:val="en-US" w:eastAsia="zh-CN"/>
        </w:rPr>
        <w:t>1.</w:t>
      </w:r>
      <w:r>
        <w:rPr>
          <w:rStyle w:val="19"/>
          <w:rFonts w:hint="eastAsia" w:ascii="仿宋_GB2312" w:hAnsi="仿宋_GB2312" w:eastAsia="仿宋_GB2312" w:cs="仿宋_GB2312"/>
          <w:b w:val="0"/>
          <w:bCs/>
          <w:sz w:val="32"/>
          <w:szCs w:val="32"/>
          <w:highlight w:val="none"/>
        </w:rPr>
        <w:t>一般公共服务（类）</w:t>
      </w:r>
      <w:r>
        <w:rPr>
          <w:rStyle w:val="19"/>
          <w:rFonts w:hint="eastAsia" w:ascii="仿宋_GB2312" w:hAnsi="仿宋_GB2312" w:eastAsia="仿宋_GB2312" w:cs="仿宋_GB2312"/>
          <w:b w:val="0"/>
          <w:bCs/>
          <w:sz w:val="32"/>
          <w:szCs w:val="32"/>
          <w:highlight w:val="none"/>
          <w:lang w:val="en-US" w:eastAsia="zh-CN"/>
        </w:rPr>
        <w:t>财政事务</w:t>
      </w:r>
      <w:r>
        <w:rPr>
          <w:rStyle w:val="19"/>
          <w:rFonts w:hint="eastAsia" w:ascii="仿宋_GB2312" w:hAnsi="仿宋_GB2312" w:eastAsia="仿宋_GB2312" w:cs="仿宋_GB2312"/>
          <w:b w:val="0"/>
          <w:bCs/>
          <w:sz w:val="32"/>
          <w:szCs w:val="32"/>
          <w:highlight w:val="none"/>
        </w:rPr>
        <w:t>（款）</w:t>
      </w:r>
      <w:r>
        <w:rPr>
          <w:rStyle w:val="19"/>
          <w:rFonts w:hint="eastAsia" w:ascii="仿宋_GB2312" w:hAnsi="仿宋_GB2312" w:eastAsia="仿宋_GB2312" w:cs="仿宋_GB2312"/>
          <w:b w:val="0"/>
          <w:bCs/>
          <w:sz w:val="32"/>
          <w:szCs w:val="32"/>
          <w:highlight w:val="none"/>
          <w:lang w:val="en-US" w:eastAsia="zh-CN"/>
        </w:rPr>
        <w:t>行政运行</w:t>
      </w:r>
      <w:r>
        <w:rPr>
          <w:rStyle w:val="19"/>
          <w:rFonts w:hint="eastAsia" w:ascii="仿宋_GB2312" w:hAnsi="仿宋_GB2312" w:eastAsia="仿宋_GB2312" w:cs="仿宋_GB2312"/>
          <w:b w:val="0"/>
          <w:bCs/>
          <w:sz w:val="32"/>
          <w:szCs w:val="32"/>
          <w:highlight w:val="none"/>
        </w:rPr>
        <w:t>（项）: 支出决算为</w:t>
      </w:r>
      <w:r>
        <w:rPr>
          <w:rStyle w:val="19"/>
          <w:rFonts w:hint="eastAsia" w:ascii="仿宋_GB2312" w:hAnsi="仿宋_GB2312" w:eastAsia="仿宋_GB2312" w:cs="仿宋_GB2312"/>
          <w:b w:val="0"/>
          <w:bCs/>
          <w:sz w:val="32"/>
          <w:szCs w:val="32"/>
          <w:highlight w:val="none"/>
          <w:lang w:val="en-US" w:eastAsia="zh-CN"/>
        </w:rPr>
        <w:t>984.91</w:t>
      </w:r>
      <w:r>
        <w:rPr>
          <w:rStyle w:val="19"/>
          <w:rFonts w:hint="eastAsia" w:ascii="仿宋_GB2312" w:hAnsi="仿宋_GB2312" w:eastAsia="仿宋_GB2312" w:cs="仿宋_GB2312"/>
          <w:b w:val="0"/>
          <w:bCs/>
          <w:sz w:val="32"/>
          <w:szCs w:val="32"/>
          <w:highlight w:val="none"/>
        </w:rPr>
        <w:t>万元，完成预算</w:t>
      </w:r>
      <w:r>
        <w:rPr>
          <w:rStyle w:val="19"/>
          <w:rFonts w:hint="eastAsia" w:ascii="仿宋_GB2312" w:hAnsi="仿宋_GB2312" w:eastAsia="仿宋_GB2312" w:cs="仿宋_GB2312"/>
          <w:b w:val="0"/>
          <w:bCs/>
          <w:sz w:val="32"/>
          <w:szCs w:val="32"/>
          <w:highlight w:val="none"/>
          <w:lang w:val="en-US" w:eastAsia="zh-CN"/>
        </w:rPr>
        <w:t>100</w:t>
      </w:r>
      <w:r>
        <w:rPr>
          <w:rStyle w:val="19"/>
          <w:rFonts w:hint="eastAsia" w:ascii="仿宋_GB2312" w:hAnsi="仿宋_GB2312" w:eastAsia="仿宋_GB2312" w:cs="仿宋_GB2312"/>
          <w:b w:val="0"/>
          <w:bCs/>
          <w:sz w:val="32"/>
          <w:szCs w:val="32"/>
          <w:highlight w:val="none"/>
        </w:rPr>
        <w:t>%</w:t>
      </w:r>
      <w:r>
        <w:rPr>
          <w:rStyle w:val="19"/>
          <w:rFonts w:hint="eastAsia" w:ascii="仿宋_GB2312" w:hAnsi="仿宋_GB2312" w:eastAsia="仿宋_GB2312" w:cs="仿宋_GB2312"/>
          <w:b w:val="0"/>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9"/>
          <w:rFonts w:hint="eastAsia" w:ascii="仿宋_GB2312" w:hAnsi="仿宋_GB2312" w:eastAsia="仿宋_GB2312" w:cs="仿宋_GB2312"/>
          <w:b w:val="0"/>
          <w:bCs/>
          <w:sz w:val="32"/>
          <w:szCs w:val="32"/>
          <w:highlight w:val="none"/>
          <w:lang w:val="en-US" w:eastAsia="zh-CN"/>
        </w:rPr>
      </w:pPr>
      <w:r>
        <w:rPr>
          <w:rStyle w:val="19"/>
          <w:rFonts w:hint="eastAsia" w:ascii="仿宋_GB2312" w:hAnsi="仿宋_GB2312" w:eastAsia="仿宋_GB2312" w:cs="仿宋_GB2312"/>
          <w:b w:val="0"/>
          <w:bCs/>
          <w:sz w:val="32"/>
          <w:szCs w:val="32"/>
          <w:highlight w:val="none"/>
          <w:lang w:val="en-US" w:eastAsia="zh-CN"/>
        </w:rPr>
        <w:t>2.一般公共服务（类）财政事务（款）一般行政管理事务（项）: 支出决算为170.9万元，完成预算100%。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highlight w:val="none"/>
        </w:rPr>
      </w:pPr>
      <w:r>
        <w:rPr>
          <w:rStyle w:val="19"/>
          <w:rFonts w:hint="eastAsia" w:ascii="仿宋_GB2312" w:hAnsi="仿宋_GB2312" w:eastAsia="仿宋_GB2312" w:cs="仿宋_GB2312"/>
          <w:b w:val="0"/>
          <w:bCs/>
          <w:sz w:val="32"/>
          <w:szCs w:val="32"/>
          <w:highlight w:val="none"/>
          <w:lang w:val="en-US" w:eastAsia="zh-CN"/>
        </w:rPr>
        <w:t>3</w:t>
      </w:r>
      <w:r>
        <w:rPr>
          <w:rStyle w:val="19"/>
          <w:rFonts w:hint="eastAsia" w:ascii="仿宋_GB2312" w:hAnsi="仿宋_GB2312" w:eastAsia="仿宋_GB2312" w:cs="仿宋_GB2312"/>
          <w:b w:val="0"/>
          <w:bCs/>
          <w:sz w:val="32"/>
          <w:szCs w:val="32"/>
          <w:highlight w:val="none"/>
        </w:rPr>
        <w:t>.社会保障和就业支出（类）行政事业单位养老支出（款）  机关事业单位基本养老保险缴费支出（项）: 支出决算为</w:t>
      </w:r>
      <w:r>
        <w:rPr>
          <w:rStyle w:val="19"/>
          <w:rFonts w:hint="eastAsia" w:ascii="仿宋_GB2312" w:hAnsi="仿宋_GB2312" w:eastAsia="仿宋_GB2312" w:cs="仿宋_GB2312"/>
          <w:b w:val="0"/>
          <w:bCs/>
          <w:sz w:val="32"/>
          <w:szCs w:val="32"/>
          <w:highlight w:val="none"/>
          <w:lang w:val="en-US" w:eastAsia="zh-CN"/>
        </w:rPr>
        <w:t>91.69</w:t>
      </w:r>
      <w:r>
        <w:rPr>
          <w:rStyle w:val="19"/>
          <w:rFonts w:hint="eastAsia" w:ascii="仿宋_GB2312" w:hAnsi="仿宋_GB2312" w:eastAsia="仿宋_GB2312" w:cs="仿宋_GB2312"/>
          <w:b w:val="0"/>
          <w:bCs/>
          <w:sz w:val="32"/>
          <w:szCs w:val="32"/>
          <w:highlight w:val="none"/>
        </w:rPr>
        <w:t>万元，完成预算</w:t>
      </w:r>
      <w:r>
        <w:rPr>
          <w:rStyle w:val="19"/>
          <w:rFonts w:hint="eastAsia" w:ascii="仿宋_GB2312" w:hAnsi="仿宋_GB2312" w:eastAsia="仿宋_GB2312" w:cs="仿宋_GB2312"/>
          <w:b w:val="0"/>
          <w:bCs/>
          <w:sz w:val="32"/>
          <w:szCs w:val="32"/>
          <w:highlight w:val="none"/>
          <w:lang w:val="en-US" w:eastAsia="zh-CN"/>
        </w:rPr>
        <w:t>100</w:t>
      </w:r>
      <w:r>
        <w:rPr>
          <w:rStyle w:val="19"/>
          <w:rFonts w:hint="eastAsia" w:ascii="仿宋_GB2312" w:hAnsi="仿宋_GB2312" w:eastAsia="仿宋_GB2312" w:cs="仿宋_GB2312"/>
          <w:b w:val="0"/>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highlight w:val="none"/>
        </w:rPr>
      </w:pPr>
      <w:r>
        <w:rPr>
          <w:rStyle w:val="19"/>
          <w:rFonts w:hint="eastAsia" w:ascii="仿宋_GB2312" w:hAnsi="仿宋_GB2312" w:eastAsia="仿宋_GB2312" w:cs="仿宋_GB2312"/>
          <w:b w:val="0"/>
          <w:bCs/>
          <w:sz w:val="32"/>
          <w:szCs w:val="32"/>
          <w:highlight w:val="none"/>
          <w:lang w:val="en-US" w:eastAsia="zh-CN"/>
        </w:rPr>
        <w:t>4</w:t>
      </w:r>
      <w:r>
        <w:rPr>
          <w:rStyle w:val="19"/>
          <w:rFonts w:hint="eastAsia" w:ascii="仿宋_GB2312" w:hAnsi="仿宋_GB2312" w:eastAsia="仿宋_GB2312" w:cs="仿宋_GB2312"/>
          <w:b w:val="0"/>
          <w:bCs/>
          <w:sz w:val="32"/>
          <w:szCs w:val="32"/>
          <w:highlight w:val="none"/>
        </w:rPr>
        <w:t>.社会保障和就业支出（类）行政事业单位养老支出（款）机关事业单位职业年金缴费支出（项）:支出决算为</w:t>
      </w:r>
      <w:r>
        <w:rPr>
          <w:rStyle w:val="19"/>
          <w:rFonts w:hint="eastAsia" w:ascii="仿宋_GB2312" w:hAnsi="仿宋_GB2312" w:eastAsia="仿宋_GB2312" w:cs="仿宋_GB2312"/>
          <w:b w:val="0"/>
          <w:bCs/>
          <w:sz w:val="32"/>
          <w:szCs w:val="32"/>
          <w:highlight w:val="none"/>
          <w:lang w:val="en-US" w:eastAsia="zh-CN"/>
        </w:rPr>
        <w:t>51.22</w:t>
      </w:r>
      <w:r>
        <w:rPr>
          <w:rStyle w:val="19"/>
          <w:rFonts w:hint="eastAsia" w:ascii="仿宋_GB2312" w:hAnsi="仿宋_GB2312" w:eastAsia="仿宋_GB2312" w:cs="仿宋_GB2312"/>
          <w:b w:val="0"/>
          <w:bCs/>
          <w:sz w:val="32"/>
          <w:szCs w:val="32"/>
          <w:highlight w:val="none"/>
        </w:rPr>
        <w:t>万元，完成预算</w:t>
      </w:r>
      <w:r>
        <w:rPr>
          <w:rStyle w:val="19"/>
          <w:rFonts w:hint="eastAsia" w:ascii="仿宋_GB2312" w:hAnsi="仿宋_GB2312" w:eastAsia="仿宋_GB2312" w:cs="仿宋_GB2312"/>
          <w:b w:val="0"/>
          <w:bCs/>
          <w:sz w:val="32"/>
          <w:szCs w:val="32"/>
          <w:highlight w:val="none"/>
          <w:lang w:val="en-US" w:eastAsia="zh-CN"/>
        </w:rPr>
        <w:t>100</w:t>
      </w:r>
      <w:r>
        <w:rPr>
          <w:rStyle w:val="19"/>
          <w:rFonts w:hint="eastAsia" w:ascii="仿宋_GB2312" w:hAnsi="仿宋_GB2312" w:eastAsia="仿宋_GB2312" w:cs="仿宋_GB2312"/>
          <w:b w:val="0"/>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9"/>
          <w:rFonts w:hint="eastAsia" w:ascii="仿宋_GB2312" w:hAnsi="仿宋_GB2312" w:eastAsia="仿宋_GB2312" w:cs="仿宋_GB2312"/>
          <w:b w:val="0"/>
          <w:bCs/>
          <w:sz w:val="32"/>
          <w:szCs w:val="32"/>
          <w:highlight w:val="none"/>
        </w:rPr>
      </w:pPr>
      <w:r>
        <w:rPr>
          <w:rStyle w:val="19"/>
          <w:rFonts w:hint="eastAsia" w:ascii="仿宋_GB2312" w:hAnsi="仿宋_GB2312" w:eastAsia="仿宋_GB2312" w:cs="仿宋_GB2312"/>
          <w:b w:val="0"/>
          <w:bCs/>
          <w:sz w:val="32"/>
          <w:szCs w:val="32"/>
          <w:highlight w:val="none"/>
          <w:lang w:val="en-US" w:eastAsia="zh-CN"/>
        </w:rPr>
        <w:t>5.</w:t>
      </w:r>
      <w:r>
        <w:rPr>
          <w:rStyle w:val="19"/>
          <w:rFonts w:hint="eastAsia" w:ascii="仿宋_GB2312" w:hAnsi="仿宋_GB2312" w:eastAsia="仿宋_GB2312" w:cs="仿宋_GB2312"/>
          <w:b w:val="0"/>
          <w:bCs/>
          <w:sz w:val="32"/>
          <w:szCs w:val="32"/>
          <w:highlight w:val="none"/>
        </w:rPr>
        <w:t>社会保障和就业支出（类）</w:t>
      </w:r>
      <w:r>
        <w:rPr>
          <w:rStyle w:val="19"/>
          <w:rFonts w:hint="eastAsia" w:ascii="仿宋_GB2312" w:hAnsi="仿宋_GB2312" w:eastAsia="仿宋_GB2312" w:cs="仿宋_GB2312"/>
          <w:b w:val="0"/>
          <w:bCs/>
          <w:sz w:val="32"/>
          <w:szCs w:val="32"/>
          <w:highlight w:val="none"/>
          <w:lang w:val="en-US" w:eastAsia="zh-CN"/>
        </w:rPr>
        <w:t>其他社会保障和就业支出</w:t>
      </w:r>
      <w:r>
        <w:rPr>
          <w:rStyle w:val="19"/>
          <w:rFonts w:hint="eastAsia" w:ascii="仿宋_GB2312" w:hAnsi="仿宋_GB2312" w:eastAsia="仿宋_GB2312" w:cs="仿宋_GB2312"/>
          <w:b w:val="0"/>
          <w:bCs/>
          <w:sz w:val="32"/>
          <w:szCs w:val="32"/>
          <w:highlight w:val="none"/>
        </w:rPr>
        <w:t>（款）其他社会保障和就业支出（项）:支出决算为</w:t>
      </w:r>
      <w:r>
        <w:rPr>
          <w:rStyle w:val="19"/>
          <w:rFonts w:hint="eastAsia" w:ascii="仿宋_GB2312" w:hAnsi="仿宋_GB2312" w:eastAsia="仿宋_GB2312" w:cs="仿宋_GB2312"/>
          <w:b w:val="0"/>
          <w:bCs/>
          <w:sz w:val="32"/>
          <w:szCs w:val="32"/>
          <w:highlight w:val="none"/>
          <w:lang w:val="en-US" w:eastAsia="zh-CN"/>
        </w:rPr>
        <w:t>16.19</w:t>
      </w:r>
      <w:r>
        <w:rPr>
          <w:rStyle w:val="19"/>
          <w:rFonts w:hint="eastAsia" w:ascii="仿宋_GB2312" w:hAnsi="仿宋_GB2312" w:eastAsia="仿宋_GB2312" w:cs="仿宋_GB2312"/>
          <w:b w:val="0"/>
          <w:bCs/>
          <w:sz w:val="32"/>
          <w:szCs w:val="32"/>
          <w:highlight w:val="none"/>
        </w:rPr>
        <w:t>万元，完成预算</w:t>
      </w:r>
      <w:r>
        <w:rPr>
          <w:rStyle w:val="19"/>
          <w:rFonts w:hint="eastAsia" w:ascii="仿宋_GB2312" w:hAnsi="仿宋_GB2312" w:eastAsia="仿宋_GB2312" w:cs="仿宋_GB2312"/>
          <w:b w:val="0"/>
          <w:bCs/>
          <w:sz w:val="32"/>
          <w:szCs w:val="32"/>
          <w:highlight w:val="none"/>
          <w:lang w:val="en-US" w:eastAsia="zh-CN"/>
        </w:rPr>
        <w:t>100</w:t>
      </w:r>
      <w:r>
        <w:rPr>
          <w:rStyle w:val="19"/>
          <w:rFonts w:hint="eastAsia" w:ascii="仿宋_GB2312" w:hAnsi="仿宋_GB2312" w:eastAsia="仿宋_GB2312" w:cs="仿宋_GB2312"/>
          <w:b w:val="0"/>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9"/>
          <w:rFonts w:hint="eastAsia" w:ascii="仿宋_GB2312" w:hAnsi="仿宋_GB2312" w:eastAsia="仿宋_GB2312" w:cs="仿宋_GB2312"/>
          <w:b w:val="0"/>
          <w:bCs/>
          <w:sz w:val="32"/>
          <w:szCs w:val="32"/>
          <w:highlight w:val="none"/>
        </w:rPr>
      </w:pPr>
      <w:r>
        <w:rPr>
          <w:rStyle w:val="19"/>
          <w:rFonts w:hint="eastAsia" w:ascii="仿宋_GB2312" w:hAnsi="仿宋_GB2312" w:eastAsia="仿宋_GB2312" w:cs="仿宋_GB2312"/>
          <w:b w:val="0"/>
          <w:bCs/>
          <w:sz w:val="32"/>
          <w:szCs w:val="32"/>
          <w:highlight w:val="none"/>
          <w:lang w:val="en-US" w:eastAsia="zh-CN"/>
        </w:rPr>
        <w:t>6.</w:t>
      </w:r>
      <w:r>
        <w:rPr>
          <w:rStyle w:val="19"/>
          <w:rFonts w:hint="eastAsia" w:ascii="仿宋_GB2312" w:hAnsi="仿宋_GB2312" w:eastAsia="仿宋_GB2312" w:cs="仿宋_GB2312"/>
          <w:b w:val="0"/>
          <w:bCs/>
          <w:sz w:val="32"/>
          <w:szCs w:val="32"/>
          <w:highlight w:val="none"/>
        </w:rPr>
        <w:t>卫生健康支出（类）</w:t>
      </w:r>
      <w:r>
        <w:rPr>
          <w:rStyle w:val="19"/>
          <w:rFonts w:hint="eastAsia" w:ascii="仿宋_GB2312" w:hAnsi="仿宋_GB2312" w:eastAsia="仿宋_GB2312" w:cs="仿宋_GB2312"/>
          <w:b w:val="0"/>
          <w:bCs/>
          <w:sz w:val="32"/>
          <w:szCs w:val="32"/>
          <w:highlight w:val="none"/>
          <w:lang w:val="en-US" w:eastAsia="zh-CN"/>
        </w:rPr>
        <w:t>行政事业单位医疗</w:t>
      </w:r>
      <w:r>
        <w:rPr>
          <w:rStyle w:val="19"/>
          <w:rFonts w:hint="eastAsia" w:ascii="仿宋_GB2312" w:hAnsi="仿宋_GB2312" w:eastAsia="仿宋_GB2312" w:cs="仿宋_GB2312"/>
          <w:b w:val="0"/>
          <w:bCs/>
          <w:sz w:val="32"/>
          <w:szCs w:val="32"/>
          <w:highlight w:val="none"/>
        </w:rPr>
        <w:t>（款）行政单位医疗（项）:支出决算为</w:t>
      </w:r>
      <w:r>
        <w:rPr>
          <w:rStyle w:val="19"/>
          <w:rFonts w:hint="eastAsia" w:ascii="仿宋_GB2312" w:hAnsi="仿宋_GB2312" w:eastAsia="仿宋_GB2312" w:cs="仿宋_GB2312"/>
          <w:b w:val="0"/>
          <w:bCs/>
          <w:sz w:val="32"/>
          <w:szCs w:val="32"/>
          <w:highlight w:val="none"/>
          <w:lang w:val="en-US" w:eastAsia="zh-CN"/>
        </w:rPr>
        <w:t>34.96</w:t>
      </w:r>
      <w:r>
        <w:rPr>
          <w:rStyle w:val="19"/>
          <w:rFonts w:hint="eastAsia" w:ascii="仿宋_GB2312" w:hAnsi="仿宋_GB2312" w:eastAsia="仿宋_GB2312" w:cs="仿宋_GB2312"/>
          <w:b w:val="0"/>
          <w:bCs/>
          <w:sz w:val="32"/>
          <w:szCs w:val="32"/>
          <w:highlight w:val="none"/>
        </w:rPr>
        <w:t>万元，完成预算</w:t>
      </w:r>
      <w:r>
        <w:rPr>
          <w:rStyle w:val="19"/>
          <w:rFonts w:hint="eastAsia" w:ascii="仿宋_GB2312" w:hAnsi="仿宋_GB2312" w:eastAsia="仿宋_GB2312" w:cs="仿宋_GB2312"/>
          <w:b w:val="0"/>
          <w:bCs/>
          <w:sz w:val="32"/>
          <w:szCs w:val="32"/>
          <w:highlight w:val="none"/>
          <w:lang w:val="en-US" w:eastAsia="zh-CN"/>
        </w:rPr>
        <w:t>100</w:t>
      </w:r>
      <w:r>
        <w:rPr>
          <w:rStyle w:val="19"/>
          <w:rFonts w:hint="eastAsia" w:ascii="仿宋_GB2312" w:hAnsi="仿宋_GB2312" w:eastAsia="仿宋_GB2312" w:cs="仿宋_GB2312"/>
          <w:b w:val="0"/>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Style w:val="19"/>
          <w:rFonts w:hint="eastAsia" w:ascii="仿宋_GB2312" w:hAnsi="仿宋_GB2312" w:eastAsia="仿宋_GB2312" w:cs="仿宋_GB2312"/>
          <w:b w:val="0"/>
          <w:bCs/>
          <w:sz w:val="32"/>
          <w:szCs w:val="32"/>
          <w:highlight w:val="none"/>
          <w:lang w:val="en-US" w:eastAsia="zh-CN"/>
        </w:rPr>
        <w:t>7.</w:t>
      </w:r>
      <w:r>
        <w:rPr>
          <w:rStyle w:val="19"/>
          <w:rFonts w:hint="eastAsia" w:ascii="仿宋_GB2312" w:hAnsi="仿宋_GB2312" w:eastAsia="仿宋_GB2312" w:cs="仿宋_GB2312"/>
          <w:b w:val="0"/>
          <w:bCs/>
          <w:sz w:val="32"/>
          <w:szCs w:val="32"/>
          <w:highlight w:val="none"/>
        </w:rPr>
        <w:t>卫生健康支出（类）</w:t>
      </w:r>
      <w:r>
        <w:rPr>
          <w:rStyle w:val="19"/>
          <w:rFonts w:hint="eastAsia" w:ascii="仿宋_GB2312" w:hAnsi="仿宋_GB2312" w:eastAsia="仿宋_GB2312" w:cs="仿宋_GB2312"/>
          <w:b w:val="0"/>
          <w:bCs/>
          <w:sz w:val="32"/>
          <w:szCs w:val="32"/>
          <w:highlight w:val="none"/>
          <w:lang w:val="en-US" w:eastAsia="zh-CN"/>
        </w:rPr>
        <w:t>行政事业单位医疗</w:t>
      </w:r>
      <w:r>
        <w:rPr>
          <w:rStyle w:val="19"/>
          <w:rFonts w:hint="eastAsia" w:ascii="仿宋_GB2312" w:hAnsi="仿宋_GB2312" w:eastAsia="仿宋_GB2312" w:cs="仿宋_GB2312"/>
          <w:b w:val="0"/>
          <w:bCs/>
          <w:sz w:val="32"/>
          <w:szCs w:val="32"/>
          <w:highlight w:val="none"/>
        </w:rPr>
        <w:t>（款）</w:t>
      </w:r>
      <w:r>
        <w:rPr>
          <w:rStyle w:val="19"/>
          <w:rFonts w:hint="eastAsia" w:ascii="仿宋_GB2312" w:hAnsi="仿宋_GB2312" w:eastAsia="仿宋_GB2312" w:cs="仿宋_GB2312"/>
          <w:b w:val="0"/>
          <w:bCs/>
          <w:sz w:val="32"/>
          <w:szCs w:val="32"/>
          <w:highlight w:val="none"/>
          <w:lang w:eastAsia="zh-CN"/>
        </w:rPr>
        <w:t>公务员医疗补助</w:t>
      </w:r>
      <w:r>
        <w:rPr>
          <w:rStyle w:val="19"/>
          <w:rFonts w:hint="eastAsia" w:ascii="仿宋_GB2312" w:hAnsi="仿宋_GB2312" w:eastAsia="仿宋_GB2312" w:cs="仿宋_GB2312"/>
          <w:b w:val="0"/>
          <w:bCs/>
          <w:sz w:val="32"/>
          <w:szCs w:val="32"/>
          <w:highlight w:val="none"/>
        </w:rPr>
        <w:t>（项）:支出决算为</w:t>
      </w:r>
      <w:r>
        <w:rPr>
          <w:rStyle w:val="19"/>
          <w:rFonts w:hint="eastAsia" w:ascii="仿宋_GB2312" w:hAnsi="仿宋_GB2312" w:eastAsia="仿宋_GB2312" w:cs="仿宋_GB2312"/>
          <w:b w:val="0"/>
          <w:bCs/>
          <w:sz w:val="32"/>
          <w:szCs w:val="32"/>
          <w:highlight w:val="none"/>
          <w:lang w:val="en-US" w:eastAsia="zh-CN"/>
        </w:rPr>
        <w:t>15.6</w:t>
      </w:r>
      <w:r>
        <w:rPr>
          <w:rStyle w:val="19"/>
          <w:rFonts w:hint="eastAsia" w:ascii="仿宋_GB2312" w:hAnsi="仿宋_GB2312" w:eastAsia="仿宋_GB2312" w:cs="仿宋_GB2312"/>
          <w:b w:val="0"/>
          <w:bCs/>
          <w:sz w:val="32"/>
          <w:szCs w:val="32"/>
          <w:highlight w:val="none"/>
        </w:rPr>
        <w:t>万元，完成预算</w:t>
      </w:r>
      <w:r>
        <w:rPr>
          <w:rStyle w:val="19"/>
          <w:rFonts w:hint="eastAsia" w:ascii="仿宋_GB2312" w:hAnsi="仿宋_GB2312" w:eastAsia="仿宋_GB2312" w:cs="仿宋_GB2312"/>
          <w:b w:val="0"/>
          <w:bCs/>
          <w:sz w:val="32"/>
          <w:szCs w:val="32"/>
          <w:highlight w:val="none"/>
          <w:lang w:val="en-US" w:eastAsia="zh-CN"/>
        </w:rPr>
        <w:t>100</w:t>
      </w:r>
      <w:r>
        <w:rPr>
          <w:rStyle w:val="19"/>
          <w:rFonts w:hint="eastAsia" w:ascii="仿宋_GB2312" w:hAnsi="仿宋_GB2312" w:eastAsia="仿宋_GB2312" w:cs="仿宋_GB2312"/>
          <w:b w:val="0"/>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9"/>
          <w:rFonts w:hint="eastAsia" w:ascii="仿宋_GB2312" w:hAnsi="仿宋_GB2312" w:eastAsia="仿宋_GB2312" w:cs="仿宋_GB2312"/>
          <w:b w:val="0"/>
          <w:bCs/>
          <w:sz w:val="32"/>
          <w:szCs w:val="32"/>
          <w:highlight w:val="none"/>
          <w:lang w:val="en-US" w:eastAsia="zh-CN"/>
        </w:rPr>
      </w:pPr>
      <w:r>
        <w:rPr>
          <w:rStyle w:val="19"/>
          <w:rFonts w:hint="eastAsia" w:ascii="仿宋_GB2312" w:hAnsi="仿宋_GB2312" w:eastAsia="仿宋_GB2312" w:cs="仿宋_GB2312"/>
          <w:b w:val="0"/>
          <w:bCs/>
          <w:sz w:val="32"/>
          <w:szCs w:val="32"/>
          <w:highlight w:val="none"/>
          <w:lang w:val="en-US" w:eastAsia="zh-CN"/>
        </w:rPr>
        <w:t>8.住房保障支出（类）住房改革支出（款）住房公积金（项）:支出决算为79.19万元，完成预算100%。</w:t>
      </w:r>
    </w:p>
    <w:p>
      <w:pPr>
        <w:tabs>
          <w:tab w:val="right" w:pos="8306"/>
        </w:tabs>
        <w:spacing w:line="600" w:lineRule="exact"/>
        <w:ind w:firstLine="640"/>
        <w:outlineLvl w:val="1"/>
        <w:rPr>
          <w:rStyle w:val="30"/>
        </w:rPr>
      </w:pPr>
      <w:bookmarkStart w:id="48" w:name="_Toc13476"/>
      <w:bookmarkStart w:id="49" w:name="_Toc15396608"/>
      <w:bookmarkStart w:id="50" w:name="_Toc15377214"/>
      <w:r>
        <w:rPr>
          <w:rFonts w:hint="eastAsia" w:ascii="黑体" w:eastAsia="黑体"/>
          <w:color w:val="auto"/>
          <w:sz w:val="32"/>
          <w:szCs w:val="32"/>
        </w:rPr>
        <w:t>六</w:t>
      </w:r>
      <w:r>
        <w:rPr>
          <w:rFonts w:hint="eastAsia" w:ascii="黑体" w:eastAsia="黑体"/>
          <w:b/>
          <w:sz w:val="32"/>
          <w:szCs w:val="32"/>
        </w:rPr>
        <w:t>、</w:t>
      </w:r>
      <w:r>
        <w:rPr>
          <w:rStyle w:val="30"/>
          <w:rFonts w:hint="eastAsia" w:ascii="黑体" w:hAnsi="黑体" w:eastAsia="黑体"/>
          <w:b w:val="0"/>
        </w:rPr>
        <w:t>一般公共预算财政拨款基本支出决算情况说明</w:t>
      </w:r>
      <w:bookmarkEnd w:id="48"/>
      <w:bookmarkEnd w:id="49"/>
      <w:bookmarkEnd w:id="50"/>
      <w:r>
        <w:rPr>
          <w:rStyle w:val="30"/>
          <w:rFonts w:ascii="黑体" w:hAnsi="黑体" w:eastAsia="黑体"/>
          <w:b w:val="0"/>
        </w:rPr>
        <w:tab/>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一般公共预算财政拨款基本支出</w:t>
      </w:r>
      <w:r>
        <w:rPr>
          <w:rFonts w:hint="eastAsia" w:ascii="仿宋_GB2312" w:hAnsi="仿宋_GB2312" w:eastAsia="仿宋_GB2312" w:cs="仿宋_GB2312"/>
          <w:sz w:val="32"/>
          <w:szCs w:val="32"/>
          <w:lang w:val="en-US" w:eastAsia="zh-CN"/>
        </w:rPr>
        <w:t>1273.76</w:t>
      </w:r>
      <w:r>
        <w:rPr>
          <w:rFonts w:hint="eastAsia" w:ascii="仿宋_GB2312" w:hAnsi="仿宋_GB2312" w:eastAsia="仿宋_GB2312" w:cs="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1007.16</w:t>
      </w:r>
      <w:r>
        <w:rPr>
          <w:rFonts w:hint="eastAsia" w:ascii="仿宋_GB2312" w:hAnsi="仿宋_GB2312" w:eastAsia="仿宋_GB2312" w:cs="仿宋_GB2312"/>
          <w:sz w:val="32"/>
          <w:szCs w:val="32"/>
        </w:rPr>
        <w:t>万元，主要包括：基本工资、津贴补贴、奖金、机关事业单位基本养老保险缴费、职业年金缴费、职工基本医疗保险缴费</w:t>
      </w:r>
      <w:r>
        <w:rPr>
          <w:rFonts w:hint="eastAsia" w:ascii="仿宋_GB2312" w:hAnsi="仿宋_GB2312" w:eastAsia="仿宋_GB2312" w:cs="仿宋_GB2312"/>
          <w:sz w:val="32"/>
          <w:szCs w:val="32"/>
          <w:lang w:eastAsia="zh-CN"/>
        </w:rPr>
        <w:t>、公务员医疗补助缴费、</w:t>
      </w:r>
      <w:r>
        <w:rPr>
          <w:rFonts w:hint="eastAsia" w:ascii="仿宋_GB2312" w:hAnsi="仿宋_GB2312" w:eastAsia="仿宋_GB2312" w:cs="仿宋_GB2312"/>
          <w:sz w:val="32"/>
          <w:szCs w:val="32"/>
        </w:rPr>
        <w:t>其他社会保障缴费、住房公积金</w:t>
      </w:r>
      <w:r>
        <w:rPr>
          <w:rFonts w:hint="eastAsia" w:ascii="仿宋_GB2312" w:hAnsi="仿宋_GB2312" w:eastAsia="仿宋_GB2312" w:cs="仿宋_GB2312"/>
          <w:sz w:val="32"/>
          <w:szCs w:val="32"/>
          <w:lang w:eastAsia="zh-CN"/>
        </w:rPr>
        <w:t>、其他工资福利支出、</w:t>
      </w:r>
      <w:r>
        <w:rPr>
          <w:rFonts w:hint="eastAsia" w:ascii="仿宋_GB2312" w:hAnsi="仿宋_GB2312" w:eastAsia="仿宋_GB2312" w:cs="仿宋_GB2312"/>
          <w:sz w:val="32"/>
          <w:szCs w:val="32"/>
        </w:rPr>
        <w:t>生活补助、奖励金、其他对个人和家庭的补助支出。</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266.6</w:t>
      </w:r>
      <w:r>
        <w:rPr>
          <w:rFonts w:hint="eastAsia" w:ascii="仿宋_GB2312" w:hAnsi="仿宋_GB2312" w:eastAsia="仿宋_GB2312" w:cs="仿宋_GB2312"/>
          <w:sz w:val="32"/>
          <w:szCs w:val="32"/>
        </w:rPr>
        <w:t>万元，主要包括：办公费、</w:t>
      </w:r>
      <w:r>
        <w:rPr>
          <w:rFonts w:hint="eastAsia" w:ascii="仿宋_GB2312" w:hAnsi="仿宋_GB2312" w:eastAsia="仿宋_GB2312" w:cs="仿宋_GB2312"/>
          <w:sz w:val="32"/>
          <w:szCs w:val="32"/>
          <w:lang w:eastAsia="zh-CN"/>
        </w:rPr>
        <w:t>印刷费、</w:t>
      </w:r>
      <w:r>
        <w:rPr>
          <w:rFonts w:hint="eastAsia" w:ascii="仿宋_GB2312" w:hAnsi="仿宋_GB2312" w:eastAsia="仿宋_GB2312" w:cs="仿宋_GB2312"/>
          <w:sz w:val="32"/>
          <w:szCs w:val="32"/>
        </w:rPr>
        <w:t>水费、电费、邮电费、差旅费、维修（护）费、</w:t>
      </w:r>
      <w:r>
        <w:rPr>
          <w:rFonts w:hint="eastAsia" w:ascii="仿宋_GB2312" w:hAnsi="仿宋_GB2312" w:eastAsia="仿宋_GB2312" w:cs="仿宋_GB2312"/>
          <w:sz w:val="32"/>
          <w:szCs w:val="32"/>
          <w:lang w:eastAsia="zh-CN"/>
        </w:rPr>
        <w:t>公务接待费、</w:t>
      </w:r>
      <w:r>
        <w:rPr>
          <w:rFonts w:hint="eastAsia" w:ascii="仿宋_GB2312" w:hAnsi="仿宋_GB2312" w:eastAsia="仿宋_GB2312" w:cs="仿宋_GB2312"/>
          <w:sz w:val="32"/>
          <w:szCs w:val="32"/>
        </w:rPr>
        <w:t>劳务费、</w:t>
      </w:r>
      <w:r>
        <w:rPr>
          <w:rFonts w:hint="eastAsia" w:ascii="仿宋_GB2312" w:hAnsi="仿宋_GB2312" w:eastAsia="仿宋_GB2312" w:cs="仿宋_GB2312"/>
          <w:sz w:val="32"/>
          <w:szCs w:val="32"/>
          <w:lang w:eastAsia="zh-CN"/>
        </w:rPr>
        <w:t>委托业务费、</w:t>
      </w:r>
      <w:r>
        <w:rPr>
          <w:rFonts w:hint="eastAsia" w:ascii="仿宋_GB2312" w:hAnsi="仿宋_GB2312" w:eastAsia="仿宋_GB2312" w:cs="仿宋_GB2312"/>
          <w:sz w:val="32"/>
          <w:szCs w:val="32"/>
        </w:rPr>
        <w:t>工会经费、公务用车运行维护费、其他交通费</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、其他商品和服务支出、办公设备购置。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Style w:val="30"/>
          <w:rFonts w:ascii="黑体" w:hAnsi="黑体" w:eastAsia="黑体"/>
          <w:b w:val="0"/>
        </w:rPr>
      </w:pPr>
      <w:bookmarkStart w:id="51" w:name="_Toc25740"/>
      <w:bookmarkStart w:id="52" w:name="_Toc15377215"/>
      <w:bookmarkStart w:id="53" w:name="_Toc15396609"/>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51"/>
      <w:bookmarkEnd w:id="52"/>
      <w:bookmarkEnd w:id="53"/>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hint="eastAsia" w:ascii="楷体_GB2312" w:hAnsi="楷体_GB2312" w:eastAsia="楷体_GB2312" w:cs="楷体_GB2312"/>
          <w:b w:val="0"/>
          <w:bCs/>
          <w:sz w:val="32"/>
          <w:szCs w:val="32"/>
        </w:rPr>
      </w:pPr>
      <w:bookmarkStart w:id="54" w:name="_Toc15377216"/>
      <w:r>
        <w:rPr>
          <w:rFonts w:hint="eastAsia" w:ascii="楷体_GB2312" w:hAnsi="楷体_GB2312" w:eastAsia="楷体_GB2312" w:cs="楷体_GB2312"/>
          <w:b w:val="0"/>
          <w:bCs/>
          <w:sz w:val="32"/>
          <w:szCs w:val="32"/>
        </w:rPr>
        <w:t>（一）“三公”经费财政拨款支出决算总体情况说明</w:t>
      </w:r>
      <w:bookmarkEnd w:id="54"/>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“三公”经费财政拨款支出决算为</w:t>
      </w:r>
      <w:r>
        <w:rPr>
          <w:rFonts w:hint="eastAsia" w:ascii="仿宋_GB2312" w:hAnsi="仿宋_GB2312" w:eastAsia="仿宋_GB2312" w:cs="仿宋_GB2312"/>
          <w:sz w:val="32"/>
          <w:szCs w:val="32"/>
          <w:lang w:val="en-US" w:eastAsia="zh-CN"/>
        </w:rPr>
        <w:t>2.61</w:t>
      </w:r>
      <w:r>
        <w:rPr>
          <w:rFonts w:hint="eastAsia" w:ascii="仿宋_GB2312" w:hAnsi="仿宋_GB2312" w:eastAsia="仿宋_GB2312" w:cs="仿宋_GB2312"/>
          <w:sz w:val="32"/>
          <w:szCs w:val="32"/>
        </w:rPr>
        <w:t>万元，完成</w:t>
      </w:r>
      <w:r>
        <w:rPr>
          <w:rFonts w:hint="eastAsia" w:ascii="仿宋_GB2312" w:hAnsi="仿宋_GB2312" w:eastAsia="仿宋_GB2312" w:cs="仿宋_GB2312"/>
          <w:sz w:val="32"/>
          <w:szCs w:val="32"/>
          <w:lang w:val="en-US" w:eastAsia="zh-CN"/>
        </w:rPr>
        <w:t>预算100%，</w:t>
      </w:r>
      <w:r>
        <w:rPr>
          <w:rFonts w:hint="eastAsia" w:ascii="仿宋_GB2312" w:hAnsi="仿宋_GB2312" w:eastAsia="仿宋_GB2312" w:cs="仿宋_GB2312"/>
          <w:sz w:val="32"/>
          <w:szCs w:val="32"/>
        </w:rPr>
        <w:t>较上年</w:t>
      </w:r>
      <w:r>
        <w:rPr>
          <w:rFonts w:hint="eastAsia" w:ascii="仿宋_GB2312" w:hAnsi="仿宋_GB2312" w:eastAsia="仿宋_GB2312" w:cs="仿宋_GB2312"/>
          <w:sz w:val="32"/>
          <w:szCs w:val="32"/>
          <w:lang w:val="en-US" w:eastAsia="zh-CN"/>
        </w:rPr>
        <w:t>增加0.64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32.49</w:t>
      </w:r>
      <w:r>
        <w:rPr>
          <w:rFonts w:hint="eastAsia" w:ascii="仿宋_GB2312" w:hAnsi="仿宋_GB2312" w:eastAsia="仿宋_GB2312" w:cs="仿宋_GB2312"/>
          <w:sz w:val="32"/>
          <w:szCs w:val="32"/>
        </w:rPr>
        <w:t>%。决算数与预算数持平的主要原因是</w:t>
      </w:r>
      <w:r>
        <w:rPr>
          <w:rFonts w:hint="eastAsia" w:ascii="仿宋_GB2312" w:hAnsi="仿宋_GB2312" w:eastAsia="仿宋_GB2312" w:cs="仿宋_GB2312"/>
          <w:sz w:val="32"/>
          <w:szCs w:val="32"/>
          <w:lang w:val="en-US" w:eastAsia="zh-CN"/>
        </w:rPr>
        <w:t>预算数为调整预算数，与决算数一致</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hint="eastAsia" w:ascii="楷体_GB2312" w:hAnsi="楷体_GB2312" w:eastAsia="楷体_GB2312" w:cs="楷体_GB2312"/>
          <w:b w:val="0"/>
          <w:bCs/>
          <w:sz w:val="32"/>
          <w:szCs w:val="32"/>
        </w:rPr>
      </w:pPr>
      <w:bookmarkStart w:id="55" w:name="_Toc15377217"/>
      <w:r>
        <w:rPr>
          <w:rFonts w:hint="eastAsia" w:ascii="楷体_GB2312" w:hAnsi="楷体_GB2312" w:eastAsia="楷体_GB2312" w:cs="楷体_GB2312"/>
          <w:b w:val="0"/>
          <w:bCs/>
          <w:sz w:val="32"/>
          <w:szCs w:val="32"/>
        </w:rPr>
        <w:t>（二）“三公”经费财政拨款支出决算具体情况说明</w:t>
      </w:r>
      <w:bookmarkEnd w:id="55"/>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2.46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94.25</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0.15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5.75</w:t>
      </w:r>
      <w:r>
        <w:rPr>
          <w:rFonts w:hint="eastAsia" w:ascii="仿宋_GB2312" w:hAnsi="仿宋_GB2312" w:eastAsia="仿宋_GB2312" w:cs="仿宋_GB2312"/>
          <w:sz w:val="32"/>
          <w:szCs w:val="32"/>
        </w:rPr>
        <w:t>%。具体情况如下：</w:t>
      </w:r>
    </w:p>
    <w:p>
      <w:pPr>
        <w:pStyle w:val="2"/>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9"/>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 w:hAnsi="仿宋" w:eastAsia="仿宋"/>
          <w:sz w:val="32"/>
          <w:szCs w:val="32"/>
          <w:lang w:eastAsia="zh-CN"/>
        </w:rPr>
        <w:drawing>
          <wp:anchor distT="0" distB="0" distL="114300" distR="114300" simplePos="0" relativeHeight="251665408" behindDoc="1" locked="0" layoutInCell="1" allowOverlap="1">
            <wp:simplePos x="0" y="0"/>
            <wp:positionH relativeFrom="column">
              <wp:posOffset>929005</wp:posOffset>
            </wp:positionH>
            <wp:positionV relativeFrom="paragraph">
              <wp:posOffset>27940</wp:posOffset>
            </wp:positionV>
            <wp:extent cx="3538220" cy="1915795"/>
            <wp:effectExtent l="4445" t="4445" r="19685" b="2286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pStyle w:val="9"/>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rPr>
      </w:pPr>
    </w:p>
    <w:p>
      <w:pPr>
        <w:pStyle w:val="9"/>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rPr>
      </w:pPr>
    </w:p>
    <w:p>
      <w:pPr>
        <w:pStyle w:val="9"/>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rPr>
      </w:pPr>
    </w:p>
    <w:p>
      <w:pPr>
        <w:pStyle w:val="9"/>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rPr>
      </w:pPr>
    </w:p>
    <w:p>
      <w:pPr>
        <w:spacing w:line="600" w:lineRule="exact"/>
        <w:ind w:firstLine="1280" w:firstLineChars="400"/>
        <w:rPr>
          <w:rFonts w:ascii="仿宋" w:hAnsi="仿宋" w:eastAsia="仿宋"/>
          <w:sz w:val="32"/>
          <w:szCs w:val="32"/>
        </w:rPr>
      </w:pPr>
      <w:r>
        <w:rPr>
          <w:rFonts w:hint="eastAsia" w:ascii="仿宋" w:hAnsi="仿宋" w:eastAsia="仿宋"/>
          <w:sz w:val="32"/>
          <w:szCs w:val="32"/>
        </w:rPr>
        <w:t>（</w:t>
      </w:r>
      <w:r>
        <w:rPr>
          <w:rFonts w:hint="eastAsia" w:ascii="楷体_GB2312" w:hAnsi="楷体_GB2312" w:eastAsia="楷体_GB2312" w:cs="楷体_GB2312"/>
          <w:sz w:val="32"/>
          <w:szCs w:val="32"/>
        </w:rPr>
        <w:t>图7：“三公”经费财政拨款支出结构</w:t>
      </w:r>
      <w:r>
        <w:rPr>
          <w:rFonts w:hint="eastAsia" w:ascii="仿宋" w:hAnsi="仿宋" w:eastAsia="仿宋"/>
          <w:sz w:val="32"/>
          <w:szCs w:val="32"/>
        </w:rPr>
        <w:t>）</w:t>
      </w:r>
    </w:p>
    <w:p>
      <w:pPr>
        <w:spacing w:line="600" w:lineRule="exact"/>
        <w:ind w:firstLine="64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rPr>
        <w:t>1.因公出国（境）经费支出</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万元，</w:t>
      </w:r>
      <w:r>
        <w:rPr>
          <w:rStyle w:val="19"/>
          <w:rFonts w:hint="eastAsia" w:ascii="仿宋_GB2312" w:hAnsi="仿宋_GB2312" w:eastAsia="仿宋_GB2312" w:cs="仿宋_GB2312"/>
          <w:b w:val="0"/>
          <w:bCs/>
          <w:sz w:val="32"/>
          <w:szCs w:val="32"/>
        </w:rPr>
        <w:t>完成预算</w:t>
      </w:r>
      <w:r>
        <w:rPr>
          <w:rStyle w:val="19"/>
          <w:rFonts w:hint="eastAsia" w:ascii="仿宋_GB2312" w:hAnsi="仿宋_GB2312" w:eastAsia="仿宋_GB2312" w:cs="仿宋_GB2312"/>
          <w:b w:val="0"/>
          <w:bCs/>
          <w:sz w:val="32"/>
          <w:szCs w:val="32"/>
          <w:lang w:val="en-US" w:eastAsia="zh-CN"/>
        </w:rPr>
        <w:t>0</w:t>
      </w:r>
      <w:r>
        <w:rPr>
          <w:rStyle w:val="19"/>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rPr>
        <w:t>全年安排因公出国（境）团组</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次，出国（境）</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人。</w:t>
      </w:r>
      <w:r>
        <w:rPr>
          <w:rFonts w:hint="eastAsia" w:ascii="仿宋_GB2312" w:hAnsi="仿宋_GB2312" w:eastAsia="仿宋_GB2312" w:cs="仿宋_GB2312"/>
          <w:b w:val="0"/>
          <w:bCs/>
          <w:sz w:val="32"/>
          <w:szCs w:val="32"/>
          <w:highlight w:val="none"/>
        </w:rPr>
        <w:t>因公出国（境）</w:t>
      </w:r>
      <w:r>
        <w:rPr>
          <w:rFonts w:hint="eastAsia" w:ascii="仿宋_GB2312" w:hAnsi="仿宋_GB2312" w:eastAsia="仿宋_GB2312" w:cs="仿宋_GB2312"/>
          <w:b w:val="0"/>
          <w:bCs/>
          <w:sz w:val="32"/>
          <w:szCs w:val="32"/>
          <w:highlight w:val="none"/>
          <w:lang w:eastAsia="zh-CN"/>
        </w:rPr>
        <w:t>支出决算与</w:t>
      </w:r>
      <w:r>
        <w:rPr>
          <w:rFonts w:hint="eastAsia" w:ascii="仿宋_GB2312" w:hAnsi="仿宋_GB2312" w:eastAsia="仿宋_GB2312" w:cs="仿宋_GB2312"/>
          <w:b w:val="0"/>
          <w:bCs/>
          <w:sz w:val="32"/>
          <w:szCs w:val="32"/>
          <w:highlight w:val="none"/>
          <w:lang w:val="en-US" w:eastAsia="zh-CN"/>
        </w:rPr>
        <w:t>2023年持平</w:t>
      </w:r>
      <w:r>
        <w:rPr>
          <w:rFonts w:hint="eastAsia" w:ascii="仿宋_GB2312" w:hAnsi="仿宋_GB2312" w:eastAsia="仿宋_GB2312" w:cs="仿宋_GB2312"/>
          <w:b w:val="0"/>
          <w:bCs/>
          <w:sz w:val="32"/>
          <w:szCs w:val="32"/>
          <w:highlight w:val="none"/>
        </w:rPr>
        <w:t>。</w:t>
      </w:r>
    </w:p>
    <w:p>
      <w:pPr>
        <w:spacing w:line="600" w:lineRule="exact"/>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2.公务用车购置及运行维护费支出</w:t>
      </w:r>
      <w:r>
        <w:rPr>
          <w:rFonts w:hint="eastAsia" w:ascii="仿宋_GB2312" w:hAnsi="仿宋_GB2312" w:eastAsia="仿宋_GB2312" w:cs="仿宋_GB2312"/>
          <w:b w:val="0"/>
          <w:bCs/>
          <w:sz w:val="32"/>
          <w:szCs w:val="32"/>
          <w:lang w:val="en-US" w:eastAsia="zh-CN"/>
        </w:rPr>
        <w:t>2.46</w:t>
      </w:r>
      <w:r>
        <w:rPr>
          <w:rFonts w:hint="eastAsia" w:ascii="仿宋_GB2312" w:hAnsi="仿宋_GB2312" w:eastAsia="仿宋_GB2312" w:cs="仿宋_GB2312"/>
          <w:b w:val="0"/>
          <w:bCs/>
          <w:sz w:val="32"/>
          <w:szCs w:val="32"/>
        </w:rPr>
        <w:t>万元,</w:t>
      </w:r>
      <w:r>
        <w:rPr>
          <w:rStyle w:val="19"/>
          <w:rFonts w:hint="eastAsia" w:ascii="仿宋_GB2312" w:hAnsi="仿宋_GB2312" w:eastAsia="仿宋_GB2312" w:cs="仿宋_GB2312"/>
          <w:b w:val="0"/>
          <w:bCs/>
          <w:sz w:val="32"/>
          <w:szCs w:val="32"/>
        </w:rPr>
        <w:t>完成预算</w:t>
      </w:r>
      <w:r>
        <w:rPr>
          <w:rStyle w:val="19"/>
          <w:rFonts w:hint="eastAsia" w:ascii="仿宋_GB2312" w:hAnsi="仿宋_GB2312" w:eastAsia="仿宋_GB2312" w:cs="仿宋_GB2312"/>
          <w:b w:val="0"/>
          <w:bCs/>
          <w:sz w:val="32"/>
          <w:szCs w:val="32"/>
          <w:lang w:val="en-US" w:eastAsia="zh-CN"/>
        </w:rPr>
        <w:t>100</w:t>
      </w:r>
      <w:r>
        <w:rPr>
          <w:rStyle w:val="19"/>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rPr>
        <w:t>公务用车购置及运行维护费支出决算比202</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eastAsia="zh-CN"/>
        </w:rPr>
        <w:t>度增加</w:t>
      </w:r>
      <w:r>
        <w:rPr>
          <w:rFonts w:hint="eastAsia" w:ascii="仿宋_GB2312" w:hAnsi="仿宋_GB2312" w:eastAsia="仿宋_GB2312" w:cs="仿宋_GB2312"/>
          <w:b w:val="0"/>
          <w:bCs/>
          <w:sz w:val="32"/>
          <w:szCs w:val="32"/>
          <w:lang w:val="en-US" w:eastAsia="zh-CN"/>
        </w:rPr>
        <w:t>0.59</w:t>
      </w:r>
      <w:r>
        <w:rPr>
          <w:rFonts w:hint="eastAsia" w:ascii="仿宋_GB2312" w:hAnsi="仿宋_GB2312" w:eastAsia="仿宋_GB2312" w:cs="仿宋_GB2312"/>
          <w:b w:val="0"/>
          <w:bCs/>
          <w:sz w:val="32"/>
          <w:szCs w:val="32"/>
        </w:rPr>
        <w:t>万元，</w:t>
      </w:r>
      <w:r>
        <w:rPr>
          <w:rFonts w:hint="eastAsia" w:ascii="仿宋_GB2312" w:hAnsi="仿宋_GB2312" w:eastAsia="仿宋_GB2312" w:cs="仿宋_GB2312"/>
          <w:b w:val="0"/>
          <w:bCs/>
          <w:sz w:val="32"/>
          <w:szCs w:val="32"/>
          <w:lang w:eastAsia="zh-CN"/>
        </w:rPr>
        <w:t>增长</w:t>
      </w:r>
      <w:r>
        <w:rPr>
          <w:rFonts w:hint="eastAsia" w:ascii="仿宋_GB2312" w:hAnsi="仿宋_GB2312" w:eastAsia="仿宋_GB2312" w:cs="仿宋_GB2312"/>
          <w:b w:val="0"/>
          <w:bCs/>
          <w:sz w:val="32"/>
          <w:szCs w:val="32"/>
          <w:lang w:val="en-US" w:eastAsia="zh-CN"/>
        </w:rPr>
        <w:t>31.55</w:t>
      </w:r>
      <w:r>
        <w:rPr>
          <w:rFonts w:hint="eastAsia" w:ascii="仿宋_GB2312" w:hAnsi="仿宋_GB2312" w:eastAsia="仿宋_GB2312" w:cs="仿宋_GB2312"/>
          <w:b w:val="0"/>
          <w:bCs/>
          <w:sz w:val="32"/>
          <w:szCs w:val="32"/>
        </w:rPr>
        <w:t>%。主要原因是</w:t>
      </w:r>
      <w:r>
        <w:rPr>
          <w:rFonts w:hint="eastAsia" w:ascii="仿宋_GB2312" w:hAnsi="仿宋" w:eastAsia="仿宋_GB2312" w:cs="仿宋"/>
          <w:color w:val="000000"/>
          <w:sz w:val="32"/>
          <w:szCs w:val="32"/>
          <w:lang w:val="en-US" w:eastAsia="zh-CN"/>
        </w:rPr>
        <w:t>根据工作业务需要，据实支付</w:t>
      </w:r>
      <w:r>
        <w:rPr>
          <w:rFonts w:hint="eastAsia" w:ascii="仿宋_GB2312" w:hAnsi="仿宋_GB2312" w:eastAsia="仿宋_GB2312" w:cs="仿宋_GB2312"/>
          <w:b w:val="0"/>
          <w:bCs/>
          <w:sz w:val="32"/>
          <w:szCs w:val="32"/>
        </w:rPr>
        <w:t>。</w:t>
      </w:r>
    </w:p>
    <w:p>
      <w:pPr>
        <w:spacing w:line="60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其中：公务用车购置支出</w:t>
      </w:r>
      <w:r>
        <w:rPr>
          <w:rFonts w:hint="eastAsia" w:ascii="仿宋_GB2312" w:hAnsi="仿宋_GB2312" w:eastAsia="仿宋_GB2312" w:cs="仿宋_GB2312"/>
          <w:b w:val="0"/>
          <w:bCs/>
          <w:sz w:val="32"/>
          <w:szCs w:val="32"/>
          <w:highlight w:val="none"/>
          <w:lang w:val="en-US" w:eastAsia="zh-CN"/>
        </w:rPr>
        <w:t>0</w:t>
      </w:r>
      <w:r>
        <w:rPr>
          <w:rFonts w:hint="eastAsia" w:ascii="仿宋_GB2312" w:hAnsi="仿宋_GB2312" w:eastAsia="仿宋_GB2312" w:cs="仿宋_GB2312"/>
          <w:b w:val="0"/>
          <w:bCs/>
          <w:sz w:val="32"/>
          <w:szCs w:val="32"/>
          <w:highlight w:val="none"/>
        </w:rPr>
        <w:t>万元。全年按规定更新购置公务用车</w:t>
      </w:r>
      <w:r>
        <w:rPr>
          <w:rFonts w:hint="eastAsia" w:ascii="仿宋_GB2312" w:hAnsi="仿宋_GB2312" w:eastAsia="仿宋_GB2312" w:cs="仿宋_GB2312"/>
          <w:b w:val="0"/>
          <w:bCs/>
          <w:sz w:val="32"/>
          <w:szCs w:val="32"/>
          <w:highlight w:val="none"/>
          <w:lang w:val="en-US" w:eastAsia="zh-CN"/>
        </w:rPr>
        <w:t>0</w:t>
      </w:r>
      <w:r>
        <w:rPr>
          <w:rFonts w:hint="eastAsia" w:ascii="仿宋_GB2312" w:hAnsi="仿宋_GB2312" w:eastAsia="仿宋_GB2312" w:cs="仿宋_GB2312"/>
          <w:b w:val="0"/>
          <w:bCs/>
          <w:sz w:val="32"/>
          <w:szCs w:val="32"/>
          <w:highlight w:val="none"/>
        </w:rPr>
        <w:t>辆，其中：轿车</w:t>
      </w:r>
      <w:r>
        <w:rPr>
          <w:rFonts w:hint="eastAsia" w:ascii="仿宋_GB2312" w:hAnsi="仿宋_GB2312" w:eastAsia="仿宋_GB2312" w:cs="仿宋_GB2312"/>
          <w:b w:val="0"/>
          <w:bCs/>
          <w:sz w:val="32"/>
          <w:szCs w:val="32"/>
          <w:highlight w:val="none"/>
          <w:lang w:val="en-US" w:eastAsia="zh-CN"/>
        </w:rPr>
        <w:t>0</w:t>
      </w:r>
      <w:r>
        <w:rPr>
          <w:rFonts w:hint="eastAsia" w:ascii="仿宋_GB2312" w:hAnsi="仿宋_GB2312" w:eastAsia="仿宋_GB2312" w:cs="仿宋_GB2312"/>
          <w:b w:val="0"/>
          <w:bCs/>
          <w:sz w:val="32"/>
          <w:szCs w:val="32"/>
          <w:highlight w:val="none"/>
        </w:rPr>
        <w:t>辆、金额</w:t>
      </w:r>
      <w:r>
        <w:rPr>
          <w:rFonts w:hint="eastAsia" w:ascii="仿宋_GB2312" w:hAnsi="仿宋_GB2312" w:eastAsia="仿宋_GB2312" w:cs="仿宋_GB2312"/>
          <w:b w:val="0"/>
          <w:bCs/>
          <w:sz w:val="32"/>
          <w:szCs w:val="32"/>
          <w:highlight w:val="none"/>
          <w:lang w:val="en-US" w:eastAsia="zh-CN"/>
        </w:rPr>
        <w:t>0</w:t>
      </w:r>
      <w:r>
        <w:rPr>
          <w:rFonts w:hint="eastAsia" w:ascii="仿宋_GB2312" w:hAnsi="仿宋_GB2312" w:eastAsia="仿宋_GB2312" w:cs="仿宋_GB2312"/>
          <w:b w:val="0"/>
          <w:bCs/>
          <w:sz w:val="32"/>
          <w:szCs w:val="32"/>
          <w:highlight w:val="none"/>
        </w:rPr>
        <w:t>万元，越野车</w:t>
      </w:r>
      <w:r>
        <w:rPr>
          <w:rFonts w:hint="eastAsia" w:ascii="仿宋_GB2312" w:hAnsi="仿宋_GB2312" w:eastAsia="仿宋_GB2312" w:cs="仿宋_GB2312"/>
          <w:b w:val="0"/>
          <w:bCs/>
          <w:sz w:val="32"/>
          <w:szCs w:val="32"/>
          <w:highlight w:val="none"/>
          <w:lang w:val="en-US" w:eastAsia="zh-CN"/>
        </w:rPr>
        <w:t>0</w:t>
      </w:r>
      <w:r>
        <w:rPr>
          <w:rFonts w:hint="eastAsia" w:ascii="仿宋_GB2312" w:hAnsi="仿宋_GB2312" w:eastAsia="仿宋_GB2312" w:cs="仿宋_GB2312"/>
          <w:b w:val="0"/>
          <w:bCs/>
          <w:sz w:val="32"/>
          <w:szCs w:val="32"/>
          <w:highlight w:val="none"/>
        </w:rPr>
        <w:t>辆、金额</w:t>
      </w:r>
      <w:r>
        <w:rPr>
          <w:rFonts w:hint="eastAsia" w:ascii="仿宋_GB2312" w:hAnsi="仿宋_GB2312" w:eastAsia="仿宋_GB2312" w:cs="仿宋_GB2312"/>
          <w:b w:val="0"/>
          <w:bCs/>
          <w:sz w:val="32"/>
          <w:szCs w:val="32"/>
          <w:highlight w:val="none"/>
          <w:lang w:val="en-US" w:eastAsia="zh-CN"/>
        </w:rPr>
        <w:t>0</w:t>
      </w:r>
      <w:r>
        <w:rPr>
          <w:rFonts w:hint="eastAsia" w:ascii="仿宋_GB2312" w:hAnsi="仿宋_GB2312" w:eastAsia="仿宋_GB2312" w:cs="仿宋_GB2312"/>
          <w:b w:val="0"/>
          <w:bCs/>
          <w:sz w:val="32"/>
          <w:szCs w:val="32"/>
          <w:highlight w:val="none"/>
        </w:rPr>
        <w:t>万元，载客汽车</w:t>
      </w:r>
      <w:r>
        <w:rPr>
          <w:rFonts w:hint="eastAsia" w:ascii="仿宋_GB2312" w:hAnsi="仿宋_GB2312" w:eastAsia="仿宋_GB2312" w:cs="仿宋_GB2312"/>
          <w:b w:val="0"/>
          <w:bCs/>
          <w:sz w:val="32"/>
          <w:szCs w:val="32"/>
          <w:highlight w:val="none"/>
          <w:lang w:val="en-US" w:eastAsia="zh-CN"/>
        </w:rPr>
        <w:t>0</w:t>
      </w:r>
      <w:r>
        <w:rPr>
          <w:rFonts w:hint="eastAsia" w:ascii="仿宋_GB2312" w:hAnsi="仿宋_GB2312" w:eastAsia="仿宋_GB2312" w:cs="仿宋_GB2312"/>
          <w:b w:val="0"/>
          <w:bCs/>
          <w:sz w:val="32"/>
          <w:szCs w:val="32"/>
          <w:highlight w:val="none"/>
        </w:rPr>
        <w:t>辆、金额</w:t>
      </w:r>
      <w:r>
        <w:rPr>
          <w:rFonts w:hint="eastAsia" w:ascii="仿宋_GB2312" w:hAnsi="仿宋_GB2312" w:eastAsia="仿宋_GB2312" w:cs="仿宋_GB2312"/>
          <w:b w:val="0"/>
          <w:bCs/>
          <w:sz w:val="32"/>
          <w:szCs w:val="32"/>
          <w:highlight w:val="none"/>
          <w:lang w:val="en-US" w:eastAsia="zh-CN"/>
        </w:rPr>
        <w:t>0</w:t>
      </w:r>
      <w:r>
        <w:rPr>
          <w:rFonts w:hint="eastAsia" w:ascii="仿宋_GB2312" w:hAnsi="仿宋_GB2312" w:eastAsia="仿宋_GB2312" w:cs="仿宋_GB2312"/>
          <w:b w:val="0"/>
          <w:bCs/>
          <w:sz w:val="32"/>
          <w:szCs w:val="32"/>
          <w:highlight w:val="none"/>
        </w:rPr>
        <w:t>万元。</w:t>
      </w:r>
      <w:r>
        <w:rPr>
          <w:rFonts w:hint="eastAsia" w:ascii="仿宋_GB2312" w:hAnsi="仿宋_GB2312" w:eastAsia="仿宋_GB2312" w:cs="仿宋_GB2312"/>
          <w:b w:val="0"/>
          <w:bCs/>
          <w:color w:val="auto"/>
          <w:sz w:val="32"/>
          <w:szCs w:val="32"/>
          <w:highlight w:val="none"/>
        </w:rPr>
        <w:t>截</w:t>
      </w:r>
      <w:r>
        <w:rPr>
          <w:rFonts w:hint="eastAsia" w:ascii="仿宋_GB2312" w:hAnsi="仿宋_GB2312" w:eastAsia="仿宋_GB2312" w:cs="仿宋_GB2312"/>
          <w:b w:val="0"/>
          <w:bCs/>
          <w:sz w:val="32"/>
          <w:szCs w:val="32"/>
          <w:highlight w:val="none"/>
        </w:rPr>
        <w:t>至202</w:t>
      </w:r>
      <w:r>
        <w:rPr>
          <w:rFonts w:hint="eastAsia" w:ascii="仿宋_GB2312" w:hAnsi="仿宋_GB2312" w:eastAsia="仿宋_GB2312" w:cs="仿宋_GB2312"/>
          <w:b w:val="0"/>
          <w:bCs/>
          <w:sz w:val="32"/>
          <w:szCs w:val="32"/>
          <w:highlight w:val="none"/>
          <w:lang w:val="en-US" w:eastAsia="zh-CN"/>
        </w:rPr>
        <w:t>4</w:t>
      </w:r>
      <w:r>
        <w:rPr>
          <w:rFonts w:hint="eastAsia" w:ascii="仿宋_GB2312" w:hAnsi="仿宋_GB2312" w:eastAsia="仿宋_GB2312" w:cs="仿宋_GB2312"/>
          <w:b w:val="0"/>
          <w:bCs/>
          <w:sz w:val="32"/>
          <w:szCs w:val="32"/>
          <w:highlight w:val="none"/>
        </w:rPr>
        <w:t>年12月</w:t>
      </w:r>
      <w:r>
        <w:rPr>
          <w:rFonts w:hint="eastAsia" w:ascii="仿宋_GB2312" w:hAnsi="仿宋_GB2312" w:eastAsia="仿宋_GB2312" w:cs="仿宋_GB2312"/>
          <w:b w:val="0"/>
          <w:bCs/>
          <w:sz w:val="32"/>
          <w:szCs w:val="32"/>
          <w:highlight w:val="none"/>
          <w:lang w:val="en-US" w:eastAsia="zh-CN"/>
        </w:rPr>
        <w:t>31日</w:t>
      </w:r>
      <w:r>
        <w:rPr>
          <w:rFonts w:hint="eastAsia" w:ascii="仿宋_GB2312" w:hAnsi="仿宋_GB2312" w:eastAsia="仿宋_GB2312" w:cs="仿宋_GB2312"/>
          <w:b w:val="0"/>
          <w:bCs/>
          <w:sz w:val="32"/>
          <w:szCs w:val="32"/>
          <w:highlight w:val="none"/>
        </w:rPr>
        <w:t>，单位共有公务用车</w:t>
      </w: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辆，其中：轿车</w:t>
      </w: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辆、越野车</w:t>
      </w:r>
      <w:r>
        <w:rPr>
          <w:rFonts w:hint="eastAsia" w:ascii="仿宋_GB2312" w:hAnsi="仿宋_GB2312" w:eastAsia="仿宋_GB2312" w:cs="仿宋_GB2312"/>
          <w:b w:val="0"/>
          <w:bCs/>
          <w:sz w:val="32"/>
          <w:szCs w:val="32"/>
          <w:highlight w:val="none"/>
          <w:lang w:val="en-US" w:eastAsia="zh-CN"/>
        </w:rPr>
        <w:t>0</w:t>
      </w:r>
      <w:r>
        <w:rPr>
          <w:rFonts w:hint="eastAsia" w:ascii="仿宋_GB2312" w:hAnsi="仿宋_GB2312" w:eastAsia="仿宋_GB2312" w:cs="仿宋_GB2312"/>
          <w:b w:val="0"/>
          <w:bCs/>
          <w:sz w:val="32"/>
          <w:szCs w:val="32"/>
          <w:highlight w:val="none"/>
        </w:rPr>
        <w:t>辆、载客汽车</w:t>
      </w: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辆。</w:t>
      </w:r>
    </w:p>
    <w:p>
      <w:pPr>
        <w:spacing w:line="600" w:lineRule="exact"/>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公务用车运行维护费支出</w:t>
      </w:r>
      <w:r>
        <w:rPr>
          <w:rFonts w:hint="eastAsia" w:ascii="仿宋_GB2312" w:hAnsi="仿宋_GB2312" w:eastAsia="仿宋_GB2312" w:cs="仿宋_GB2312"/>
          <w:b w:val="0"/>
          <w:bCs/>
          <w:sz w:val="32"/>
          <w:szCs w:val="32"/>
          <w:lang w:val="en-US" w:eastAsia="zh-CN"/>
        </w:rPr>
        <w:t>2.46</w:t>
      </w:r>
      <w:r>
        <w:rPr>
          <w:rFonts w:hint="eastAsia" w:ascii="仿宋_GB2312" w:hAnsi="仿宋_GB2312" w:eastAsia="仿宋_GB2312" w:cs="仿宋_GB2312"/>
          <w:b w:val="0"/>
          <w:bCs/>
          <w:sz w:val="32"/>
          <w:szCs w:val="32"/>
        </w:rPr>
        <w:t>万元。主要用于</w:t>
      </w:r>
      <w:r>
        <w:rPr>
          <w:rFonts w:hint="eastAsia" w:ascii="仿宋_GB2312" w:hAnsi="仿宋_GB2312" w:eastAsia="仿宋_GB2312" w:cs="仿宋_GB2312"/>
          <w:b w:val="0"/>
          <w:bCs/>
          <w:sz w:val="32"/>
          <w:szCs w:val="32"/>
          <w:lang w:val="en-US" w:eastAsia="zh-CN"/>
        </w:rPr>
        <w:t>乡村振兴、赴上级财政部门</w:t>
      </w:r>
      <w:r>
        <w:rPr>
          <w:rFonts w:hint="eastAsia" w:ascii="仿宋_GB2312" w:hAnsi="仿宋_GB2312" w:eastAsia="仿宋_GB2312" w:cs="仿宋_GB2312"/>
          <w:b w:val="0"/>
          <w:bCs/>
          <w:sz w:val="32"/>
          <w:szCs w:val="32"/>
        </w:rPr>
        <w:t>等所需的公务用车燃料费、维修费、过路过桥费、保险费等支出。</w:t>
      </w:r>
    </w:p>
    <w:p>
      <w:pPr>
        <w:spacing w:line="600" w:lineRule="exact"/>
        <w:ind w:firstLine="64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rPr>
        <w:t>3.公务接待费支出</w:t>
      </w:r>
      <w:r>
        <w:rPr>
          <w:rFonts w:hint="eastAsia" w:ascii="仿宋_GB2312" w:hAnsi="仿宋_GB2312" w:eastAsia="仿宋_GB2312" w:cs="仿宋_GB2312"/>
          <w:b w:val="0"/>
          <w:bCs/>
          <w:sz w:val="32"/>
          <w:szCs w:val="32"/>
          <w:lang w:val="en-US" w:eastAsia="zh-CN"/>
        </w:rPr>
        <w:t>0.15</w:t>
      </w:r>
      <w:r>
        <w:rPr>
          <w:rFonts w:hint="eastAsia" w:ascii="仿宋_GB2312" w:hAnsi="仿宋_GB2312" w:eastAsia="仿宋_GB2312" w:cs="仿宋_GB2312"/>
          <w:b w:val="0"/>
          <w:bCs/>
          <w:sz w:val="32"/>
          <w:szCs w:val="32"/>
        </w:rPr>
        <w:t>万元，</w:t>
      </w:r>
      <w:r>
        <w:rPr>
          <w:rStyle w:val="19"/>
          <w:rFonts w:hint="eastAsia" w:ascii="仿宋_GB2312" w:hAnsi="仿宋_GB2312" w:eastAsia="仿宋_GB2312" w:cs="仿宋_GB2312"/>
          <w:b w:val="0"/>
          <w:bCs/>
          <w:sz w:val="32"/>
          <w:szCs w:val="32"/>
        </w:rPr>
        <w:t>完成预算</w:t>
      </w:r>
      <w:r>
        <w:rPr>
          <w:rStyle w:val="19"/>
          <w:rFonts w:hint="eastAsia" w:ascii="仿宋_GB2312" w:hAnsi="仿宋_GB2312" w:eastAsia="仿宋_GB2312" w:cs="仿宋_GB2312"/>
          <w:b w:val="0"/>
          <w:bCs/>
          <w:sz w:val="32"/>
          <w:szCs w:val="32"/>
          <w:lang w:val="en-US" w:eastAsia="zh-CN"/>
        </w:rPr>
        <w:t>100</w:t>
      </w:r>
      <w:r>
        <w:rPr>
          <w:rStyle w:val="19"/>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rPr>
        <w:t>公务接待费支出决算比202</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eastAsia="zh-CN"/>
        </w:rPr>
        <w:t>度增加</w:t>
      </w:r>
      <w:r>
        <w:rPr>
          <w:rFonts w:hint="eastAsia" w:ascii="仿宋_GB2312" w:hAnsi="仿宋_GB2312" w:eastAsia="仿宋_GB2312" w:cs="仿宋_GB2312"/>
          <w:b w:val="0"/>
          <w:bCs/>
          <w:sz w:val="32"/>
          <w:szCs w:val="32"/>
          <w:lang w:val="en-US" w:eastAsia="zh-CN"/>
        </w:rPr>
        <w:t>0.05</w:t>
      </w:r>
      <w:r>
        <w:rPr>
          <w:rFonts w:hint="eastAsia" w:ascii="仿宋_GB2312" w:hAnsi="仿宋_GB2312" w:eastAsia="仿宋_GB2312" w:cs="仿宋_GB2312"/>
          <w:b w:val="0"/>
          <w:bCs/>
          <w:sz w:val="32"/>
          <w:szCs w:val="32"/>
        </w:rPr>
        <w:t>万元，</w:t>
      </w:r>
      <w:r>
        <w:rPr>
          <w:rFonts w:hint="eastAsia" w:ascii="仿宋_GB2312" w:hAnsi="仿宋_GB2312" w:eastAsia="仿宋_GB2312" w:cs="仿宋_GB2312"/>
          <w:b w:val="0"/>
          <w:bCs/>
          <w:sz w:val="32"/>
          <w:szCs w:val="32"/>
          <w:lang w:eastAsia="zh-CN"/>
        </w:rPr>
        <w:t>增长</w:t>
      </w:r>
      <w:r>
        <w:rPr>
          <w:rFonts w:hint="eastAsia" w:ascii="仿宋_GB2312" w:hAnsi="仿宋_GB2312" w:eastAsia="仿宋_GB2312" w:cs="仿宋_GB2312"/>
          <w:b w:val="0"/>
          <w:bCs/>
          <w:sz w:val="32"/>
          <w:szCs w:val="32"/>
          <w:lang w:val="en-US" w:eastAsia="zh-CN"/>
        </w:rPr>
        <w:t>50</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highlight w:val="none"/>
        </w:rPr>
        <w:t>主要原因是</w:t>
      </w:r>
      <w:r>
        <w:rPr>
          <w:rFonts w:hint="eastAsia" w:ascii="仿宋_GB2312" w:hAnsi="仿宋" w:eastAsia="仿宋_GB2312" w:cs="仿宋"/>
          <w:color w:val="000000"/>
          <w:sz w:val="32"/>
          <w:szCs w:val="32"/>
          <w:lang w:val="en-US" w:eastAsia="zh-CN"/>
        </w:rPr>
        <w:t>根据工作业务需要，据实支付</w:t>
      </w:r>
      <w:r>
        <w:rPr>
          <w:rFonts w:hint="eastAsia" w:ascii="仿宋_GB2312" w:hAnsi="仿宋_GB2312" w:eastAsia="仿宋_GB2312" w:cs="仿宋_GB2312"/>
          <w:b w:val="0"/>
          <w:bCs/>
          <w:sz w:val="32"/>
          <w:szCs w:val="32"/>
          <w:highlight w:val="none"/>
        </w:rPr>
        <w:t>。其中：</w:t>
      </w:r>
    </w:p>
    <w:p>
      <w:pPr>
        <w:keepNext w:val="0"/>
        <w:keepLines w:val="0"/>
        <w:widowControl/>
        <w:suppressLineNumbers w:val="0"/>
        <w:ind w:firstLine="640" w:firstLineChars="200"/>
        <w:jc w:val="left"/>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国内公务接待支出</w:t>
      </w:r>
      <w:r>
        <w:rPr>
          <w:rFonts w:hint="eastAsia" w:ascii="仿宋_GB2312" w:hAnsi="仿宋_GB2312" w:eastAsia="仿宋_GB2312" w:cs="仿宋_GB2312"/>
          <w:b w:val="0"/>
          <w:bCs/>
          <w:sz w:val="32"/>
          <w:szCs w:val="32"/>
          <w:highlight w:val="none"/>
          <w:lang w:val="en-US" w:eastAsia="zh-CN"/>
        </w:rPr>
        <w:t>0.15</w:t>
      </w:r>
      <w:r>
        <w:rPr>
          <w:rFonts w:hint="eastAsia" w:ascii="仿宋_GB2312" w:hAnsi="仿宋_GB2312" w:eastAsia="仿宋_GB2312" w:cs="仿宋_GB2312"/>
          <w:b w:val="0"/>
          <w:bCs/>
          <w:sz w:val="32"/>
          <w:szCs w:val="32"/>
          <w:highlight w:val="none"/>
        </w:rPr>
        <w:t>万元。</w:t>
      </w:r>
      <w:r>
        <w:rPr>
          <w:rFonts w:hint="eastAsia" w:ascii="仿宋_GB2312" w:eastAsia="仿宋_GB2312"/>
          <w:sz w:val="32"/>
          <w:szCs w:val="32"/>
          <w:highlight w:val="none"/>
        </w:rPr>
        <w:t>主要用于</w:t>
      </w:r>
      <w:r>
        <w:rPr>
          <w:rFonts w:ascii="仿宋_GB2312" w:hAnsi="仿宋_GB2312" w:eastAsia="仿宋_GB2312" w:cs="仿宋_GB2312"/>
          <w:color w:val="000000"/>
          <w:kern w:val="0"/>
          <w:sz w:val="31"/>
          <w:szCs w:val="31"/>
          <w:lang w:val="en-US" w:eastAsia="zh-CN" w:bidi="ar"/>
        </w:rPr>
        <w:t>对国内相关单位来我</w:t>
      </w:r>
      <w:r>
        <w:rPr>
          <w:rFonts w:hint="eastAsia" w:ascii="仿宋_GB2312" w:hAnsi="仿宋_GB2312" w:eastAsia="仿宋_GB2312" w:cs="仿宋_GB2312"/>
          <w:color w:val="000000"/>
          <w:kern w:val="0"/>
          <w:sz w:val="31"/>
          <w:szCs w:val="31"/>
          <w:lang w:val="en-US" w:eastAsia="zh-CN" w:bidi="ar"/>
        </w:rPr>
        <w:t>单位</w:t>
      </w:r>
      <w:r>
        <w:rPr>
          <w:rFonts w:ascii="仿宋_GB2312" w:hAnsi="仿宋_GB2312" w:eastAsia="仿宋_GB2312" w:cs="仿宋_GB2312"/>
          <w:color w:val="000000"/>
          <w:kern w:val="0"/>
          <w:sz w:val="31"/>
          <w:szCs w:val="31"/>
          <w:lang w:val="en-US" w:eastAsia="zh-CN" w:bidi="ar"/>
        </w:rPr>
        <w:t>开展业务检查、工作调研等活动，按规定安排的工作餐发生的接待支出</w:t>
      </w:r>
      <w:r>
        <w:rPr>
          <w:rFonts w:hint="eastAsia" w:ascii="仿宋_GB2312" w:eastAsia="仿宋_GB2312"/>
          <w:sz w:val="32"/>
          <w:szCs w:val="32"/>
          <w:highlight w:val="none"/>
        </w:rPr>
        <w:t>。</w:t>
      </w:r>
      <w:r>
        <w:rPr>
          <w:rFonts w:hint="eastAsia" w:ascii="仿宋_GB2312" w:hAnsi="仿宋_GB2312" w:eastAsia="仿宋_GB2312" w:cs="仿宋_GB2312"/>
          <w:b w:val="0"/>
          <w:bCs/>
          <w:sz w:val="32"/>
          <w:szCs w:val="32"/>
          <w:highlight w:val="none"/>
        </w:rPr>
        <w:t>国内公务接待</w:t>
      </w: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批次，</w:t>
      </w:r>
      <w:r>
        <w:rPr>
          <w:rFonts w:hint="eastAsia" w:ascii="仿宋_GB2312" w:hAnsi="仿宋_GB2312" w:eastAsia="仿宋_GB2312" w:cs="仿宋_GB2312"/>
          <w:b w:val="0"/>
          <w:bCs/>
          <w:sz w:val="32"/>
          <w:szCs w:val="32"/>
          <w:highlight w:val="none"/>
          <w:lang w:val="en-US" w:eastAsia="zh-CN"/>
        </w:rPr>
        <w:t>12</w:t>
      </w:r>
      <w:r>
        <w:rPr>
          <w:rFonts w:hint="eastAsia" w:ascii="仿宋_GB2312" w:hAnsi="仿宋_GB2312" w:eastAsia="仿宋_GB2312" w:cs="仿宋_GB2312"/>
          <w:b w:val="0"/>
          <w:bCs/>
          <w:sz w:val="32"/>
          <w:szCs w:val="32"/>
          <w:highlight w:val="none"/>
        </w:rPr>
        <w:t>人次</w:t>
      </w:r>
      <w:r>
        <w:rPr>
          <w:rFonts w:hint="eastAsia" w:ascii="仿宋_GB2312" w:hAnsi="仿宋_GB2312" w:eastAsia="仿宋_GB2312" w:cs="仿宋_GB2312"/>
          <w:color w:val="000000"/>
          <w:kern w:val="0"/>
          <w:sz w:val="31"/>
          <w:szCs w:val="31"/>
          <w:lang w:val="en-US" w:eastAsia="zh-CN" w:bidi="ar"/>
        </w:rPr>
        <w:t>（不包括陪同人员）</w:t>
      </w:r>
      <w:r>
        <w:rPr>
          <w:rFonts w:hint="eastAsia" w:ascii="仿宋_GB2312" w:hAnsi="仿宋_GB2312" w:eastAsia="仿宋_GB2312" w:cs="仿宋_GB2312"/>
          <w:b w:val="0"/>
          <w:bCs/>
          <w:sz w:val="32"/>
          <w:szCs w:val="32"/>
          <w:highlight w:val="none"/>
        </w:rPr>
        <w:t>，共计支出</w:t>
      </w:r>
      <w:r>
        <w:rPr>
          <w:rFonts w:hint="eastAsia" w:ascii="仿宋_GB2312" w:hAnsi="仿宋_GB2312" w:eastAsia="仿宋_GB2312" w:cs="仿宋_GB2312"/>
          <w:b w:val="0"/>
          <w:bCs/>
          <w:sz w:val="32"/>
          <w:szCs w:val="32"/>
          <w:highlight w:val="none"/>
          <w:lang w:val="en-US" w:eastAsia="zh-CN"/>
        </w:rPr>
        <w:t>0.15</w:t>
      </w:r>
      <w:r>
        <w:rPr>
          <w:rFonts w:hint="eastAsia" w:ascii="仿宋_GB2312" w:hAnsi="仿宋_GB2312" w:eastAsia="仿宋_GB2312" w:cs="仿宋_GB2312"/>
          <w:b w:val="0"/>
          <w:bCs/>
          <w:sz w:val="32"/>
          <w:szCs w:val="32"/>
          <w:highlight w:val="none"/>
        </w:rPr>
        <w:t>万元</w:t>
      </w:r>
      <w:r>
        <w:rPr>
          <w:rFonts w:hint="eastAsia" w:ascii="仿宋_GB2312" w:eastAsia="仿宋_GB2312"/>
          <w:sz w:val="32"/>
          <w:szCs w:val="32"/>
          <w:highlight w:val="none"/>
        </w:rPr>
        <w:t>，具体内容包括：</w:t>
      </w:r>
      <w:r>
        <w:rPr>
          <w:rFonts w:hint="eastAsia" w:ascii="仿宋_GB2312" w:hAnsi="仿宋_GB2312" w:eastAsia="仿宋_GB2312" w:cs="仿宋_GB2312"/>
          <w:sz w:val="32"/>
          <w:szCs w:val="32"/>
          <w:lang w:eastAsia="zh-CN"/>
        </w:rPr>
        <w:t>接待国内相关单位来我单位交流学习产生公务接待费</w:t>
      </w:r>
      <w:r>
        <w:rPr>
          <w:rFonts w:hint="eastAsia" w:ascii="仿宋_GB2312" w:hAnsi="仿宋_GB2312" w:eastAsia="仿宋_GB2312" w:cs="仿宋_GB2312"/>
          <w:sz w:val="32"/>
          <w:szCs w:val="32"/>
          <w:lang w:val="en-US" w:eastAsia="zh-CN"/>
        </w:rPr>
        <w:t>0.15万元</w:t>
      </w:r>
      <w:r>
        <w:rPr>
          <w:rFonts w:hint="eastAsia" w:ascii="仿宋_GB2312" w:eastAsia="仿宋_GB2312"/>
          <w:sz w:val="32"/>
          <w:szCs w:val="32"/>
          <w:highlight w:val="none"/>
        </w:rPr>
        <w:t>。</w:t>
      </w:r>
    </w:p>
    <w:p>
      <w:pPr>
        <w:spacing w:line="60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外事接待支出</w:t>
      </w:r>
      <w:r>
        <w:rPr>
          <w:rFonts w:hint="eastAsia" w:ascii="仿宋_GB2312" w:hAnsi="仿宋_GB2312" w:eastAsia="仿宋_GB2312" w:cs="仿宋_GB2312"/>
          <w:b w:val="0"/>
          <w:bCs/>
          <w:sz w:val="32"/>
          <w:szCs w:val="32"/>
          <w:highlight w:val="none"/>
          <w:lang w:val="en-US" w:eastAsia="zh-CN"/>
        </w:rPr>
        <w:t>0</w:t>
      </w:r>
      <w:r>
        <w:rPr>
          <w:rFonts w:hint="eastAsia" w:ascii="仿宋_GB2312" w:hAnsi="仿宋_GB2312" w:eastAsia="仿宋_GB2312" w:cs="仿宋_GB2312"/>
          <w:b w:val="0"/>
          <w:bCs/>
          <w:sz w:val="32"/>
          <w:szCs w:val="32"/>
          <w:highlight w:val="none"/>
        </w:rPr>
        <w:t>万元。外事接待</w:t>
      </w:r>
      <w:r>
        <w:rPr>
          <w:rFonts w:hint="eastAsia" w:ascii="仿宋_GB2312" w:hAnsi="仿宋_GB2312" w:eastAsia="仿宋_GB2312" w:cs="仿宋_GB2312"/>
          <w:b w:val="0"/>
          <w:bCs/>
          <w:sz w:val="32"/>
          <w:szCs w:val="32"/>
          <w:highlight w:val="none"/>
          <w:lang w:val="en-US" w:eastAsia="zh-CN"/>
        </w:rPr>
        <w:t>0</w:t>
      </w:r>
      <w:r>
        <w:rPr>
          <w:rFonts w:hint="eastAsia" w:ascii="仿宋_GB2312" w:hAnsi="仿宋_GB2312" w:eastAsia="仿宋_GB2312" w:cs="仿宋_GB2312"/>
          <w:b w:val="0"/>
          <w:bCs/>
          <w:sz w:val="32"/>
          <w:szCs w:val="32"/>
          <w:highlight w:val="none"/>
        </w:rPr>
        <w:t>批次，</w:t>
      </w:r>
      <w:r>
        <w:rPr>
          <w:rFonts w:hint="eastAsia" w:ascii="仿宋_GB2312" w:hAnsi="仿宋_GB2312" w:eastAsia="仿宋_GB2312" w:cs="仿宋_GB2312"/>
          <w:b w:val="0"/>
          <w:bCs/>
          <w:sz w:val="32"/>
          <w:szCs w:val="32"/>
          <w:highlight w:val="none"/>
          <w:lang w:val="en-US" w:eastAsia="zh-CN"/>
        </w:rPr>
        <w:t>0</w:t>
      </w:r>
      <w:r>
        <w:rPr>
          <w:rFonts w:hint="eastAsia" w:ascii="仿宋_GB2312" w:hAnsi="仿宋_GB2312" w:eastAsia="仿宋_GB2312" w:cs="仿宋_GB2312"/>
          <w:b w:val="0"/>
          <w:bCs/>
          <w:sz w:val="32"/>
          <w:szCs w:val="32"/>
          <w:highlight w:val="none"/>
        </w:rPr>
        <w:t>人次，共计支出</w:t>
      </w:r>
      <w:r>
        <w:rPr>
          <w:rFonts w:hint="eastAsia" w:ascii="仿宋_GB2312" w:hAnsi="仿宋_GB2312" w:eastAsia="仿宋_GB2312" w:cs="仿宋_GB2312"/>
          <w:b w:val="0"/>
          <w:bCs/>
          <w:sz w:val="32"/>
          <w:szCs w:val="32"/>
          <w:highlight w:val="none"/>
          <w:lang w:val="en-US" w:eastAsia="zh-CN"/>
        </w:rPr>
        <w:t>0</w:t>
      </w:r>
      <w:r>
        <w:rPr>
          <w:rFonts w:hint="eastAsia" w:ascii="仿宋_GB2312" w:hAnsi="仿宋_GB2312" w:eastAsia="仿宋_GB2312" w:cs="仿宋_GB2312"/>
          <w:b w:val="0"/>
          <w:bCs/>
          <w:sz w:val="32"/>
          <w:szCs w:val="32"/>
          <w:highlight w:val="none"/>
        </w:rPr>
        <w:t>万元。</w:t>
      </w:r>
    </w:p>
    <w:p>
      <w:pPr>
        <w:spacing w:line="600" w:lineRule="exact"/>
        <w:ind w:firstLine="640"/>
        <w:outlineLvl w:val="1"/>
        <w:rPr>
          <w:rStyle w:val="30"/>
          <w:rFonts w:ascii="黑体" w:hAnsi="黑体" w:eastAsia="黑体"/>
        </w:rPr>
      </w:pPr>
      <w:bookmarkStart w:id="56" w:name="_Toc28189"/>
      <w:bookmarkStart w:id="57" w:name="_Toc15377218"/>
      <w:bookmarkStart w:id="58" w:name="_Toc15396610"/>
      <w:r>
        <w:rPr>
          <w:rFonts w:hint="eastAsia" w:ascii="黑体" w:eastAsia="黑体"/>
          <w:sz w:val="32"/>
          <w:szCs w:val="32"/>
        </w:rPr>
        <w:t>八、</w:t>
      </w:r>
      <w:r>
        <w:rPr>
          <w:rStyle w:val="30"/>
          <w:rFonts w:hint="eastAsia" w:ascii="黑体" w:hAnsi="黑体" w:eastAsia="黑体"/>
          <w:b w:val="0"/>
        </w:rPr>
        <w:t>政府性基金预算支出决算情况说明</w:t>
      </w:r>
      <w:bookmarkEnd w:id="56"/>
      <w:bookmarkEnd w:id="57"/>
      <w:bookmarkEnd w:id="58"/>
    </w:p>
    <w:p>
      <w:pPr>
        <w:keepNext w:val="0"/>
        <w:keepLines w:val="0"/>
        <w:pageBreakBefore w:val="0"/>
        <w:widowControl w:val="0"/>
        <w:kinsoku/>
        <w:wordWrap/>
        <w:overflowPunct/>
        <w:topLinePunct w:val="0"/>
        <w:bidi w:val="0"/>
        <w:snapToGrid/>
        <w:spacing w:line="60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2024年度政府性基金预算财政拨款支出10.6万元，占本年支出合计的0.7</w:t>
      </w:r>
      <w:r>
        <w:rPr>
          <w:rFonts w:hint="eastAsia" w:ascii="仿宋_GB2312" w:eastAsia="仿宋_GB2312"/>
          <w:sz w:val="32"/>
          <w:szCs w:val="32"/>
          <w:lang w:val="en-US" w:eastAsia="zh-CN"/>
        </w:rPr>
        <w:t>3</w:t>
      </w:r>
      <w:r>
        <w:rPr>
          <w:rFonts w:hint="eastAsia" w:ascii="仿宋_GB2312" w:eastAsia="仿宋_GB2312"/>
          <w:sz w:val="32"/>
          <w:szCs w:val="32"/>
        </w:rPr>
        <w:t>%。与2023年度相比，政府性基金预算财政拨款支出减少</w:t>
      </w:r>
      <w:r>
        <w:rPr>
          <w:rFonts w:hint="eastAsia" w:ascii="仿宋_GB2312" w:eastAsia="仿宋_GB2312"/>
          <w:sz w:val="32"/>
          <w:szCs w:val="32"/>
          <w:lang w:val="en-US" w:eastAsia="zh-CN"/>
        </w:rPr>
        <w:t>20</w:t>
      </w:r>
      <w:r>
        <w:rPr>
          <w:rFonts w:hint="eastAsia" w:ascii="仿宋_GB2312" w:eastAsia="仿宋_GB2312"/>
          <w:sz w:val="32"/>
          <w:szCs w:val="32"/>
        </w:rPr>
        <w:t>万元，下降</w:t>
      </w:r>
      <w:r>
        <w:rPr>
          <w:rFonts w:hint="eastAsia" w:ascii="仿宋_GB2312" w:eastAsia="仿宋_GB2312"/>
          <w:sz w:val="32"/>
          <w:szCs w:val="32"/>
          <w:lang w:val="en-US" w:eastAsia="zh-CN"/>
        </w:rPr>
        <w:t>65.36</w:t>
      </w:r>
      <w:r>
        <w:rPr>
          <w:rFonts w:hint="eastAsia" w:ascii="仿宋_GB2312" w:eastAsia="仿宋_GB2312"/>
          <w:sz w:val="32"/>
          <w:szCs w:val="32"/>
        </w:rPr>
        <w:t>%。主要变动原因是根据工作业务需要，据实支付</w:t>
      </w:r>
      <w:r>
        <w:rPr>
          <w:rFonts w:hint="eastAsia" w:ascii="仿宋_GB2312" w:eastAsia="仿宋_GB2312"/>
          <w:sz w:val="32"/>
          <w:szCs w:val="32"/>
          <w:lang w:eastAsia="zh-CN"/>
        </w:rPr>
        <w:t>。</w:t>
      </w:r>
    </w:p>
    <w:p>
      <w:pPr>
        <w:keepNext w:val="0"/>
        <w:keepLines w:val="0"/>
        <w:pageBreakBefore w:val="0"/>
        <w:widowControl w:val="0"/>
        <w:numPr>
          <w:ilvl w:val="0"/>
          <w:numId w:val="1"/>
        </w:numPr>
        <w:kinsoku/>
        <w:wordWrap/>
        <w:overflowPunct/>
        <w:topLinePunct w:val="0"/>
        <w:bidi w:val="0"/>
        <w:snapToGrid/>
        <w:spacing w:line="600" w:lineRule="exact"/>
        <w:ind w:firstLine="640"/>
        <w:textAlignment w:val="auto"/>
        <w:outlineLvl w:val="1"/>
        <w:rPr>
          <w:rStyle w:val="30"/>
          <w:rFonts w:ascii="黑体" w:hAnsi="黑体" w:eastAsia="黑体"/>
          <w:b w:val="0"/>
        </w:rPr>
      </w:pPr>
      <w:bookmarkStart w:id="59" w:name="_Toc24379"/>
      <w:bookmarkStart w:id="60" w:name="_Toc15377219"/>
      <w:bookmarkStart w:id="61" w:name="_Toc15396611"/>
      <w:r>
        <w:rPr>
          <w:rStyle w:val="30"/>
          <w:rFonts w:hint="eastAsia" w:ascii="黑体" w:hAnsi="黑体" w:eastAsia="黑体"/>
          <w:b w:val="0"/>
        </w:rPr>
        <w:t>国有资本经营预算支出决算情况说明</w:t>
      </w:r>
      <w:bookmarkEnd w:id="59"/>
      <w:bookmarkEnd w:id="60"/>
      <w:bookmarkEnd w:id="61"/>
    </w:p>
    <w:p>
      <w:pPr>
        <w:keepNext w:val="0"/>
        <w:keepLines w:val="0"/>
        <w:pageBreakBefore w:val="0"/>
        <w:widowControl w:val="0"/>
        <w:kinsoku/>
        <w:wordWrap/>
        <w:overflowPunct/>
        <w:topLinePunct w:val="0"/>
        <w:bidi w:val="0"/>
        <w:snapToGrid/>
        <w:spacing w:line="600" w:lineRule="exact"/>
        <w:ind w:firstLine="640"/>
        <w:textAlignment w:val="auto"/>
        <w:rPr>
          <w:rFonts w:ascii="仿宋_GB2312" w:eastAsia="仿宋_GB2312"/>
          <w:sz w:val="32"/>
          <w:szCs w:val="32"/>
        </w:rPr>
      </w:pPr>
      <w:r>
        <w:rPr>
          <w:rFonts w:hint="eastAsia" w:ascii="仿宋_GB2312" w:eastAsia="仿宋_GB2312"/>
          <w:sz w:val="32"/>
          <w:szCs w:val="32"/>
        </w:rPr>
        <w:t>2024年度国有资本经营预算财政拨款支出0万元，占本年支出合计的0%。与2023年度相比，国有资本经营预算财政拨款支出</w:t>
      </w:r>
      <w:r>
        <w:rPr>
          <w:rFonts w:hint="eastAsia" w:ascii="仿宋_GB2312" w:eastAsia="仿宋_GB2312"/>
          <w:sz w:val="32"/>
          <w:szCs w:val="32"/>
          <w:lang w:eastAsia="zh-CN"/>
        </w:rPr>
        <w:t>无变化</w:t>
      </w:r>
      <w:r>
        <w:rPr>
          <w:rFonts w:hint="eastAsia" w:ascii="仿宋_GB2312" w:eastAsia="仿宋_GB2312"/>
          <w:sz w:val="32"/>
          <w:szCs w:val="32"/>
          <w:lang w:val="en-US" w:eastAsia="zh-CN"/>
        </w:rPr>
        <w:t>。</w:t>
      </w:r>
    </w:p>
    <w:p>
      <w:pPr>
        <w:keepNext w:val="0"/>
        <w:keepLines w:val="0"/>
        <w:pageBreakBefore w:val="0"/>
        <w:widowControl w:val="0"/>
        <w:numPr>
          <w:ilvl w:val="0"/>
          <w:numId w:val="1"/>
        </w:numPr>
        <w:kinsoku/>
        <w:wordWrap/>
        <w:overflowPunct/>
        <w:topLinePunct w:val="0"/>
        <w:bidi w:val="0"/>
        <w:snapToGrid/>
        <w:spacing w:line="600" w:lineRule="exact"/>
        <w:ind w:firstLine="640"/>
        <w:textAlignment w:val="auto"/>
        <w:outlineLvl w:val="1"/>
        <w:rPr>
          <w:rStyle w:val="30"/>
          <w:rFonts w:ascii="黑体" w:hAnsi="黑体" w:eastAsia="黑体"/>
          <w:b w:val="0"/>
        </w:rPr>
      </w:pPr>
      <w:bookmarkStart w:id="62" w:name="_Toc5474"/>
      <w:bookmarkStart w:id="63" w:name="_Toc15396612"/>
      <w:bookmarkStart w:id="64" w:name="_Toc15377221"/>
      <w:r>
        <w:rPr>
          <w:rStyle w:val="30"/>
          <w:rFonts w:hint="eastAsia" w:ascii="黑体" w:hAnsi="黑体" w:eastAsia="黑体"/>
          <w:b w:val="0"/>
        </w:rPr>
        <w:t>其他重要事项的情况说明</w:t>
      </w:r>
      <w:bookmarkEnd w:id="62"/>
      <w:bookmarkEnd w:id="63"/>
      <w:bookmarkEnd w:id="64"/>
    </w:p>
    <w:p>
      <w:pPr>
        <w:keepNext w:val="0"/>
        <w:keepLines w:val="0"/>
        <w:pageBreakBefore w:val="0"/>
        <w:widowControl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65" w:name="_Toc15377222"/>
      <w:r>
        <w:rPr>
          <w:rFonts w:hint="eastAsia" w:ascii="楷体_GB2312" w:hAnsi="楷体_GB2312" w:eastAsia="楷体_GB2312" w:cs="楷体_GB2312"/>
          <w:b w:val="0"/>
          <w:bCs/>
          <w:color w:val="auto"/>
          <w:sz w:val="32"/>
          <w:szCs w:val="32"/>
        </w:rPr>
        <w:t>（一）</w:t>
      </w:r>
      <w:r>
        <w:rPr>
          <w:rFonts w:hint="eastAsia" w:ascii="楷体_GB2312" w:hAnsi="楷体_GB2312" w:eastAsia="楷体_GB2312" w:cs="楷体_GB2312"/>
          <w:b w:val="0"/>
          <w:bCs/>
          <w:sz w:val="32"/>
          <w:szCs w:val="32"/>
        </w:rPr>
        <w:t>机关运行经费支出情况</w:t>
      </w:r>
      <w:bookmarkEnd w:id="65"/>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eastAsia="仿宋_GB2312"/>
          <w:sz w:val="32"/>
          <w:szCs w:val="32"/>
        </w:rPr>
        <w:t>，</w:t>
      </w:r>
      <w:r>
        <w:rPr>
          <w:rFonts w:hint="eastAsia" w:ascii="仿宋_GB2312" w:eastAsia="仿宋_GB2312"/>
          <w:sz w:val="32"/>
          <w:szCs w:val="32"/>
          <w:lang w:val="en-US" w:eastAsia="zh-CN"/>
        </w:rPr>
        <w:t>峨眉山市财政局（本级）</w:t>
      </w:r>
      <w:r>
        <w:rPr>
          <w:rFonts w:hint="eastAsia" w:ascii="仿宋_GB2312" w:eastAsia="仿宋_GB2312"/>
          <w:sz w:val="32"/>
          <w:szCs w:val="32"/>
        </w:rPr>
        <w:t>机关运行经费支出</w:t>
      </w:r>
      <w:r>
        <w:rPr>
          <w:rFonts w:hint="eastAsia" w:ascii="仿宋_GB2312" w:eastAsia="仿宋_GB2312"/>
          <w:sz w:val="32"/>
          <w:szCs w:val="32"/>
          <w:lang w:val="en-US" w:eastAsia="zh-CN"/>
        </w:rPr>
        <w:t>266.6</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度</w:t>
      </w:r>
      <w:r>
        <w:rPr>
          <w:rFonts w:hint="eastAsia" w:ascii="仿宋_GB2312" w:eastAsia="仿宋_GB2312"/>
          <w:sz w:val="32"/>
          <w:szCs w:val="32"/>
        </w:rPr>
        <w:t>增加</w:t>
      </w:r>
      <w:r>
        <w:rPr>
          <w:rFonts w:hint="eastAsia" w:ascii="仿宋_GB2312" w:eastAsia="仿宋_GB2312"/>
          <w:sz w:val="32"/>
          <w:szCs w:val="32"/>
          <w:lang w:val="en-US" w:eastAsia="zh-CN"/>
        </w:rPr>
        <w:t>78.44</w:t>
      </w:r>
      <w:r>
        <w:rPr>
          <w:rFonts w:hint="eastAsia" w:ascii="仿宋_GB2312" w:eastAsia="仿宋_GB2312"/>
          <w:sz w:val="32"/>
          <w:szCs w:val="32"/>
        </w:rPr>
        <w:t>万元，增长</w:t>
      </w:r>
      <w:r>
        <w:rPr>
          <w:rFonts w:hint="eastAsia" w:ascii="仿宋_GB2312" w:eastAsia="仿宋_GB2312"/>
          <w:sz w:val="32"/>
          <w:szCs w:val="32"/>
          <w:lang w:val="en-US" w:eastAsia="zh-CN"/>
        </w:rPr>
        <w:t>41.69</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公用经费类项目增加，据实支付。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66" w:name="_Toc15377223"/>
      <w:r>
        <w:rPr>
          <w:rFonts w:hint="eastAsia" w:ascii="楷体_GB2312" w:hAnsi="楷体_GB2312" w:eastAsia="楷体_GB2312" w:cs="楷体_GB2312"/>
          <w:sz w:val="32"/>
          <w:szCs w:val="32"/>
        </w:rPr>
        <w:t>（二）政府采购支出情况</w:t>
      </w:r>
      <w:bookmarkEnd w:id="6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峨眉山市财政局（本级）</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3.43</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1.69</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1.74</w:t>
      </w:r>
      <w:r>
        <w:rPr>
          <w:rFonts w:hint="eastAsia" w:ascii="仿宋_GB2312" w:hAnsi="仿宋_GB2312" w:eastAsia="仿宋_GB2312" w:cs="仿宋_GB2312"/>
          <w:sz w:val="32"/>
          <w:szCs w:val="32"/>
        </w:rPr>
        <w:t>万元。</w:t>
      </w:r>
      <w:r>
        <w:rPr>
          <w:rFonts w:hint="eastAsia" w:ascii="仿宋_GB2312" w:eastAsia="仿宋_GB2312"/>
          <w:sz w:val="32"/>
          <w:szCs w:val="32"/>
        </w:rPr>
        <w:t>主要用于</w:t>
      </w:r>
      <w:r>
        <w:rPr>
          <w:rFonts w:hint="eastAsia" w:ascii="仿宋_GB2312" w:eastAsia="仿宋_GB2312"/>
          <w:sz w:val="32"/>
          <w:szCs w:val="32"/>
          <w:lang w:eastAsia="zh-CN"/>
        </w:rPr>
        <w:t>公车维修、购买车辆保险、车辆加油、办公设备采购</w:t>
      </w:r>
      <w:r>
        <w:rPr>
          <w:rFonts w:hint="eastAsia" w:ascii="仿宋_GB2312" w:eastAsia="仿宋_GB2312"/>
          <w:sz w:val="32"/>
          <w:szCs w:val="32"/>
        </w:rPr>
        <w:t>。</w:t>
      </w:r>
      <w:r>
        <w:rPr>
          <w:rFonts w:hint="eastAsia" w:ascii="仿宋_GB2312" w:hAnsi="仿宋_GB2312" w:eastAsia="仿宋_GB2312" w:cs="仿宋_GB2312"/>
          <w:sz w:val="32"/>
          <w:szCs w:val="32"/>
        </w:rPr>
        <w:t>授予中小企业合同金额</w:t>
      </w:r>
      <w:r>
        <w:rPr>
          <w:rFonts w:hint="eastAsia" w:ascii="仿宋_GB2312" w:hAnsi="仿宋_GB2312" w:eastAsia="仿宋_GB2312" w:cs="仿宋_GB2312"/>
          <w:sz w:val="32"/>
          <w:szCs w:val="32"/>
          <w:lang w:val="en-US" w:eastAsia="zh-CN"/>
        </w:rPr>
        <w:t>2.79</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81.34</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2.79</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81.34</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67" w:name="_Toc15377224"/>
      <w:r>
        <w:rPr>
          <w:rFonts w:hint="eastAsia" w:ascii="楷体_GB2312" w:hAnsi="楷体_GB2312" w:eastAsia="楷体_GB2312" w:cs="楷体_GB2312"/>
          <w:sz w:val="32"/>
          <w:szCs w:val="32"/>
        </w:rPr>
        <w:t>（三）国有资产占有使用情况</w:t>
      </w:r>
      <w:bookmarkEnd w:id="6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w:t>
      </w:r>
      <w:r>
        <w:rPr>
          <w:rFonts w:hint="eastAsia" w:ascii="仿宋_GB2312" w:hAnsi="仿宋_GB2312" w:eastAsia="仿宋_GB2312" w:cs="仿宋_GB2312"/>
          <w:sz w:val="32"/>
          <w:szCs w:val="32"/>
          <w:lang w:val="en-US" w:eastAsia="zh-CN"/>
        </w:rPr>
        <w:t>峨眉山市财政局（本级）</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辆，其中：主要领导干部用车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辆，其他用车主要是用于</w:t>
      </w:r>
      <w:r>
        <w:rPr>
          <w:rFonts w:hint="eastAsia" w:ascii="仿宋_GB2312" w:hAnsi="仿宋_GB2312" w:eastAsia="仿宋_GB2312" w:cs="仿宋_GB2312"/>
          <w:sz w:val="32"/>
          <w:szCs w:val="32"/>
          <w:lang w:val="en-US" w:eastAsia="zh-CN"/>
        </w:rPr>
        <w:t>保障单位工作正常开展</w:t>
      </w:r>
      <w:r>
        <w:rPr>
          <w:rFonts w:hint="eastAsia" w:ascii="仿宋_GB2312" w:hAnsi="仿宋_GB2312" w:eastAsia="仿宋_GB2312" w:cs="仿宋_GB2312"/>
          <w:sz w:val="32"/>
          <w:szCs w:val="32"/>
        </w:rPr>
        <w:t>。单价100万元</w:t>
      </w:r>
      <w:r>
        <w:rPr>
          <w:rFonts w:hint="eastAsia" w:ascii="仿宋_GB2312" w:hAnsi="仿宋_GB2312" w:eastAsia="仿宋_GB2312" w:cs="仿宋_GB2312"/>
          <w:sz w:val="32"/>
          <w:szCs w:val="32"/>
          <w:lang w:eastAsia="zh-CN"/>
        </w:rPr>
        <w:t>（含）</w:t>
      </w:r>
      <w:r>
        <w:rPr>
          <w:rFonts w:hint="eastAsia" w:ascii="仿宋_GB2312" w:hAnsi="仿宋_GB2312" w:eastAsia="仿宋_GB2312" w:cs="仿宋_GB2312"/>
          <w:sz w:val="32"/>
          <w:szCs w:val="32"/>
        </w:rPr>
        <w:t>以上设备</w:t>
      </w:r>
      <w:r>
        <w:rPr>
          <w:rFonts w:hint="eastAsia" w:ascii="仿宋_GB2312" w:eastAsia="仿宋_GB2312"/>
          <w:sz w:val="32"/>
          <w:szCs w:val="32"/>
        </w:rPr>
        <w:t>（不含车辆）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（四）预算绩效管理情况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年度预算编制阶段，</w:t>
      </w:r>
      <w:r>
        <w:rPr>
          <w:rFonts w:hint="eastAsia" w:ascii="仿宋_GB2312" w:hAnsi="Times New Roman" w:eastAsia="仿宋_GB2312"/>
          <w:sz w:val="32"/>
          <w:szCs w:val="32"/>
        </w:rPr>
        <w:t>组织对</w:t>
      </w:r>
      <w:r>
        <w:rPr>
          <w:rFonts w:hint="eastAsia" w:ascii="仿宋_GB2312" w:eastAsia="仿宋_GB2312"/>
          <w:sz w:val="32"/>
          <w:szCs w:val="32"/>
          <w:lang w:val="en-US" w:eastAsia="zh-CN"/>
        </w:rPr>
        <w:t>0</w:t>
      </w:r>
      <w:r>
        <w:rPr>
          <w:rFonts w:hint="eastAsia" w:ascii="仿宋_GB2312" w:hAnsi="Times New Roman" w:eastAsia="仿宋_GB2312"/>
          <w:sz w:val="32"/>
          <w:szCs w:val="32"/>
        </w:rPr>
        <w:t>个项目开展了预算事前绩效评估，</w:t>
      </w:r>
      <w:r>
        <w:rPr>
          <w:rFonts w:hint="eastAsia" w:ascii="仿宋_GB2312" w:hAnsi="仿宋_GB2312" w:eastAsia="仿宋_GB2312" w:cs="仿宋_GB2312"/>
          <w:sz w:val="32"/>
          <w:szCs w:val="32"/>
        </w:rPr>
        <w:t>对财政金财网信息化建设及运维等经费</w:t>
      </w:r>
      <w:r>
        <w:rPr>
          <w:rFonts w:hint="eastAsia" w:ascii="仿宋_GB2312" w:hAnsi="仿宋_GB2312" w:eastAsia="仿宋_GB2312" w:cs="仿宋_GB2312"/>
          <w:sz w:val="32"/>
          <w:szCs w:val="32"/>
          <w:lang w:eastAsia="zh-CN"/>
        </w:rPr>
        <w:t>、全市执法执勤车车辆GPS服务等费用</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个项目开展绩效监控，组织对</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个项目开展绩效自评，绩效自评表详见第四部分</w:t>
      </w:r>
      <w:r>
        <w:rPr>
          <w:rFonts w:hint="eastAsia" w:ascii="仿宋_GB2312" w:hAnsi="仿宋_GB2312" w:eastAsia="仿宋_GB2312" w:cs="仿宋_GB2312"/>
          <w:color w:val="auto"/>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lang w:val="en-US" w:eastAsia="zh-CN"/>
        </w:rPr>
      </w:pPr>
      <w:bookmarkStart w:id="68" w:name="_Toc32155"/>
      <w:bookmarkStart w:id="69" w:name="_Toc15396613"/>
      <w:bookmarkStart w:id="70" w:name="_Toc15377225"/>
      <w:r>
        <w:rPr>
          <w:rFonts w:hint="eastAsia" w:ascii="方正小标宋_GBK" w:hAnsi="方正小标宋_GBK" w:eastAsia="方正小标宋_GBK" w:cs="方正小标宋_GBK"/>
          <w:sz w:val="36"/>
          <w:szCs w:val="36"/>
          <w:lang w:val="en-US" w:eastAsia="zh-CN"/>
        </w:rPr>
        <w:t>第三部分 名词解释</w:t>
      </w:r>
      <w:bookmarkEnd w:id="68"/>
      <w:bookmarkEnd w:id="69"/>
      <w:bookmarkEnd w:id="7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rPr>
      </w:pPr>
    </w:p>
    <w:p>
      <w:pPr>
        <w:pStyle w:val="27"/>
        <w:pageBreakBefore w:val="0"/>
        <w:kinsoku/>
        <w:wordWrap/>
        <w:overflowPunct/>
        <w:bidi w:val="0"/>
        <w:spacing w:line="560" w:lineRule="exact"/>
        <w:ind w:firstLine="640" w:firstLineChars="200"/>
        <w:rPr>
          <w:rFonts w:ascii="仿宋_GB2312" w:eastAsia="仿宋_GB2312"/>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财政拨款收入：</w:t>
      </w:r>
      <w:r>
        <w:rPr>
          <w:rFonts w:hint="eastAsia" w:ascii="仿宋_GB2312" w:eastAsia="仿宋_GB2312"/>
          <w:sz w:val="32"/>
          <w:szCs w:val="32"/>
        </w:rPr>
        <w:t>指单位从同级财政部门取得的财政预算资金。</w:t>
      </w:r>
    </w:p>
    <w:p>
      <w:pPr>
        <w:pStyle w:val="27"/>
        <w:pageBreakBefore w:val="0"/>
        <w:kinsoku/>
        <w:wordWrap/>
        <w:overflowPunct/>
        <w:bidi w:val="0"/>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二、</w:t>
      </w:r>
      <w:r>
        <w:rPr>
          <w:rFonts w:hint="eastAsia" w:ascii="黑体" w:hAnsi="黑体" w:eastAsia="黑体" w:cs="黑体"/>
          <w:sz w:val="32"/>
          <w:szCs w:val="32"/>
        </w:rPr>
        <w:t>其他收入：</w:t>
      </w:r>
      <w:r>
        <w:rPr>
          <w:rFonts w:hint="eastAsia" w:ascii="仿宋_GB2312" w:eastAsia="仿宋_GB2312"/>
          <w:sz w:val="32"/>
          <w:szCs w:val="32"/>
        </w:rPr>
        <w:t>指单位取得的除上述收入以外的各项收入。主要是利息收入、国有资产出租收入等。</w:t>
      </w:r>
      <w:r>
        <w:rPr>
          <w:rFonts w:ascii="仿宋_GB2312" w:eastAsia="仿宋_GB2312"/>
          <w:sz w:val="32"/>
          <w:szCs w:val="32"/>
        </w:rPr>
        <w:t xml:space="preserve"> </w:t>
      </w:r>
    </w:p>
    <w:p>
      <w:pPr>
        <w:pStyle w:val="27"/>
        <w:pageBreakBefore w:val="0"/>
        <w:kinsoku/>
        <w:wordWrap/>
        <w:overflowPunct/>
        <w:bidi w:val="0"/>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年初结转和结余：</w:t>
      </w:r>
      <w:r>
        <w:rPr>
          <w:rFonts w:hint="eastAsia" w:ascii="仿宋_GB2312" w:eastAsia="仿宋_GB2312"/>
          <w:sz w:val="32"/>
          <w:szCs w:val="32"/>
        </w:rPr>
        <w:t>指以前年度尚未完成、结转到本年按有关规定继续使用的资金。</w:t>
      </w:r>
      <w:r>
        <w:rPr>
          <w:rFonts w:ascii="仿宋_GB2312" w:eastAsia="仿宋_GB2312"/>
          <w:sz w:val="32"/>
          <w:szCs w:val="32"/>
        </w:rPr>
        <w:t xml:space="preserve"> </w:t>
      </w:r>
    </w:p>
    <w:p>
      <w:pPr>
        <w:pStyle w:val="27"/>
        <w:pageBreakBefore w:val="0"/>
        <w:kinsoku/>
        <w:wordWrap/>
        <w:overflowPunct/>
        <w:bidi w:val="0"/>
        <w:spacing w:line="560" w:lineRule="exact"/>
        <w:ind w:firstLine="640" w:firstLineChars="200"/>
        <w:rPr>
          <w:rFonts w:ascii="仿宋_GB2312" w:eastAsia="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年末结转和结余：</w:t>
      </w:r>
      <w:r>
        <w:rPr>
          <w:rFonts w:hint="eastAsia" w:ascii="仿宋_GB2312" w:eastAsia="仿宋_GB2312"/>
          <w:sz w:val="32"/>
          <w:szCs w:val="32"/>
        </w:rPr>
        <w:t>指单位按有关规定结转到下年或以后年度继续使用的资金。</w:t>
      </w:r>
    </w:p>
    <w:p>
      <w:pPr>
        <w:pStyle w:val="35"/>
        <w:pageBreakBefore w:val="0"/>
        <w:kinsoku/>
        <w:wordWrap/>
        <w:overflowPunct/>
        <w:bidi w:val="0"/>
        <w:ind w:firstLine="640"/>
        <w:rPr>
          <w:rFonts w:hint="eastAsia"/>
        </w:rPr>
      </w:pPr>
      <w:r>
        <w:rPr>
          <w:rFonts w:hint="eastAsia" w:ascii="黑体" w:hAnsi="黑体" w:eastAsia="黑体" w:cs="黑体"/>
          <w:lang w:val="en-US" w:eastAsia="zh-CN"/>
        </w:rPr>
        <w:t>五、</w:t>
      </w:r>
      <w:r>
        <w:rPr>
          <w:rFonts w:hint="eastAsia" w:ascii="黑体" w:hAnsi="黑体" w:eastAsia="黑体" w:cs="黑体"/>
        </w:rPr>
        <w:t>一般公共服务支出（类）财政事务（款）行政运行（项）：</w:t>
      </w:r>
      <w:r>
        <w:rPr>
          <w:rFonts w:hint="eastAsia"/>
        </w:rPr>
        <w:t>反映行政单位（包括实行公务员管理的事业单位）的基本支出。</w:t>
      </w:r>
    </w:p>
    <w:p>
      <w:pPr>
        <w:pStyle w:val="35"/>
        <w:pageBreakBefore w:val="0"/>
        <w:kinsoku/>
        <w:wordWrap/>
        <w:overflowPunct/>
        <w:bidi w:val="0"/>
        <w:ind w:firstLine="640"/>
        <w:rPr>
          <w:rFonts w:hint="eastAsia"/>
        </w:rPr>
      </w:pPr>
      <w:r>
        <w:rPr>
          <w:rFonts w:hint="eastAsia" w:ascii="黑体" w:hAnsi="黑体" w:eastAsia="黑体" w:cs="黑体"/>
          <w:lang w:val="en-US" w:eastAsia="zh-CN"/>
        </w:rPr>
        <w:t>六、</w:t>
      </w:r>
      <w:r>
        <w:rPr>
          <w:rFonts w:hint="eastAsia" w:ascii="黑体" w:hAnsi="黑体" w:eastAsia="黑体" w:cs="黑体"/>
        </w:rPr>
        <w:t>一般公共服务支出（类）财政事务（款）一般行政管理事务（项）：</w:t>
      </w:r>
      <w:r>
        <w:rPr>
          <w:rFonts w:hint="eastAsia"/>
        </w:rPr>
        <w:t>反映行政单位（包括实行公务员管理的事业单位）未单独设置项级科目的其他项目支出。</w:t>
      </w:r>
    </w:p>
    <w:p>
      <w:pPr>
        <w:pStyle w:val="35"/>
        <w:pageBreakBefore w:val="0"/>
        <w:kinsoku/>
        <w:wordWrap/>
        <w:overflowPunct/>
        <w:bidi w:val="0"/>
        <w:ind w:firstLine="640"/>
      </w:pPr>
      <w:r>
        <w:rPr>
          <w:rFonts w:hint="eastAsia" w:ascii="黑体" w:hAnsi="黑体" w:eastAsia="黑体" w:cs="黑体"/>
          <w:lang w:val="en-US" w:eastAsia="zh-CN"/>
        </w:rPr>
        <w:t>七、</w:t>
      </w:r>
      <w:r>
        <w:rPr>
          <w:rFonts w:hint="eastAsia" w:ascii="黑体" w:hAnsi="黑体" w:eastAsia="黑体" w:cs="黑体"/>
        </w:rPr>
        <w:t>一般公共服务支出（类）财政事务（款）其他财政事务（项）：</w:t>
      </w:r>
      <w:r>
        <w:rPr>
          <w:rFonts w:hint="eastAsia"/>
        </w:rPr>
        <w:t>反映其他财政事务方面的支出。</w:t>
      </w:r>
    </w:p>
    <w:p>
      <w:pPr>
        <w:pStyle w:val="35"/>
        <w:pageBreakBefore w:val="0"/>
        <w:kinsoku/>
        <w:wordWrap/>
        <w:overflowPunct/>
        <w:bidi w:val="0"/>
        <w:ind w:firstLine="640"/>
        <w:rPr>
          <w:rFonts w:hint="eastAsia" w:eastAsia="仿宋_GB2312"/>
          <w:lang w:eastAsia="zh-CN"/>
        </w:rPr>
      </w:pPr>
      <w:r>
        <w:rPr>
          <w:rFonts w:hint="eastAsia" w:ascii="黑体" w:hAnsi="黑体" w:eastAsia="黑体" w:cs="黑体"/>
          <w:lang w:eastAsia="zh-CN"/>
        </w:rPr>
        <w:t>八、</w:t>
      </w:r>
      <w:r>
        <w:rPr>
          <w:rFonts w:hint="eastAsia" w:ascii="黑体" w:hAnsi="黑体" w:eastAsia="黑体" w:cs="黑体"/>
        </w:rPr>
        <w:t>社会保障和就业支出（类）行政事业单位养老支出（款）机关事业单位职业年金缴费支出（项）：</w:t>
      </w:r>
      <w:r>
        <w:rPr>
          <w:rFonts w:hint="eastAsia"/>
        </w:rPr>
        <w:t>反映机关事业单位实施养老保险制度由单位缴纳的基本养老保险费支出。</w:t>
      </w:r>
    </w:p>
    <w:p>
      <w:pPr>
        <w:pStyle w:val="35"/>
        <w:pageBreakBefore w:val="0"/>
        <w:kinsoku/>
        <w:wordWrap/>
        <w:overflowPunct/>
        <w:bidi w:val="0"/>
        <w:ind w:firstLine="640"/>
        <w:rPr>
          <w:rFonts w:hint="eastAsia"/>
        </w:rPr>
      </w:pPr>
      <w:r>
        <w:rPr>
          <w:rFonts w:hint="eastAsia" w:ascii="黑体" w:hAnsi="黑体" w:eastAsia="黑体" w:cs="黑体"/>
          <w:lang w:val="en-US" w:eastAsia="zh-CN"/>
        </w:rPr>
        <w:t>九、</w:t>
      </w:r>
      <w:r>
        <w:rPr>
          <w:rFonts w:hint="eastAsia" w:ascii="黑体" w:hAnsi="黑体" w:eastAsia="黑体" w:cs="黑体"/>
          <w:lang w:eastAsia="zh-CN"/>
        </w:rPr>
        <w:t>社会保障和就业支出（类）行政事业单位养老支出（款）机关事业单位基本养老保险缴费支出（项）</w:t>
      </w:r>
      <w:r>
        <w:rPr>
          <w:rFonts w:hint="eastAsia" w:ascii="黑体" w:hAnsi="黑体" w:eastAsia="黑体" w:cs="黑体"/>
        </w:rPr>
        <w:t>：</w:t>
      </w:r>
      <w:r>
        <w:rPr>
          <w:rFonts w:hint="eastAsia"/>
        </w:rPr>
        <w:t>反映机关事业单位实施养老保险制度由单位缴纳的职业年金支出。</w:t>
      </w:r>
    </w:p>
    <w:p>
      <w:pPr>
        <w:pStyle w:val="35"/>
        <w:pageBreakBefore w:val="0"/>
        <w:kinsoku/>
        <w:wordWrap/>
        <w:overflowPunct/>
        <w:bidi w:val="0"/>
        <w:ind w:firstLine="640"/>
        <w:rPr>
          <w:rFonts w:hint="eastAsia"/>
          <w:lang w:eastAsia="zh-CN"/>
        </w:rPr>
      </w:pPr>
      <w:r>
        <w:rPr>
          <w:rFonts w:hint="eastAsia" w:ascii="黑体" w:hAnsi="黑体" w:eastAsia="黑体" w:cs="黑体"/>
          <w:lang w:val="en-US" w:eastAsia="zh-CN"/>
        </w:rPr>
        <w:t>十、</w:t>
      </w:r>
      <w:r>
        <w:rPr>
          <w:rFonts w:hint="eastAsia" w:ascii="黑体" w:hAnsi="黑体" w:eastAsia="黑体" w:cs="黑体"/>
        </w:rPr>
        <w:t>社会保障和就业支出（类）抚恤（款）</w:t>
      </w:r>
      <w:r>
        <w:rPr>
          <w:rFonts w:hint="eastAsia" w:ascii="黑体" w:hAnsi="黑体" w:eastAsia="黑体" w:cs="黑体"/>
          <w:lang w:eastAsia="zh-CN"/>
        </w:rPr>
        <w:t>死亡抚恤</w:t>
      </w:r>
      <w:r>
        <w:rPr>
          <w:rFonts w:hint="eastAsia" w:ascii="黑体" w:hAnsi="黑体" w:eastAsia="黑体" w:cs="黑体"/>
        </w:rPr>
        <w:t>（项）：</w:t>
      </w:r>
      <w:r>
        <w:rPr>
          <w:rFonts w:hint="eastAsia"/>
          <w:lang w:eastAsia="zh-CN"/>
        </w:rPr>
        <w:t>反映按规定用于烈士和牺牲、病故人员家属的一次性和定期抚恤金、丧葬补助费以及烈士褒扬金。</w:t>
      </w:r>
    </w:p>
    <w:p>
      <w:pPr>
        <w:pStyle w:val="35"/>
        <w:pageBreakBefore w:val="0"/>
        <w:kinsoku/>
        <w:wordWrap/>
        <w:overflowPunct/>
        <w:bidi w:val="0"/>
        <w:ind w:firstLine="640"/>
        <w:rPr>
          <w:rFonts w:hint="eastAsia"/>
        </w:rPr>
      </w:pPr>
      <w:r>
        <w:rPr>
          <w:rFonts w:hint="eastAsia" w:ascii="黑体" w:hAnsi="黑体" w:eastAsia="黑体" w:cs="黑体"/>
          <w:lang w:val="en-US" w:eastAsia="zh-CN"/>
        </w:rPr>
        <w:t>十一、</w:t>
      </w:r>
      <w:r>
        <w:rPr>
          <w:rFonts w:hint="eastAsia" w:ascii="黑体" w:hAnsi="黑体" w:eastAsia="黑体" w:cs="黑体"/>
        </w:rPr>
        <w:t>社会保障和就业支出（类）抚恤（款）其他优抚支出（项）：</w:t>
      </w:r>
      <w:r>
        <w:rPr>
          <w:rFonts w:hint="eastAsia"/>
        </w:rPr>
        <w:t>反映其他用于优抚方面的支出。</w:t>
      </w:r>
    </w:p>
    <w:p>
      <w:pPr>
        <w:pStyle w:val="35"/>
        <w:pageBreakBefore w:val="0"/>
        <w:kinsoku/>
        <w:wordWrap/>
        <w:overflowPunct/>
        <w:bidi w:val="0"/>
        <w:ind w:firstLine="640"/>
        <w:rPr>
          <w:rFonts w:hint="eastAsia" w:eastAsia="仿宋_GB2312"/>
          <w:lang w:eastAsia="zh-CN"/>
        </w:rPr>
      </w:pPr>
      <w:r>
        <w:rPr>
          <w:rFonts w:hint="eastAsia" w:ascii="黑体" w:hAnsi="黑体" w:eastAsia="黑体" w:cs="黑体"/>
          <w:lang w:val="en-US" w:eastAsia="zh-CN"/>
        </w:rPr>
        <w:t>十二、</w:t>
      </w:r>
      <w:r>
        <w:rPr>
          <w:rFonts w:hint="eastAsia" w:ascii="黑体" w:hAnsi="黑体" w:eastAsia="黑体" w:cs="黑体"/>
        </w:rPr>
        <w:t>社会保障和就业支出（类）其他社会保障和就业支出（款）其他社会保障和就业支出（项）：</w:t>
      </w:r>
      <w:r>
        <w:rPr>
          <w:rFonts w:hint="eastAsia"/>
        </w:rPr>
        <w:t>反映其他用于社会保障和就业方面的支出。</w:t>
      </w:r>
    </w:p>
    <w:p>
      <w:pPr>
        <w:pStyle w:val="35"/>
        <w:pageBreakBefore w:val="0"/>
        <w:kinsoku/>
        <w:wordWrap/>
        <w:overflowPunct/>
        <w:bidi w:val="0"/>
        <w:ind w:firstLine="640"/>
        <w:rPr>
          <w:rFonts w:hint="eastAsia" w:ascii="仿宋_GB2312" w:hAnsi="Calibri" w:eastAsia="仿宋_GB2312" w:cs="仿宋"/>
          <w:color w:val="000000"/>
          <w:kern w:val="0"/>
          <w:sz w:val="32"/>
          <w:szCs w:val="32"/>
          <w:lang w:val="en-US" w:eastAsia="zh-CN" w:bidi="ar-SA"/>
        </w:rPr>
      </w:pPr>
      <w:r>
        <w:rPr>
          <w:rFonts w:hint="eastAsia" w:ascii="黑体" w:hAnsi="黑体" w:eastAsia="黑体" w:cs="黑体"/>
          <w:lang w:val="en-US" w:eastAsia="zh-CN"/>
        </w:rPr>
        <w:t>十三、</w:t>
      </w:r>
      <w:r>
        <w:rPr>
          <w:rFonts w:hint="eastAsia" w:ascii="黑体" w:hAnsi="黑体" w:eastAsia="黑体" w:cs="黑体"/>
        </w:rPr>
        <w:t>卫生健康支出（类）行政事业单位医疗（款）行政单位医疗（项）：</w:t>
      </w:r>
      <w:r>
        <w:rPr>
          <w:rFonts w:hint="eastAsia"/>
        </w:rPr>
        <w:t>反映财政部门安排的行政单位（包括实行</w:t>
      </w:r>
      <w:r>
        <w:rPr>
          <w:rFonts w:hint="eastAsia" w:ascii="仿宋_GB2312" w:hAnsi="Calibri" w:eastAsia="仿宋_GB2312" w:cs="仿宋"/>
          <w:color w:val="000000"/>
          <w:kern w:val="0"/>
          <w:sz w:val="32"/>
          <w:szCs w:val="32"/>
          <w:lang w:val="en-US" w:eastAsia="zh-CN" w:bidi="ar-SA"/>
        </w:rPr>
        <w:t>公务员管理的事业单位）基本医疗保险缴费经费。</w:t>
      </w:r>
    </w:p>
    <w:p>
      <w:pPr>
        <w:pStyle w:val="35"/>
        <w:pageBreakBefore w:val="0"/>
        <w:kinsoku/>
        <w:wordWrap/>
        <w:overflowPunct/>
        <w:bidi w:val="0"/>
        <w:ind w:firstLine="640"/>
        <w:rPr>
          <w:rFonts w:hint="eastAsia" w:ascii="仿宋_GB2312" w:hAnsi="Calibri" w:eastAsia="仿宋_GB2312" w:cs="仿宋"/>
          <w:color w:val="000000"/>
          <w:kern w:val="0"/>
          <w:sz w:val="32"/>
          <w:szCs w:val="32"/>
          <w:lang w:val="en-US" w:eastAsia="zh-CN" w:bidi="ar-SA"/>
        </w:rPr>
      </w:pPr>
      <w:r>
        <w:rPr>
          <w:rFonts w:hint="eastAsia" w:ascii="黑体" w:hAnsi="黑体" w:eastAsia="黑体" w:cs="黑体"/>
          <w:lang w:val="en-US" w:eastAsia="zh-CN"/>
        </w:rPr>
        <w:t>十四、</w:t>
      </w:r>
      <w:r>
        <w:rPr>
          <w:rFonts w:hint="eastAsia" w:ascii="黑体" w:hAnsi="黑体" w:eastAsia="黑体" w:cs="黑体"/>
        </w:rPr>
        <w:t>卫生健康支出（类）行政事业单位医疗（款）</w:t>
      </w:r>
      <w:r>
        <w:rPr>
          <w:rFonts w:hint="eastAsia" w:ascii="黑体" w:hAnsi="黑体" w:eastAsia="黑体" w:cs="黑体"/>
          <w:lang w:eastAsia="zh-CN"/>
        </w:rPr>
        <w:t>公务员医疗补助</w:t>
      </w:r>
      <w:r>
        <w:rPr>
          <w:rFonts w:hint="eastAsia" w:ascii="黑体" w:hAnsi="黑体" w:eastAsia="黑体" w:cs="黑体"/>
        </w:rPr>
        <w:t>（项）：</w:t>
      </w:r>
      <w:r>
        <w:rPr>
          <w:rFonts w:hint="eastAsia"/>
          <w:lang w:eastAsia="zh-CN"/>
        </w:rPr>
        <w:t>反映财政部门安排的公务员医疗补助经费。</w:t>
      </w:r>
      <w:r>
        <w:rPr>
          <w:rFonts w:hint="eastAsia" w:ascii="仿宋_GB2312" w:hAnsi="Calibri" w:eastAsia="仿宋_GB2312" w:cs="仿宋"/>
          <w:color w:val="000000"/>
          <w:kern w:val="0"/>
          <w:sz w:val="32"/>
          <w:szCs w:val="32"/>
          <w:lang w:val="en-US" w:eastAsia="zh-CN" w:bidi="ar-SA"/>
        </w:rPr>
        <w:t>　</w:t>
      </w:r>
    </w:p>
    <w:p>
      <w:pPr>
        <w:pageBreakBefore w:val="0"/>
        <w:kinsoku/>
        <w:wordWrap/>
        <w:overflowPunct/>
        <w:bidi w:val="0"/>
        <w:spacing w:line="600" w:lineRule="exact"/>
        <w:ind w:firstLine="640"/>
        <w:rPr>
          <w:rFonts w:hint="eastAsia" w:ascii="仿宋_GB2312" w:hAnsi="Calibri" w:eastAsia="仿宋_GB2312" w:cs="仿宋"/>
          <w:color w:val="000000"/>
          <w:kern w:val="0"/>
          <w:sz w:val="32"/>
          <w:szCs w:val="32"/>
          <w:lang w:val="en-US" w:eastAsia="zh-CN" w:bidi="ar-SA"/>
        </w:rPr>
      </w:pPr>
      <w:r>
        <w:rPr>
          <w:rFonts w:hint="eastAsia" w:ascii="黑体" w:hAnsi="黑体" w:eastAsia="黑体" w:cs="黑体"/>
          <w:kern w:val="2"/>
          <w:sz w:val="32"/>
          <w:szCs w:val="32"/>
          <w:lang w:val="en-US" w:eastAsia="zh-CN" w:bidi="ar-SA"/>
        </w:rPr>
        <w:t>十五、住房保障支出（类）住房改革支出（款）住房公积金（项）：</w:t>
      </w:r>
      <w:r>
        <w:rPr>
          <w:rFonts w:hint="eastAsia" w:ascii="仿宋_GB2312" w:hAnsi="Calibri" w:eastAsia="仿宋_GB2312" w:cs="仿宋"/>
          <w:color w:val="000000"/>
          <w:kern w:val="0"/>
          <w:sz w:val="32"/>
          <w:szCs w:val="32"/>
          <w:lang w:val="en-US" w:eastAsia="zh-CN" w:bidi="ar-SA"/>
        </w:rPr>
        <w:t>反映行政事业单位按人力资源和社会保障部、财政部规定的基本工资和津贴补贴以及规定比例为职工缴纳的住房公积金。</w:t>
      </w:r>
    </w:p>
    <w:p>
      <w:pPr>
        <w:pageBreakBefore w:val="0"/>
        <w:kinsoku/>
        <w:wordWrap/>
        <w:overflowPunct/>
        <w:bidi w:val="0"/>
        <w:ind w:firstLine="640" w:firstLineChars="200"/>
        <w:rPr>
          <w:rFonts w:ascii="仿宋_GB2312" w:eastAsia="仿宋_GB2312"/>
          <w:color w:val="000000"/>
          <w:sz w:val="32"/>
          <w:szCs w:val="32"/>
        </w:rPr>
      </w:pPr>
      <w:r>
        <w:rPr>
          <w:rFonts w:hint="eastAsia" w:ascii="黑体" w:hAnsi="黑体" w:eastAsia="黑体" w:cs="黑体"/>
          <w:kern w:val="2"/>
          <w:sz w:val="32"/>
          <w:szCs w:val="32"/>
          <w:lang w:val="en-US" w:eastAsia="zh-CN" w:bidi="ar-SA"/>
        </w:rPr>
        <w:t>十六、基本支出：</w:t>
      </w:r>
      <w:r>
        <w:rPr>
          <w:rFonts w:hint="eastAsia" w:ascii="仿宋_GB2312" w:hAnsi="Calibri" w:eastAsia="仿宋_GB2312" w:cs="仿宋"/>
          <w:color w:val="000000"/>
          <w:kern w:val="0"/>
          <w:sz w:val="32"/>
          <w:szCs w:val="32"/>
          <w:lang w:val="en-US" w:eastAsia="zh-CN" w:bidi="ar-SA"/>
        </w:rPr>
        <w:t>指为保障机构正常运转、完成日常工作任务而发生的人员支</w:t>
      </w:r>
      <w:r>
        <w:rPr>
          <w:rFonts w:hint="eastAsia" w:ascii="仿宋_GB2312" w:eastAsia="仿宋_GB2312"/>
          <w:color w:val="000000"/>
          <w:sz w:val="32"/>
          <w:szCs w:val="32"/>
        </w:rPr>
        <w:t>出和公用支出。</w:t>
      </w:r>
    </w:p>
    <w:p>
      <w:pPr>
        <w:pageBreakBefore w:val="0"/>
        <w:kinsoku/>
        <w:wordWrap/>
        <w:overflowPunct/>
        <w:bidi w:val="0"/>
        <w:ind w:firstLine="640" w:firstLineChars="200"/>
        <w:rPr>
          <w:rFonts w:ascii="仿宋_GB2312" w:eastAsia="仿宋_GB2312"/>
          <w:color w:val="000000"/>
          <w:sz w:val="32"/>
          <w:szCs w:val="32"/>
        </w:rPr>
      </w:pPr>
      <w:r>
        <w:rPr>
          <w:rFonts w:hint="eastAsia" w:ascii="黑体" w:hAnsi="黑体" w:eastAsia="黑体" w:cs="黑体"/>
          <w:kern w:val="2"/>
          <w:sz w:val="32"/>
          <w:szCs w:val="32"/>
          <w:lang w:val="en-US" w:eastAsia="zh-CN" w:bidi="ar-SA"/>
        </w:rPr>
        <w:t>十七、项目支出：</w:t>
      </w:r>
      <w:r>
        <w:rPr>
          <w:rFonts w:hint="eastAsia" w:ascii="仿宋_GB2312" w:eastAsia="仿宋_GB2312"/>
          <w:color w:val="000000"/>
          <w:sz w:val="32"/>
          <w:szCs w:val="32"/>
        </w:rPr>
        <w:t>指在基本支出之外为完成特定行政任务和事业发展目标所发生的支出。</w:t>
      </w:r>
      <w:r>
        <w:rPr>
          <w:rFonts w:ascii="仿宋_GB2312" w:eastAsia="仿宋_GB2312"/>
          <w:color w:val="000000"/>
          <w:sz w:val="32"/>
          <w:szCs w:val="32"/>
        </w:rPr>
        <w:t xml:space="preserve"> </w:t>
      </w:r>
    </w:p>
    <w:p>
      <w:pPr>
        <w:pStyle w:val="27"/>
        <w:pageBreakBefore w:val="0"/>
        <w:kinsoku/>
        <w:wordWrap/>
        <w:overflowPunct/>
        <w:bidi w:val="0"/>
        <w:spacing w:line="560" w:lineRule="exact"/>
        <w:ind w:firstLine="640" w:firstLineChars="200"/>
        <w:rPr>
          <w:rFonts w:ascii="仿宋_GB2312" w:eastAsia="仿宋_GB2312"/>
          <w:sz w:val="32"/>
          <w:szCs w:val="32"/>
        </w:rPr>
      </w:pPr>
      <w:r>
        <w:rPr>
          <w:rFonts w:hint="eastAsia" w:ascii="黑体" w:hAnsi="黑体" w:eastAsia="黑体" w:cs="黑体"/>
          <w:sz w:val="32"/>
          <w:szCs w:val="32"/>
          <w:lang w:val="en-US" w:eastAsia="zh-CN"/>
        </w:rPr>
        <w:t>十八、</w:t>
      </w:r>
      <w:r>
        <w:rPr>
          <w:rFonts w:hint="eastAsia" w:ascii="黑体" w:hAnsi="黑体" w:eastAsia="黑体" w:cs="黑体"/>
          <w:sz w:val="32"/>
          <w:szCs w:val="32"/>
        </w:rPr>
        <w:t>“三公”经费：</w:t>
      </w:r>
      <w:r>
        <w:rPr>
          <w:rFonts w:hint="eastAsia" w:ascii="仿宋_GB2312"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b/>
          <w:sz w:val="32"/>
          <w:szCs w:val="32"/>
        </w:rPr>
      </w:pPr>
      <w:r>
        <w:rPr>
          <w:rFonts w:hint="eastAsia" w:ascii="黑体" w:hAnsi="黑体" w:eastAsia="黑体" w:cs="黑体"/>
          <w:color w:val="000000"/>
          <w:kern w:val="0"/>
          <w:sz w:val="32"/>
          <w:szCs w:val="32"/>
          <w:lang w:val="en-US" w:eastAsia="zh-CN" w:bidi="ar-SA"/>
        </w:rPr>
        <w:t>十九、机关运行经费：</w:t>
      </w:r>
      <w:r>
        <w:rPr>
          <w:rFonts w:hint="eastAsia" w:ascii="仿宋_GB2312" w:hAnsi="Calibri" w:eastAsia="仿宋_GB2312" w:cs="仿宋"/>
          <w:b w:val="0"/>
          <w:bCs w:val="0"/>
          <w:color w:val="000000"/>
          <w:kern w:val="0"/>
          <w:sz w:val="32"/>
          <w:szCs w:val="32"/>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Calibri" w:eastAsia="仿宋_GB2312" w:cs="仿宋"/>
          <w:b w:val="0"/>
          <w:bCs w:val="0"/>
          <w:color w:val="000000"/>
          <w:kern w:val="0"/>
          <w:sz w:val="32"/>
          <w:szCs w:val="32"/>
          <w:lang w:val="en-US" w:eastAsia="zh-CN" w:bidi="ar-SA"/>
        </w:rPr>
        <w:br w:type="page"/>
      </w:r>
    </w:p>
    <w:p>
      <w:pPr>
        <w:jc w:val="center"/>
        <w:rPr>
          <w:rFonts w:hint="eastAsia" w:ascii="方正小标宋_GBK" w:hAnsi="方正小标宋_GBK" w:eastAsia="方正小标宋_GBK" w:cs="方正小标宋_GBK"/>
          <w:sz w:val="36"/>
          <w:szCs w:val="36"/>
        </w:rPr>
      </w:pPr>
      <w:bookmarkStart w:id="71" w:name="_Toc15396614"/>
      <w:bookmarkStart w:id="72" w:name="_Toc28498"/>
      <w:bookmarkStart w:id="73" w:name="_Toc15396618"/>
      <w:bookmarkStart w:id="74" w:name="_Toc15377226"/>
      <w:r>
        <w:rPr>
          <w:rFonts w:hint="eastAsia" w:ascii="方正小标宋_GBK" w:hAnsi="方正小标宋_GBK" w:eastAsia="方正小标宋_GBK" w:cs="方正小标宋_GBK"/>
          <w:sz w:val="36"/>
          <w:szCs w:val="36"/>
          <w:lang w:val="en-US" w:eastAsia="zh-CN"/>
        </w:rPr>
        <w:t>第四部分 附件</w:t>
      </w:r>
      <w:bookmarkEnd w:id="71"/>
      <w:bookmarkEnd w:id="72"/>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91"/>
        <w:gridCol w:w="1011"/>
        <w:gridCol w:w="1329"/>
        <w:gridCol w:w="396"/>
        <w:gridCol w:w="948"/>
        <w:gridCol w:w="396"/>
        <w:gridCol w:w="846"/>
        <w:gridCol w:w="486"/>
        <w:gridCol w:w="486"/>
        <w:gridCol w:w="15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51118123T000008940738-财政金财网信息化建设及运维等经费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完成财政信息系统运行基本维护、工资数据分析平台开发建设、支付电子凭证调试、人行调试、直达资金监控系统顺利运行。</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完成财政信息系统运行基本维护、工资数据分析平台开发建设、支付电子凭证调试、人行调试、直达资金监控系统顺利运行。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完成财政信息系统运行基本维护、工资数据分析平台开发建设、支付电子凭证调试、人行调试、直达资金监控系统顺利运行。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据实支付财政金财网信息化建设及运维等经费。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全市预算单位覆盖率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保障财政网络安全顺畅运行</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处理金财网故障时限</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小时</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保障全市预算单位财务顺利运转，各项工作正常开展</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长期保障各预算单位财务软件运行</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各预算单位满意度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控制在预算内</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项目自评总分100分，完成财政信息系统运行基本维护、工资数据分析平台开发建设、支付电子凭证调试、人行调试、直达资金监控系统顺利运行。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项目负责人：宋坤</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财务负责人：宋叶舟</w:t>
            </w:r>
          </w:p>
        </w:tc>
      </w:tr>
    </w:tbl>
    <w:p>
      <w:pPr>
        <w:pStyle w:val="3"/>
        <w:ind w:left="0" w:leftChars="0" w:firstLine="0" w:firstLineChars="0"/>
        <w:rPr>
          <w:rFonts w:hint="eastAsia" w:ascii="仿宋_GB2312" w:hAnsi="仿宋_GB2312" w:eastAsia="仿宋_GB2312" w:cs="仿宋_GB2312"/>
          <w:sz w:val="32"/>
          <w:szCs w:val="32"/>
          <w:lang w:eastAsia="zh-CN"/>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90"/>
        <w:gridCol w:w="1010"/>
        <w:gridCol w:w="1329"/>
        <w:gridCol w:w="396"/>
        <w:gridCol w:w="947"/>
        <w:gridCol w:w="396"/>
        <w:gridCol w:w="846"/>
        <w:gridCol w:w="486"/>
        <w:gridCol w:w="486"/>
        <w:gridCol w:w="1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51118123T000008940892-全市执法执勤车车辆GPS服务等费用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完成全市全市执法执勤车平台维护、全市执法执勤车辆导航系统维护。</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完成全市全市执法执勤车平台维护、全市执法执勤车辆导航系统维护。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完成全市全市执法执勤车平台维护、全市执法执勤车辆导航系统维护。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据实支付全市执法执勤车车辆GPS服务等费用。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全市执法执勤车辆数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保障全市执法执勤车辆顺利运转</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及时拨付系统维护费</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促进执法工作顺利开展</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长期保障全市执法执勤车辆运转</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项目自评总分100分，完成全市全市执法执勤车平台维护、全市执法执勤车辆导航系统维护。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项目负责人：杨炜</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财务负责人：宋叶舟</w:t>
            </w:r>
          </w:p>
        </w:tc>
      </w:tr>
    </w:tbl>
    <w:p>
      <w:pPr>
        <w:pStyle w:val="3"/>
        <w:ind w:left="0" w:leftChars="0" w:firstLine="0" w:firstLineChars="0"/>
        <w:rPr>
          <w:rFonts w:hint="eastAsia" w:ascii="仿宋_GB2312" w:hAnsi="仿宋_GB2312" w:eastAsia="仿宋_GB2312" w:cs="仿宋_GB2312"/>
          <w:sz w:val="32"/>
          <w:szCs w:val="32"/>
          <w:lang w:eastAsia="zh-CN"/>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90"/>
        <w:gridCol w:w="1010"/>
        <w:gridCol w:w="1329"/>
        <w:gridCol w:w="396"/>
        <w:gridCol w:w="947"/>
        <w:gridCol w:w="396"/>
        <w:gridCol w:w="846"/>
        <w:gridCol w:w="486"/>
        <w:gridCol w:w="486"/>
        <w:gridCol w:w="1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51118123T000008941244-人大预算联网监督、国库集中支付等系统运维费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实施人大预算联网监督及国库集中支付等系统维护，保障国库集中支付。</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实施人大预算联网监督及国库集中支付等系统维护，保障国库集中支付。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实施人大预算联网监督及国库集中支付等系统维护，保障国库集中支付。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0.07</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据实支付人大预算联网监督、国库集中支付等系统运维费。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0.07</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银行业务条数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单位覆盖率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保障人大预算监督工作及银行间数据信息的流畅。</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处置故障时限</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小时</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实施人大预算联网监督，保障财政资金安全</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每年财政预算信息同步更新，实时接受人大监督。</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项目自评总分100分，实施人大预算联网监督及国库集中支付等系统维护，保障国库集中支付。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项目负责人：宋坤</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财务负责人：宋叶舟</w:t>
            </w:r>
          </w:p>
        </w:tc>
      </w:tr>
    </w:tbl>
    <w:p>
      <w:pPr>
        <w:pStyle w:val="3"/>
        <w:ind w:left="0" w:leftChars="0" w:firstLine="0" w:firstLineChars="0"/>
        <w:rPr>
          <w:rFonts w:hint="eastAsia" w:ascii="仿宋_GB2312" w:hAnsi="仿宋_GB2312" w:eastAsia="仿宋_GB2312" w:cs="仿宋_GB2312"/>
          <w:sz w:val="32"/>
          <w:szCs w:val="32"/>
          <w:lang w:eastAsia="zh-CN"/>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90"/>
        <w:gridCol w:w="1010"/>
        <w:gridCol w:w="1329"/>
        <w:gridCol w:w="396"/>
        <w:gridCol w:w="947"/>
        <w:gridCol w:w="396"/>
        <w:gridCol w:w="846"/>
        <w:gridCol w:w="486"/>
        <w:gridCol w:w="486"/>
        <w:gridCol w:w="1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51118123T000008941288-财政预算一体化系统运维服务等费用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保障全市预算管理一体化系统正常运行。</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保障全市预算管理一体化系统正常运行。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保障全市预算管理一体化系统正常运行。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据实支付财政预算一体化系统运维服务等费用。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聘请维护人员数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保障预算管理一体化系统正常运转</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处理故障时限</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小时</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保障财政资金安全，促进财务核算精准</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促进财政信息精准、真实、有效</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项目自评总分100分，保障全市预算管理一体化系统正常运行。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项目负责人：宋坤</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财务负责人：宋叶舟</w:t>
            </w:r>
          </w:p>
        </w:tc>
      </w:tr>
    </w:tbl>
    <w:p>
      <w:pPr>
        <w:pStyle w:val="3"/>
        <w:ind w:left="0" w:leftChars="0" w:firstLine="0" w:firstLineChars="0"/>
        <w:rPr>
          <w:rFonts w:hint="eastAsia" w:ascii="仿宋_GB2312" w:hAnsi="仿宋_GB2312" w:eastAsia="仿宋_GB2312" w:cs="仿宋_GB2312"/>
          <w:sz w:val="32"/>
          <w:szCs w:val="32"/>
          <w:lang w:eastAsia="zh-CN"/>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91"/>
        <w:gridCol w:w="1011"/>
        <w:gridCol w:w="1329"/>
        <w:gridCol w:w="396"/>
        <w:gridCol w:w="948"/>
        <w:gridCol w:w="396"/>
        <w:gridCol w:w="846"/>
        <w:gridCol w:w="486"/>
        <w:gridCol w:w="486"/>
        <w:gridCol w:w="15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51118123T000008941669-专项债一案两书编制经费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完成新入库的专项债券项目以及成功发行的专项债券项目一案两书。</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完成新入库的专项债券项目，保障专项债券正常发行。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完成新入库的专项债券项目，保障专项债券正常发行。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据实支付专项债一案两书编制经费。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新项目入库数量</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一案两书费用项目数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保障专项债券正常发行</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及时拨付相关费用</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促进峨眉山市各项设施完善</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项目自评总分100分，完成新入库的专项债券项目，保障专项债券正常发行。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项目负责人：袁梦雪</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财务负责人：王敏</w:t>
            </w:r>
          </w:p>
        </w:tc>
      </w:tr>
    </w:tbl>
    <w:p>
      <w:pPr>
        <w:pStyle w:val="3"/>
        <w:ind w:left="0" w:leftChars="0" w:firstLine="0" w:firstLineChars="0"/>
        <w:rPr>
          <w:rFonts w:hint="eastAsia" w:ascii="仿宋_GB2312" w:hAnsi="仿宋_GB2312" w:eastAsia="仿宋_GB2312" w:cs="仿宋_GB2312"/>
          <w:sz w:val="32"/>
          <w:szCs w:val="32"/>
          <w:lang w:eastAsia="zh-CN"/>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90"/>
        <w:gridCol w:w="1010"/>
        <w:gridCol w:w="1329"/>
        <w:gridCol w:w="396"/>
        <w:gridCol w:w="947"/>
        <w:gridCol w:w="396"/>
        <w:gridCol w:w="846"/>
        <w:gridCol w:w="486"/>
        <w:gridCol w:w="486"/>
        <w:gridCol w:w="1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51118123T000009008823-（春节前）峨眉山市市属国有企业年报审计报告费用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及时完整出具财务报告，提供咨询服务。</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及时完整出具财务报告，提供咨询服务。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及时完整出具财务报告，提供咨询服务。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据实支付（春节前）峨眉山市市属国有企业年报审计报告费用。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财务报告出具数量</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债务工作解决完成度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债务工作解决时效性</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推进专项债券发行工作</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良好</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债务工作咨询服务费、审计报告费</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10.6</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项目自评总分100分，及时完整出具财务报告，提供咨询服务。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项目负责人：袁梦雪</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财务负责人：王敏</w:t>
            </w:r>
          </w:p>
        </w:tc>
      </w:tr>
    </w:tbl>
    <w:p>
      <w:pPr>
        <w:pStyle w:val="3"/>
        <w:ind w:left="0" w:leftChars="0" w:firstLine="0" w:firstLineChars="0"/>
        <w:rPr>
          <w:rFonts w:hint="eastAsia" w:ascii="仿宋_GB2312" w:hAnsi="仿宋_GB2312" w:eastAsia="仿宋_GB2312" w:cs="仿宋_GB2312"/>
          <w:sz w:val="32"/>
          <w:szCs w:val="32"/>
          <w:lang w:eastAsia="zh-CN"/>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90"/>
        <w:gridCol w:w="1010"/>
        <w:gridCol w:w="1329"/>
        <w:gridCol w:w="396"/>
        <w:gridCol w:w="947"/>
        <w:gridCol w:w="396"/>
        <w:gridCol w:w="846"/>
        <w:gridCol w:w="486"/>
        <w:gridCol w:w="486"/>
        <w:gridCol w:w="1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51118123T000009094235-财政办公区安保等物业服务费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用于维持财政工作正常运转的物业管理费，如：保安服务费、保洁服务费、食堂劳务费、日常维护等，从而保障单位正常运转。</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保障财政工作正常运转。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保障财政工作正常运转。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36.66</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36.66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据实支付财政办公区安保等物业服务费。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36.66</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36.66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聘请保洁人员、保安、食堂工作人员</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保障办公楼、食堂正常运转</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及时拨付物业管理费</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为财政工作提供安全、绿化等后勤保障</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长期保障财政安全、绿化、卫生</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项目自评总分100分，保障财政工作正常运转。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项目负责人：孟希</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财务负责人：孟希</w:t>
            </w:r>
          </w:p>
        </w:tc>
      </w:tr>
    </w:tbl>
    <w:p>
      <w:pPr>
        <w:pStyle w:val="3"/>
        <w:ind w:left="0" w:leftChars="0" w:firstLine="0" w:firstLineChars="0"/>
        <w:rPr>
          <w:rFonts w:hint="eastAsia" w:ascii="仿宋_GB2312" w:hAnsi="仿宋_GB2312" w:eastAsia="仿宋_GB2312" w:cs="仿宋_GB2312"/>
          <w:sz w:val="32"/>
          <w:szCs w:val="32"/>
          <w:lang w:eastAsia="zh-CN"/>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90"/>
        <w:gridCol w:w="1008"/>
        <w:gridCol w:w="1327"/>
        <w:gridCol w:w="396"/>
        <w:gridCol w:w="946"/>
        <w:gridCol w:w="397"/>
        <w:gridCol w:w="849"/>
        <w:gridCol w:w="486"/>
        <w:gridCol w:w="486"/>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51118123T000009094250-全市绩效管理聘请第三方机构及专项检查等经费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财政局</w:t>
            </w:r>
          </w:p>
        </w:tc>
        <w:tc>
          <w:tcPr>
            <w:tcW w:w="46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完成全市预算绩效管理工作及财政专项监督检查。</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完成全市预算绩效管理工作及财政专项监督检查。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完成全市预算绩效管理工作及财政专项监督检查。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12.22</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12.22</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据实支付全市绩效管理聘请第三方机构及专项检查等经费。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12.22</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12.22</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重点绩效评价数符合省级要求</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事前绩效评估数符合省级要求</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单位绩效自评覆盖率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重点绩效监控数符合省级要求</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完成监督检查任务</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促进财政资金有效利用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提升财政资金使用效能，促进社会发展</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长期促进财政资金有效利用，促进社会发展</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4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项目自评总分100分，完成全市预算绩效管理工作及财政专项监督检查。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项目负责人：余志娟</w:t>
            </w:r>
          </w:p>
        </w:tc>
        <w:tc>
          <w:tcPr>
            <w:tcW w:w="255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财务负责人：苟勇平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51118124T000011434892-人才安家补助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财政局</w:t>
            </w:r>
          </w:p>
        </w:tc>
        <w:tc>
          <w:tcPr>
            <w:tcW w:w="46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落实人才待遇。</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落实人才待遇。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落实人才待遇。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据实支付人才安家补助。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发放人数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足额发放安家补助</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按财政要求及时发放安家补助</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保障财政人才队伍建设</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支持培养研究生，促进峨眉山市人才队伍提升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单位人才满意</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4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项目自评总分100分，落实了人才待遇。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项目负责人：孟希</w:t>
            </w:r>
          </w:p>
        </w:tc>
        <w:tc>
          <w:tcPr>
            <w:tcW w:w="255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财务负责人：孟希</w:t>
            </w:r>
          </w:p>
        </w:tc>
      </w:tr>
    </w:tbl>
    <w:p>
      <w:pPr>
        <w:pStyle w:val="3"/>
        <w:ind w:left="0" w:leftChars="0" w:firstLine="0" w:firstLineChars="0"/>
        <w:rPr>
          <w:rFonts w:hint="eastAsia" w:ascii="仿宋_GB2312" w:hAnsi="仿宋_GB2312" w:eastAsia="仿宋_GB2312" w:cs="仿宋_GB2312"/>
          <w:sz w:val="32"/>
          <w:szCs w:val="32"/>
          <w:lang w:eastAsia="zh-CN"/>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90"/>
        <w:gridCol w:w="1010"/>
        <w:gridCol w:w="1329"/>
        <w:gridCol w:w="396"/>
        <w:gridCol w:w="947"/>
        <w:gridCol w:w="396"/>
        <w:gridCol w:w="846"/>
        <w:gridCol w:w="486"/>
        <w:gridCol w:w="486"/>
        <w:gridCol w:w="1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51118124T000011444730-全市非税电子化收缴及票据管理经费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96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财政局</w:t>
            </w:r>
          </w:p>
        </w:tc>
        <w:tc>
          <w:tcPr>
            <w:tcW w:w="38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完成全市非税电子化收缴及票据管理。</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完成全市非税电子化收缴及票据管理。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完成全市非税电子化收缴及票据管理。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27.18</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27.18</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据实支付全市非税电子化收缴及票据管理经费。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27.18</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27.18</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电子票据覆盖率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电子票据使用率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票据系统运行率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防止使用假发票，杜绝犯罪</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实现电子票据，节约纸张</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项目自评总分100分，完成全市非税电子化收缴及票据管理。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项目负责人：宋坤</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财务负责人：宋叶舟</w:t>
            </w:r>
          </w:p>
        </w:tc>
      </w:tr>
    </w:tbl>
    <w:p>
      <w:pPr>
        <w:pStyle w:val="9"/>
        <w:spacing w:before="93"/>
        <w:rPr>
          <w:rFonts w:hAnsi="Calibri" w:cs="仿宋"/>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rPr>
      </w:pPr>
      <w:bookmarkStart w:id="75" w:name="_Toc31675"/>
      <w:r>
        <w:rPr>
          <w:rFonts w:hint="eastAsia" w:ascii="方正小标宋_GBK" w:hAnsi="方正小标宋_GBK" w:eastAsia="方正小标宋_GBK" w:cs="方正小标宋_GBK"/>
          <w:sz w:val="36"/>
          <w:szCs w:val="36"/>
        </w:rPr>
        <w:t>附</w:t>
      </w:r>
      <w:r>
        <w:rPr>
          <w:rFonts w:hint="eastAsia" w:ascii="方正小标宋_GBK" w:hAnsi="方正小标宋_GBK" w:eastAsia="方正小标宋_GBK" w:cs="方正小标宋_GBK"/>
          <w:sz w:val="36"/>
          <w:szCs w:val="36"/>
          <w:lang w:val="en-US" w:eastAsia="zh-CN"/>
        </w:rPr>
        <w:t xml:space="preserve">  </w:t>
      </w:r>
      <w:r>
        <w:rPr>
          <w:rFonts w:hint="eastAsia" w:ascii="方正小标宋_GBK" w:hAnsi="方正小标宋_GBK" w:eastAsia="方正小标宋_GBK" w:cs="方正小标宋_GBK"/>
          <w:sz w:val="36"/>
          <w:szCs w:val="36"/>
        </w:rPr>
        <w:t>表</w:t>
      </w:r>
      <w:bookmarkEnd w:id="73"/>
      <w:bookmarkEnd w:id="74"/>
      <w:bookmarkEnd w:id="75"/>
      <w:bookmarkStart w:id="76" w:name="_Toc15396619"/>
    </w:p>
    <w:p>
      <w:pPr>
        <w:pStyle w:val="9"/>
        <w:numPr>
          <w:ilvl w:val="0"/>
          <w:numId w:val="0"/>
        </w:num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77" w:name="_Toc20420"/>
      <w:r>
        <w:rPr>
          <w:rFonts w:hint="eastAsia" w:ascii="黑体" w:hAnsi="黑体" w:eastAsia="黑体" w:cs="黑体"/>
          <w:sz w:val="32"/>
          <w:szCs w:val="32"/>
        </w:rPr>
        <w:t>一、收入支出决算总表</w:t>
      </w:r>
      <w:bookmarkEnd w:id="76"/>
      <w:bookmarkEnd w:id="7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78" w:name="_Toc15396620"/>
      <w:bookmarkStart w:id="79" w:name="_Toc19982"/>
      <w:r>
        <w:rPr>
          <w:rFonts w:hint="eastAsia" w:ascii="黑体" w:hAnsi="黑体" w:eastAsia="黑体" w:cs="黑体"/>
          <w:sz w:val="32"/>
          <w:szCs w:val="32"/>
        </w:rPr>
        <w:t>二、收入决算表</w:t>
      </w:r>
      <w:bookmarkEnd w:id="78"/>
      <w:bookmarkEnd w:id="7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80" w:name="_Toc15396621"/>
      <w:bookmarkStart w:id="81" w:name="_Toc29041"/>
      <w:r>
        <w:rPr>
          <w:rFonts w:hint="eastAsia" w:ascii="黑体" w:hAnsi="黑体" w:eastAsia="黑体" w:cs="黑体"/>
          <w:sz w:val="32"/>
          <w:szCs w:val="32"/>
        </w:rPr>
        <w:t>三、支出决算表</w:t>
      </w:r>
      <w:bookmarkEnd w:id="80"/>
      <w:bookmarkEnd w:id="8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82" w:name="_Toc15396622"/>
      <w:bookmarkStart w:id="83" w:name="_Toc17458"/>
      <w:r>
        <w:rPr>
          <w:rFonts w:hint="eastAsia" w:ascii="黑体" w:hAnsi="黑体" w:eastAsia="黑体" w:cs="黑体"/>
          <w:sz w:val="32"/>
          <w:szCs w:val="32"/>
        </w:rPr>
        <w:t>四、财政拨款收入支出决算总表</w:t>
      </w:r>
      <w:bookmarkEnd w:id="82"/>
      <w:bookmarkEnd w:id="8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84" w:name="_Toc3619"/>
      <w:bookmarkStart w:id="85" w:name="_Toc15396623"/>
      <w:r>
        <w:rPr>
          <w:rFonts w:hint="eastAsia" w:ascii="黑体" w:hAnsi="黑体" w:eastAsia="黑体" w:cs="黑体"/>
          <w:sz w:val="32"/>
          <w:szCs w:val="32"/>
        </w:rPr>
        <w:t>五、财政拨款支出决算明细表</w:t>
      </w:r>
      <w:bookmarkEnd w:id="84"/>
      <w:bookmarkEnd w:id="85"/>
      <w:bookmarkStart w:id="86" w:name="_Toc1539662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87" w:name="_Toc16102"/>
      <w:r>
        <w:rPr>
          <w:rFonts w:hint="eastAsia" w:ascii="黑体" w:hAnsi="黑体" w:eastAsia="黑体" w:cs="黑体"/>
          <w:sz w:val="32"/>
          <w:szCs w:val="32"/>
        </w:rPr>
        <w:t>六、一般公共预算财政拨款支出决算表</w:t>
      </w:r>
      <w:bookmarkEnd w:id="86"/>
      <w:bookmarkEnd w:id="8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88" w:name="_Toc15396625"/>
      <w:bookmarkStart w:id="89" w:name="_Toc16715"/>
      <w:r>
        <w:rPr>
          <w:rFonts w:hint="eastAsia" w:ascii="黑体" w:hAnsi="黑体" w:eastAsia="黑体" w:cs="黑体"/>
          <w:sz w:val="32"/>
          <w:szCs w:val="32"/>
        </w:rPr>
        <w:t>七、一般公共预算财政拨款支出决算明细表</w:t>
      </w:r>
      <w:bookmarkEnd w:id="88"/>
      <w:bookmarkEnd w:id="8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90" w:name="_Toc15396626"/>
      <w:bookmarkStart w:id="91" w:name="_Toc31421"/>
      <w:r>
        <w:rPr>
          <w:rFonts w:hint="eastAsia" w:ascii="黑体" w:hAnsi="黑体" w:eastAsia="黑体" w:cs="黑体"/>
          <w:sz w:val="32"/>
          <w:szCs w:val="32"/>
        </w:rPr>
        <w:t>八、一般公共预算财政拨款基本支出决算</w:t>
      </w:r>
      <w:r>
        <w:rPr>
          <w:rFonts w:hint="eastAsia" w:ascii="黑体" w:hAnsi="黑体" w:eastAsia="黑体" w:cs="黑体"/>
          <w:sz w:val="32"/>
          <w:szCs w:val="32"/>
          <w:lang w:eastAsia="zh-CN"/>
        </w:rPr>
        <w:t>明细</w:t>
      </w:r>
      <w:r>
        <w:rPr>
          <w:rFonts w:hint="eastAsia" w:ascii="黑体" w:hAnsi="黑体" w:eastAsia="黑体" w:cs="黑体"/>
          <w:sz w:val="32"/>
          <w:szCs w:val="32"/>
        </w:rPr>
        <w:t>表</w:t>
      </w:r>
      <w:bookmarkEnd w:id="90"/>
      <w:bookmarkEnd w:id="9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92" w:name="_Toc15396627"/>
      <w:bookmarkStart w:id="93" w:name="_Toc20599"/>
      <w:r>
        <w:rPr>
          <w:rFonts w:hint="eastAsia" w:ascii="黑体" w:hAnsi="黑体" w:eastAsia="黑体" w:cs="黑体"/>
          <w:sz w:val="32"/>
          <w:szCs w:val="32"/>
        </w:rPr>
        <w:t>九、一般公共预算财政拨款项目支出决算表</w:t>
      </w:r>
      <w:bookmarkEnd w:id="92"/>
      <w:bookmarkEnd w:id="9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94" w:name="_Toc15396628"/>
      <w:bookmarkStart w:id="95" w:name="_Toc15691"/>
      <w:r>
        <w:rPr>
          <w:rFonts w:hint="eastAsia" w:ascii="黑体" w:hAnsi="黑体" w:eastAsia="黑体" w:cs="黑体"/>
          <w:sz w:val="32"/>
          <w:szCs w:val="32"/>
        </w:rPr>
        <w:t>十、</w:t>
      </w:r>
      <w:bookmarkEnd w:id="94"/>
      <w:r>
        <w:rPr>
          <w:rFonts w:hint="eastAsia" w:ascii="黑体" w:hAnsi="黑体" w:eastAsia="黑体" w:cs="黑体"/>
          <w:sz w:val="32"/>
          <w:szCs w:val="32"/>
        </w:rPr>
        <w:t>政府性基金预算财政拨款收入支出决算表</w:t>
      </w:r>
      <w:bookmarkEnd w:id="9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96" w:name="_Toc15396629"/>
      <w:bookmarkStart w:id="97" w:name="_Toc4152"/>
      <w:r>
        <w:rPr>
          <w:rFonts w:hint="eastAsia" w:ascii="黑体" w:hAnsi="黑体" w:eastAsia="黑体" w:cs="黑体"/>
          <w:sz w:val="32"/>
          <w:szCs w:val="32"/>
        </w:rPr>
        <w:t>十一、</w:t>
      </w:r>
      <w:bookmarkEnd w:id="96"/>
      <w:r>
        <w:rPr>
          <w:rFonts w:hint="eastAsia" w:ascii="黑体" w:hAnsi="黑体" w:eastAsia="黑体" w:cs="黑体"/>
          <w:sz w:val="32"/>
          <w:szCs w:val="32"/>
        </w:rPr>
        <w:t>国有资本经营预算财政拨款收入支出决算表</w:t>
      </w:r>
      <w:bookmarkEnd w:id="9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98" w:name="_Toc15396630"/>
      <w:bookmarkStart w:id="99" w:name="_Toc24803"/>
      <w:r>
        <w:rPr>
          <w:rFonts w:hint="eastAsia" w:ascii="黑体" w:hAnsi="黑体" w:eastAsia="黑体" w:cs="黑体"/>
          <w:sz w:val="32"/>
          <w:szCs w:val="32"/>
        </w:rPr>
        <w:t>十二、</w:t>
      </w:r>
      <w:bookmarkEnd w:id="98"/>
      <w:r>
        <w:rPr>
          <w:rFonts w:hint="eastAsia" w:ascii="黑体" w:hAnsi="黑体" w:eastAsia="黑体" w:cs="黑体"/>
          <w:sz w:val="32"/>
          <w:szCs w:val="32"/>
        </w:rPr>
        <w:t>国有资本经营预算财政拨款支出决算表</w:t>
      </w:r>
      <w:bookmarkEnd w:id="9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100" w:name="_Toc15396631"/>
      <w:bookmarkStart w:id="101" w:name="_Toc4474"/>
      <w:r>
        <w:rPr>
          <w:rFonts w:hint="eastAsia" w:ascii="黑体" w:hAnsi="黑体" w:eastAsia="黑体" w:cs="黑体"/>
          <w:sz w:val="32"/>
          <w:szCs w:val="32"/>
        </w:rPr>
        <w:t>十三、</w:t>
      </w:r>
      <w:bookmarkEnd w:id="100"/>
      <w:r>
        <w:rPr>
          <w:rFonts w:hint="eastAsia" w:ascii="黑体" w:hAnsi="黑体" w:eastAsia="黑体" w:cs="黑体"/>
          <w:sz w:val="32"/>
          <w:szCs w:val="32"/>
        </w:rPr>
        <w:t>财政拨款“三公”经费支出决算表</w:t>
      </w:r>
      <w:bookmarkEnd w:id="101"/>
    </w:p>
    <w:sectPr>
      <w:footerReference r:id="rId7" w:type="first"/>
      <w:footerReference r:id="rId6" w:type="default"/>
      <w:pgSz w:w="11906" w:h="16838"/>
      <w:pgMar w:top="2041" w:right="1468" w:bottom="1587" w:left="1468" w:header="851" w:footer="107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-123190</wp:posOffset>
              </wp:positionV>
              <wp:extent cx="1026160" cy="2692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26160" cy="269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7pt;height:21.2pt;width:80.8pt;mso-position-horizontal:outside;mso-position-horizontal-relative:margin;z-index:251659264;mso-width-relative:page;mso-height-relative:page;" filled="f" stroked="f" coordsize="21600,21600" o:gfxdata="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TkGFXWAAAABwEAAA8AAAAAAAAAAQAgAAAAIgAAAGRycy9kb3ducmV2&#10;LnhtbFBLAQIUABQAAAAIAIdO4kD1SSQENwIAAGIEAAAOAAAAAAAAAAEAIAAAACUBAABkcnMvZTJv&#10;RG9jLnhtbFBLBQYAAAAABgAGAFkBAADOBQAAAAA=&#10;">
              <v:fill on="f" focussize="0,0"/>
              <v:stroke on="f" weight="0.5pt"/>
              <v:imagedata o:title=""/>
              <o:lock v:ext="edit" aspectratio="f"/>
              <v:textbox inset="0mm,0mm,0mm,0mm">
                <w:txbxContent>
                  <w:p>
                    <w:pPr>
                      <w:pStyle w:val="12"/>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-123190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7pt;height:144pt;width:144pt;mso-position-horizontal:outside;mso-position-horizontal-relative:margin;mso-wrap-style:none;z-index:251660288;mso-width-relative:page;mso-height-relative:page;" filled="f" stroked="f" coordsize="21600,21600" o:gfxdata="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9XeZvWAAAACAEAAA8AAAAAAAAAAQAgAAAAIgAAAGRycy9kb3ducmV2LnhtbFBL&#10;AQIUABQAAAAIAIdO4kDHl7XOMQIAAGEEAAAOAAAAAAAAAAEAIAAAACUBAABkcnMvZTJvRG9jLnht&#10;bFBLBQYAAAAABgAGAFkBAADIBQAAAAA=&#10;">
              <v:fill on="f" focussize="0,0"/>
              <v:stroke on="f" weight="0.5pt"/>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-123190</wp:posOffset>
              </wp:positionV>
              <wp:extent cx="979170" cy="2413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979170"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7pt;height:19pt;width:77.1pt;mso-position-horizontal:outside;mso-position-horizontal-relative:margin;z-index:251663360;mso-width-relative:page;mso-height-relative:page;" filled="f" stroked="f" coordsize="21600,21600" o:gfxdata="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z/g0LWAAAABwEAAA8AAAAAAAAAAQAgAAAAIgAAAGRycy9kb3ducmV2&#10;LnhtbFBLAQIUABQAAAAIAIdO4kBFAnfgNwIAAGMEAAAOAAAAAAAAAAEAIAAAACUBAABkcnMvZTJv&#10;RG9jLnhtbFBLBQYAAAAABgAGAFkBAADOBQAAAAA=&#10;">
              <v:fill on="f" focussize="0,0"/>
              <v:stroke on="f" weight="0.5pt"/>
              <v:imagedata o:title=""/>
              <o:lock v:ext="edit" aspectratio="f"/>
              <v:textbox inset="0mm,0mm,0mm,0mm">
                <w:txbxContent>
                  <w:p>
                    <w:pPr>
                      <w:pStyle w:val="12"/>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45D32173"/>
    <w:multiLevelType w:val="singleLevel"/>
    <w:tmpl w:val="45D32173"/>
    <w:lvl w:ilvl="0" w:tentative="0">
      <w:start w:val="5"/>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NmUxMzM0NDc0NDg4ZGNjMjBiYThhNDM1ZjRlNWEifQ=="/>
  </w:docVars>
  <w:rsids>
    <w:rsidRoot w:val="00F1361C"/>
    <w:rsid w:val="00004EFB"/>
    <w:rsid w:val="000222C6"/>
    <w:rsid w:val="0002549F"/>
    <w:rsid w:val="000468DB"/>
    <w:rsid w:val="0006487A"/>
    <w:rsid w:val="00065F8F"/>
    <w:rsid w:val="00070A43"/>
    <w:rsid w:val="0007429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195B"/>
    <w:rsid w:val="001877A7"/>
    <w:rsid w:val="00191536"/>
    <w:rsid w:val="00196687"/>
    <w:rsid w:val="001C0962"/>
    <w:rsid w:val="001D7531"/>
    <w:rsid w:val="001E737D"/>
    <w:rsid w:val="001F0592"/>
    <w:rsid w:val="001F54EE"/>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47F"/>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85B23"/>
    <w:rsid w:val="008939CD"/>
    <w:rsid w:val="008B740E"/>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95D81"/>
    <w:rsid w:val="009B2C43"/>
    <w:rsid w:val="009B4EAE"/>
    <w:rsid w:val="009B646A"/>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DE3"/>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100E"/>
    <w:rsid w:val="00C87FD8"/>
    <w:rsid w:val="00C91381"/>
    <w:rsid w:val="00C91CBB"/>
    <w:rsid w:val="00CB067C"/>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0324"/>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6BA8"/>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3836"/>
    <w:rsid w:val="00F36D8F"/>
    <w:rsid w:val="00F417B1"/>
    <w:rsid w:val="00F45853"/>
    <w:rsid w:val="00F602DF"/>
    <w:rsid w:val="00F754A1"/>
    <w:rsid w:val="00F81FD9"/>
    <w:rsid w:val="00F841AA"/>
    <w:rsid w:val="00F84A94"/>
    <w:rsid w:val="00F87E96"/>
    <w:rsid w:val="00FA23E8"/>
    <w:rsid w:val="00FD3CC1"/>
    <w:rsid w:val="00FF1E02"/>
    <w:rsid w:val="00FF30B4"/>
    <w:rsid w:val="011E7635"/>
    <w:rsid w:val="012F5F9F"/>
    <w:rsid w:val="0136732D"/>
    <w:rsid w:val="01CB166B"/>
    <w:rsid w:val="021D2A36"/>
    <w:rsid w:val="02671768"/>
    <w:rsid w:val="028B5457"/>
    <w:rsid w:val="02924A37"/>
    <w:rsid w:val="03497A06"/>
    <w:rsid w:val="034E3DFF"/>
    <w:rsid w:val="0355755F"/>
    <w:rsid w:val="03E54B54"/>
    <w:rsid w:val="03EC7C9F"/>
    <w:rsid w:val="042245A9"/>
    <w:rsid w:val="04356C1A"/>
    <w:rsid w:val="04452E39"/>
    <w:rsid w:val="04844854"/>
    <w:rsid w:val="04E933E5"/>
    <w:rsid w:val="051155F3"/>
    <w:rsid w:val="0529381D"/>
    <w:rsid w:val="0539767D"/>
    <w:rsid w:val="053A62B5"/>
    <w:rsid w:val="05461B09"/>
    <w:rsid w:val="0548762F"/>
    <w:rsid w:val="057E407F"/>
    <w:rsid w:val="05B505E3"/>
    <w:rsid w:val="05B57CF5"/>
    <w:rsid w:val="05C375FE"/>
    <w:rsid w:val="05DC1897"/>
    <w:rsid w:val="060D59E9"/>
    <w:rsid w:val="061F622A"/>
    <w:rsid w:val="06231531"/>
    <w:rsid w:val="06530982"/>
    <w:rsid w:val="0655338B"/>
    <w:rsid w:val="067D2292"/>
    <w:rsid w:val="068A7538"/>
    <w:rsid w:val="06B96740"/>
    <w:rsid w:val="06CC4290"/>
    <w:rsid w:val="06ED1F84"/>
    <w:rsid w:val="071809C6"/>
    <w:rsid w:val="07334984"/>
    <w:rsid w:val="0753050D"/>
    <w:rsid w:val="075E7629"/>
    <w:rsid w:val="089074C5"/>
    <w:rsid w:val="08B5322E"/>
    <w:rsid w:val="08E939DE"/>
    <w:rsid w:val="090221EB"/>
    <w:rsid w:val="097B6CFD"/>
    <w:rsid w:val="098D5F59"/>
    <w:rsid w:val="09B26A41"/>
    <w:rsid w:val="09B81DAF"/>
    <w:rsid w:val="09C556F2"/>
    <w:rsid w:val="09D755DD"/>
    <w:rsid w:val="09E938F4"/>
    <w:rsid w:val="0A1977EC"/>
    <w:rsid w:val="0A2032A3"/>
    <w:rsid w:val="0B131CF2"/>
    <w:rsid w:val="0B1F1CB7"/>
    <w:rsid w:val="0B4B1C27"/>
    <w:rsid w:val="0B8A37D8"/>
    <w:rsid w:val="0B985A64"/>
    <w:rsid w:val="0BBF3C82"/>
    <w:rsid w:val="0BDA5211"/>
    <w:rsid w:val="0BE535BA"/>
    <w:rsid w:val="0C014F6D"/>
    <w:rsid w:val="0C030754"/>
    <w:rsid w:val="0C29007B"/>
    <w:rsid w:val="0CA51A29"/>
    <w:rsid w:val="0CC67D21"/>
    <w:rsid w:val="0D8D7F7C"/>
    <w:rsid w:val="0DBC0BBA"/>
    <w:rsid w:val="0DD80BCD"/>
    <w:rsid w:val="0E070867"/>
    <w:rsid w:val="0E127C70"/>
    <w:rsid w:val="0E240F6E"/>
    <w:rsid w:val="0E4806A0"/>
    <w:rsid w:val="0EAA2599"/>
    <w:rsid w:val="0ECD01AD"/>
    <w:rsid w:val="0ED349D0"/>
    <w:rsid w:val="0EE378AD"/>
    <w:rsid w:val="0F3C10CF"/>
    <w:rsid w:val="0F4C5F6E"/>
    <w:rsid w:val="0FAA4865"/>
    <w:rsid w:val="0FC2463B"/>
    <w:rsid w:val="0FF90A95"/>
    <w:rsid w:val="0FFF1EBF"/>
    <w:rsid w:val="10AF6EF2"/>
    <w:rsid w:val="10C055FF"/>
    <w:rsid w:val="10F92125"/>
    <w:rsid w:val="11603F53"/>
    <w:rsid w:val="116D5E84"/>
    <w:rsid w:val="118107EC"/>
    <w:rsid w:val="11BC1869"/>
    <w:rsid w:val="11CA009A"/>
    <w:rsid w:val="11DD49A6"/>
    <w:rsid w:val="11DD6519"/>
    <w:rsid w:val="126822C3"/>
    <w:rsid w:val="127B39E1"/>
    <w:rsid w:val="12A75443"/>
    <w:rsid w:val="12B02CB8"/>
    <w:rsid w:val="12CD62EF"/>
    <w:rsid w:val="12D677AD"/>
    <w:rsid w:val="131C13FD"/>
    <w:rsid w:val="133A44C3"/>
    <w:rsid w:val="1393060F"/>
    <w:rsid w:val="143651B7"/>
    <w:rsid w:val="14760783"/>
    <w:rsid w:val="14763FCF"/>
    <w:rsid w:val="1486441C"/>
    <w:rsid w:val="14892F9B"/>
    <w:rsid w:val="14FC0436"/>
    <w:rsid w:val="15170DCC"/>
    <w:rsid w:val="15C0054B"/>
    <w:rsid w:val="15CA5E3E"/>
    <w:rsid w:val="15D3493C"/>
    <w:rsid w:val="15FE6DA5"/>
    <w:rsid w:val="16904476"/>
    <w:rsid w:val="16BB723D"/>
    <w:rsid w:val="16DD7A28"/>
    <w:rsid w:val="16EC72FC"/>
    <w:rsid w:val="170A4BA8"/>
    <w:rsid w:val="174635D9"/>
    <w:rsid w:val="17A34661"/>
    <w:rsid w:val="17AC1CA0"/>
    <w:rsid w:val="17AF1790"/>
    <w:rsid w:val="17C644C3"/>
    <w:rsid w:val="18015F3F"/>
    <w:rsid w:val="18422727"/>
    <w:rsid w:val="18472E81"/>
    <w:rsid w:val="18522A50"/>
    <w:rsid w:val="18707997"/>
    <w:rsid w:val="18CB3FBD"/>
    <w:rsid w:val="18E3544F"/>
    <w:rsid w:val="19692F42"/>
    <w:rsid w:val="19D3136E"/>
    <w:rsid w:val="19DB62C4"/>
    <w:rsid w:val="19F22C78"/>
    <w:rsid w:val="1A1D7576"/>
    <w:rsid w:val="1A701B69"/>
    <w:rsid w:val="1A7F5449"/>
    <w:rsid w:val="1B0E4362"/>
    <w:rsid w:val="1B3B4ADE"/>
    <w:rsid w:val="1B477D36"/>
    <w:rsid w:val="1B7156DA"/>
    <w:rsid w:val="1B824429"/>
    <w:rsid w:val="1B99078D"/>
    <w:rsid w:val="1BB8721D"/>
    <w:rsid w:val="1BC901A8"/>
    <w:rsid w:val="1BE063BC"/>
    <w:rsid w:val="1BE7040A"/>
    <w:rsid w:val="1BE8440E"/>
    <w:rsid w:val="1C00080C"/>
    <w:rsid w:val="1C78352D"/>
    <w:rsid w:val="1CA66585"/>
    <w:rsid w:val="1CB83B22"/>
    <w:rsid w:val="1D005150"/>
    <w:rsid w:val="1D0F2047"/>
    <w:rsid w:val="1D155CEE"/>
    <w:rsid w:val="1D2F6132"/>
    <w:rsid w:val="1D375A14"/>
    <w:rsid w:val="1D3A1C72"/>
    <w:rsid w:val="1D4A12A6"/>
    <w:rsid w:val="1DC6338F"/>
    <w:rsid w:val="1E3A6AFD"/>
    <w:rsid w:val="1E86249B"/>
    <w:rsid w:val="1E8A5D8D"/>
    <w:rsid w:val="1EB9644E"/>
    <w:rsid w:val="1EE5519C"/>
    <w:rsid w:val="1EE9700E"/>
    <w:rsid w:val="1F1466E7"/>
    <w:rsid w:val="1F234F3D"/>
    <w:rsid w:val="1F3709E9"/>
    <w:rsid w:val="201B4C37"/>
    <w:rsid w:val="20631BE8"/>
    <w:rsid w:val="20991F44"/>
    <w:rsid w:val="20AC25C3"/>
    <w:rsid w:val="20EB55A3"/>
    <w:rsid w:val="20F57F95"/>
    <w:rsid w:val="20FA738A"/>
    <w:rsid w:val="21122DB1"/>
    <w:rsid w:val="216C2354"/>
    <w:rsid w:val="21957072"/>
    <w:rsid w:val="21CD1190"/>
    <w:rsid w:val="21F4671D"/>
    <w:rsid w:val="22421B7E"/>
    <w:rsid w:val="225C60FA"/>
    <w:rsid w:val="226513C9"/>
    <w:rsid w:val="228F28EA"/>
    <w:rsid w:val="22EC3898"/>
    <w:rsid w:val="23337719"/>
    <w:rsid w:val="236A06EC"/>
    <w:rsid w:val="23710CE8"/>
    <w:rsid w:val="23835111"/>
    <w:rsid w:val="239F5F3B"/>
    <w:rsid w:val="23A72639"/>
    <w:rsid w:val="23C83873"/>
    <w:rsid w:val="23CB6173"/>
    <w:rsid w:val="23FF70D8"/>
    <w:rsid w:val="240371BF"/>
    <w:rsid w:val="244C4833"/>
    <w:rsid w:val="2452071D"/>
    <w:rsid w:val="24547947"/>
    <w:rsid w:val="247A5D05"/>
    <w:rsid w:val="2492221D"/>
    <w:rsid w:val="24E31B74"/>
    <w:rsid w:val="24FA7AE4"/>
    <w:rsid w:val="250C6474"/>
    <w:rsid w:val="256333F6"/>
    <w:rsid w:val="25711CC6"/>
    <w:rsid w:val="258A5937"/>
    <w:rsid w:val="25981AB5"/>
    <w:rsid w:val="25C1100C"/>
    <w:rsid w:val="25C741E6"/>
    <w:rsid w:val="26096FA8"/>
    <w:rsid w:val="264C1D48"/>
    <w:rsid w:val="264D0AF2"/>
    <w:rsid w:val="26605DA7"/>
    <w:rsid w:val="268907C4"/>
    <w:rsid w:val="268A1217"/>
    <w:rsid w:val="26C708A4"/>
    <w:rsid w:val="26C85BD3"/>
    <w:rsid w:val="26E52070"/>
    <w:rsid w:val="26FE299E"/>
    <w:rsid w:val="27306516"/>
    <w:rsid w:val="27453893"/>
    <w:rsid w:val="27522C01"/>
    <w:rsid w:val="27842671"/>
    <w:rsid w:val="27935843"/>
    <w:rsid w:val="27B93163"/>
    <w:rsid w:val="28303764"/>
    <w:rsid w:val="28344543"/>
    <w:rsid w:val="285B3A62"/>
    <w:rsid w:val="286914E7"/>
    <w:rsid w:val="286E0553"/>
    <w:rsid w:val="287142E4"/>
    <w:rsid w:val="287B433C"/>
    <w:rsid w:val="28A77AC7"/>
    <w:rsid w:val="28F667B7"/>
    <w:rsid w:val="290813F5"/>
    <w:rsid w:val="29116E5E"/>
    <w:rsid w:val="29385A89"/>
    <w:rsid w:val="29596B38"/>
    <w:rsid w:val="295C3E29"/>
    <w:rsid w:val="29803882"/>
    <w:rsid w:val="29A97796"/>
    <w:rsid w:val="29BC0418"/>
    <w:rsid w:val="29FD04D3"/>
    <w:rsid w:val="2A00650F"/>
    <w:rsid w:val="2A2B739C"/>
    <w:rsid w:val="2A781D8B"/>
    <w:rsid w:val="2AAD309E"/>
    <w:rsid w:val="2ABE7A3E"/>
    <w:rsid w:val="2B0F1914"/>
    <w:rsid w:val="2B1157DF"/>
    <w:rsid w:val="2B211F52"/>
    <w:rsid w:val="2B351B16"/>
    <w:rsid w:val="2B5C4AF5"/>
    <w:rsid w:val="2B6F4CF1"/>
    <w:rsid w:val="2B7E52A9"/>
    <w:rsid w:val="2BAB1468"/>
    <w:rsid w:val="2BAE0E01"/>
    <w:rsid w:val="2BC67CE7"/>
    <w:rsid w:val="2BFE0F1C"/>
    <w:rsid w:val="2C566DF5"/>
    <w:rsid w:val="2C7D1A05"/>
    <w:rsid w:val="2C864D5D"/>
    <w:rsid w:val="2CA234A8"/>
    <w:rsid w:val="2CA70830"/>
    <w:rsid w:val="2CE101E6"/>
    <w:rsid w:val="2CFC5020"/>
    <w:rsid w:val="2D2F40CB"/>
    <w:rsid w:val="2D7921CC"/>
    <w:rsid w:val="2D87020C"/>
    <w:rsid w:val="2D9E60D7"/>
    <w:rsid w:val="2DDF4C98"/>
    <w:rsid w:val="2DE2034D"/>
    <w:rsid w:val="2DEC299E"/>
    <w:rsid w:val="2DF4285D"/>
    <w:rsid w:val="2DF95FA0"/>
    <w:rsid w:val="2E204056"/>
    <w:rsid w:val="2EFA178C"/>
    <w:rsid w:val="2F2151FD"/>
    <w:rsid w:val="2FE62EDB"/>
    <w:rsid w:val="300135CE"/>
    <w:rsid w:val="307B60BB"/>
    <w:rsid w:val="30B46D73"/>
    <w:rsid w:val="31293293"/>
    <w:rsid w:val="31894D14"/>
    <w:rsid w:val="319F7F4E"/>
    <w:rsid w:val="31C3435E"/>
    <w:rsid w:val="31F844BD"/>
    <w:rsid w:val="324373C0"/>
    <w:rsid w:val="324A5C5B"/>
    <w:rsid w:val="32655415"/>
    <w:rsid w:val="32904240"/>
    <w:rsid w:val="32C03FA8"/>
    <w:rsid w:val="32FA150D"/>
    <w:rsid w:val="336C7E6E"/>
    <w:rsid w:val="33BD3DDC"/>
    <w:rsid w:val="33CE3CE5"/>
    <w:rsid w:val="33DC668E"/>
    <w:rsid w:val="343E1A7A"/>
    <w:rsid w:val="344E66A3"/>
    <w:rsid w:val="34B12E20"/>
    <w:rsid w:val="34D869F3"/>
    <w:rsid w:val="34F44D03"/>
    <w:rsid w:val="35112FF4"/>
    <w:rsid w:val="355043B4"/>
    <w:rsid w:val="35C47314"/>
    <w:rsid w:val="35DD5FD5"/>
    <w:rsid w:val="36204227"/>
    <w:rsid w:val="36420F85"/>
    <w:rsid w:val="36576AE5"/>
    <w:rsid w:val="366968BF"/>
    <w:rsid w:val="36A8708C"/>
    <w:rsid w:val="36AD267E"/>
    <w:rsid w:val="36D81C0F"/>
    <w:rsid w:val="36E96615"/>
    <w:rsid w:val="371663D5"/>
    <w:rsid w:val="37684B3E"/>
    <w:rsid w:val="378B3228"/>
    <w:rsid w:val="37DC5B9F"/>
    <w:rsid w:val="38042FDA"/>
    <w:rsid w:val="383D272C"/>
    <w:rsid w:val="384D43F2"/>
    <w:rsid w:val="38516086"/>
    <w:rsid w:val="38517DC8"/>
    <w:rsid w:val="3862667F"/>
    <w:rsid w:val="389A7790"/>
    <w:rsid w:val="38A26A7B"/>
    <w:rsid w:val="38AA6BF2"/>
    <w:rsid w:val="38C13FCA"/>
    <w:rsid w:val="38F0217A"/>
    <w:rsid w:val="39094440"/>
    <w:rsid w:val="391026C5"/>
    <w:rsid w:val="395D69ED"/>
    <w:rsid w:val="396C0B81"/>
    <w:rsid w:val="39A700C1"/>
    <w:rsid w:val="39AE70AB"/>
    <w:rsid w:val="39B20F40"/>
    <w:rsid w:val="39E44E71"/>
    <w:rsid w:val="3A345DF9"/>
    <w:rsid w:val="3AC22339"/>
    <w:rsid w:val="3AFC79F7"/>
    <w:rsid w:val="3B1B2B15"/>
    <w:rsid w:val="3B4D02BA"/>
    <w:rsid w:val="3B5953EB"/>
    <w:rsid w:val="3B6D4F6B"/>
    <w:rsid w:val="3B8A195D"/>
    <w:rsid w:val="3BAE661B"/>
    <w:rsid w:val="3BCF1B7D"/>
    <w:rsid w:val="3C057265"/>
    <w:rsid w:val="3C0C0783"/>
    <w:rsid w:val="3C171824"/>
    <w:rsid w:val="3C1C08F2"/>
    <w:rsid w:val="3C2569E5"/>
    <w:rsid w:val="3C4D5359"/>
    <w:rsid w:val="3C847748"/>
    <w:rsid w:val="3CF90A30"/>
    <w:rsid w:val="3E287A97"/>
    <w:rsid w:val="3E4D616E"/>
    <w:rsid w:val="3E5500EC"/>
    <w:rsid w:val="3E8B55F2"/>
    <w:rsid w:val="3EDD3F6B"/>
    <w:rsid w:val="3F0D0FCA"/>
    <w:rsid w:val="3F396C13"/>
    <w:rsid w:val="3F9F3A96"/>
    <w:rsid w:val="400A428E"/>
    <w:rsid w:val="40226394"/>
    <w:rsid w:val="402B5830"/>
    <w:rsid w:val="40491ED2"/>
    <w:rsid w:val="4070487D"/>
    <w:rsid w:val="407F4BE6"/>
    <w:rsid w:val="409F0BDE"/>
    <w:rsid w:val="409F5F96"/>
    <w:rsid w:val="40F321A0"/>
    <w:rsid w:val="413D30B7"/>
    <w:rsid w:val="416E3A65"/>
    <w:rsid w:val="417118D0"/>
    <w:rsid w:val="41801923"/>
    <w:rsid w:val="421309EA"/>
    <w:rsid w:val="42162288"/>
    <w:rsid w:val="422D7784"/>
    <w:rsid w:val="42734B51"/>
    <w:rsid w:val="4286482B"/>
    <w:rsid w:val="428E62C2"/>
    <w:rsid w:val="42B51314"/>
    <w:rsid w:val="42D22FCF"/>
    <w:rsid w:val="43307C79"/>
    <w:rsid w:val="43343A7B"/>
    <w:rsid w:val="43CA0DE3"/>
    <w:rsid w:val="43D2417C"/>
    <w:rsid w:val="43F34645"/>
    <w:rsid w:val="43F92300"/>
    <w:rsid w:val="440562B9"/>
    <w:rsid w:val="4416031D"/>
    <w:rsid w:val="44305883"/>
    <w:rsid w:val="444C2D75"/>
    <w:rsid w:val="44592B90"/>
    <w:rsid w:val="445F7F16"/>
    <w:rsid w:val="446C2633"/>
    <w:rsid w:val="448509CD"/>
    <w:rsid w:val="449E5D65"/>
    <w:rsid w:val="44BD3D13"/>
    <w:rsid w:val="4572012F"/>
    <w:rsid w:val="45C67B21"/>
    <w:rsid w:val="45E567C3"/>
    <w:rsid w:val="463A0CF8"/>
    <w:rsid w:val="46751815"/>
    <w:rsid w:val="46AE6F33"/>
    <w:rsid w:val="46D155B4"/>
    <w:rsid w:val="46EB783F"/>
    <w:rsid w:val="4703222F"/>
    <w:rsid w:val="47191C4C"/>
    <w:rsid w:val="473E454D"/>
    <w:rsid w:val="4749094D"/>
    <w:rsid w:val="47876D83"/>
    <w:rsid w:val="47C85980"/>
    <w:rsid w:val="485D476D"/>
    <w:rsid w:val="48713DCA"/>
    <w:rsid w:val="48751DC1"/>
    <w:rsid w:val="48800AAC"/>
    <w:rsid w:val="488A3D89"/>
    <w:rsid w:val="48915C49"/>
    <w:rsid w:val="4894283D"/>
    <w:rsid w:val="48A578B9"/>
    <w:rsid w:val="48AE4E18"/>
    <w:rsid w:val="48BF60AB"/>
    <w:rsid w:val="49364670"/>
    <w:rsid w:val="493C27E9"/>
    <w:rsid w:val="495449A5"/>
    <w:rsid w:val="495D0BDA"/>
    <w:rsid w:val="496F39ED"/>
    <w:rsid w:val="497A30FC"/>
    <w:rsid w:val="49AD43FF"/>
    <w:rsid w:val="49FF41D3"/>
    <w:rsid w:val="4A056E6A"/>
    <w:rsid w:val="4A8E6B29"/>
    <w:rsid w:val="4AB6052B"/>
    <w:rsid w:val="4B58746D"/>
    <w:rsid w:val="4B671670"/>
    <w:rsid w:val="4B93258D"/>
    <w:rsid w:val="4BBA3C84"/>
    <w:rsid w:val="4BE068DB"/>
    <w:rsid w:val="4BE920CC"/>
    <w:rsid w:val="4BF6002B"/>
    <w:rsid w:val="4BFA22D2"/>
    <w:rsid w:val="4C456FD1"/>
    <w:rsid w:val="4C4A325A"/>
    <w:rsid w:val="4C7B09D4"/>
    <w:rsid w:val="4D116F2F"/>
    <w:rsid w:val="4D453CC4"/>
    <w:rsid w:val="4DB56D41"/>
    <w:rsid w:val="4DCB2178"/>
    <w:rsid w:val="4DD97B58"/>
    <w:rsid w:val="4E01203E"/>
    <w:rsid w:val="4E311D1C"/>
    <w:rsid w:val="4E474E54"/>
    <w:rsid w:val="4E4D488F"/>
    <w:rsid w:val="4E57711E"/>
    <w:rsid w:val="4EAB2CF5"/>
    <w:rsid w:val="4EBE34A9"/>
    <w:rsid w:val="4EC62359"/>
    <w:rsid w:val="4ECE2238"/>
    <w:rsid w:val="4ECF2128"/>
    <w:rsid w:val="4ED57470"/>
    <w:rsid w:val="4EDC0153"/>
    <w:rsid w:val="4F2C1ABC"/>
    <w:rsid w:val="4F355C23"/>
    <w:rsid w:val="4FC55BA2"/>
    <w:rsid w:val="4FE16ACA"/>
    <w:rsid w:val="4FEE38E5"/>
    <w:rsid w:val="501A73E7"/>
    <w:rsid w:val="504E4354"/>
    <w:rsid w:val="509E2753"/>
    <w:rsid w:val="50A62A29"/>
    <w:rsid w:val="5119164C"/>
    <w:rsid w:val="5180036E"/>
    <w:rsid w:val="51DB4B86"/>
    <w:rsid w:val="51DD7FDE"/>
    <w:rsid w:val="5209326F"/>
    <w:rsid w:val="524D7600"/>
    <w:rsid w:val="52B94C95"/>
    <w:rsid w:val="52D72B46"/>
    <w:rsid w:val="53D7795C"/>
    <w:rsid w:val="53F93E80"/>
    <w:rsid w:val="5438608E"/>
    <w:rsid w:val="5466625B"/>
    <w:rsid w:val="54680CCF"/>
    <w:rsid w:val="54D97871"/>
    <w:rsid w:val="54EB4EAE"/>
    <w:rsid w:val="54F22C79"/>
    <w:rsid w:val="55006BAB"/>
    <w:rsid w:val="550B2D68"/>
    <w:rsid w:val="5510661E"/>
    <w:rsid w:val="55333C3E"/>
    <w:rsid w:val="55376407"/>
    <w:rsid w:val="553B6A18"/>
    <w:rsid w:val="556233C2"/>
    <w:rsid w:val="55913CA7"/>
    <w:rsid w:val="55AD3109"/>
    <w:rsid w:val="55B31EE4"/>
    <w:rsid w:val="55B6020F"/>
    <w:rsid w:val="566E3FE9"/>
    <w:rsid w:val="56AD2D63"/>
    <w:rsid w:val="56B11F44"/>
    <w:rsid w:val="578C2978"/>
    <w:rsid w:val="57914433"/>
    <w:rsid w:val="58040BF9"/>
    <w:rsid w:val="582E5F0A"/>
    <w:rsid w:val="58575BCF"/>
    <w:rsid w:val="586650C3"/>
    <w:rsid w:val="58773629"/>
    <w:rsid w:val="58D55985"/>
    <w:rsid w:val="58EA3F8A"/>
    <w:rsid w:val="591744C4"/>
    <w:rsid w:val="59492A4D"/>
    <w:rsid w:val="597A4A53"/>
    <w:rsid w:val="59975605"/>
    <w:rsid w:val="5A0507C0"/>
    <w:rsid w:val="5A2570B4"/>
    <w:rsid w:val="5A6C5B7A"/>
    <w:rsid w:val="5AAC3332"/>
    <w:rsid w:val="5ACB3EF4"/>
    <w:rsid w:val="5AF82BFF"/>
    <w:rsid w:val="5AF906AD"/>
    <w:rsid w:val="5B02085E"/>
    <w:rsid w:val="5BE72313"/>
    <w:rsid w:val="5BF0608B"/>
    <w:rsid w:val="5C831935"/>
    <w:rsid w:val="5C9347A9"/>
    <w:rsid w:val="5CA71F0C"/>
    <w:rsid w:val="5CAC13C7"/>
    <w:rsid w:val="5CB564CD"/>
    <w:rsid w:val="5CBA7F88"/>
    <w:rsid w:val="5CC22998"/>
    <w:rsid w:val="5CC826A5"/>
    <w:rsid w:val="5CD03307"/>
    <w:rsid w:val="5D0D7A4E"/>
    <w:rsid w:val="5D195F46"/>
    <w:rsid w:val="5D380EAD"/>
    <w:rsid w:val="5D804D2D"/>
    <w:rsid w:val="5D814602"/>
    <w:rsid w:val="5D9407D9"/>
    <w:rsid w:val="5DCD0986"/>
    <w:rsid w:val="5DCE0F89"/>
    <w:rsid w:val="5E03699A"/>
    <w:rsid w:val="5E217E22"/>
    <w:rsid w:val="5E4C2E61"/>
    <w:rsid w:val="5E543AC4"/>
    <w:rsid w:val="5E916F7A"/>
    <w:rsid w:val="5F0100EB"/>
    <w:rsid w:val="5F385194"/>
    <w:rsid w:val="5FD64C3D"/>
    <w:rsid w:val="60042BD5"/>
    <w:rsid w:val="603E6335"/>
    <w:rsid w:val="60715D1D"/>
    <w:rsid w:val="607D37A6"/>
    <w:rsid w:val="608B036D"/>
    <w:rsid w:val="60B012F6"/>
    <w:rsid w:val="60B60CB6"/>
    <w:rsid w:val="60E571E8"/>
    <w:rsid w:val="60EE52E9"/>
    <w:rsid w:val="60FD6695"/>
    <w:rsid w:val="61122619"/>
    <w:rsid w:val="6142755D"/>
    <w:rsid w:val="61492E4D"/>
    <w:rsid w:val="615515D0"/>
    <w:rsid w:val="61826B9A"/>
    <w:rsid w:val="619012B7"/>
    <w:rsid w:val="61C40F61"/>
    <w:rsid w:val="626D0485"/>
    <w:rsid w:val="62936C75"/>
    <w:rsid w:val="6299419B"/>
    <w:rsid w:val="62B60492"/>
    <w:rsid w:val="62CA67E9"/>
    <w:rsid w:val="63620A31"/>
    <w:rsid w:val="63721E41"/>
    <w:rsid w:val="637A180A"/>
    <w:rsid w:val="63B523BD"/>
    <w:rsid w:val="63F4655B"/>
    <w:rsid w:val="64592D67"/>
    <w:rsid w:val="64CA39A1"/>
    <w:rsid w:val="64D025D1"/>
    <w:rsid w:val="65182F10"/>
    <w:rsid w:val="652A557F"/>
    <w:rsid w:val="65526956"/>
    <w:rsid w:val="6578565E"/>
    <w:rsid w:val="659C143A"/>
    <w:rsid w:val="65A05C76"/>
    <w:rsid w:val="65A7460D"/>
    <w:rsid w:val="65F27FFB"/>
    <w:rsid w:val="66EF2222"/>
    <w:rsid w:val="66FF699D"/>
    <w:rsid w:val="678154B3"/>
    <w:rsid w:val="67DE1C4C"/>
    <w:rsid w:val="67E055DB"/>
    <w:rsid w:val="67F847ED"/>
    <w:rsid w:val="680816F1"/>
    <w:rsid w:val="68B606F7"/>
    <w:rsid w:val="68F23857"/>
    <w:rsid w:val="69041FCF"/>
    <w:rsid w:val="69596A12"/>
    <w:rsid w:val="69630ADE"/>
    <w:rsid w:val="69747710"/>
    <w:rsid w:val="69FB76D1"/>
    <w:rsid w:val="6A0202A5"/>
    <w:rsid w:val="6A597609"/>
    <w:rsid w:val="6A5A6D6E"/>
    <w:rsid w:val="6A5F28F4"/>
    <w:rsid w:val="6AA3434D"/>
    <w:rsid w:val="6AC70B4E"/>
    <w:rsid w:val="6AE65D08"/>
    <w:rsid w:val="6B00255C"/>
    <w:rsid w:val="6B845659"/>
    <w:rsid w:val="6C1C417A"/>
    <w:rsid w:val="6C1D009A"/>
    <w:rsid w:val="6C4A05C8"/>
    <w:rsid w:val="6C9F5F5D"/>
    <w:rsid w:val="6CD94BE9"/>
    <w:rsid w:val="6CF05300"/>
    <w:rsid w:val="6D3B1A89"/>
    <w:rsid w:val="6D672C21"/>
    <w:rsid w:val="6D8003B4"/>
    <w:rsid w:val="6D9E5285"/>
    <w:rsid w:val="6DEC7831"/>
    <w:rsid w:val="6DEE64BE"/>
    <w:rsid w:val="6E662965"/>
    <w:rsid w:val="6EB904DD"/>
    <w:rsid w:val="6ED578CD"/>
    <w:rsid w:val="6F0923BD"/>
    <w:rsid w:val="6F25749E"/>
    <w:rsid w:val="6F265009"/>
    <w:rsid w:val="6F5F15C8"/>
    <w:rsid w:val="6FA26D85"/>
    <w:rsid w:val="6FC10442"/>
    <w:rsid w:val="6FD373DB"/>
    <w:rsid w:val="6FDC5CE7"/>
    <w:rsid w:val="6FE71984"/>
    <w:rsid w:val="70027824"/>
    <w:rsid w:val="7030295B"/>
    <w:rsid w:val="706D3449"/>
    <w:rsid w:val="707728AE"/>
    <w:rsid w:val="70983CE4"/>
    <w:rsid w:val="70E700FA"/>
    <w:rsid w:val="70E87136"/>
    <w:rsid w:val="718304F0"/>
    <w:rsid w:val="71894974"/>
    <w:rsid w:val="71BA7C8A"/>
    <w:rsid w:val="71BF4EC2"/>
    <w:rsid w:val="71E0253E"/>
    <w:rsid w:val="72173F28"/>
    <w:rsid w:val="72392D6D"/>
    <w:rsid w:val="72646D2E"/>
    <w:rsid w:val="72734D90"/>
    <w:rsid w:val="72B64351"/>
    <w:rsid w:val="72BB3CBA"/>
    <w:rsid w:val="72ED7BA2"/>
    <w:rsid w:val="730D03E0"/>
    <w:rsid w:val="731A1FE2"/>
    <w:rsid w:val="734D7EC2"/>
    <w:rsid w:val="73893DB8"/>
    <w:rsid w:val="73BA5B6B"/>
    <w:rsid w:val="7412278C"/>
    <w:rsid w:val="74150907"/>
    <w:rsid w:val="747100D0"/>
    <w:rsid w:val="748565CB"/>
    <w:rsid w:val="74EC45FF"/>
    <w:rsid w:val="74F928FE"/>
    <w:rsid w:val="75273451"/>
    <w:rsid w:val="75351DAC"/>
    <w:rsid w:val="75FF3AE1"/>
    <w:rsid w:val="764E40FB"/>
    <w:rsid w:val="76557CFE"/>
    <w:rsid w:val="76E54B12"/>
    <w:rsid w:val="76E9529A"/>
    <w:rsid w:val="77CF1B2A"/>
    <w:rsid w:val="784A35BC"/>
    <w:rsid w:val="78532B05"/>
    <w:rsid w:val="78545E56"/>
    <w:rsid w:val="786A4DE6"/>
    <w:rsid w:val="78781170"/>
    <w:rsid w:val="78C7785D"/>
    <w:rsid w:val="790B29CD"/>
    <w:rsid w:val="7940316B"/>
    <w:rsid w:val="7995454B"/>
    <w:rsid w:val="79E7B28D"/>
    <w:rsid w:val="7A897F89"/>
    <w:rsid w:val="7AB56428"/>
    <w:rsid w:val="7AED0DB7"/>
    <w:rsid w:val="7AED6C93"/>
    <w:rsid w:val="7B022DCE"/>
    <w:rsid w:val="7B031CDD"/>
    <w:rsid w:val="7B0F7299"/>
    <w:rsid w:val="7B2D6042"/>
    <w:rsid w:val="7BB02D11"/>
    <w:rsid w:val="7BB45E5D"/>
    <w:rsid w:val="7BC857D9"/>
    <w:rsid w:val="7BC9794B"/>
    <w:rsid w:val="7C033455"/>
    <w:rsid w:val="7C347C6D"/>
    <w:rsid w:val="7C86358B"/>
    <w:rsid w:val="7CE54755"/>
    <w:rsid w:val="7D392764"/>
    <w:rsid w:val="7D3B61B4"/>
    <w:rsid w:val="7D627B5B"/>
    <w:rsid w:val="7D7473BB"/>
    <w:rsid w:val="7DFB79CE"/>
    <w:rsid w:val="7EA06B86"/>
    <w:rsid w:val="7EEF18BB"/>
    <w:rsid w:val="7F2063A0"/>
    <w:rsid w:val="7F9F20EE"/>
    <w:rsid w:val="7FDE4B70"/>
    <w:rsid w:val="7FE05816"/>
    <w:rsid w:val="7FF52F01"/>
    <w:rsid w:val="7FF76C79"/>
    <w:rsid w:val="7FF82D31"/>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Salutation"/>
    <w:basedOn w:val="1"/>
    <w:next w:val="1"/>
    <w:qFormat/>
    <w:uiPriority w:val="0"/>
    <w:pPr>
      <w:adjustRightInd w:val="0"/>
      <w:snapToGrid w:val="0"/>
    </w:pPr>
    <w:rPr>
      <w:rFonts w:ascii="Calibri" w:hAnsi="Calibri"/>
    </w:rPr>
  </w:style>
  <w:style w:type="paragraph" w:styleId="9">
    <w:name w:val="Body Text"/>
    <w:basedOn w:val="1"/>
    <w:link w:val="26"/>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字符"/>
    <w:link w:val="13"/>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字符"/>
    <w:link w:val="12"/>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字符"/>
    <w:link w:val="9"/>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8"/>
    <w:link w:val="5"/>
    <w:qFormat/>
    <w:uiPriority w:val="9"/>
    <w:rPr>
      <w:rFonts w:ascii="Times New Roman" w:hAnsi="Times New Roman"/>
      <w:b/>
      <w:bCs/>
      <w:kern w:val="44"/>
      <w:sz w:val="44"/>
      <w:szCs w:val="44"/>
    </w:rPr>
  </w:style>
  <w:style w:type="character" w:customStyle="1" w:styleId="30">
    <w:name w:val="标题 2 字符"/>
    <w:basedOn w:val="18"/>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8"/>
    <w:link w:val="11"/>
    <w:semiHidden/>
    <w:qFormat/>
    <w:uiPriority w:val="99"/>
    <w:rPr>
      <w:rFonts w:ascii="Times New Roman" w:hAnsi="Times New Roman"/>
      <w:kern w:val="2"/>
      <w:sz w:val="18"/>
      <w:szCs w:val="18"/>
    </w:rPr>
  </w:style>
  <w:style w:type="character" w:customStyle="1" w:styleId="33">
    <w:name w:val="标题 3 字符"/>
    <w:basedOn w:val="18"/>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C01〗正文"/>
    <w:qFormat/>
    <w:uiPriority w:val="99"/>
    <w:pPr>
      <w:widowControl w:val="0"/>
      <w:topLinePunct/>
      <w:spacing w:line="600" w:lineRule="exact"/>
      <w:ind w:firstLine="637" w:firstLineChars="200"/>
    </w:pPr>
    <w:rPr>
      <w:rFonts w:ascii="仿宋_GB2312" w:hAnsi="Calibri" w:eastAsia="仿宋_GB2312" w:cs="Times New Roman"/>
      <w:kern w:val="2"/>
      <w:sz w:val="32"/>
      <w:szCs w:val="32"/>
      <w:lang w:val="en-US" w:eastAsia="zh-CN" w:bidi="ar-SA"/>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71493469619534"/>
          <c:y val="0.00715819613457409"/>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6995"/>
          <c:y val="0.111333333333333"/>
          <c:w val="0.9263"/>
          <c:h val="0.8114"/>
        </c:manualLayout>
      </c:layout>
      <c:barChart>
        <c:barDir val="col"/>
        <c:grouping val="clustered"/>
        <c:varyColors val="0"/>
        <c:ser>
          <c:idx val="0"/>
          <c:order val="0"/>
          <c:tx>
            <c:strRef>
              <c:f>Sheet1!$B$1</c:f>
              <c:strCache>
                <c:ptCount val="1"/>
                <c:pt idx="0">
                  <c:v>收、支决算总计变动情况图  单位：万元</c:v>
                </c:pt>
              </c:strCache>
            </c:strRef>
          </c:tx>
          <c:spPr>
            <a:solidFill>
              <a:schemeClr val="accent1"/>
            </a:solidFill>
            <a:ln>
              <a:noFill/>
            </a:ln>
            <a:effectLst/>
          </c:spPr>
          <c:invertIfNegative val="0"/>
          <c:dLbls>
            <c:dLbl>
              <c:idx val="0"/>
              <c:layout>
                <c:manualLayout>
                  <c:x val="0.00212947189097104"/>
                  <c:y val="0.37938439513242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12947189097104"/>
                  <c:y val="0.27201145311381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Sheet1!$A$3:$A$4</c:f>
              <c:strCache>
                <c:ptCount val="2"/>
                <c:pt idx="0">
                  <c:v>2023年</c:v>
                </c:pt>
                <c:pt idx="1">
                  <c:v>2024年</c:v>
                </c:pt>
              </c:strCache>
            </c:strRef>
          </c:cat>
          <c:val>
            <c:numRef>
              <c:f>Sheet1!$B$3:$B$4</c:f>
              <c:numCache>
                <c:formatCode>General</c:formatCode>
                <c:ptCount val="2"/>
                <c:pt idx="0">
                  <c:v>2380.07</c:v>
                </c:pt>
                <c:pt idx="1">
                  <c:v>1455.26</c:v>
                </c:pt>
              </c:numCache>
            </c:numRef>
          </c:val>
        </c:ser>
        <c:dLbls>
          <c:showLegendKey val="0"/>
          <c:showVal val="1"/>
          <c:showCatName val="0"/>
          <c:showSerName val="0"/>
          <c:showPercent val="0"/>
          <c:showBubbleSize val="0"/>
        </c:dLbls>
        <c:gapWidth val="219"/>
        <c:overlap val="-27"/>
        <c:axId val="227591417"/>
        <c:axId val="325218228"/>
      </c:barChart>
      <c:catAx>
        <c:axId val="22759141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5218228"/>
        <c:crosses val="autoZero"/>
        <c:auto val="1"/>
        <c:lblAlgn val="ctr"/>
        <c:lblOffset val="100"/>
        <c:noMultiLvlLbl val="0"/>
      </c:catAx>
      <c:valAx>
        <c:axId val="3252182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759141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6125"/>
                  <c:y val="-0.051666666666666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720183769116922"/>
                  <c:y val="-0.0086188579017264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1444.66</c:v>
                </c:pt>
                <c:pt idx="1">
                  <c:v>10.6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1273.76</c:v>
                </c:pt>
                <c:pt idx="1">
                  <c:v>181.5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   </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178899773926149"/>
          <c:y val="0.0290909090909091"/>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财政拨款收、支决算总计变动情况   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2376.85</c:v>
                </c:pt>
                <c:pt idx="1">
                  <c:v>1455.26</c:v>
                </c:pt>
              </c:numCache>
            </c:numRef>
          </c:val>
        </c:ser>
        <c:dLbls>
          <c:showLegendKey val="0"/>
          <c:showVal val="1"/>
          <c:showCatName val="0"/>
          <c:showSerName val="0"/>
          <c:showPercent val="0"/>
          <c:showBubbleSize val="0"/>
        </c:dLbls>
        <c:gapWidth val="219"/>
        <c:overlap val="-27"/>
        <c:axId val="607347007"/>
        <c:axId val="875209626"/>
      </c:barChart>
      <c:catAx>
        <c:axId val="60734700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5209626"/>
        <c:crosses val="autoZero"/>
        <c:auto val="1"/>
        <c:lblAlgn val="ctr"/>
        <c:lblOffset val="100"/>
        <c:noMultiLvlLbl val="0"/>
      </c:catAx>
      <c:valAx>
        <c:axId val="87520962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73470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t>一般公共预算财政拨款支出决算变动情况   单位：万元</a:t>
            </a:r>
            <a:endParaRPr sz="1200"/>
          </a:p>
        </c:rich>
      </c:tx>
      <c:layout>
        <c:manualLayout>
          <c:xMode val="edge"/>
          <c:yMode val="edge"/>
          <c:x val="0.1111875"/>
          <c:y val="0.0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一般公共预算财政拨款支出决算变动情况   单位：万元</c:v>
                </c:pt>
              </c:strCache>
            </c:strRef>
          </c:tx>
          <c:spPr>
            <a:solidFill>
              <a:schemeClr val="accent1"/>
            </a:solidFill>
            <a:ln>
              <a:noFill/>
            </a:ln>
            <a:effectLst/>
          </c:spPr>
          <c:invertIfNegative val="0"/>
          <c:dLbls>
            <c:dLbl>
              <c:idx val="0"/>
              <c:layout>
                <c:manualLayout>
                  <c:x val="0"/>
                  <c:y val="0.011666666666666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2346.25</c:v>
                </c:pt>
                <c:pt idx="1">
                  <c:v>1444.66</c:v>
                </c:pt>
              </c:numCache>
            </c:numRef>
          </c:val>
        </c:ser>
        <c:dLbls>
          <c:showLegendKey val="0"/>
          <c:showVal val="1"/>
          <c:showCatName val="0"/>
          <c:showSerName val="0"/>
          <c:showPercent val="0"/>
          <c:showBubbleSize val="0"/>
        </c:dLbls>
        <c:gapWidth val="219"/>
        <c:overlap val="-27"/>
        <c:axId val="59509509"/>
        <c:axId val="924880048"/>
      </c:barChart>
      <c:catAx>
        <c:axId val="595095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4880048"/>
        <c:crosses val="autoZero"/>
        <c:auto val="1"/>
        <c:lblAlgn val="ctr"/>
        <c:lblOffset val="100"/>
        <c:noMultiLvlLbl val="0"/>
      </c:catAx>
      <c:valAx>
        <c:axId val="924880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50950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86125"/>
          <c:y val="0.01"/>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360415682569674"/>
          <c:y val="0.1904296875"/>
          <c:w val="0.288615965989608"/>
          <c:h val="0.447509765625"/>
        </c:manualLayout>
      </c:layout>
      <c:pieChart>
        <c:varyColors val="1"/>
        <c:ser>
          <c:idx val="0"/>
          <c:order val="0"/>
          <c:tx>
            <c:strRef>
              <c:f>Sheet1!$B$1</c:f>
              <c:strCache>
                <c:ptCount val="1"/>
                <c:pt idx="0">
                  <c:v>一般公共预算财政拨款支出决算结构   </c:v>
                </c:pt>
              </c:strCache>
            </c:strRef>
          </c:tx>
          <c:spPr/>
          <c:explosion val="0"/>
          <c:dPt>
            <c:idx val="0"/>
            <c:bubble3D val="0"/>
            <c:explosion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gradFill>
                <a:gsLst>
                  <a:gs pos="94000">
                    <a:srgbClr val="FE4444"/>
                  </a:gs>
                  <a:gs pos="98000">
                    <a:srgbClr val="832B2B"/>
                  </a:gs>
                </a:gsLst>
                <a:lin ang="5400000" scaled="0"/>
              </a:gradFill>
              <a:ln w="19050">
                <a:solidFill>
                  <a:schemeClr val="lt1"/>
                </a:solidFill>
              </a:ln>
              <a:effectLst/>
            </c:spPr>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extLst>
                <c:ext xmlns:c15="http://schemas.microsoft.com/office/drawing/2012/chart" uri="{CE6537A1-D6FC-4f65-9D91-7224C49458BB}"/>
              </c:extLst>
            </c:dLbl>
            <c:dLbl>
              <c:idx val="1"/>
              <c:layout>
                <c:manualLayout>
                  <c:x val="0.00104595386440469"/>
                  <c:y val="0.012542200996941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611842067402245"/>
                  <c:y val="0.023222539538608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521576988887864"/>
                  <c:y val="-0.036777460461391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0881615235897259"/>
                  <c:y val="-0.0149782933558076"/>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Sheet1!$B$2:$B$6</c:f>
              <c:numCache>
                <c:formatCode>General</c:formatCode>
                <c:ptCount val="5"/>
                <c:pt idx="0">
                  <c:v>1155.81</c:v>
                </c:pt>
                <c:pt idx="1">
                  <c:v>159.1</c:v>
                </c:pt>
                <c:pt idx="2">
                  <c:v>50.56</c:v>
                </c:pt>
                <c:pt idx="3">
                  <c:v>79.19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4"/>
        <c:delete val="1"/>
      </c:legendEntry>
      <c:layout>
        <c:manualLayout>
          <c:xMode val="edge"/>
          <c:yMode val="edge"/>
          <c:x val="0.0714848055424342"/>
          <c:y val="0.6904296875"/>
          <c:w val="0.885529837820816"/>
          <c:h val="0.192871093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5125"/>
                  <c:y val="-0.018333333333333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0249912452768379"/>
                  <c:y val="-0.18121608813904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24126884422111"/>
                  <c:y val="-0.011638492984200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2.46</c:v>
                </c:pt>
                <c:pt idx="2">
                  <c:v>0.15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29</Pages>
  <Words>10979</Words>
  <Characters>12715</Characters>
  <Lines>71</Lines>
  <Paragraphs>20</Paragraphs>
  <TotalTime>166</TotalTime>
  <ScaleCrop>false</ScaleCrop>
  <LinksUpToDate>false</LinksUpToDate>
  <CharactersWithSpaces>12965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2025-12-02T07:23:00Z</cp:lastPrinted>
  <dcterms:modified xsi:type="dcterms:W3CDTF">2025-12-05T07:04:40Z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CCF9D6A4FC08466786336682B2FE6167_13</vt:lpwstr>
  </property>
</Properties>
</file>