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77193"/>
      <w:bookmarkStart w:id="3" w:name="_Toc15396475"/>
      <w:bookmarkStart w:id="4" w:name="_Toc15396597"/>
      <w:bookmarkStart w:id="5" w:name="_Toc15377425"/>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四川省峨眉山市铁路服务中心单位决算</w:t>
      </w: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bookmarkStart w:id="62" w:name="_GoBack"/>
      <w:bookmarkEnd w:id="62"/>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20</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w:t>
      </w:r>
      <w:r>
        <w:rPr>
          <w:rFonts w:hint="default" w:ascii="Times New Roman" w:hAnsi="Times New Roman" w:eastAsia="黑体" w:cs="黑体"/>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pPr>
        <w:widowControl/>
        <w:jc w:val="left"/>
        <w:rPr>
          <w:rFonts w:ascii="Times New Roman" w:hAnsi="Times New Roman" w:eastAsia="黑体"/>
          <w:color w:val="auto"/>
          <w:sz w:val="32"/>
          <w:szCs w:val="32"/>
          <w:highlight w:val="none"/>
        </w:rPr>
      </w:pPr>
    </w:p>
    <w:p>
      <w:pPr>
        <w:pStyle w:val="4"/>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bookmarkStart w:id="10" w:name="_Toc15377200"/>
      <w:bookmarkStart w:id="11" w:name="_Toc15396601"/>
      <w:r>
        <w:rPr>
          <w:rFonts w:hint="eastAsia" w:ascii="仿宋" w:hAnsi="仿宋" w:eastAsia="仿宋" w:cs="仿宋"/>
          <w:sz w:val="32"/>
          <w:szCs w:val="32"/>
          <w:lang w:val="en-US" w:eastAsia="zh-CN"/>
        </w:rPr>
        <w:t>承担全市铁路运输与地方有关联的协调服务；承担高铁站场的管理维护；完成上级交办的其他任务。</w:t>
      </w:r>
    </w:p>
    <w:p>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机构情况，</w:t>
      </w:r>
      <w:r>
        <w:rPr>
          <w:rFonts w:hint="eastAsia" w:ascii="仿宋" w:hAnsi="仿宋" w:eastAsia="仿宋" w:cs="仿宋"/>
          <w:sz w:val="32"/>
          <w:szCs w:val="32"/>
        </w:rPr>
        <w:t>峨眉山市铁路服务中心</w:t>
      </w:r>
      <w:r>
        <w:rPr>
          <w:rFonts w:hint="eastAsia" w:ascii="仿宋" w:hAnsi="仿宋" w:eastAsia="仿宋" w:cs="仿宋"/>
          <w:sz w:val="32"/>
          <w:szCs w:val="32"/>
          <w:lang w:val="en-US" w:eastAsia="zh-CN"/>
        </w:rPr>
        <w:t>隶属</w:t>
      </w:r>
      <w:r>
        <w:rPr>
          <w:rFonts w:hint="eastAsia" w:ascii="仿宋" w:hAnsi="仿宋" w:eastAsia="仿宋" w:cs="仿宋"/>
          <w:sz w:val="32"/>
          <w:szCs w:val="32"/>
        </w:rPr>
        <w:t>于峨眉山市交通运输局的二级预算单位，下设独立编制机构0个，其中行政机构0个，参照公务员法管理的事业机构0个，其他事业机构0个。</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
          <w:color w:val="auto"/>
          <w:kern w:val="0"/>
          <w:sz w:val="32"/>
          <w:szCs w:val="32"/>
          <w:highlight w:val="none"/>
        </w:rPr>
      </w:pPr>
      <w:r>
        <w:rPr>
          <w:rFonts w:hint="eastAsia" w:ascii="仿宋" w:hAnsi="仿宋" w:eastAsia="仿宋" w:cs="仿宋"/>
          <w:sz w:val="32"/>
          <w:szCs w:val="32"/>
          <w:highlight w:val="none"/>
          <w:lang w:val="en-US" w:eastAsia="zh-CN"/>
        </w:rPr>
        <w:t>人员情况，本单位2024年末公务员编制3人，实有人数5人。</w:t>
      </w: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676.35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311.2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85.23</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s="仿宋"/>
          <w:sz w:val="32"/>
          <w:szCs w:val="32"/>
          <w:highlight w:val="none"/>
          <w:lang w:val="en-US" w:eastAsia="zh-CN"/>
        </w:rPr>
        <w:t>本年度部分建设项目的增加</w:t>
      </w:r>
      <w:r>
        <w:rPr>
          <w:rFonts w:hint="eastAsia"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153035</wp:posOffset>
            </wp:positionV>
            <wp:extent cx="4761865" cy="3948430"/>
            <wp:effectExtent l="0" t="0" r="635" b="1397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761865" cy="3948430"/>
                    </a:xfrm>
                    <a:prstGeom prst="rect">
                      <a:avLst/>
                    </a:prstGeom>
                    <a:noFill/>
                    <a:ln>
                      <a:noFill/>
                    </a:ln>
                  </pic:spPr>
                </pic:pic>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676.35万元，其中：一般公共预算财政拨款收入620.32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56.03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8.28</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266700</wp:posOffset>
            </wp:positionH>
            <wp:positionV relativeFrom="paragraph">
              <wp:posOffset>194310</wp:posOffset>
            </wp:positionV>
            <wp:extent cx="5020310" cy="3917315"/>
            <wp:effectExtent l="0" t="0" r="8890" b="698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5020310" cy="3917315"/>
                    </a:xfrm>
                    <a:prstGeom prst="rect">
                      <a:avLst/>
                    </a:prstGeom>
                    <a:noFill/>
                    <a:ln>
                      <a:noFill/>
                    </a:ln>
                  </pic:spPr>
                </pic:pic>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676.35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157.98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518.37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76.64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266700</wp:posOffset>
            </wp:positionH>
            <wp:positionV relativeFrom="paragraph">
              <wp:posOffset>48260</wp:posOffset>
            </wp:positionV>
            <wp:extent cx="5013325" cy="4053840"/>
            <wp:effectExtent l="0" t="0" r="15875" b="381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5013325" cy="4053840"/>
                    </a:xfrm>
                    <a:prstGeom prst="rect">
                      <a:avLst/>
                    </a:prstGeom>
                    <a:noFill/>
                    <a:ln>
                      <a:noFill/>
                    </a:ln>
                  </pic:spPr>
                </pic:pic>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676.35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311.2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85.23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s="仿宋"/>
          <w:sz w:val="32"/>
          <w:szCs w:val="32"/>
          <w:highlight w:val="none"/>
          <w:lang w:val="en-US" w:eastAsia="zh-CN"/>
        </w:rPr>
        <w:t>本年度部分建设项目的增加</w:t>
      </w:r>
      <w:r>
        <w:rPr>
          <w:rFonts w:hint="eastAsia" w:eastAsia="仿宋_GB2312" w:cs="仿宋_GB2312"/>
          <w:color w:val="auto"/>
          <w:sz w:val="32"/>
          <w:szCs w:val="32"/>
          <w:highlight w:val="none"/>
          <w:lang w:eastAsia="zh-CN"/>
        </w:rPr>
        <w:t>。</w:t>
      </w:r>
    </w:p>
    <w:p>
      <w:pPr>
        <w:pStyle w:val="19"/>
        <w:rPr>
          <w:rFonts w:hint="eastAsia" w:eastAsia="仿宋_GB2312" w:cs="仿宋_GB2312"/>
          <w:color w:val="auto"/>
          <w:kern w:val="2"/>
          <w:sz w:val="32"/>
          <w:szCs w:val="32"/>
          <w:highlight w:val="none"/>
          <w:lang w:val="en-US" w:eastAsia="zh-CN" w:bidi="ar-SA"/>
        </w:rPr>
      </w:pPr>
    </w:p>
    <w:p>
      <w:pPr>
        <w:rPr>
          <w:rFonts w:hint="eastAsia" w:eastAsia="仿宋_GB2312" w:cs="仿宋_GB2312"/>
          <w:color w:val="auto"/>
          <w:kern w:val="2"/>
          <w:sz w:val="32"/>
          <w:szCs w:val="32"/>
          <w:highlight w:val="none"/>
          <w:lang w:val="en-US" w:eastAsia="zh-CN" w:bidi="ar-SA"/>
        </w:rPr>
      </w:pPr>
    </w:p>
    <w:p>
      <w:pPr>
        <w:pStyle w:val="19"/>
        <w:rPr>
          <w:rFonts w:hint="eastAsia" w:eastAsia="仿宋_GB2312" w:cs="仿宋_GB2312"/>
          <w:color w:val="auto"/>
          <w:kern w:val="2"/>
          <w:sz w:val="32"/>
          <w:szCs w:val="32"/>
          <w:highlight w:val="none"/>
          <w:lang w:val="en-US" w:eastAsia="zh-CN" w:bidi="ar-SA"/>
        </w:rPr>
      </w:pPr>
    </w:p>
    <w:p>
      <w:pPr>
        <w:rPr>
          <w:rFonts w:hint="eastAsia" w:eastAsia="仿宋_GB2312" w:cs="仿宋_GB2312"/>
          <w:color w:val="auto"/>
          <w:kern w:val="2"/>
          <w:sz w:val="32"/>
          <w:szCs w:val="32"/>
          <w:highlight w:val="none"/>
          <w:lang w:val="en-US" w:eastAsia="zh-CN" w:bidi="ar-SA"/>
        </w:rPr>
      </w:pPr>
    </w:p>
    <w:p>
      <w:pPr>
        <w:pStyle w:val="19"/>
        <w:rPr>
          <w:rFonts w:hint="eastAsia"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227330</wp:posOffset>
            </wp:positionH>
            <wp:positionV relativeFrom="paragraph">
              <wp:posOffset>157480</wp:posOffset>
            </wp:positionV>
            <wp:extent cx="4845050" cy="4072255"/>
            <wp:effectExtent l="0" t="0" r="12700" b="4445"/>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845050" cy="4072255"/>
                    </a:xfrm>
                    <a:prstGeom prst="rect">
                      <a:avLst/>
                    </a:prstGeom>
                    <a:noFill/>
                    <a:ln>
                      <a:noFill/>
                    </a:ln>
                  </pic:spPr>
                </pic:pic>
              </a:graphicData>
            </a:graphic>
          </wp:anchor>
        </w:drawing>
      </w:r>
    </w:p>
    <w:p>
      <w:pPr>
        <w:rPr>
          <w:rFonts w:hint="eastAsia" w:eastAsia="仿宋_GB2312" w:cs="仿宋_GB2312"/>
          <w:color w:val="auto"/>
          <w:kern w:val="2"/>
          <w:sz w:val="32"/>
          <w:szCs w:val="32"/>
          <w:highlight w:val="none"/>
          <w:lang w:val="en-US" w:eastAsia="zh-CN" w:bidi="ar-SA"/>
        </w:rPr>
      </w:pPr>
    </w:p>
    <w:p>
      <w:pPr>
        <w:pStyle w:val="19"/>
        <w:rPr>
          <w:rFonts w:hint="eastAsia" w:eastAsia="仿宋_GB2312" w:cs="仿宋_GB2312"/>
          <w:color w:val="auto"/>
          <w:kern w:val="2"/>
          <w:sz w:val="32"/>
          <w:szCs w:val="32"/>
          <w:highlight w:val="none"/>
          <w:lang w:val="en-US" w:eastAsia="zh-CN" w:bidi="ar-SA"/>
        </w:rPr>
      </w:pPr>
    </w:p>
    <w:p>
      <w:pPr>
        <w:rPr>
          <w:rFonts w:hint="eastAsia" w:eastAsia="仿宋_GB2312" w:cs="仿宋_GB2312"/>
          <w:color w:val="auto"/>
          <w:kern w:val="2"/>
          <w:sz w:val="32"/>
          <w:szCs w:val="32"/>
          <w:highlight w:val="none"/>
          <w:lang w:val="en-US" w:eastAsia="zh-CN" w:bidi="ar-SA"/>
        </w:rPr>
      </w:pPr>
    </w:p>
    <w:p>
      <w:pPr>
        <w:pStyle w:val="19"/>
        <w:rPr>
          <w:rFonts w:hint="eastAsia" w:eastAsia="仿宋_GB2312" w:cs="仿宋_GB2312"/>
          <w:color w:val="auto"/>
          <w:kern w:val="2"/>
          <w:sz w:val="32"/>
          <w:szCs w:val="32"/>
          <w:highlight w:val="none"/>
          <w:lang w:val="en-US" w:eastAsia="zh-CN" w:bidi="ar-SA"/>
        </w:rPr>
      </w:pPr>
    </w:p>
    <w:p>
      <w:pPr>
        <w:rPr>
          <w:rFonts w:hint="eastAsia" w:eastAsia="仿宋_GB2312" w:cs="仿宋_GB2312"/>
          <w:color w:val="auto"/>
          <w:kern w:val="2"/>
          <w:sz w:val="32"/>
          <w:szCs w:val="32"/>
          <w:highlight w:val="none"/>
          <w:lang w:val="en-US" w:eastAsia="zh-CN" w:bidi="ar-SA"/>
        </w:rPr>
      </w:pPr>
    </w:p>
    <w:p>
      <w:pPr>
        <w:pStyle w:val="19"/>
        <w:rPr>
          <w:rFonts w:hint="eastAsia" w:eastAsia="仿宋_GB2312" w:cs="仿宋_GB2312"/>
          <w:color w:val="auto"/>
          <w:kern w:val="2"/>
          <w:sz w:val="32"/>
          <w:szCs w:val="32"/>
          <w:highlight w:val="none"/>
          <w:lang w:val="en-US" w:eastAsia="zh-CN" w:bidi="ar-SA"/>
        </w:rPr>
      </w:pPr>
    </w:p>
    <w:p>
      <w:pPr>
        <w:pStyle w:val="19"/>
        <w:rPr>
          <w:rFonts w:hint="default"/>
          <w:lang w:val="en-US" w:eastAsia="zh-CN"/>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620.32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91.7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%。与2023年度相比，一般公共预算财政拨款支出增加255.17万元，增长69.88%。</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s="仿宋"/>
          <w:sz w:val="32"/>
          <w:szCs w:val="32"/>
          <w:highlight w:val="none"/>
          <w:lang w:val="en-US" w:eastAsia="zh-CN"/>
        </w:rPr>
        <w:t>本年度部分建设项目的增加</w:t>
      </w:r>
      <w:r>
        <w:rPr>
          <w:rFonts w:hint="eastAsia" w:eastAsia="仿宋_GB2312" w:cs="仿宋_GB2312"/>
          <w:color w:val="auto"/>
          <w:sz w:val="32"/>
          <w:szCs w:val="32"/>
          <w:highlight w:val="none"/>
          <w:lang w:eastAsia="zh-CN"/>
        </w:rPr>
        <w:t>。</w:t>
      </w:r>
    </w:p>
    <w:p>
      <w:pPr>
        <w:rPr>
          <w:rFonts w:hint="eastAsia" w:ascii="仿宋_GB2312" w:hAnsi="仿宋_GB2312" w:eastAsia="仿宋_GB2312" w:cs="仿宋_GB2312"/>
          <w:color w:val="auto"/>
          <w:kern w:val="2"/>
          <w:sz w:val="32"/>
          <w:szCs w:val="32"/>
          <w:highlight w:val="none"/>
          <w:lang w:val="en-US" w:eastAsia="zh-CN" w:bidi="ar-SA"/>
        </w:rPr>
      </w:pPr>
    </w:p>
    <w:p>
      <w:pPr>
        <w:pStyle w:val="19"/>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271145</wp:posOffset>
            </wp:positionH>
            <wp:positionV relativeFrom="paragraph">
              <wp:posOffset>258445</wp:posOffset>
            </wp:positionV>
            <wp:extent cx="4765675" cy="4062730"/>
            <wp:effectExtent l="0" t="0" r="15875" b="13970"/>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765675" cy="4062730"/>
                    </a:xfrm>
                    <a:prstGeom prst="rect">
                      <a:avLst/>
                    </a:prstGeom>
                    <a:noFill/>
                    <a:ln>
                      <a:noFill/>
                    </a:ln>
                  </pic:spPr>
                </pic:pic>
              </a:graphicData>
            </a:graphic>
          </wp:anchor>
        </w:drawing>
      </w:r>
    </w:p>
    <w:p>
      <w:pPr>
        <w:rPr>
          <w:rFonts w:hint="eastAsia" w:ascii="仿宋_GB2312" w:hAnsi="仿宋_GB2312" w:eastAsia="仿宋_GB2312" w:cs="仿宋_GB2312"/>
          <w:color w:val="auto"/>
          <w:kern w:val="2"/>
          <w:sz w:val="32"/>
          <w:szCs w:val="32"/>
          <w:highlight w:val="none"/>
          <w:lang w:val="en-US" w:eastAsia="zh-CN" w:bidi="ar-SA"/>
        </w:rPr>
      </w:pPr>
    </w:p>
    <w:p>
      <w:pPr>
        <w:pStyle w:val="19"/>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19"/>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19"/>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rPr>
          <w:rFonts w:hint="default"/>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620.32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%；社会保障和就业支出36.12万元，占</w:t>
      </w:r>
      <w:r>
        <w:rPr>
          <w:rFonts w:hint="eastAsia" w:eastAsia="仿宋_GB2312" w:cs="仿宋_GB2312"/>
          <w:color w:val="auto"/>
          <w:kern w:val="2"/>
          <w:sz w:val="32"/>
          <w:szCs w:val="32"/>
          <w:highlight w:val="none"/>
          <w:lang w:val="en-US" w:eastAsia="zh-CN" w:bidi="ar-SA"/>
        </w:rPr>
        <w:t>1.26</w:t>
      </w:r>
      <w:r>
        <w:rPr>
          <w:rFonts w:hint="eastAsia" w:ascii="Times New Roman" w:hAnsi="Times New Roman" w:eastAsia="仿宋_GB2312" w:cs="仿宋_GB2312"/>
          <w:color w:val="auto"/>
          <w:kern w:val="2"/>
          <w:sz w:val="32"/>
          <w:szCs w:val="32"/>
          <w:highlight w:val="none"/>
          <w:lang w:val="en-US" w:eastAsia="zh-CN" w:bidi="ar-SA"/>
        </w:rPr>
        <w:t>%；卫生健康支出8.61万元，占</w:t>
      </w:r>
      <w:r>
        <w:rPr>
          <w:rFonts w:hint="eastAsia" w:eastAsia="仿宋_GB2312" w:cs="仿宋_GB2312"/>
          <w:color w:val="auto"/>
          <w:kern w:val="2"/>
          <w:sz w:val="32"/>
          <w:szCs w:val="32"/>
          <w:highlight w:val="none"/>
          <w:lang w:val="en-US" w:eastAsia="zh-CN" w:bidi="ar-SA"/>
        </w:rPr>
        <w:t>1.39</w:t>
      </w:r>
      <w:r>
        <w:rPr>
          <w:rFonts w:hint="eastAsia" w:ascii="Times New Roman" w:hAnsi="Times New Roman" w:eastAsia="仿宋_GB2312" w:cs="仿宋_GB2312"/>
          <w:color w:val="auto"/>
          <w:kern w:val="2"/>
          <w:sz w:val="32"/>
          <w:szCs w:val="32"/>
          <w:highlight w:val="none"/>
          <w:lang w:val="en-US" w:eastAsia="zh-CN" w:bidi="ar-SA"/>
        </w:rPr>
        <w:t>%；交通运输支出567.75</w:t>
      </w:r>
      <w:r>
        <w:rPr>
          <w:rFonts w:hint="eastAsia" w:eastAsia="仿宋_GB2312" w:cs="仿宋_GB2312"/>
          <w:color w:val="auto"/>
          <w:kern w:val="2"/>
          <w:sz w:val="32"/>
          <w:szCs w:val="32"/>
          <w:highlight w:val="none"/>
          <w:lang w:val="en-US" w:eastAsia="zh-CN" w:bidi="ar-SA"/>
        </w:rPr>
        <w:t>万元，占91.53%；</w:t>
      </w:r>
      <w:r>
        <w:rPr>
          <w:rFonts w:hint="eastAsia" w:ascii="Times New Roman" w:hAnsi="Times New Roman" w:eastAsia="仿宋_GB2312" w:cs="仿宋_GB2312"/>
          <w:color w:val="auto"/>
          <w:kern w:val="2"/>
          <w:sz w:val="32"/>
          <w:szCs w:val="32"/>
          <w:highlight w:val="none"/>
          <w:lang w:val="en-US" w:eastAsia="zh-CN" w:bidi="ar-SA"/>
        </w:rPr>
        <w:t>住房保障支出7.84万元，占</w:t>
      </w:r>
      <w:r>
        <w:rPr>
          <w:rFonts w:hint="eastAsia" w:eastAsia="仿宋_GB2312" w:cs="仿宋_GB2312"/>
          <w:color w:val="auto"/>
          <w:kern w:val="2"/>
          <w:sz w:val="32"/>
          <w:szCs w:val="32"/>
          <w:highlight w:val="none"/>
          <w:lang w:val="en-US" w:eastAsia="zh-CN" w:bidi="ar-SA"/>
        </w:rPr>
        <w:t>5.82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314960</wp:posOffset>
            </wp:positionH>
            <wp:positionV relativeFrom="paragraph">
              <wp:posOffset>235585</wp:posOffset>
            </wp:positionV>
            <wp:extent cx="5140960" cy="4088130"/>
            <wp:effectExtent l="0" t="0" r="2540" b="762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5140960" cy="4088130"/>
                    </a:xfrm>
                    <a:prstGeom prst="rect">
                      <a:avLst/>
                    </a:prstGeom>
                    <a:noFill/>
                    <a:ln>
                      <a:noFill/>
                    </a:ln>
                  </pic:spPr>
                </pic:pic>
              </a:graphicData>
            </a:graphic>
          </wp:anchor>
        </w:drawing>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pStyle w:val="19"/>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7213"/>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620.32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1.社会保障和就业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 支出决算为8.73万元，完成预算100%，决算数与预算数持平。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 支出决算为4.25万元，完成预算100%，决算数与预算数持平。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（类）抚恤（款）死亡抚恤（项）: 支出决算为21.38万元，完成预算100%，决算数与预算数持平。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（类）抚恤（款）其他优抚支出（项）: 支出决算为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 支出决算为0.76万元，完成预算100%，决算数与预算数持平。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（类）行政事业单位医疗（款）行政单位医疗（项）:支出决算为3.93万元，完成预算100%，决算数与预算数持平。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（类）行政事业单位医疗（款）公务员医疗补助（项）:支出决算为4.68万元，完成预算100%，决算数与预算数持平。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（类）公路水路运输（款）行政运行（项）：支出决算为105.41万元，完成预算100%，决算数与预算数持平。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（类）公路水路运输（款）一般行政管理事务（项）：支出决算为175.73万元，完成预算100%，决算数与预算数持平。</w:t>
      </w:r>
    </w:p>
    <w:p>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（类）公路水路运输（款）其他公路水路运输支出（项）：支出决算为286.61万元，完成预算100%，决算数与预算数持平。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.住房保障支出（类）住房改革支出（款）住房公积金（项）:支出决算为7.84万元，完成预算100%，决算数与预算数持平。</w:t>
      </w:r>
    </w:p>
    <w:p>
      <w:pPr>
        <w:tabs>
          <w:tab w:val="right" w:pos="8306"/>
        </w:tabs>
        <w:spacing w:line="600" w:lineRule="exact"/>
        <w:ind w:firstLine="640"/>
        <w:outlineLvl w:val="1"/>
        <w:rPr>
          <w:rStyle w:val="29"/>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157.98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136.1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其他社会保障缴费、住房公积金、抚恤金、生活补助等。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21.8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元，主要包括：办公费、差旅费、工会经费、公务用车运行维护费、其他交通费、其他商品和服务支出等。</w:t>
      </w:r>
    </w:p>
    <w:p>
      <w:pPr>
        <w:spacing w:line="600" w:lineRule="exact"/>
        <w:ind w:firstLine="640"/>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2.99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2.99</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19"/>
        <w:rPr>
          <w:rFonts w:hint="eastAsia"/>
          <w:lang w:val="en-US" w:eastAsia="zh-CN"/>
        </w:rPr>
      </w:pPr>
      <w:r>
        <w:drawing>
          <wp:anchor distT="0" distB="0" distL="114300" distR="114300" simplePos="0" relativeHeight="251665408" behindDoc="0" locked="0" layoutInCell="1" allowOverlap="1">
            <wp:simplePos x="0" y="0"/>
            <wp:positionH relativeFrom="column">
              <wp:posOffset>149225</wp:posOffset>
            </wp:positionH>
            <wp:positionV relativeFrom="paragraph">
              <wp:posOffset>267970</wp:posOffset>
            </wp:positionV>
            <wp:extent cx="5160010" cy="4247515"/>
            <wp:effectExtent l="0" t="0" r="2540" b="635"/>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a:stretch>
                      <a:fillRect/>
                    </a:stretch>
                  </pic:blipFill>
                  <pic:spPr>
                    <a:xfrm>
                      <a:off x="0" y="0"/>
                      <a:ext cx="5160010" cy="4247515"/>
                    </a:xfrm>
                    <a:prstGeom prst="rect">
                      <a:avLst/>
                    </a:prstGeom>
                    <a:noFill/>
                    <a:ln>
                      <a:noFill/>
                    </a:ln>
                  </pic:spPr>
                </pic:pic>
              </a:graphicData>
            </a:graphic>
          </wp:anchor>
        </w:drawing>
      </w:r>
    </w:p>
    <w:p>
      <w:pPr>
        <w:pStyle w:val="19"/>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19"/>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19"/>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19"/>
        <w:rPr>
          <w:rFonts w:hint="eastAsia" w:ascii="仿宋_GB2312" w:hAnsi="仿宋_GB2312" w:eastAsia="仿宋_GB2312" w:cs="仿宋_GB2312"/>
          <w:color w:val="auto"/>
          <w:kern w:val="2"/>
          <w:sz w:val="32"/>
          <w:szCs w:val="32"/>
          <w:highlight w:val="none"/>
          <w:lang w:val="en-US" w:eastAsia="zh-CN" w:bidi="ar-SA"/>
        </w:rPr>
      </w:pPr>
    </w:p>
    <w:p>
      <w:pPr>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2.99万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 w:hAnsi="仿宋" w:eastAsia="仿宋" w:cs="仿宋"/>
          <w:b w:val="0"/>
          <w:bCs/>
          <w:sz w:val="32"/>
          <w:szCs w:val="32"/>
          <w:highlight w:val="none"/>
          <w:lang w:val="en-US" w:eastAsia="zh-CN"/>
        </w:rPr>
        <w:t>车</w:t>
      </w:r>
      <w:r>
        <w:rPr>
          <w:rFonts w:hint="eastAsia" w:ascii="仿宋" w:hAnsi="仿宋" w:eastAsia="仿宋" w:cs="仿宋"/>
          <w:b w:val="0"/>
          <w:bCs/>
          <w:sz w:val="32"/>
          <w:szCs w:val="32"/>
          <w:lang w:val="en-US" w:eastAsia="zh-CN"/>
        </w:rPr>
        <w:t>辆维修费略有上升</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2.99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cs="仿宋"/>
          <w:b w:val="0"/>
          <w:bCs/>
          <w:sz w:val="32"/>
          <w:szCs w:val="32"/>
          <w:highlight w:val="none"/>
        </w:rPr>
        <w:t>主要用于</w:t>
      </w:r>
      <w:r>
        <w:rPr>
          <w:rFonts w:hint="eastAsia" w:ascii="仿宋" w:hAnsi="仿宋" w:eastAsia="仿宋" w:cs="仿宋"/>
          <w:b w:val="0"/>
          <w:bCs/>
          <w:sz w:val="32"/>
          <w:szCs w:val="32"/>
          <w:highlight w:val="none"/>
          <w:lang w:val="en-US" w:eastAsia="zh-CN"/>
        </w:rPr>
        <w:t>高铁站场管理、零星交安项目推进</w:t>
      </w:r>
      <w:r>
        <w:rPr>
          <w:rFonts w:hint="eastAsia" w:ascii="仿宋" w:hAnsi="仿宋" w:eastAsia="仿宋" w:cs="仿宋"/>
          <w:b w:val="0"/>
          <w:bCs/>
          <w:sz w:val="32"/>
          <w:szCs w:val="32"/>
          <w:highlight w:val="none"/>
        </w:rPr>
        <w:t>等</w:t>
      </w:r>
      <w:r>
        <w:rPr>
          <w:rFonts w:hint="eastAsia" w:ascii="仿宋" w:hAnsi="仿宋" w:eastAsia="仿宋" w:cs="仿宋"/>
          <w:b w:val="0"/>
          <w:bCs/>
          <w:sz w:val="32"/>
          <w:szCs w:val="32"/>
        </w:rPr>
        <w:t>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96610"/>
      <w:bookmarkStart w:id="37" w:name="_Toc15377218"/>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56.03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8.28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56.03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cs="仿宋"/>
          <w:sz w:val="32"/>
          <w:szCs w:val="32"/>
          <w:highlight w:val="none"/>
          <w:lang w:val="en-US" w:eastAsia="zh-CN"/>
        </w:rPr>
        <w:t>本年度高铁站运行经费增加</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峨眉山市铁路服务中心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21.8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6.66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43.93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b w:val="0"/>
          <w:bCs w:val="0"/>
          <w:sz w:val="32"/>
          <w:szCs w:val="32"/>
          <w:lang w:eastAsia="zh-CN"/>
        </w:rPr>
        <w:t>人员项目增加，各类支出相应增加</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峨眉山市铁路服务中心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1.31</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1.31</w:t>
      </w:r>
      <w:r>
        <w:rPr>
          <w:rFonts w:hint="eastAsia" w:ascii="仿宋_GB2312" w:hAnsi="仿宋_GB2312" w:eastAsia="仿宋_GB2312" w:cs="仿宋_GB2312"/>
          <w:color w:val="auto"/>
          <w:kern w:val="2"/>
          <w:sz w:val="32"/>
          <w:szCs w:val="32"/>
          <w:highlight w:val="none"/>
          <w:lang w:val="en-US" w:eastAsia="zh-CN" w:bidi="ar-SA"/>
        </w:rPr>
        <w:t>万元。主要用于</w:t>
      </w:r>
      <w:r>
        <w:rPr>
          <w:rFonts w:hint="default" w:ascii="仿宋_GB2312" w:hAnsi="仿宋_GB2312"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年度公务用车维修费1.04万元，</w:t>
      </w:r>
      <w:r>
        <w:rPr>
          <w:rFonts w:hint="default" w:ascii="仿宋_GB2312" w:hAnsi="仿宋_GB2312"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年度公务用车保险费0.27万元。授予中小企业合同金额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峨眉山市铁路服务中心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 w:hAnsi="仿宋" w:eastAsia="仿宋" w:cs="仿宋"/>
          <w:b w:val="0"/>
          <w:bCs w:val="0"/>
          <w:sz w:val="32"/>
          <w:szCs w:val="32"/>
          <w:highlight w:val="none"/>
        </w:rPr>
        <w:t>其他用车主要是</w:t>
      </w:r>
      <w:r>
        <w:rPr>
          <w:rFonts w:hint="eastAsia" w:ascii="仿宋" w:hAnsi="仿宋" w:eastAsia="仿宋" w:cs="仿宋"/>
          <w:b w:val="0"/>
          <w:bCs/>
          <w:sz w:val="32"/>
          <w:szCs w:val="32"/>
          <w:highlight w:val="none"/>
        </w:rPr>
        <w:t>主要用于</w:t>
      </w:r>
      <w:r>
        <w:rPr>
          <w:rFonts w:hint="eastAsia" w:ascii="仿宋" w:hAnsi="仿宋" w:eastAsia="仿宋" w:cs="仿宋"/>
          <w:b w:val="0"/>
          <w:bCs/>
          <w:sz w:val="32"/>
          <w:szCs w:val="32"/>
          <w:highlight w:val="none"/>
          <w:lang w:val="en-US" w:eastAsia="zh-CN"/>
        </w:rPr>
        <w:t>高铁站场管理、零星交安项目推进</w:t>
      </w:r>
      <w:r>
        <w:rPr>
          <w:rFonts w:hint="eastAsia" w:ascii="仿宋" w:hAnsi="仿宋" w:eastAsia="仿宋" w:cs="仿宋"/>
          <w:b w:val="0"/>
          <w:bCs w:val="0"/>
          <w:sz w:val="32"/>
          <w:szCs w:val="32"/>
        </w:rPr>
        <w:t>。</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w:t>
      </w:r>
      <w:r>
        <w:rPr>
          <w:rFonts w:hint="eastAsia" w:ascii="仿宋_GB2312" w:hAnsi="Times New Roman" w:eastAsia="仿宋_GB2312" w:cs="Times New Roman"/>
          <w:color w:val="auto"/>
          <w:sz w:val="32"/>
          <w:szCs w:val="32"/>
          <w:highlight w:val="none"/>
          <w:lang w:eastAsia="zh-CN"/>
        </w:rPr>
        <w:t>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eastAsia="仿宋_GB2312"/>
          <w:sz w:val="32"/>
          <w:szCs w:val="32"/>
        </w:rPr>
        <w:t>组织对</w:t>
      </w:r>
      <w:r>
        <w:rPr>
          <w:rFonts w:hint="eastAsia" w:ascii="仿宋_GB2312" w:eastAsia="仿宋_GB2312"/>
          <w:sz w:val="32"/>
          <w:szCs w:val="32"/>
          <w:lang w:val="en-US" w:eastAsia="zh-CN"/>
        </w:rPr>
        <w:t>高铁峨眉山站安保服务项目1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3</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3</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3</w:t>
      </w:r>
      <w:r>
        <w:rPr>
          <w:rFonts w:hint="eastAsia" w:ascii="仿宋_GB2312" w:eastAsia="仿宋_GB2312"/>
          <w:sz w:val="32"/>
          <w:szCs w:val="32"/>
        </w:rPr>
        <w:t>个项目开展绩效自评，绩效自评表详见第四部分附件。</w:t>
      </w:r>
    </w:p>
    <w:p>
      <w:pPr>
        <w:pStyle w:val="13"/>
        <w:rPr>
          <w:rFonts w:hint="eastAsia" w:ascii="Times New Roman" w:hAnsi="Times New Roman" w:eastAsia="仿宋_GB2312" w:cs="仿宋_GB2312"/>
          <w:color w:val="auto"/>
          <w:kern w:val="2"/>
          <w:sz w:val="32"/>
          <w:szCs w:val="32"/>
          <w:highlight w:val="none"/>
          <w:lang w:val="en-US" w:eastAsia="zh-CN" w:bidi="ar-SA"/>
        </w:rPr>
      </w:pPr>
    </w:p>
    <w:p>
      <w:pPr>
        <w:pStyle w:val="7"/>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（类）行政事业单位养老支出（款）机关事业单位基本养老保险缴费支出（项）：指机关事业单位实施养老保险制度由单位缴纳的基本养老保险费支出。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（类）行政事业单位养老支出（款）机关事业单位职业年金缴费支出（项）:指机关事业单位实施养老保险制度由单位实际缴纳的职业年金支出</w:t>
      </w:r>
      <w:r>
        <w:rPr>
          <w:rFonts w:hint="eastAsia" w:eastAsia="仿宋_GB2312" w:cs="仿宋_GB2312"/>
          <w:color w:val="auto"/>
          <w:kern w:val="2"/>
          <w:sz w:val="32"/>
          <w:szCs w:val="32"/>
          <w:highlight w:val="none"/>
          <w:lang w:val="en-US" w:eastAsia="zh-CN" w:bidi="ar-SA"/>
        </w:rPr>
        <w:t>（含职业年金补记支出）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（类）抚恤（款）死亡抚恤（项）: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按规定用于烈士和牺牲、病故人员家属的一次性和定期抚恤金以及丧葬补助费</w:t>
      </w:r>
      <w:r>
        <w:rPr>
          <w:rFonts w:hint="eastAsia" w:eastAsia="仿宋_GB2312" w:cs="仿宋_GB2312"/>
          <w:color w:val="auto"/>
          <w:kern w:val="2"/>
          <w:sz w:val="32"/>
          <w:szCs w:val="32"/>
          <w:highlight w:val="none"/>
          <w:lang w:val="en-US" w:eastAsia="zh-CN" w:bidi="ar-SA"/>
        </w:rPr>
        <w:t>以及烈士褒扬金</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（类）抚恤（款）其他优抚支出（项）: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除上述项目以外其他用于优抚方面的支出，包括向优抚对象发放的价格临时补贴、老烈士子女、老党员定期生活补助等支出。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（类）其他社会保障和就业支出（款）其他社会保障和就业支出（项）:指其他用于社会保障和就业方面的支出。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财政部门安排的行政单位（包括实行公务员管理的事业单位，下同）基本医疗保险缴费经费，未参加医疗保险的行政单位的公费医疗经费，按国家规定享受离退休人员、红军老战士待遇人员的医疗经费。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（类）行政事业单位医疗（款）公务员医疗补助（项）: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财政部安排的公务员医疗补助经费。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.交通运输支出（类）公路水路运输（款）行政运行（项）：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与公路、水路运输相关的行政单（包括实行公务员管理的事业单位）的基本支出。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.交通运输支出（类）公路水路运输（款）一般行政管理事务（项）：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行政单位（包括实行公务员管理的事业单位）未单独设置项级科目的其他项目支出。</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.交通运输支出（类）公路水路运输（款）其他公路水路运输支出（项）：指</w:t>
      </w:r>
      <w:r>
        <w:rPr>
          <w:rFonts w:hint="eastAsia" w:eastAsia="仿宋_GB2312" w:cs="仿宋_GB2312"/>
          <w:color w:val="auto"/>
          <w:kern w:val="2"/>
          <w:sz w:val="32"/>
          <w:szCs w:val="32"/>
          <w:highlight w:val="none"/>
          <w:lang w:val="en-US" w:eastAsia="zh-CN" w:bidi="ar-SA"/>
        </w:rPr>
        <w:t>其他用于公路水路运输方面的支出。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.住房保障</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（类）住房改革支出（款）住房公积金（项）:指行政事业单位按人力资源和社会保障部、财政部规定的基本工资和津贴补贴以及规定比例为职工缴纳的住房公积金。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7" w:name="_Toc15377226"/>
    </w:p>
    <w:p>
      <w:pPr>
        <w:rPr>
          <w:rFonts w:hint="eastAsia"/>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spacing w:line="600" w:lineRule="exact"/>
        <w:jc w:val="center"/>
        <w:outlineLvl w:val="0"/>
        <w:rPr>
          <w:rFonts w:hint="eastAsia"/>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hAnsi="Times New Roman" w:cs="Times New Roman"/>
          <w:sz w:val="32"/>
          <w:szCs w:val="32"/>
          <w:highlight w:val="none"/>
          <w:lang w:val="en-US" w:eastAsia="zh-CN"/>
        </w:rPr>
        <w:t>部门预算项目支出绩效自评表（2024年度</w:t>
      </w:r>
    </w:p>
    <w:p>
      <w:pPr>
        <w:pStyle w:val="7"/>
        <w:ind w:left="0" w:leftChars="0" w:firstLine="0" w:firstLineChars="0"/>
        <w:rPr>
          <w:rFonts w:hint="eastAsia"/>
          <w:lang w:val="en-US" w:eastAsia="zh-CN"/>
        </w:r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1"/>
        <w:gridCol w:w="2258"/>
        <w:gridCol w:w="520"/>
        <w:gridCol w:w="1672"/>
        <w:gridCol w:w="520"/>
        <w:gridCol w:w="1090"/>
        <w:gridCol w:w="505"/>
        <w:gridCol w:w="486"/>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51118122T000000347446-高铁站工作运行经费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峨眉山市铁路服务中心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用于高铁站设施设备的维护采购，水电费、物业管理费、办公费以及各派驻站场部门的协调等工作经费，确保高铁站秩序运行正常，完成上级领导交办的各项应急工作任务。</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用于高铁站设施设备的维护采购，水电费、物业管理费、办公费以及各派驻站场部门的协调等工作经费。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设施设备检查次数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站场秩序畅通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方便广大群众出行需求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优良 </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倡导绿色出行，减少碳排放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确保高铁站长期稳定运行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加强高铁站场的管理维护，确保高铁站场秩序正常，方便广大人民群众便捷畅通出行，促进全市经济快速发展。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项目负责人：彭清</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51118122T000005648108-铁路服务中心建设项目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峨眉山市铁路服务中心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交通运输局的部署和安排，承担相应的交通建设活动，确保交通建设工作的正常开展。包括2019年农村公路交安建设项目、2020年生命安全防护（村道交安）项目、省道306线20.3KM至25.6KM道路两侧水渠增设安全护栏项目、调整区间测速路段标线实施标志标牌及道路标线项目、公路零星交安设施维修工作以、完善峨眉山市道路交通标志、标线项目以及市道路运输服务中心办公楼屋顶防水维修工程等。</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按照市交通运输局的部署和安排，承担相应的交通建设活动，确保交通建设工作的正常开展。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交通便捷改善程度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推进交通建设，促进地方经济发展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确保交通建设工作的正常开展。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项目负责人：彭清</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51118123T000008954779-高铁站运行经费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峨眉山市铁路服务中心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通过该项目的实施，更好的维护好高铁站站场秩序，做好铁路运输与地方政府之间的协调，确保高铁站秩序运行正常，为广大旅客创造良好的旅游乘车环境，促进我市旅游经济向好发展。</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用于高铁站设施设备的维护采购，水电费、物业管理费、办公费以及各派驻站场部门的协调等工作经费。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231.42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231.42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设施设备检查次数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站场秩序通畅率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2023年-2027年完成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方便广大群众出行需求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确保高铁站长期稳定运行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231.42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加强高铁站场的管理维护，确保高铁站场秩序正常，方便广大人民群众便捷畅通出行，促进全市经济快速发展。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项目负责人：彭清</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bl>
    <w:p>
      <w:pPr>
        <w:pStyle w:val="7"/>
        <w:rPr>
          <w:rFonts w:hint="eastAsia" w:hAnsi="Times New Roman" w:cs="Times New Roman"/>
          <w:sz w:val="32"/>
          <w:szCs w:val="32"/>
          <w:highlight w:val="none"/>
          <w:lang w:val="en-US" w:eastAsia="zh-CN"/>
        </w:rPr>
      </w:pPr>
    </w:p>
    <w:p>
      <w:pPr>
        <w:pStyle w:val="7"/>
        <w:ind w:left="0" w:leftChars="0" w:firstLine="0" w:firstLineChars="0"/>
        <w:rPr>
          <w:rFonts w:hint="eastAsia" w:hAnsi="Times New Roman" w:cs="Times New Roman"/>
          <w:sz w:val="32"/>
          <w:szCs w:val="32"/>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pPr>
        <w:widowControl/>
        <w:jc w:val="center"/>
        <w:rPr>
          <w:rFonts w:hint="eastAsia" w:ascii="Times New Roman" w:hAnsi="Times New Roman" w:eastAsia="仿宋"/>
          <w:b w:val="0"/>
          <w:color w:val="auto"/>
          <w:highlight w:val="none"/>
        </w:rPr>
      </w:pPr>
      <w:bookmarkStart w:id="48"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8"/>
      <w:bookmarkStart w:id="49"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0"/>
      <w:r>
        <w:rPr>
          <w:rFonts w:hint="eastAsia" w:ascii="Times New Roman" w:hAnsi="Times New Roman" w:eastAsia="仿宋_GB2312" w:cs="仿宋_GB2312"/>
          <w:color w:val="auto"/>
          <w:sz w:val="32"/>
          <w:szCs w:val="32"/>
          <w:highlight w:val="none"/>
        </w:rPr>
        <w:t>二、收入决算表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1"/>
      <w:r>
        <w:rPr>
          <w:rFonts w:hint="eastAsia" w:ascii="Times New Roman" w:hAnsi="Times New Roman" w:eastAsia="仿宋_GB2312" w:cs="仿宋_GB2312"/>
          <w:color w:val="auto"/>
          <w:sz w:val="32"/>
          <w:szCs w:val="32"/>
          <w:highlight w:val="none"/>
        </w:rPr>
        <w:t>三、支出决算表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2"/>
      <w:r>
        <w:rPr>
          <w:rFonts w:hint="eastAsia" w:ascii="Times New Roman" w:hAnsi="Times New Roman" w:eastAsia="仿宋_GB2312" w:cs="仿宋_GB2312"/>
          <w:color w:val="auto"/>
          <w:sz w:val="32"/>
          <w:szCs w:val="32"/>
          <w:highlight w:val="none"/>
        </w:rPr>
        <w:t>四、财政拨款收入支出决算总表</w:t>
      </w:r>
      <w:bookmarkEnd w:id="5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3"/>
      <w:r>
        <w:rPr>
          <w:rFonts w:hint="eastAsia" w:ascii="Times New Roman" w:hAnsi="Times New Roman" w:eastAsia="仿宋_GB2312" w:cs="仿宋_GB2312"/>
          <w:color w:val="auto"/>
          <w:sz w:val="32"/>
          <w:szCs w:val="32"/>
          <w:highlight w:val="none"/>
        </w:rPr>
        <w:t>五、财政拨款支出决算明细表</w:t>
      </w:r>
      <w:bookmarkEnd w:id="53"/>
      <w:bookmarkStart w:id="54"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5"/>
      <w:r>
        <w:rPr>
          <w:rFonts w:hint="eastAsia" w:ascii="Times New Roman" w:hAnsi="Times New Roman" w:eastAsia="仿宋_GB2312" w:cs="仿宋_GB2312"/>
          <w:color w:val="auto"/>
          <w:sz w:val="32"/>
          <w:szCs w:val="32"/>
          <w:highlight w:val="none"/>
        </w:rPr>
        <w:t>七、一般公共预算财政拨款支出决算明细表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6"/>
      <w:r>
        <w:rPr>
          <w:rFonts w:hint="eastAsia" w:ascii="Times New Roman" w:hAnsi="Times New Roman" w:eastAsia="仿宋_GB2312" w:cs="仿宋_GB2312"/>
          <w:color w:val="auto"/>
          <w:sz w:val="32"/>
          <w:szCs w:val="32"/>
          <w:highlight w:val="none"/>
        </w:rPr>
        <w:t>八、一般公共预算财政拨款基本支出决算表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7"/>
      <w:r>
        <w:rPr>
          <w:rFonts w:hint="eastAsia" w:ascii="Times New Roman" w:hAnsi="Times New Roman" w:eastAsia="仿宋_GB2312" w:cs="仿宋_GB2312"/>
          <w:color w:val="auto"/>
          <w:sz w:val="32"/>
          <w:szCs w:val="32"/>
          <w:highlight w:val="none"/>
        </w:rPr>
        <w:t>九、一般公共预算财政拨款项目支出决算表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8"/>
      <w:r>
        <w:rPr>
          <w:rFonts w:hint="eastAsia" w:ascii="Times New Roman" w:hAnsi="Times New Roman" w:eastAsia="仿宋_GB2312" w:cs="仿宋_GB2312"/>
          <w:color w:val="auto"/>
          <w:sz w:val="32"/>
          <w:szCs w:val="32"/>
          <w:highlight w:val="none"/>
        </w:rPr>
        <w:t>十、</w:t>
      </w:r>
      <w:bookmarkEnd w:id="58"/>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9"/>
      <w:r>
        <w:rPr>
          <w:rFonts w:hint="eastAsia" w:ascii="Times New Roman" w:hAnsi="Times New Roman" w:eastAsia="仿宋_GB2312" w:cs="仿宋_GB2312"/>
          <w:color w:val="auto"/>
          <w:sz w:val="32"/>
          <w:szCs w:val="32"/>
          <w:highlight w:val="none"/>
        </w:rPr>
        <w:t>十一、</w:t>
      </w:r>
      <w:bookmarkEnd w:id="5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30"/>
      <w:r>
        <w:rPr>
          <w:rFonts w:hint="eastAsia" w:ascii="Times New Roman" w:hAnsi="Times New Roman" w:eastAsia="仿宋_GB2312" w:cs="仿宋_GB2312"/>
          <w:color w:val="auto"/>
          <w:sz w:val="32"/>
          <w:szCs w:val="32"/>
          <w:highlight w:val="none"/>
        </w:rPr>
        <w:t>十二、</w:t>
      </w:r>
      <w:bookmarkEnd w:id="60"/>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1" w:name="_Toc15396631"/>
      <w:r>
        <w:rPr>
          <w:rFonts w:hint="eastAsia" w:ascii="Times New Roman" w:hAnsi="Times New Roman" w:eastAsia="仿宋_GB2312" w:cs="仿宋_GB2312"/>
          <w:color w:val="auto"/>
          <w:sz w:val="32"/>
          <w:szCs w:val="32"/>
          <w:highlight w:val="none"/>
        </w:rPr>
        <w:t>十三、</w:t>
      </w:r>
      <w:bookmarkEnd w:id="61"/>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t xml:space="preserve"> —</w:t>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2U3ZDdmY2FmN2RkYTRiNjZhZTc1ZmI3MGNjMD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8B5FE1"/>
    <w:rsid w:val="04916F1E"/>
    <w:rsid w:val="04AD45A6"/>
    <w:rsid w:val="05F62EFB"/>
    <w:rsid w:val="061E35DE"/>
    <w:rsid w:val="066E0107"/>
    <w:rsid w:val="07996F6E"/>
    <w:rsid w:val="07DFD8BA"/>
    <w:rsid w:val="09867E8F"/>
    <w:rsid w:val="09987187"/>
    <w:rsid w:val="0A2032A3"/>
    <w:rsid w:val="0C1B4CA0"/>
    <w:rsid w:val="0CA8290A"/>
    <w:rsid w:val="0D35B1ED"/>
    <w:rsid w:val="0D632446"/>
    <w:rsid w:val="0E254B6B"/>
    <w:rsid w:val="0F98263C"/>
    <w:rsid w:val="100442BE"/>
    <w:rsid w:val="101860EC"/>
    <w:rsid w:val="101F47CC"/>
    <w:rsid w:val="104430E9"/>
    <w:rsid w:val="10C055FF"/>
    <w:rsid w:val="11694EBD"/>
    <w:rsid w:val="11772AA4"/>
    <w:rsid w:val="118107EC"/>
    <w:rsid w:val="11963E18"/>
    <w:rsid w:val="12E24EE2"/>
    <w:rsid w:val="13D50BC4"/>
    <w:rsid w:val="14460DAE"/>
    <w:rsid w:val="14B17F78"/>
    <w:rsid w:val="14DE4DD2"/>
    <w:rsid w:val="15F92DE9"/>
    <w:rsid w:val="164756E1"/>
    <w:rsid w:val="165E0673"/>
    <w:rsid w:val="16B831D5"/>
    <w:rsid w:val="16BB723D"/>
    <w:rsid w:val="17E50567"/>
    <w:rsid w:val="1861314D"/>
    <w:rsid w:val="186504BB"/>
    <w:rsid w:val="19A445FC"/>
    <w:rsid w:val="1BE8440E"/>
    <w:rsid w:val="1C676ADD"/>
    <w:rsid w:val="1D155CEE"/>
    <w:rsid w:val="1D1638FE"/>
    <w:rsid w:val="1E312DEB"/>
    <w:rsid w:val="1E740ACF"/>
    <w:rsid w:val="1FF35744"/>
    <w:rsid w:val="1FF6BC77"/>
    <w:rsid w:val="20564ADE"/>
    <w:rsid w:val="2186353C"/>
    <w:rsid w:val="221C35A3"/>
    <w:rsid w:val="23151041"/>
    <w:rsid w:val="23860B96"/>
    <w:rsid w:val="240371BF"/>
    <w:rsid w:val="244F3473"/>
    <w:rsid w:val="24C97D99"/>
    <w:rsid w:val="25A718F0"/>
    <w:rsid w:val="25BB59F6"/>
    <w:rsid w:val="2604714B"/>
    <w:rsid w:val="260F557C"/>
    <w:rsid w:val="261455E0"/>
    <w:rsid w:val="261726CA"/>
    <w:rsid w:val="26970054"/>
    <w:rsid w:val="269C0FD7"/>
    <w:rsid w:val="26B66F33"/>
    <w:rsid w:val="27822A1D"/>
    <w:rsid w:val="27FB35C5"/>
    <w:rsid w:val="2811744B"/>
    <w:rsid w:val="281408E2"/>
    <w:rsid w:val="28D92B11"/>
    <w:rsid w:val="29571F99"/>
    <w:rsid w:val="29FD04D3"/>
    <w:rsid w:val="2A4913D9"/>
    <w:rsid w:val="2B635724"/>
    <w:rsid w:val="2BFF7BC6"/>
    <w:rsid w:val="2C8A61B5"/>
    <w:rsid w:val="2C97069E"/>
    <w:rsid w:val="2CF25F4F"/>
    <w:rsid w:val="2DDB2E87"/>
    <w:rsid w:val="2DF04E50"/>
    <w:rsid w:val="2E586DFA"/>
    <w:rsid w:val="2F040D46"/>
    <w:rsid w:val="2F6B035B"/>
    <w:rsid w:val="2FAE5751"/>
    <w:rsid w:val="2FB1A395"/>
    <w:rsid w:val="2FD9A7D8"/>
    <w:rsid w:val="2FDBF714"/>
    <w:rsid w:val="30522262"/>
    <w:rsid w:val="30AB6865"/>
    <w:rsid w:val="30BF3D46"/>
    <w:rsid w:val="30EA0FDD"/>
    <w:rsid w:val="313E1763"/>
    <w:rsid w:val="319F7F4E"/>
    <w:rsid w:val="32BD1EF1"/>
    <w:rsid w:val="3304709D"/>
    <w:rsid w:val="33A773CB"/>
    <w:rsid w:val="349D6851"/>
    <w:rsid w:val="34FB4A45"/>
    <w:rsid w:val="35BF1EA4"/>
    <w:rsid w:val="36AA5135"/>
    <w:rsid w:val="36BE0DA7"/>
    <w:rsid w:val="376B6AA6"/>
    <w:rsid w:val="376D39B2"/>
    <w:rsid w:val="37E16F03"/>
    <w:rsid w:val="37F53A3B"/>
    <w:rsid w:val="387E4ADF"/>
    <w:rsid w:val="389B6C89"/>
    <w:rsid w:val="38B56F92"/>
    <w:rsid w:val="38D469F0"/>
    <w:rsid w:val="39627CCD"/>
    <w:rsid w:val="397BAF1F"/>
    <w:rsid w:val="3A564F0E"/>
    <w:rsid w:val="3AA67971"/>
    <w:rsid w:val="3AB79AF3"/>
    <w:rsid w:val="3AE834C0"/>
    <w:rsid w:val="3B7EF35A"/>
    <w:rsid w:val="3B9FDB6C"/>
    <w:rsid w:val="3BF5BC2F"/>
    <w:rsid w:val="3C716B5F"/>
    <w:rsid w:val="3CEBA265"/>
    <w:rsid w:val="3D98207C"/>
    <w:rsid w:val="3DEE7CF3"/>
    <w:rsid w:val="3E740A63"/>
    <w:rsid w:val="3E78745D"/>
    <w:rsid w:val="3EE17838"/>
    <w:rsid w:val="3F55381A"/>
    <w:rsid w:val="3F7F7599"/>
    <w:rsid w:val="3FF4CAE0"/>
    <w:rsid w:val="3FF7B227"/>
    <w:rsid w:val="44AD0C81"/>
    <w:rsid w:val="44E268DA"/>
    <w:rsid w:val="450D13D7"/>
    <w:rsid w:val="45506656"/>
    <w:rsid w:val="466E0464"/>
    <w:rsid w:val="468477C0"/>
    <w:rsid w:val="478A29C8"/>
    <w:rsid w:val="486A6C7A"/>
    <w:rsid w:val="493E78C2"/>
    <w:rsid w:val="4A627F82"/>
    <w:rsid w:val="4A7716D8"/>
    <w:rsid w:val="4AAF5028"/>
    <w:rsid w:val="4B0E749A"/>
    <w:rsid w:val="4B2477C4"/>
    <w:rsid w:val="4B427C4A"/>
    <w:rsid w:val="4B4F25DA"/>
    <w:rsid w:val="4BE068DB"/>
    <w:rsid w:val="4C123AC0"/>
    <w:rsid w:val="4D577224"/>
    <w:rsid w:val="4DBF1CEB"/>
    <w:rsid w:val="4DF0007C"/>
    <w:rsid w:val="4EAB630A"/>
    <w:rsid w:val="4ECE2238"/>
    <w:rsid w:val="4F833267"/>
    <w:rsid w:val="4F962CE1"/>
    <w:rsid w:val="4FE9BD67"/>
    <w:rsid w:val="4FFB052F"/>
    <w:rsid w:val="50EF5335"/>
    <w:rsid w:val="51C40673"/>
    <w:rsid w:val="537E6D0A"/>
    <w:rsid w:val="53F74C96"/>
    <w:rsid w:val="541F1F16"/>
    <w:rsid w:val="54245AA8"/>
    <w:rsid w:val="55170BA8"/>
    <w:rsid w:val="553218C9"/>
    <w:rsid w:val="567E1AA5"/>
    <w:rsid w:val="56E47B74"/>
    <w:rsid w:val="56F21423"/>
    <w:rsid w:val="57175D52"/>
    <w:rsid w:val="578955A8"/>
    <w:rsid w:val="57BD3DD4"/>
    <w:rsid w:val="5AA010DA"/>
    <w:rsid w:val="5ACC12DE"/>
    <w:rsid w:val="5AF92295"/>
    <w:rsid w:val="5B250254"/>
    <w:rsid w:val="5BDD79E6"/>
    <w:rsid w:val="5BF561CA"/>
    <w:rsid w:val="5BFF5DFC"/>
    <w:rsid w:val="5CD71FC4"/>
    <w:rsid w:val="5D0B2831"/>
    <w:rsid w:val="5D1A10B2"/>
    <w:rsid w:val="5D1F11B5"/>
    <w:rsid w:val="5D695134"/>
    <w:rsid w:val="5DAE1B18"/>
    <w:rsid w:val="5DE7D9E5"/>
    <w:rsid w:val="5DFB0858"/>
    <w:rsid w:val="5ECEC941"/>
    <w:rsid w:val="5FBF9FF3"/>
    <w:rsid w:val="5FCD4E2C"/>
    <w:rsid w:val="5FEF394A"/>
    <w:rsid w:val="5FF67715"/>
    <w:rsid w:val="62BF3928"/>
    <w:rsid w:val="62C70D09"/>
    <w:rsid w:val="63B3701E"/>
    <w:rsid w:val="647F5392"/>
    <w:rsid w:val="65E66580"/>
    <w:rsid w:val="661179D5"/>
    <w:rsid w:val="664B1D71"/>
    <w:rsid w:val="664B4E8E"/>
    <w:rsid w:val="67277B67"/>
    <w:rsid w:val="674A086E"/>
    <w:rsid w:val="675B2367"/>
    <w:rsid w:val="67AA3209"/>
    <w:rsid w:val="683F6873"/>
    <w:rsid w:val="698D0931"/>
    <w:rsid w:val="6A7FE5F3"/>
    <w:rsid w:val="6AB25CA6"/>
    <w:rsid w:val="6B053271"/>
    <w:rsid w:val="6BDD78B3"/>
    <w:rsid w:val="6C4A05C8"/>
    <w:rsid w:val="6C8742B8"/>
    <w:rsid w:val="6DBF5E93"/>
    <w:rsid w:val="6DE36778"/>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14100"/>
    <w:rsid w:val="73AB61DA"/>
    <w:rsid w:val="73AD73D5"/>
    <w:rsid w:val="73B6EB34"/>
    <w:rsid w:val="73FA497D"/>
    <w:rsid w:val="744731E5"/>
    <w:rsid w:val="746D20BC"/>
    <w:rsid w:val="74BBD01D"/>
    <w:rsid w:val="74ED5379"/>
    <w:rsid w:val="75C67108"/>
    <w:rsid w:val="75DEEEC2"/>
    <w:rsid w:val="75E32345"/>
    <w:rsid w:val="76CA17AA"/>
    <w:rsid w:val="76E3355F"/>
    <w:rsid w:val="76FF5125"/>
    <w:rsid w:val="77251384"/>
    <w:rsid w:val="773412D2"/>
    <w:rsid w:val="776F6FFA"/>
    <w:rsid w:val="778769C8"/>
    <w:rsid w:val="77A75DCA"/>
    <w:rsid w:val="77DC22F5"/>
    <w:rsid w:val="780C7F46"/>
    <w:rsid w:val="783E271A"/>
    <w:rsid w:val="78616DE9"/>
    <w:rsid w:val="78836275"/>
    <w:rsid w:val="78E875D7"/>
    <w:rsid w:val="79086DAD"/>
    <w:rsid w:val="79D7FD79"/>
    <w:rsid w:val="79EE5BA4"/>
    <w:rsid w:val="7A03027E"/>
    <w:rsid w:val="7A4078C7"/>
    <w:rsid w:val="7A894339"/>
    <w:rsid w:val="7AC63B31"/>
    <w:rsid w:val="7AD284E8"/>
    <w:rsid w:val="7AED6A84"/>
    <w:rsid w:val="7AFF7572"/>
    <w:rsid w:val="7B5034CA"/>
    <w:rsid w:val="7B6C7DFB"/>
    <w:rsid w:val="7BBFBED0"/>
    <w:rsid w:val="7BC3E394"/>
    <w:rsid w:val="7C1F3737"/>
    <w:rsid w:val="7CBE3452"/>
    <w:rsid w:val="7CBFC87B"/>
    <w:rsid w:val="7CFE0F48"/>
    <w:rsid w:val="7D272ABC"/>
    <w:rsid w:val="7D7EC23E"/>
    <w:rsid w:val="7DF113D2"/>
    <w:rsid w:val="7E7C2E97"/>
    <w:rsid w:val="7E8ADEBF"/>
    <w:rsid w:val="7EEF11D3"/>
    <w:rsid w:val="7EFE4840"/>
    <w:rsid w:val="7F0971A6"/>
    <w:rsid w:val="7F1D62E7"/>
    <w:rsid w:val="7F3F679B"/>
    <w:rsid w:val="7F4FC4EF"/>
    <w:rsid w:val="7F5E4D54"/>
    <w:rsid w:val="7F6E0135"/>
    <w:rsid w:val="7F79F205"/>
    <w:rsid w:val="7FA30C79"/>
    <w:rsid w:val="7FA61222"/>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5"/>
    <w:autoRedefine/>
    <w:qFormat/>
    <w:uiPriority w:val="99"/>
    <w:pPr>
      <w:spacing w:beforeLines="30"/>
    </w:pPr>
    <w:rPr>
      <w:rFonts w:ascii="仿宋_GB2312" w:eastAsia="仿宋_GB2312"/>
      <w:kern w:val="0"/>
      <w:sz w:val="30"/>
    </w:rPr>
  </w:style>
  <w:style w:type="paragraph" w:styleId="6">
    <w:name w:val="Body Text Indent"/>
    <w:basedOn w:val="1"/>
    <w:next w:val="7"/>
    <w:autoRedefine/>
    <w:qFormat/>
    <w:uiPriority w:val="0"/>
    <w:pPr>
      <w:spacing w:after="120"/>
      <w:ind w:leftChars="200"/>
    </w:pPr>
    <w:rPr>
      <w:rFonts w:ascii="仿宋_GB2312"/>
      <w:szCs w:val="32"/>
    </w:rPr>
  </w:style>
  <w:style w:type="paragraph" w:styleId="7">
    <w:name w:val="Body Text First Indent 2"/>
    <w:basedOn w:val="6"/>
    <w:next w:val="1"/>
    <w:autoRedefine/>
    <w:unhideWhenUsed/>
    <w:qFormat/>
    <w:uiPriority w:val="99"/>
    <w:pPr>
      <w:ind w:firstLine="420" w:firstLineChars="200"/>
    </w:p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autoRedefine/>
    <w:semiHidden/>
    <w:qFormat/>
    <w:uiPriority w:val="0"/>
    <w:pPr>
      <w:snapToGrid w:val="0"/>
      <w:jc w:val="left"/>
    </w:pPr>
    <w:rPr>
      <w:sz w:val="18"/>
      <w:szCs w:val="18"/>
    </w:rPr>
  </w:style>
  <w:style w:type="paragraph" w:styleId="14">
    <w:name w:val="toc 2"/>
    <w:basedOn w:val="1"/>
    <w:next w:val="1"/>
    <w:autoRedefine/>
    <w:unhideWhenUsed/>
    <w:qFormat/>
    <w:uiPriority w:val="39"/>
    <w:pPr>
      <w:tabs>
        <w:tab w:val="right" w:leader="dot" w:pos="8296"/>
      </w:tabs>
      <w:ind w:left="420" w:leftChars="200"/>
    </w:pPr>
  </w:style>
  <w:style w:type="character" w:styleId="17">
    <w:name w:val="Strong"/>
    <w:basedOn w:val="16"/>
    <w:autoRedefine/>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autoRedefine/>
    <w:semiHidden/>
    <w:qFormat/>
    <w:uiPriority w:val="99"/>
    <w:rPr>
      <w:rFonts w:ascii="Times New Roman" w:hAnsi="Times New Roman"/>
      <w:sz w:val="18"/>
      <w:szCs w:val="18"/>
    </w:rPr>
  </w:style>
  <w:style w:type="character" w:customStyle="1" w:styleId="21">
    <w:name w:val="页眉 Char"/>
    <w:link w:val="11"/>
    <w:autoRedefine/>
    <w:semiHidden/>
    <w:qFormat/>
    <w:locked/>
    <w:uiPriority w:val="99"/>
    <w:rPr>
      <w:sz w:val="18"/>
    </w:rPr>
  </w:style>
  <w:style w:type="character" w:customStyle="1" w:styleId="22">
    <w:name w:val="Footer Char"/>
    <w:basedOn w:val="16"/>
    <w:autoRedefine/>
    <w:semiHidden/>
    <w:qFormat/>
    <w:uiPriority w:val="99"/>
    <w:rPr>
      <w:rFonts w:ascii="Times New Roman" w:hAnsi="Times New Roman"/>
      <w:sz w:val="18"/>
      <w:szCs w:val="18"/>
    </w:rPr>
  </w:style>
  <w:style w:type="character" w:customStyle="1" w:styleId="23">
    <w:name w:val="页脚 Char"/>
    <w:link w:val="10"/>
    <w:autoRedefine/>
    <w:qFormat/>
    <w:locked/>
    <w:uiPriority w:val="99"/>
    <w:rPr>
      <w:sz w:val="18"/>
    </w:rPr>
  </w:style>
  <w:style w:type="character" w:customStyle="1" w:styleId="24">
    <w:name w:val="Body Text Char"/>
    <w:basedOn w:val="16"/>
    <w:autoRedefine/>
    <w:semiHidden/>
    <w:qFormat/>
    <w:uiPriority w:val="99"/>
    <w:rPr>
      <w:rFonts w:ascii="Times New Roman" w:hAnsi="Times New Roman"/>
      <w:szCs w:val="24"/>
    </w:rPr>
  </w:style>
  <w:style w:type="character" w:customStyle="1" w:styleId="25">
    <w:name w:val="正文文本 Char"/>
    <w:link w:val="2"/>
    <w:autoRedefine/>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autoRedefine/>
    <w:qFormat/>
    <w:uiPriority w:val="34"/>
    <w:pPr>
      <w:ind w:firstLine="420" w:firstLineChars="200"/>
    </w:pPr>
  </w:style>
  <w:style w:type="character" w:customStyle="1" w:styleId="28">
    <w:name w:val="标题 1 Char"/>
    <w:basedOn w:val="16"/>
    <w:link w:val="3"/>
    <w:autoRedefine/>
    <w:qFormat/>
    <w:uiPriority w:val="9"/>
    <w:rPr>
      <w:rFonts w:ascii="Times New Roman" w:hAnsi="Times New Roman"/>
      <w:b/>
      <w:bCs/>
      <w:kern w:val="44"/>
      <w:sz w:val="44"/>
      <w:szCs w:val="44"/>
    </w:rPr>
  </w:style>
  <w:style w:type="character" w:customStyle="1" w:styleId="29">
    <w:name w:val="标题 2 Char"/>
    <w:basedOn w:val="16"/>
    <w:link w:val="4"/>
    <w:autoRedefine/>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autoRedefine/>
    <w:semiHidden/>
    <w:qFormat/>
    <w:uiPriority w:val="99"/>
    <w:rPr>
      <w:rFonts w:ascii="Times New Roman" w:hAnsi="Times New Roman"/>
      <w:kern w:val="2"/>
      <w:sz w:val="18"/>
      <w:szCs w:val="18"/>
    </w:rPr>
  </w:style>
  <w:style w:type="character" w:customStyle="1" w:styleId="32">
    <w:name w:val="标题 3 Char"/>
    <w:basedOn w:val="16"/>
    <w:link w:val="5"/>
    <w:autoRedefine/>
    <w:qFormat/>
    <w:uiPriority w:val="9"/>
    <w:rPr>
      <w:rFonts w:ascii="Times New Roman" w:hAnsi="Times New Roman"/>
      <w:b/>
      <w:bCs/>
      <w:kern w:val="2"/>
      <w:sz w:val="32"/>
      <w:szCs w:val="32"/>
    </w:rPr>
  </w:style>
  <w:style w:type="paragraph" w:customStyle="1" w:styleId="33">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autoRedefine/>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5326</Words>
  <Characters>5844</Characters>
  <Lines>61</Lines>
  <Paragraphs>17</Paragraphs>
  <TotalTime>10</TotalTime>
  <ScaleCrop>false</ScaleCrop>
  <LinksUpToDate>false</LinksUpToDate>
  <CharactersWithSpaces>5889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彭玲</cp:lastModifiedBy>
  <cp:lastPrinted>2025-12-04T01:28:05Z</cp:lastPrinted>
  <dcterms:modified xsi:type="dcterms:W3CDTF">2025-12-04T01:30:03Z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04787F2533EB45DC91BCDE4AB213247F</vt:lpwstr>
  </property>
  <property fmtid="{D5CDD505-2E9C-101B-9397-08002B2CF9AE}" pid="4" name="KSOTemplateDocerSaveRecord">
    <vt:lpwstr>eyJoZGlkIjoiNzRmMDM0Y2UxZDEzMTE5MDVmMzAxYjA2MzhiYTE1NGEiLCJ1c2VySWQiOiIzMjc1MTk4ODkifQ==</vt:lpwstr>
  </property>
</Properties>
</file>