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rPr>
          <w:rFonts w:ascii="Times New Roman" w:eastAsia="方正小标宋简体"/>
          <w:kern w:val="2"/>
          <w:sz w:val="72"/>
          <w:szCs w:val="72"/>
        </w:rPr>
      </w:pPr>
      <w:bookmarkStart w:id="0" w:name="_Toc15377193"/>
      <w:bookmarkStart w:id="1" w:name="_Toc15378441"/>
      <w:bookmarkStart w:id="2" w:name="_Toc15306267"/>
      <w:bookmarkStart w:id="3" w:name="_Toc15377425"/>
      <w:bookmarkStart w:id="4" w:name="_Toc15396597"/>
      <w:bookmarkStart w:id="5" w:name="_Toc15396475"/>
    </w:p>
    <w:p>
      <w:pPr>
        <w:pStyle w:val="2"/>
        <w:spacing w:before="93"/>
        <w:rPr>
          <w:rFonts w:ascii="Times New Roman" w:eastAsia="方正小标宋简体"/>
          <w:kern w:val="2"/>
          <w:sz w:val="72"/>
          <w:szCs w:val="72"/>
        </w:rPr>
      </w:pPr>
    </w:p>
    <w:p>
      <w:pPr>
        <w:pStyle w:val="2"/>
        <w:spacing w:before="93"/>
        <w:rPr>
          <w:rFonts w:ascii="Times New Roman" w:eastAsia="方正小标宋简体"/>
          <w:kern w:val="2"/>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2024年度</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四川省峨眉山市交通</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建设和运输中心</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p>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p>
    <w:bookmarkEnd w:id="0"/>
    <w:bookmarkEnd w:id="1"/>
    <w:bookmarkEnd w:id="2"/>
    <w:bookmarkEnd w:id="3"/>
    <w:bookmarkEnd w:id="4"/>
    <w:bookmarkEnd w:id="5"/>
    <w:p>
      <w:pPr>
        <w:widowControl/>
        <w:jc w:val="center"/>
        <w:rPr>
          <w:rFonts w:eastAsia="黑体"/>
          <w:sz w:val="48"/>
          <w:szCs w:val="48"/>
        </w:rPr>
        <w:sectPr>
          <w:footerReference r:id="rId5" w:type="first"/>
          <w:headerReference r:id="rId3" w:type="default"/>
          <w:footerReference r:id="rId4" w:type="default"/>
          <w:pgSz w:w="11906" w:h="16838"/>
          <w:pgMar w:top="1440" w:right="1800" w:bottom="1440" w:left="1800" w:header="851" w:footer="992" w:gutter="0"/>
          <w:cols w:space="425" w:num="1"/>
          <w:docGrid w:type="lines" w:linePitch="312" w:charSpace="0"/>
        </w:sectPr>
      </w:pPr>
    </w:p>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2"/>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 xml:space="preserve">公开时间：2025年12月 </w:t>
      </w:r>
      <w:r>
        <w:rPr>
          <w:rFonts w:hint="eastAsia" w:ascii="Times New Roman" w:hAnsi="Times New Roman" w:eastAsia="仿宋_GB2312" w:cs="仿宋_GB2312"/>
          <w:sz w:val="32"/>
          <w:szCs w:val="32"/>
          <w:highlight w:val="none"/>
          <w:lang w:val="en-US" w:eastAsia="zh-CN"/>
        </w:rPr>
        <w:t>5</w:t>
      </w:r>
      <w:bookmarkStart w:id="63" w:name="_GoBack"/>
      <w:bookmarkEnd w:id="63"/>
      <w:r>
        <w:rPr>
          <w:rFonts w:hint="eastAsia" w:ascii="Times New Roman" w:hAnsi="Times New Roman" w:eastAsia="仿宋_GB2312" w:cs="仿宋_GB2312"/>
          <w:sz w:val="32"/>
          <w:szCs w:val="32"/>
          <w:highlight w:val="none"/>
        </w:rPr>
        <w:t xml:space="preserve"> 日</w:t>
      </w:r>
    </w:p>
    <w:p/>
    <w:p>
      <w:pPr>
        <w:pStyle w:val="12"/>
        <w:adjustRightInd w:val="0"/>
        <w:snapToGrid w:val="0"/>
        <w:spacing w:before="0" w:line="560" w:lineRule="exact"/>
        <w:jc w:val="left"/>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t>第一部分 单位概况</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3</w:t>
      </w:r>
    </w:p>
    <w:p>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一、主要职责</w:t>
      </w:r>
      <w:r>
        <w:rPr>
          <w:rFonts w:hint="eastAsia" w:eastAsia="仿宋_GB2312" w:cs="仿宋_GB2312"/>
          <w:sz w:val="32"/>
          <w:szCs w:val="32"/>
        </w:rPr>
        <w:tab/>
      </w:r>
      <w:r>
        <w:rPr>
          <w:rFonts w:hint="eastAsia" w:eastAsia="仿宋_GB2312" w:cs="仿宋_GB2312"/>
          <w:sz w:val="32"/>
          <w:szCs w:val="32"/>
          <w:lang w:val="en-US" w:eastAsia="zh-CN"/>
        </w:rPr>
        <w:t>3</w:t>
      </w:r>
    </w:p>
    <w:p>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二、机构设置</w:t>
      </w:r>
      <w:r>
        <w:rPr>
          <w:rFonts w:hint="eastAsia" w:eastAsia="仿宋_GB2312" w:cs="仿宋_GB2312"/>
          <w:sz w:val="32"/>
          <w:szCs w:val="32"/>
        </w:rPr>
        <w:tab/>
      </w:r>
      <w:r>
        <w:rPr>
          <w:rFonts w:hint="eastAsia" w:eastAsia="仿宋_GB2312" w:cs="仿宋_GB2312"/>
          <w:sz w:val="32"/>
          <w:szCs w:val="32"/>
          <w:lang w:val="en-US" w:eastAsia="zh-CN"/>
        </w:rPr>
        <w:t>3</w:t>
      </w:r>
    </w:p>
    <w:p>
      <w:pPr>
        <w:pStyle w:val="12"/>
        <w:adjustRightInd w:val="0"/>
        <w:snapToGrid w:val="0"/>
        <w:spacing w:before="0" w:line="560" w:lineRule="exact"/>
        <w:jc w:val="left"/>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t>第二部分 2024年度单位决算情况说明</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4</w:t>
      </w:r>
    </w:p>
    <w:p>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一、收入支出决算总体情况说明</w:t>
      </w:r>
      <w:r>
        <w:rPr>
          <w:rFonts w:hint="eastAsia" w:eastAsia="仿宋_GB2312" w:cs="仿宋_GB2312"/>
          <w:sz w:val="32"/>
          <w:szCs w:val="32"/>
        </w:rPr>
        <w:tab/>
      </w:r>
      <w:r>
        <w:rPr>
          <w:rFonts w:hint="eastAsia" w:eastAsia="仿宋_GB2312" w:cs="仿宋_GB2312"/>
          <w:sz w:val="32"/>
          <w:szCs w:val="32"/>
          <w:lang w:val="en-US" w:eastAsia="zh-CN"/>
        </w:rPr>
        <w:t>4</w:t>
      </w:r>
    </w:p>
    <w:p>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二、收入决算情况说明</w:t>
      </w:r>
      <w:r>
        <w:rPr>
          <w:rFonts w:hint="eastAsia" w:eastAsia="仿宋_GB2312" w:cs="仿宋_GB2312"/>
          <w:sz w:val="32"/>
          <w:szCs w:val="32"/>
        </w:rPr>
        <w:tab/>
      </w:r>
      <w:r>
        <w:rPr>
          <w:rFonts w:hint="eastAsia" w:eastAsia="仿宋_GB2312" w:cs="仿宋_GB2312"/>
          <w:sz w:val="32"/>
          <w:szCs w:val="32"/>
          <w:lang w:val="en-US" w:eastAsia="zh-CN"/>
        </w:rPr>
        <w:t>4</w:t>
      </w:r>
    </w:p>
    <w:p>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三、支出决算情况说明</w:t>
      </w:r>
      <w:r>
        <w:rPr>
          <w:rFonts w:hint="eastAsia" w:eastAsia="仿宋_GB2312" w:cs="仿宋_GB2312"/>
          <w:sz w:val="32"/>
          <w:szCs w:val="32"/>
        </w:rPr>
        <w:tab/>
      </w:r>
      <w:r>
        <w:rPr>
          <w:rFonts w:hint="eastAsia" w:eastAsia="仿宋_GB2312" w:cs="仿宋_GB2312"/>
          <w:sz w:val="32"/>
          <w:szCs w:val="32"/>
          <w:lang w:val="en-US" w:eastAsia="zh-CN"/>
        </w:rPr>
        <w:t>5</w:t>
      </w:r>
    </w:p>
    <w:p>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四、财政拨款收入支出决算总体情况说明</w:t>
      </w:r>
      <w:r>
        <w:rPr>
          <w:rFonts w:hint="eastAsia" w:eastAsia="仿宋_GB2312" w:cs="仿宋_GB2312"/>
          <w:sz w:val="32"/>
          <w:szCs w:val="32"/>
        </w:rPr>
        <w:tab/>
      </w:r>
      <w:r>
        <w:rPr>
          <w:rFonts w:hint="eastAsia" w:eastAsia="仿宋_GB2312" w:cs="仿宋_GB2312"/>
          <w:sz w:val="32"/>
          <w:szCs w:val="32"/>
          <w:lang w:val="en-US" w:eastAsia="zh-CN"/>
        </w:rPr>
        <w:t>6</w:t>
      </w:r>
    </w:p>
    <w:p>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五、一般公共预算财政拨款支出决算情况说明</w:t>
      </w:r>
      <w:r>
        <w:rPr>
          <w:rFonts w:hint="eastAsia" w:eastAsia="仿宋_GB2312" w:cs="仿宋_GB2312"/>
          <w:sz w:val="32"/>
          <w:szCs w:val="32"/>
        </w:rPr>
        <w:tab/>
      </w:r>
      <w:r>
        <w:rPr>
          <w:rFonts w:hint="eastAsia" w:eastAsia="仿宋_GB2312" w:cs="仿宋_GB2312"/>
          <w:sz w:val="32"/>
          <w:szCs w:val="32"/>
          <w:lang w:val="en-US" w:eastAsia="zh-CN"/>
        </w:rPr>
        <w:t>7</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rPr>
        <w:tab/>
      </w:r>
      <w:r>
        <w:rPr>
          <w:rFonts w:hint="eastAsia" w:eastAsia="仿宋_GB2312" w:cs="仿宋_GB2312"/>
          <w:sz w:val="32"/>
          <w:szCs w:val="32"/>
          <w:lang w:val="en-US" w:eastAsia="zh-CN"/>
        </w:rPr>
        <w:t>11</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eastAsia="仿宋_GB2312" w:cs="仿宋_GB2312"/>
          <w:sz w:val="32"/>
          <w:szCs w:val="32"/>
        </w:rPr>
        <w:tab/>
      </w:r>
      <w:r>
        <w:rPr>
          <w:rFonts w:hint="eastAsia" w:eastAsia="仿宋_GB2312" w:cs="仿宋_GB2312"/>
          <w:sz w:val="32"/>
          <w:szCs w:val="32"/>
          <w:lang w:val="en-US" w:eastAsia="zh-CN"/>
        </w:rPr>
        <w:t>11</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rPr>
        <w:tab/>
      </w:r>
      <w:r>
        <w:rPr>
          <w:rFonts w:hint="eastAsia" w:eastAsia="仿宋_GB2312" w:cs="仿宋_GB2312"/>
          <w:sz w:val="32"/>
          <w:szCs w:val="32"/>
          <w:lang w:val="en-US" w:eastAsia="zh-CN"/>
        </w:rPr>
        <w:t>14</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rPr>
        <w:tab/>
      </w:r>
      <w:r>
        <w:rPr>
          <w:rFonts w:hint="eastAsia" w:eastAsia="仿宋_GB2312" w:cs="仿宋_GB2312"/>
          <w:sz w:val="32"/>
          <w:szCs w:val="32"/>
          <w:lang w:val="en-US" w:eastAsia="zh-CN"/>
        </w:rPr>
        <w:t>14</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rPr>
        <w:tab/>
      </w:r>
      <w:r>
        <w:rPr>
          <w:rFonts w:hint="eastAsia" w:eastAsia="仿宋_GB2312" w:cs="仿宋_GB2312"/>
          <w:sz w:val="32"/>
          <w:szCs w:val="32"/>
          <w:lang w:val="en-US" w:eastAsia="zh-CN"/>
        </w:rPr>
        <w:t>14</w:t>
      </w:r>
    </w:p>
    <w:p>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16</w:t>
      </w:r>
    </w:p>
    <w:p>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20</w:t>
      </w:r>
    </w:p>
    <w:p>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3</w:t>
      </w:r>
      <w:r>
        <w:rPr>
          <w:rFonts w:hint="default" w:ascii="Times New Roman" w:hAnsi="Times New Roman" w:eastAsia="黑体" w:cs="黑体"/>
          <w:sz w:val="32"/>
          <w:szCs w:val="32"/>
          <w:lang w:val="en-US" w:eastAsia="zh-CN"/>
        </w:rPr>
        <w:t>9</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pPr>
        <w:widowControl/>
        <w:spacing w:line="560" w:lineRule="exact"/>
        <w:jc w:val="left"/>
        <w:rPr>
          <w:rFonts w:eastAsia="仿宋_GB2312" w:cs="仿宋_GB2312"/>
          <w:bCs/>
          <w:kern w:val="44"/>
          <w:sz w:val="32"/>
          <w:szCs w:val="32"/>
        </w:rPr>
      </w:pPr>
      <w:bookmarkStart w:id="6" w:name="_Toc15377196"/>
      <w:bookmarkStart w:id="7" w:name="_Toc15396599"/>
      <w:r>
        <w:rPr>
          <w:rFonts w:hint="eastAsia" w:eastAsia="仿宋_GB2312" w:cs="仿宋_GB2312"/>
          <w:b/>
          <w:sz w:val="32"/>
          <w:szCs w:val="32"/>
        </w:rPr>
        <w:br w:type="page"/>
      </w:r>
    </w:p>
    <w:p>
      <w:pPr>
        <w:pStyle w:val="3"/>
        <w:jc w:val="center"/>
        <w:rPr>
          <w:rStyle w:val="28"/>
          <w:rFonts w:eastAsia="方正小标宋简体" w:cs="方正小标宋简体"/>
          <w:b/>
          <w:bCs w:val="0"/>
        </w:rPr>
      </w:pPr>
      <w:r>
        <w:rPr>
          <w:rFonts w:hint="eastAsia" w:eastAsia="方正小标宋简体" w:cs="方正小标宋简体"/>
          <w:b w:val="0"/>
        </w:rPr>
        <w:t>第一部分  单位</w:t>
      </w:r>
      <w:r>
        <w:rPr>
          <w:rStyle w:val="28"/>
          <w:rFonts w:hint="eastAsia" w:eastAsia="方正小标宋简体" w:cs="方正小标宋简体"/>
          <w:b w:val="0"/>
          <w:bCs w:val="0"/>
        </w:rPr>
        <w:t>概况</w:t>
      </w:r>
      <w:bookmarkEnd w:id="6"/>
      <w:bookmarkEnd w:id="7"/>
    </w:p>
    <w:p>
      <w:pPr>
        <w:widowControl/>
        <w:jc w:val="left"/>
        <w:rPr>
          <w:rFonts w:eastAsia="黑体"/>
          <w:sz w:val="32"/>
          <w:szCs w:val="32"/>
        </w:rPr>
      </w:pPr>
    </w:p>
    <w:p>
      <w:pPr>
        <w:pStyle w:val="4"/>
        <w:rPr>
          <w:rFonts w:ascii="Times New Roman" w:hAnsi="Times New Roman" w:eastAsia="黑体"/>
          <w:b w:val="0"/>
        </w:rPr>
      </w:pPr>
      <w:bookmarkStart w:id="8" w:name="_Toc15377197"/>
      <w:bookmarkStart w:id="9" w:name="_Toc15396600"/>
      <w:r>
        <w:rPr>
          <w:rFonts w:hint="eastAsia" w:ascii="Times New Roman" w:hAnsi="Times New Roman" w:eastAsia="黑体"/>
          <w:b w:val="0"/>
        </w:rPr>
        <w:t>一、</w:t>
      </w:r>
      <w:bookmarkEnd w:id="8"/>
      <w:bookmarkEnd w:id="9"/>
      <w:r>
        <w:rPr>
          <w:rFonts w:hint="eastAsia" w:ascii="Times New Roman" w:hAnsi="Times New Roman" w:eastAsia="黑体"/>
          <w:b w:val="0"/>
        </w:rPr>
        <w:t>主要职责</w:t>
      </w:r>
    </w:p>
    <w:p>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承担交通系统项目建设相关事务性工作；承担国省县道公路及桥梁的维修、养护、保洁和绿化工作；承担道路客货运输、运输站场、机动车驾驶员培训、机动车维修、城市客运、出租汽车、汽车租赁及水上运输服务工作；承担船舶检验技术保障工作；完成上级交办的其他任务。</w:t>
      </w:r>
    </w:p>
    <w:p>
      <w:pPr>
        <w:pStyle w:val="4"/>
        <w:rPr>
          <w:rStyle w:val="29"/>
          <w:rFonts w:ascii="Times New Roman" w:hAnsi="Times New Roman"/>
          <w:b w:val="0"/>
          <w:bCs w:val="0"/>
        </w:rPr>
      </w:pPr>
      <w:bookmarkStart w:id="10" w:name="_Toc15396601"/>
      <w:bookmarkStart w:id="11" w:name="_Toc15377200"/>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10"/>
      <w:bookmarkEnd w:id="11"/>
    </w:p>
    <w:p>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机构情况</w:t>
      </w:r>
      <w:r>
        <w:rPr>
          <w:rFonts w:hint="eastAsia" w:ascii="仿宋_GB2312" w:hAnsi="仿宋_GB2312" w:eastAsia="仿宋_GB2312" w:cs="仿宋_GB2312"/>
          <w:sz w:val="32"/>
          <w:szCs w:val="32"/>
        </w:rPr>
        <w:t>，峨眉山市交通建设和运输中心隶属于峨眉山市交通运输局的二级预算单位，下设独立编制机构0个，其中行政机构0个，参照公务员法管理的事业机构0个，其他事业机构0个。内设机构4个，分别是：综合股、安全与信息技术股、公路建设养护股、运输服务股。</w:t>
      </w:r>
    </w:p>
    <w:p>
      <w:pPr>
        <w:ind w:firstLine="800" w:firstLineChars="250"/>
        <w:rPr>
          <w:rFonts w:eastAsia="仿宋"/>
          <w:kern w:val="0"/>
          <w:sz w:val="32"/>
          <w:szCs w:val="32"/>
        </w:rPr>
      </w:pPr>
      <w:r>
        <w:rPr>
          <w:rFonts w:hint="eastAsia" w:ascii="仿宋_GB2312" w:hAnsi="仿宋_GB2312" w:eastAsia="仿宋_GB2312" w:cs="仿宋_GB2312"/>
          <w:sz w:val="32"/>
          <w:szCs w:val="32"/>
          <w:highlight w:val="none"/>
        </w:rPr>
        <w:t>人员情况</w:t>
      </w:r>
      <w:r>
        <w:rPr>
          <w:rFonts w:hint="eastAsia" w:ascii="仿宋_GB2312" w:hAnsi="仿宋_GB2312" w:eastAsia="仿宋_GB2312" w:cs="仿宋_GB2312"/>
          <w:sz w:val="32"/>
          <w:szCs w:val="32"/>
        </w:rPr>
        <w:t>，2024年末事业编制93人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实有在职78人。</w:t>
      </w:r>
      <w:r>
        <w:rPr>
          <w:rFonts w:eastAsia="仿宋"/>
          <w:sz w:val="32"/>
          <w:szCs w:val="32"/>
        </w:rPr>
        <w:br w:type="page"/>
      </w:r>
    </w:p>
    <w:p>
      <w:pPr>
        <w:pStyle w:val="3"/>
        <w:jc w:val="center"/>
        <w:rPr>
          <w:rFonts w:eastAsia="方正小标宋简体" w:cs="方正小标宋简体"/>
          <w:b w:val="0"/>
        </w:rPr>
      </w:pPr>
      <w:bookmarkStart w:id="12" w:name="_Toc15377204"/>
      <w:bookmarkStart w:id="13" w:name="_Toc15396602"/>
      <w:r>
        <w:rPr>
          <w:rFonts w:hint="eastAsia" w:eastAsia="方正小标宋简体" w:cs="方正小标宋简体"/>
          <w:b w:val="0"/>
        </w:rPr>
        <w:t>第二部分  2024年度单位决算情况说明</w:t>
      </w:r>
      <w:bookmarkEnd w:id="12"/>
      <w:bookmarkEnd w:id="13"/>
    </w:p>
    <w:p/>
    <w:p>
      <w:pPr>
        <w:pStyle w:val="27"/>
        <w:spacing w:line="600" w:lineRule="exact"/>
        <w:ind w:firstLine="640"/>
        <w:outlineLvl w:val="1"/>
        <w:rPr>
          <w:rStyle w:val="29"/>
          <w:rFonts w:ascii="Times New Roman" w:hAnsi="Times New Roman" w:eastAsia="黑体"/>
          <w:b w:val="0"/>
        </w:rPr>
      </w:pPr>
      <w:bookmarkStart w:id="14" w:name="_Toc15377205"/>
      <w:bookmarkStart w:id="15"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4"/>
      <w:bookmarkEnd w:id="15"/>
    </w:p>
    <w:p>
      <w:pPr>
        <w:pStyle w:val="27"/>
        <w:spacing w:line="600" w:lineRule="exact"/>
        <w:ind w:firstLine="640"/>
        <w:outlineLvl w:val="1"/>
        <w:rPr>
          <w:rFonts w:eastAsia="仿宋_GB2312" w:cs="仿宋_GB2312"/>
          <w:sz w:val="32"/>
          <w:szCs w:val="32"/>
        </w:rPr>
      </w:pPr>
      <w:r>
        <w:rPr>
          <w:rFonts w:hint="eastAsia" w:eastAsia="仿宋_GB2312" w:cs="仿宋_GB2312"/>
          <w:sz w:val="32"/>
          <w:szCs w:val="32"/>
        </w:rPr>
        <w:t>2024年度收入、支出总计均为6783.92万元。与2023年度相比，收入、支出总计各减少231.29万元，下降3.3%。</w:t>
      </w:r>
      <w:r>
        <w:rPr>
          <w:rFonts w:hint="eastAsia" w:ascii="仿宋" w:hAnsi="仿宋" w:eastAsia="仿宋" w:cs="仿宋"/>
          <w:b w:val="0"/>
          <w:bCs w:val="0"/>
          <w:sz w:val="32"/>
          <w:szCs w:val="32"/>
          <w:highlight w:val="none"/>
        </w:rPr>
        <w:t>主要变动原因是</w:t>
      </w:r>
      <w:r>
        <w:rPr>
          <w:rFonts w:hint="eastAsia" w:ascii="仿宋" w:hAnsi="仿宋" w:eastAsia="仿宋" w:cs="仿宋"/>
          <w:sz w:val="32"/>
          <w:szCs w:val="32"/>
          <w:highlight w:val="none"/>
          <w:lang w:val="en-US" w:eastAsia="zh-CN"/>
        </w:rPr>
        <w:t>减少项目开支、控制日常支出</w:t>
      </w:r>
      <w:r>
        <w:rPr>
          <w:rFonts w:hint="eastAsia" w:eastAsia="仿宋_GB2312" w:cs="仿宋_GB2312"/>
          <w:color w:val="auto"/>
          <w:sz w:val="32"/>
          <w:szCs w:val="32"/>
          <w:highlight w:val="none"/>
          <w:lang w:eastAsia="zh-CN"/>
        </w:rPr>
        <w:t>。</w:t>
      </w:r>
    </w:p>
    <w:p>
      <w:pPr>
        <w:pStyle w:val="27"/>
        <w:spacing w:line="600" w:lineRule="exact"/>
        <w:outlineLvl w:val="1"/>
        <w:rPr>
          <w:rFonts w:eastAsia="仿宋_GB2312" w:cs="仿宋_GB2312"/>
          <w:sz w:val="32"/>
          <w:szCs w:val="32"/>
        </w:rPr>
      </w:pPr>
      <w:r>
        <w:drawing>
          <wp:anchor distT="0" distB="0" distL="114300" distR="114300" simplePos="0" relativeHeight="251659264" behindDoc="0" locked="0" layoutInCell="1" allowOverlap="1">
            <wp:simplePos x="0" y="0"/>
            <wp:positionH relativeFrom="column">
              <wp:posOffset>171450</wp:posOffset>
            </wp:positionH>
            <wp:positionV relativeFrom="paragraph">
              <wp:posOffset>177800</wp:posOffset>
            </wp:positionV>
            <wp:extent cx="5148580" cy="4301490"/>
            <wp:effectExtent l="0" t="0" r="13970" b="381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5148580" cy="4301490"/>
                    </a:xfrm>
                    <a:prstGeom prst="rect">
                      <a:avLst/>
                    </a:prstGeom>
                    <a:noFill/>
                    <a:ln>
                      <a:noFill/>
                    </a:ln>
                  </pic:spPr>
                </pic:pic>
              </a:graphicData>
            </a:graphic>
          </wp:anchor>
        </w:drawing>
      </w:r>
    </w:p>
    <w:p>
      <w:pPr>
        <w:pStyle w:val="27"/>
        <w:spacing w:line="600" w:lineRule="exact"/>
        <w:ind w:firstLine="640"/>
        <w:outlineLvl w:val="1"/>
        <w:rPr>
          <w:rFonts w:eastAsia="仿宋_GB2312" w:cs="仿宋_GB2312"/>
          <w:sz w:val="32"/>
          <w:szCs w:val="32"/>
        </w:rPr>
      </w:pPr>
    </w:p>
    <w:p>
      <w:pPr>
        <w:pStyle w:val="27"/>
        <w:spacing w:line="600" w:lineRule="exact"/>
        <w:ind w:firstLine="640"/>
        <w:outlineLvl w:val="1"/>
        <w:rPr>
          <w:rFonts w:eastAsia="仿宋_GB2312" w:cs="仿宋_GB2312"/>
          <w:sz w:val="32"/>
          <w:szCs w:val="32"/>
        </w:rPr>
      </w:pPr>
    </w:p>
    <w:p>
      <w:pPr>
        <w:pStyle w:val="27"/>
        <w:spacing w:line="600" w:lineRule="exact"/>
        <w:ind w:firstLine="640"/>
        <w:outlineLvl w:val="1"/>
        <w:rPr>
          <w:rFonts w:eastAsia="仿宋_GB2312" w:cs="仿宋_GB2312"/>
          <w:sz w:val="32"/>
          <w:szCs w:val="32"/>
        </w:rPr>
      </w:pPr>
    </w:p>
    <w:p>
      <w:pPr>
        <w:pStyle w:val="27"/>
        <w:spacing w:line="600" w:lineRule="exact"/>
        <w:ind w:firstLine="640"/>
        <w:outlineLvl w:val="1"/>
        <w:rPr>
          <w:rFonts w:eastAsia="仿宋_GB2312" w:cs="仿宋_GB2312"/>
          <w:sz w:val="32"/>
          <w:szCs w:val="32"/>
        </w:rPr>
      </w:pPr>
    </w:p>
    <w:p>
      <w:pPr>
        <w:pStyle w:val="27"/>
        <w:spacing w:line="600" w:lineRule="exact"/>
        <w:ind w:firstLine="640"/>
        <w:outlineLvl w:val="1"/>
        <w:rPr>
          <w:rFonts w:eastAsia="仿宋_GB2312" w:cs="仿宋_GB2312"/>
          <w:sz w:val="32"/>
          <w:szCs w:val="32"/>
        </w:rPr>
      </w:pPr>
    </w:p>
    <w:p>
      <w:pPr>
        <w:pStyle w:val="27"/>
        <w:spacing w:line="600" w:lineRule="exact"/>
        <w:ind w:firstLine="640"/>
        <w:outlineLvl w:val="1"/>
        <w:rPr>
          <w:rFonts w:eastAsia="仿宋_GB2312" w:cs="仿宋_GB2312"/>
          <w:sz w:val="32"/>
          <w:szCs w:val="32"/>
        </w:rPr>
      </w:pPr>
    </w:p>
    <w:p>
      <w:pPr>
        <w:pStyle w:val="27"/>
        <w:spacing w:line="600" w:lineRule="exact"/>
        <w:ind w:firstLine="640"/>
        <w:outlineLvl w:val="1"/>
        <w:rPr>
          <w:rFonts w:eastAsia="仿宋_GB2312" w:cs="仿宋_GB2312"/>
          <w:sz w:val="32"/>
          <w:szCs w:val="32"/>
        </w:rPr>
      </w:pPr>
    </w:p>
    <w:p>
      <w:pPr>
        <w:pStyle w:val="27"/>
        <w:spacing w:line="600" w:lineRule="exact"/>
        <w:ind w:firstLine="640"/>
        <w:outlineLvl w:val="1"/>
        <w:rPr>
          <w:rFonts w:eastAsia="仿宋_GB2312" w:cs="仿宋_GB2312"/>
          <w:sz w:val="32"/>
          <w:szCs w:val="32"/>
        </w:rPr>
      </w:pPr>
    </w:p>
    <w:p>
      <w:pPr>
        <w:pStyle w:val="27"/>
        <w:spacing w:line="600" w:lineRule="exact"/>
        <w:ind w:firstLine="640"/>
        <w:outlineLvl w:val="1"/>
        <w:rPr>
          <w:rFonts w:eastAsia="仿宋_GB2312" w:cs="仿宋_GB2312"/>
          <w:sz w:val="32"/>
          <w:szCs w:val="32"/>
        </w:rPr>
      </w:pPr>
    </w:p>
    <w:p>
      <w:pPr>
        <w:pStyle w:val="27"/>
        <w:spacing w:line="600" w:lineRule="exact"/>
        <w:ind w:firstLine="640"/>
        <w:outlineLvl w:val="1"/>
        <w:rPr>
          <w:rFonts w:eastAsia="仿宋_GB2312" w:cs="仿宋_GB2312"/>
          <w:sz w:val="32"/>
          <w:szCs w:val="32"/>
        </w:rPr>
      </w:pPr>
    </w:p>
    <w:p>
      <w:pPr>
        <w:pStyle w:val="27"/>
        <w:spacing w:line="600" w:lineRule="exact"/>
        <w:ind w:firstLine="640"/>
        <w:outlineLvl w:val="1"/>
        <w:rPr>
          <w:rFonts w:eastAsia="仿宋_GB2312" w:cs="仿宋_GB2312"/>
          <w:sz w:val="32"/>
          <w:szCs w:val="32"/>
        </w:rPr>
      </w:pPr>
    </w:p>
    <w:p>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pPr>
        <w:ind w:firstLine="640" w:firstLineChars="200"/>
        <w:rPr>
          <w:rFonts w:eastAsia="仿宋_GB2312" w:cs="仿宋_GB2312"/>
          <w:sz w:val="32"/>
          <w:szCs w:val="32"/>
        </w:rPr>
      </w:pPr>
    </w:p>
    <w:p>
      <w:pPr>
        <w:pStyle w:val="27"/>
        <w:spacing w:line="600" w:lineRule="exact"/>
        <w:ind w:firstLine="640"/>
        <w:outlineLvl w:val="1"/>
        <w:rPr>
          <w:rFonts w:eastAsia="黑体"/>
          <w:sz w:val="32"/>
          <w:szCs w:val="32"/>
        </w:rPr>
      </w:pPr>
      <w:bookmarkStart w:id="16" w:name="_Toc15377206"/>
      <w:bookmarkStart w:id="17" w:name="_Toc15396604"/>
      <w:r>
        <w:rPr>
          <w:rFonts w:hint="eastAsia" w:eastAsia="黑体"/>
          <w:sz w:val="32"/>
          <w:szCs w:val="32"/>
        </w:rPr>
        <w:t>二、收入决算情况说明</w:t>
      </w:r>
      <w:bookmarkEnd w:id="16"/>
      <w:bookmarkEnd w:id="17"/>
    </w:p>
    <w:p>
      <w:pPr>
        <w:pStyle w:val="27"/>
        <w:spacing w:line="600" w:lineRule="exact"/>
        <w:ind w:firstLine="64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6783.92万元，其中：一般公共预算财政拨款收入4916.95万元，占72.48%；政府性基金预算财政拨款收入1866.97万元，占27.52%；国有资本经营预算财政拨款收入0万元，占0%；上级补助收入0万元，占0%；事业收入0万元，占0%；经营收入0万元，占0%；附属单位上缴收入0万元，占0%；其他收入0万元，占0%。</w:t>
      </w:r>
    </w:p>
    <w:p>
      <w:pPr>
        <w:pStyle w:val="27"/>
        <w:spacing w:line="600" w:lineRule="exact"/>
        <w:jc w:val="left"/>
        <w:outlineLvl w:val="1"/>
        <w:rPr>
          <w:rFonts w:ascii="仿宋_GB2312" w:hAnsi="仿宋_GB2312" w:eastAsia="仿宋_GB2312" w:cs="仿宋_GB2312"/>
          <w:sz w:val="32"/>
          <w:szCs w:val="32"/>
        </w:rPr>
      </w:pPr>
      <w:r>
        <w:drawing>
          <wp:anchor distT="0" distB="0" distL="114300" distR="114300" simplePos="0" relativeHeight="251660288" behindDoc="0" locked="0" layoutInCell="1" allowOverlap="1">
            <wp:simplePos x="0" y="0"/>
            <wp:positionH relativeFrom="column">
              <wp:posOffset>-11430</wp:posOffset>
            </wp:positionH>
            <wp:positionV relativeFrom="paragraph">
              <wp:posOffset>141605</wp:posOffset>
            </wp:positionV>
            <wp:extent cx="5273040" cy="4321810"/>
            <wp:effectExtent l="0" t="0" r="3810" b="2540"/>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5273040" cy="4321810"/>
                    </a:xfrm>
                    <a:prstGeom prst="rect">
                      <a:avLst/>
                    </a:prstGeom>
                    <a:noFill/>
                    <a:ln>
                      <a:noFill/>
                    </a:ln>
                  </pic:spPr>
                </pic:pic>
              </a:graphicData>
            </a:graphic>
          </wp:anchor>
        </w:drawing>
      </w: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ind w:firstLine="800" w:firstLineChars="250"/>
        <w:rPr>
          <w:rFonts w:eastAsia="仿宋_GB2312" w:cs="仿宋_GB2312"/>
          <w:sz w:val="32"/>
          <w:szCs w:val="32"/>
        </w:rPr>
      </w:pPr>
      <w:r>
        <w:rPr>
          <w:rFonts w:hint="eastAsia" w:eastAsia="仿宋_GB2312" w:cs="仿宋_GB2312"/>
          <w:sz w:val="32"/>
          <w:szCs w:val="32"/>
        </w:rPr>
        <w:t>（图2：收入决算结构图）（饼状图）</w:t>
      </w:r>
    </w:p>
    <w:p>
      <w:pPr>
        <w:ind w:firstLine="800" w:firstLineChars="250"/>
        <w:rPr>
          <w:rFonts w:eastAsia="仿宋_GB2312" w:cs="仿宋_GB2312"/>
          <w:sz w:val="32"/>
          <w:szCs w:val="32"/>
        </w:rPr>
      </w:pPr>
    </w:p>
    <w:p>
      <w:pPr>
        <w:pStyle w:val="27"/>
        <w:spacing w:line="600" w:lineRule="exact"/>
        <w:ind w:firstLine="640"/>
        <w:outlineLvl w:val="1"/>
        <w:rPr>
          <w:rStyle w:val="29"/>
          <w:rFonts w:ascii="Times New Roman" w:hAnsi="Times New Roman" w:eastAsia="黑体"/>
          <w:b w:val="0"/>
        </w:rPr>
      </w:pPr>
      <w:bookmarkStart w:id="18" w:name="_Toc15377207"/>
      <w:bookmarkStart w:id="19" w:name="_Toc15396605"/>
      <w:r>
        <w:rPr>
          <w:rFonts w:hint="eastAsia" w:eastAsia="黑体"/>
          <w:sz w:val="32"/>
          <w:szCs w:val="32"/>
        </w:rPr>
        <w:t>三、支</w:t>
      </w:r>
      <w:r>
        <w:rPr>
          <w:rStyle w:val="29"/>
          <w:rFonts w:hint="eastAsia" w:ascii="Times New Roman" w:hAnsi="Times New Roman" w:eastAsia="黑体"/>
          <w:b w:val="0"/>
        </w:rPr>
        <w:t>出决算情况说明</w:t>
      </w:r>
      <w:bookmarkEnd w:id="18"/>
      <w:bookmarkEnd w:id="19"/>
    </w:p>
    <w:p>
      <w:pPr>
        <w:pStyle w:val="27"/>
        <w:spacing w:line="600" w:lineRule="exact"/>
        <w:ind w:firstLine="64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2024年度本年支出合计6783.92万元，其中：基本支出2332.78万元，占34.39%；项目支出4451.14万元，占65.61%；上缴上级支出0万元，占0%；经营支出0万元，占0%；对附属单位补助支出0万元，占0%。</w:t>
      </w:r>
    </w:p>
    <w:p>
      <w:pPr>
        <w:pStyle w:val="27"/>
        <w:spacing w:line="600" w:lineRule="exact"/>
        <w:jc w:val="left"/>
        <w:outlineLvl w:val="1"/>
        <w:rPr>
          <w:rFonts w:ascii="仿宋_GB2312" w:hAnsi="仿宋_GB2312" w:eastAsia="仿宋_GB2312" w:cs="仿宋_GB2312"/>
          <w:sz w:val="32"/>
          <w:szCs w:val="32"/>
        </w:rPr>
      </w:pPr>
      <w:r>
        <w:drawing>
          <wp:anchor distT="0" distB="0" distL="114300" distR="114300" simplePos="0" relativeHeight="251661312" behindDoc="0" locked="0" layoutInCell="1" allowOverlap="1">
            <wp:simplePos x="0" y="0"/>
            <wp:positionH relativeFrom="column">
              <wp:posOffset>-4445</wp:posOffset>
            </wp:positionH>
            <wp:positionV relativeFrom="paragraph">
              <wp:posOffset>332740</wp:posOffset>
            </wp:positionV>
            <wp:extent cx="5270500" cy="4124960"/>
            <wp:effectExtent l="0" t="0" r="6350" b="889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a:stretch>
                      <a:fillRect/>
                    </a:stretch>
                  </pic:blipFill>
                  <pic:spPr>
                    <a:xfrm>
                      <a:off x="0" y="0"/>
                      <a:ext cx="5270500" cy="4124960"/>
                    </a:xfrm>
                    <a:prstGeom prst="rect">
                      <a:avLst/>
                    </a:prstGeom>
                    <a:noFill/>
                    <a:ln>
                      <a:noFill/>
                    </a:ln>
                  </pic:spPr>
                </pic:pic>
              </a:graphicData>
            </a:graphic>
          </wp:anchor>
        </w:drawing>
      </w: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ind w:firstLine="800" w:firstLineChars="250"/>
        <w:rPr>
          <w:rFonts w:eastAsia="仿宋_GB2312" w:cs="仿宋_GB2312"/>
          <w:sz w:val="32"/>
          <w:szCs w:val="32"/>
        </w:rPr>
      </w:pPr>
      <w:r>
        <w:rPr>
          <w:rFonts w:hint="eastAsia" w:eastAsia="仿宋_GB2312" w:cs="仿宋_GB2312"/>
          <w:sz w:val="32"/>
          <w:szCs w:val="32"/>
        </w:rPr>
        <w:t>（图3：支出决算结构图）（饼状图）</w:t>
      </w:r>
    </w:p>
    <w:p>
      <w:pPr>
        <w:ind w:firstLine="800" w:firstLineChars="250"/>
        <w:rPr>
          <w:rFonts w:eastAsia="仿宋_GB2312" w:cs="仿宋_GB2312"/>
          <w:sz w:val="32"/>
          <w:szCs w:val="32"/>
        </w:rPr>
      </w:pPr>
    </w:p>
    <w:p>
      <w:pPr>
        <w:spacing w:line="600" w:lineRule="exact"/>
        <w:ind w:firstLine="640" w:firstLineChars="200"/>
        <w:outlineLvl w:val="1"/>
        <w:rPr>
          <w:rStyle w:val="29"/>
          <w:rFonts w:ascii="Times New Roman" w:hAnsi="Times New Roman" w:eastAsia="黑体"/>
          <w:b w:val="0"/>
        </w:rPr>
      </w:pPr>
      <w:bookmarkStart w:id="20" w:name="_Toc15396606"/>
      <w:bookmarkStart w:id="21" w:name="_Toc15377208"/>
      <w:r>
        <w:rPr>
          <w:rFonts w:hint="eastAsia" w:eastAsia="黑体"/>
          <w:sz w:val="32"/>
          <w:szCs w:val="32"/>
        </w:rPr>
        <w:t>四、财</w:t>
      </w:r>
      <w:r>
        <w:rPr>
          <w:rStyle w:val="29"/>
          <w:rFonts w:hint="eastAsia" w:ascii="Times New Roman" w:hAnsi="Times New Roman" w:eastAsia="黑体"/>
          <w:b w:val="0"/>
        </w:rPr>
        <w:t>政拨款收入支出决算总体情况说明</w:t>
      </w:r>
      <w:bookmarkEnd w:id="20"/>
      <w:bookmarkEnd w:id="21"/>
    </w:p>
    <w:p>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6783.92</w:t>
      </w:r>
      <w:r>
        <w:rPr>
          <w:rFonts w:hint="eastAsia" w:eastAsia="仿宋_GB2312" w:cs="仿宋_GB2312"/>
          <w:sz w:val="32"/>
          <w:szCs w:val="32"/>
        </w:rPr>
        <w:t>万元。与2023年度相比，财政拨款收入总计、支出总计各减少231.29万元，下降3.3%。</w:t>
      </w:r>
      <w:r>
        <w:rPr>
          <w:rFonts w:hint="eastAsia" w:ascii="仿宋" w:hAnsi="仿宋" w:eastAsia="仿宋" w:cs="仿宋"/>
          <w:b w:val="0"/>
          <w:bCs w:val="0"/>
          <w:sz w:val="32"/>
          <w:szCs w:val="32"/>
          <w:highlight w:val="none"/>
        </w:rPr>
        <w:t>主要变动原因是</w:t>
      </w:r>
      <w:r>
        <w:rPr>
          <w:rFonts w:hint="eastAsia" w:ascii="仿宋" w:hAnsi="仿宋" w:eastAsia="仿宋" w:cs="仿宋"/>
          <w:sz w:val="32"/>
          <w:szCs w:val="32"/>
          <w:highlight w:val="none"/>
          <w:lang w:val="en-US" w:eastAsia="zh-CN"/>
        </w:rPr>
        <w:t>减少项目开支、控制日常支出</w:t>
      </w:r>
      <w:r>
        <w:rPr>
          <w:rFonts w:hint="eastAsia" w:eastAsia="仿宋_GB2312" w:cs="仿宋_GB2312"/>
          <w:color w:val="auto"/>
          <w:sz w:val="32"/>
          <w:szCs w:val="32"/>
          <w:highlight w:val="none"/>
          <w:lang w:eastAsia="zh-CN"/>
        </w:rPr>
        <w:t>。</w:t>
      </w:r>
    </w:p>
    <w:p>
      <w:pPr>
        <w:pStyle w:val="13"/>
        <w:rPr>
          <w:rFonts w:eastAsia="仿宋_GB2312" w:cs="仿宋_GB2312"/>
          <w:sz w:val="32"/>
          <w:szCs w:val="32"/>
        </w:rPr>
      </w:pPr>
    </w:p>
    <w:p>
      <w:pPr>
        <w:pStyle w:val="7"/>
        <w:ind w:left="420" w:firstLine="640"/>
        <w:rPr>
          <w:rFonts w:eastAsia="仿宋_GB2312" w:cs="仿宋_GB2312"/>
          <w:sz w:val="32"/>
        </w:rPr>
      </w:pPr>
    </w:p>
    <w:p>
      <w:pPr>
        <w:pStyle w:val="7"/>
        <w:ind w:left="420" w:firstLine="640"/>
        <w:rPr>
          <w:rFonts w:eastAsia="仿宋_GB2312" w:cs="仿宋_GB2312"/>
          <w:sz w:val="32"/>
        </w:rPr>
      </w:pPr>
    </w:p>
    <w:p>
      <w:pPr>
        <w:pStyle w:val="7"/>
        <w:ind w:left="420" w:firstLine="640"/>
        <w:rPr>
          <w:rFonts w:eastAsia="仿宋_GB2312" w:cs="仿宋_GB2312"/>
          <w:sz w:val="32"/>
        </w:rPr>
      </w:pPr>
    </w:p>
    <w:p>
      <w:pPr>
        <w:pStyle w:val="7"/>
        <w:ind w:left="420" w:firstLine="640"/>
        <w:rPr>
          <w:rFonts w:eastAsia="仿宋_GB2312" w:cs="仿宋_GB2312"/>
          <w:sz w:val="32"/>
        </w:rPr>
      </w:pPr>
    </w:p>
    <w:p>
      <w:pPr>
        <w:pStyle w:val="7"/>
        <w:ind w:left="420"/>
        <w:rPr>
          <w:rFonts w:eastAsia="仿宋_GB2312" w:cs="仿宋_GB2312"/>
          <w:sz w:val="32"/>
        </w:rPr>
      </w:pPr>
      <w:r>
        <w:drawing>
          <wp:anchor distT="0" distB="0" distL="114300" distR="114300" simplePos="0" relativeHeight="251662336" behindDoc="0" locked="0" layoutInCell="1" allowOverlap="1">
            <wp:simplePos x="0" y="0"/>
            <wp:positionH relativeFrom="column">
              <wp:posOffset>71755</wp:posOffset>
            </wp:positionH>
            <wp:positionV relativeFrom="paragraph">
              <wp:posOffset>34925</wp:posOffset>
            </wp:positionV>
            <wp:extent cx="5109210" cy="4604385"/>
            <wp:effectExtent l="0" t="0" r="15240" b="5715"/>
            <wp:wrapNone/>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1"/>
                    <a:stretch>
                      <a:fillRect/>
                    </a:stretch>
                  </pic:blipFill>
                  <pic:spPr>
                    <a:xfrm>
                      <a:off x="0" y="0"/>
                      <a:ext cx="5109210" cy="4604385"/>
                    </a:xfrm>
                    <a:prstGeom prst="rect">
                      <a:avLst/>
                    </a:prstGeom>
                    <a:noFill/>
                    <a:ln>
                      <a:noFill/>
                    </a:ln>
                  </pic:spPr>
                </pic:pic>
              </a:graphicData>
            </a:graphic>
          </wp:anchor>
        </w:drawing>
      </w:r>
    </w:p>
    <w:p>
      <w:pPr>
        <w:pStyle w:val="7"/>
        <w:ind w:left="420" w:firstLine="640"/>
        <w:rPr>
          <w:rFonts w:eastAsia="仿宋_GB2312" w:cs="仿宋_GB2312"/>
          <w:sz w:val="32"/>
        </w:rPr>
      </w:pPr>
    </w:p>
    <w:p>
      <w:pPr>
        <w:pStyle w:val="7"/>
        <w:ind w:left="420" w:firstLine="640"/>
        <w:rPr>
          <w:rFonts w:eastAsia="仿宋_GB2312" w:cs="仿宋_GB2312"/>
          <w:sz w:val="32"/>
        </w:rPr>
      </w:pPr>
    </w:p>
    <w:p>
      <w:pPr>
        <w:pStyle w:val="7"/>
        <w:ind w:left="420" w:firstLine="640"/>
        <w:rPr>
          <w:rFonts w:eastAsia="仿宋_GB2312" w:cs="仿宋_GB2312"/>
          <w:sz w:val="32"/>
        </w:rPr>
      </w:pPr>
    </w:p>
    <w:p>
      <w:pPr>
        <w:pStyle w:val="7"/>
        <w:ind w:left="420" w:firstLine="640"/>
        <w:rPr>
          <w:rFonts w:eastAsia="仿宋_GB2312" w:cs="仿宋_GB2312"/>
          <w:sz w:val="32"/>
        </w:rPr>
      </w:pPr>
    </w:p>
    <w:p>
      <w:pPr>
        <w:pStyle w:val="7"/>
        <w:ind w:left="420" w:firstLine="640"/>
        <w:rPr>
          <w:rFonts w:eastAsia="仿宋_GB2312" w:cs="仿宋_GB2312"/>
          <w:sz w:val="32"/>
        </w:rPr>
      </w:pPr>
    </w:p>
    <w:p>
      <w:pPr>
        <w:pStyle w:val="7"/>
        <w:ind w:left="420" w:firstLine="640"/>
        <w:rPr>
          <w:rFonts w:eastAsia="仿宋_GB2312" w:cs="仿宋_GB2312"/>
          <w:sz w:val="32"/>
        </w:rPr>
      </w:pPr>
    </w:p>
    <w:p>
      <w:pPr>
        <w:pStyle w:val="7"/>
        <w:ind w:left="420" w:firstLine="640"/>
        <w:rPr>
          <w:rFonts w:eastAsia="仿宋_GB2312" w:cs="仿宋_GB2312"/>
          <w:sz w:val="32"/>
        </w:rPr>
      </w:pPr>
    </w:p>
    <w:p>
      <w:pPr>
        <w:pStyle w:val="7"/>
        <w:ind w:left="420" w:firstLine="640"/>
        <w:rPr>
          <w:rFonts w:eastAsia="仿宋_GB2312" w:cs="仿宋_GB2312"/>
          <w:sz w:val="32"/>
        </w:rPr>
      </w:pPr>
    </w:p>
    <w:p>
      <w:pPr>
        <w:pStyle w:val="7"/>
        <w:ind w:left="0" w:leftChars="0" w:firstLine="0" w:firstLineChars="0"/>
        <w:rPr>
          <w:rFonts w:eastAsia="仿宋_GB2312" w:cs="仿宋_GB2312"/>
          <w:sz w:val="32"/>
        </w:rPr>
      </w:pPr>
    </w:p>
    <w:p>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pPr>
        <w:spacing w:line="600" w:lineRule="exact"/>
        <w:ind w:firstLine="640"/>
        <w:rPr>
          <w:rFonts w:eastAsia="仿宋_GB2312" w:cs="仿宋_GB2312"/>
          <w:sz w:val="32"/>
          <w:szCs w:val="32"/>
        </w:rPr>
      </w:pPr>
    </w:p>
    <w:p>
      <w:pPr>
        <w:spacing w:line="600" w:lineRule="exact"/>
        <w:ind w:firstLine="640" w:firstLineChars="200"/>
        <w:outlineLvl w:val="1"/>
        <w:rPr>
          <w:rStyle w:val="29"/>
          <w:rFonts w:ascii="Times New Roman" w:hAnsi="Times New Roman" w:eastAsia="黑体"/>
          <w:b w:val="0"/>
        </w:rPr>
      </w:pPr>
      <w:bookmarkStart w:id="22" w:name="_Toc15377209"/>
      <w:bookmarkStart w:id="23" w:name="_Toc15396607"/>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2"/>
      <w:bookmarkEnd w:id="23"/>
    </w:p>
    <w:p>
      <w:pPr>
        <w:spacing w:line="600" w:lineRule="exact"/>
        <w:ind w:firstLine="643" w:firstLineChars="200"/>
        <w:outlineLvl w:val="2"/>
        <w:rPr>
          <w:rFonts w:eastAsia="楷体_GB2312" w:cs="楷体_GB2312"/>
          <w:b/>
          <w:sz w:val="32"/>
          <w:szCs w:val="32"/>
        </w:rPr>
      </w:pPr>
      <w:bookmarkStart w:id="24" w:name="_Toc15377210"/>
      <w:r>
        <w:rPr>
          <w:rFonts w:hint="eastAsia" w:eastAsia="楷体_GB2312" w:cs="楷体_GB2312"/>
          <w:b/>
          <w:sz w:val="32"/>
          <w:szCs w:val="32"/>
        </w:rPr>
        <w:t>（一）一般公共预算财政拨款支出决算总体情况</w:t>
      </w:r>
      <w:bookmarkEnd w:id="24"/>
    </w:p>
    <w:p>
      <w:pPr>
        <w:spacing w:line="60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2024年度一般公共预算财政拨款支出4916.95万元，占本年支出合计的72.48%。与2023年度相比，一般公共预算财政拨款支出增加215.31万元，增长4.58%。</w:t>
      </w:r>
      <w:r>
        <w:rPr>
          <w:rFonts w:hint="eastAsia" w:ascii="仿宋" w:hAnsi="仿宋" w:eastAsia="仿宋" w:cs="仿宋"/>
          <w:sz w:val="32"/>
          <w:szCs w:val="32"/>
          <w:highlight w:val="none"/>
        </w:rPr>
        <w:t>主要变动原因是本年度</w:t>
      </w:r>
      <w:r>
        <w:rPr>
          <w:rFonts w:hint="eastAsia" w:ascii="仿宋" w:hAnsi="仿宋" w:eastAsia="仿宋" w:cs="仿宋"/>
          <w:sz w:val="32"/>
          <w:szCs w:val="32"/>
        </w:rPr>
        <w:t>工程款</w:t>
      </w:r>
      <w:r>
        <w:rPr>
          <w:rFonts w:hint="eastAsia" w:ascii="仿宋" w:hAnsi="仿宋" w:eastAsia="仿宋" w:cs="仿宋"/>
          <w:sz w:val="32"/>
          <w:szCs w:val="32"/>
          <w:highlight w:val="none"/>
        </w:rPr>
        <w:t>支</w:t>
      </w:r>
      <w:r>
        <w:rPr>
          <w:rFonts w:hint="eastAsia" w:ascii="仿宋" w:hAnsi="仿宋" w:eastAsia="仿宋" w:cs="仿宋"/>
          <w:sz w:val="32"/>
          <w:szCs w:val="32"/>
        </w:rPr>
        <w:t>付</w:t>
      </w:r>
      <w:r>
        <w:rPr>
          <w:rFonts w:hint="eastAsia" w:ascii="仿宋" w:hAnsi="仿宋" w:eastAsia="仿宋" w:cs="仿宋"/>
          <w:sz w:val="32"/>
          <w:szCs w:val="32"/>
          <w:lang w:val="en-US" w:eastAsia="zh-CN"/>
        </w:rPr>
        <w:t>金额有所上升</w:t>
      </w:r>
      <w:r>
        <w:rPr>
          <w:rFonts w:hint="eastAsia" w:ascii="仿宋" w:hAnsi="仿宋" w:eastAsia="仿宋" w:cs="仿宋"/>
          <w:sz w:val="32"/>
          <w:szCs w:val="32"/>
        </w:rPr>
        <w:t>。</w:t>
      </w:r>
    </w:p>
    <w:p>
      <w:pPr>
        <w:spacing w:line="600" w:lineRule="exact"/>
        <w:ind w:firstLine="640"/>
        <w:rPr>
          <w:rFonts w:hAnsi="仿宋_GB2312" w:eastAsia="仿宋_GB2312" w:cs="仿宋_GB2312"/>
          <w:sz w:val="32"/>
        </w:rPr>
      </w:pPr>
    </w:p>
    <w:p>
      <w:pPr>
        <w:pStyle w:val="7"/>
        <w:ind w:left="420"/>
        <w:rPr>
          <w:rFonts w:hAnsi="仿宋_GB2312" w:eastAsia="仿宋_GB2312" w:cs="仿宋_GB2312"/>
          <w:sz w:val="32"/>
        </w:rPr>
      </w:pPr>
      <w:r>
        <w:drawing>
          <wp:anchor distT="0" distB="0" distL="114300" distR="114300" simplePos="0" relativeHeight="251663360" behindDoc="0" locked="0" layoutInCell="1" allowOverlap="1">
            <wp:simplePos x="0" y="0"/>
            <wp:positionH relativeFrom="column">
              <wp:posOffset>35560</wp:posOffset>
            </wp:positionH>
            <wp:positionV relativeFrom="paragraph">
              <wp:posOffset>71120</wp:posOffset>
            </wp:positionV>
            <wp:extent cx="5102860" cy="4154805"/>
            <wp:effectExtent l="0" t="0" r="2540" b="17145"/>
            <wp:wrapNone/>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2"/>
                    <a:stretch>
                      <a:fillRect/>
                    </a:stretch>
                  </pic:blipFill>
                  <pic:spPr>
                    <a:xfrm>
                      <a:off x="0" y="0"/>
                      <a:ext cx="5102860" cy="4154805"/>
                    </a:xfrm>
                    <a:prstGeom prst="rect">
                      <a:avLst/>
                    </a:prstGeom>
                    <a:noFill/>
                    <a:ln>
                      <a:noFill/>
                    </a:ln>
                  </pic:spPr>
                </pic:pic>
              </a:graphicData>
            </a:graphic>
          </wp:anchor>
        </w:drawing>
      </w:r>
    </w:p>
    <w:p>
      <w:pPr>
        <w:pStyle w:val="7"/>
        <w:ind w:left="420" w:firstLine="640"/>
        <w:rPr>
          <w:rFonts w:hAnsi="仿宋_GB2312" w:eastAsia="仿宋_GB2312" w:cs="仿宋_GB2312"/>
          <w:sz w:val="32"/>
        </w:rPr>
      </w:pPr>
    </w:p>
    <w:p>
      <w:pPr>
        <w:pStyle w:val="7"/>
        <w:ind w:left="420" w:firstLine="640"/>
        <w:rPr>
          <w:rFonts w:hAnsi="仿宋_GB2312" w:eastAsia="仿宋_GB2312" w:cs="仿宋_GB2312"/>
          <w:sz w:val="32"/>
        </w:rPr>
      </w:pPr>
    </w:p>
    <w:p>
      <w:pPr>
        <w:pStyle w:val="7"/>
        <w:ind w:left="420" w:firstLine="640"/>
        <w:rPr>
          <w:rFonts w:hAnsi="仿宋_GB2312" w:eastAsia="仿宋_GB2312" w:cs="仿宋_GB2312"/>
          <w:sz w:val="32"/>
        </w:rPr>
      </w:pPr>
    </w:p>
    <w:p>
      <w:pPr>
        <w:pStyle w:val="7"/>
        <w:ind w:left="420" w:firstLine="640"/>
        <w:rPr>
          <w:rFonts w:hAnsi="仿宋_GB2312" w:eastAsia="仿宋_GB2312" w:cs="仿宋_GB2312"/>
          <w:sz w:val="32"/>
        </w:rPr>
      </w:pPr>
    </w:p>
    <w:p>
      <w:pPr>
        <w:pStyle w:val="7"/>
        <w:ind w:left="420" w:firstLine="640"/>
        <w:rPr>
          <w:rFonts w:hAnsi="仿宋_GB2312" w:eastAsia="仿宋_GB2312" w:cs="仿宋_GB2312"/>
          <w:sz w:val="32"/>
        </w:rPr>
      </w:pPr>
    </w:p>
    <w:p>
      <w:pPr>
        <w:pStyle w:val="7"/>
        <w:ind w:left="420" w:firstLine="640"/>
        <w:rPr>
          <w:rFonts w:hAnsi="仿宋_GB2312" w:eastAsia="仿宋_GB2312" w:cs="仿宋_GB2312"/>
          <w:sz w:val="32"/>
        </w:rPr>
      </w:pPr>
    </w:p>
    <w:p>
      <w:pPr>
        <w:pStyle w:val="7"/>
        <w:ind w:left="420" w:firstLine="640"/>
        <w:rPr>
          <w:rFonts w:hAnsi="仿宋_GB2312" w:eastAsia="仿宋_GB2312" w:cs="仿宋_GB2312"/>
          <w:sz w:val="32"/>
        </w:rPr>
      </w:pPr>
    </w:p>
    <w:p>
      <w:pPr>
        <w:pStyle w:val="7"/>
        <w:ind w:left="0" w:leftChars="0" w:firstLine="0" w:firstLineChars="0"/>
        <w:rPr>
          <w:rFonts w:hAnsi="仿宋_GB2312" w:eastAsia="仿宋_GB2312" w:cs="仿宋_GB2312"/>
          <w:sz w:val="32"/>
        </w:rPr>
      </w:pPr>
    </w:p>
    <w:p>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pPr>
        <w:spacing w:line="600" w:lineRule="exact"/>
        <w:ind w:firstLine="643" w:firstLineChars="200"/>
        <w:outlineLvl w:val="2"/>
        <w:rPr>
          <w:rFonts w:eastAsia="楷体_GB2312" w:cs="楷体_GB2312"/>
          <w:b/>
          <w:sz w:val="32"/>
          <w:szCs w:val="32"/>
        </w:rPr>
      </w:pPr>
      <w:bookmarkStart w:id="25" w:name="_Toc15377211"/>
      <w:r>
        <w:rPr>
          <w:rFonts w:hint="eastAsia" w:eastAsia="楷体_GB2312" w:cs="楷体_GB2312"/>
          <w:b/>
          <w:sz w:val="32"/>
          <w:szCs w:val="32"/>
        </w:rPr>
        <w:t>（二）一般公共预算财政拨款支出决算结构情况</w:t>
      </w:r>
      <w:bookmarkEnd w:id="25"/>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4916.95万元</w:t>
      </w:r>
      <w:r>
        <w:rPr>
          <w:rFonts w:hint="eastAsia" w:eastAsia="仿宋_GB2312" w:cs="仿宋_GB2312"/>
          <w:sz w:val="32"/>
          <w:szCs w:val="32"/>
        </w:rPr>
        <w:t>，主要用于以下方面：一般公共服务支出0万元，占0%；教育支出0万元，占0%；科学技术支出0万元，占0%；文化旅游体育与传媒支出0万元，占0%；社会保障和就业支出256.66万元，占5.22%；卫生健康支出49.87万元，占1.01%；交通运输支出4499.4万元，占91.51%；住房保障支出111.02万元，占2.26%。</w:t>
      </w: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r>
        <w:drawing>
          <wp:anchor distT="0" distB="0" distL="114300" distR="114300" simplePos="0" relativeHeight="251664384" behindDoc="0" locked="0" layoutInCell="1" allowOverlap="1">
            <wp:simplePos x="0" y="0"/>
            <wp:positionH relativeFrom="column">
              <wp:posOffset>179070</wp:posOffset>
            </wp:positionH>
            <wp:positionV relativeFrom="paragraph">
              <wp:posOffset>155575</wp:posOffset>
            </wp:positionV>
            <wp:extent cx="5156835" cy="4075430"/>
            <wp:effectExtent l="0" t="0" r="5715" b="1270"/>
            <wp:wrapNone/>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3"/>
                    <a:stretch>
                      <a:fillRect/>
                    </a:stretch>
                  </pic:blipFill>
                  <pic:spPr>
                    <a:xfrm>
                      <a:off x="0" y="0"/>
                      <a:ext cx="5156835" cy="4075430"/>
                    </a:xfrm>
                    <a:prstGeom prst="rect">
                      <a:avLst/>
                    </a:prstGeom>
                    <a:noFill/>
                    <a:ln>
                      <a:noFill/>
                    </a:ln>
                  </pic:spPr>
                </pic:pic>
              </a:graphicData>
            </a:graphic>
          </wp:anchor>
        </w:drawing>
      </w: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pStyle w:val="13"/>
      </w:pPr>
    </w:p>
    <w:p>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pPr>
        <w:spacing w:line="600" w:lineRule="exact"/>
        <w:ind w:firstLine="643" w:firstLineChars="200"/>
        <w:outlineLvl w:val="2"/>
        <w:rPr>
          <w:rFonts w:eastAsia="楷体_GB2312" w:cs="楷体_GB2312"/>
          <w:b/>
          <w:sz w:val="32"/>
          <w:szCs w:val="32"/>
        </w:rPr>
      </w:pPr>
      <w:bookmarkStart w:id="26" w:name="_Toc15377212"/>
      <w:r>
        <w:rPr>
          <w:rFonts w:hint="eastAsia" w:eastAsia="楷体_GB2312" w:cs="楷体_GB2312"/>
          <w:b/>
          <w:sz w:val="32"/>
          <w:szCs w:val="32"/>
        </w:rPr>
        <w:t>（三）一般公共预算财政拨款支出决算具体情况</w:t>
      </w:r>
      <w:bookmarkEnd w:id="26"/>
    </w:p>
    <w:p>
      <w:pPr>
        <w:spacing w:line="600" w:lineRule="exact"/>
        <w:ind w:firstLine="640"/>
        <w:rPr>
          <w:rFonts w:eastAsia="仿宋_GB2312" w:cs="仿宋_GB2312"/>
          <w:sz w:val="32"/>
          <w:szCs w:val="32"/>
        </w:rPr>
      </w:pPr>
      <w:bookmarkStart w:id="27" w:name="_Toc15378460"/>
      <w:bookmarkStart w:id="28" w:name="_Toc15377213"/>
      <w:bookmarkStart w:id="29"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4916.95万元，</w:t>
      </w:r>
      <w:r>
        <w:rPr>
          <w:rFonts w:hint="eastAsia" w:eastAsia="仿宋_GB2312" w:cs="仿宋_GB2312"/>
          <w:sz w:val="32"/>
          <w:szCs w:val="32"/>
        </w:rPr>
        <w:t>完成预算97.28%。其中：</w:t>
      </w:r>
      <w:bookmarkEnd w:id="27"/>
      <w:bookmarkEnd w:id="28"/>
      <w:bookmarkEnd w:id="29"/>
    </w:p>
    <w:p>
      <w:pPr>
        <w:spacing w:line="600" w:lineRule="exact"/>
        <w:ind w:firstLine="640"/>
        <w:rPr>
          <w:rFonts w:eastAsia="仿宋_GB2312" w:cs="仿宋_GB2312"/>
          <w:sz w:val="32"/>
          <w:szCs w:val="32"/>
        </w:rPr>
      </w:pPr>
      <w:r>
        <w:rPr>
          <w:rFonts w:hint="eastAsia" w:eastAsia="仿宋_GB2312" w:cs="仿宋_GB2312"/>
          <w:sz w:val="32"/>
          <w:szCs w:val="32"/>
        </w:rPr>
        <w:t>1.社会保障和就业支出（类）行政事业单位养老支出（款）机关事业单位基本养老保险缴费支出（项）:支出决算为129.65万元，完成预算100%，决算数与预算数持平。</w:t>
      </w:r>
    </w:p>
    <w:p>
      <w:pPr>
        <w:spacing w:line="600" w:lineRule="exact"/>
        <w:ind w:firstLine="640"/>
        <w:rPr>
          <w:rFonts w:eastAsia="仿宋_GB2312" w:cs="仿宋_GB2312"/>
          <w:sz w:val="32"/>
          <w:szCs w:val="32"/>
        </w:rPr>
      </w:pPr>
      <w:r>
        <w:rPr>
          <w:rFonts w:hint="eastAsia" w:eastAsia="仿宋_GB2312" w:cs="仿宋_GB2312"/>
          <w:sz w:val="32"/>
          <w:szCs w:val="32"/>
        </w:rPr>
        <w:t>2.社会保障和就业支出（类）行政事业单位养老支出（款）机关事业单位职业年金缴费支出（项）:支出决算为76.57万元，完成预算100%，决算数与预算数持平。</w:t>
      </w:r>
    </w:p>
    <w:p>
      <w:pPr>
        <w:spacing w:line="600" w:lineRule="exact"/>
        <w:ind w:firstLine="640"/>
        <w:rPr>
          <w:rFonts w:eastAsia="仿宋_GB2312" w:cs="仿宋_GB2312"/>
          <w:sz w:val="32"/>
          <w:szCs w:val="32"/>
        </w:rPr>
      </w:pPr>
      <w:r>
        <w:rPr>
          <w:rFonts w:hint="eastAsia" w:eastAsia="仿宋_GB2312" w:cs="仿宋_GB2312"/>
          <w:sz w:val="32"/>
          <w:szCs w:val="32"/>
        </w:rPr>
        <w:t>3.社会保障和就业支出（类）抚恤（款）死亡抚恤（项）: 支出决算为5.43万元，完成预算100%，决算数与预算数持平。</w:t>
      </w:r>
    </w:p>
    <w:p>
      <w:pPr>
        <w:spacing w:line="600" w:lineRule="exact"/>
        <w:ind w:firstLine="640"/>
        <w:rPr>
          <w:rFonts w:eastAsia="仿宋_GB2312" w:cs="仿宋_GB2312"/>
          <w:sz w:val="32"/>
          <w:szCs w:val="32"/>
        </w:rPr>
      </w:pPr>
      <w:r>
        <w:rPr>
          <w:rFonts w:hint="eastAsia" w:eastAsia="仿宋_GB2312" w:cs="仿宋_GB2312"/>
          <w:sz w:val="32"/>
          <w:szCs w:val="32"/>
        </w:rPr>
        <w:t>4.社会保障和就业支出（类）抚恤（款）其他优抚支出（项）: 支出决算为18.35万元，完成预算100%，决算数与预算数持平。</w:t>
      </w:r>
    </w:p>
    <w:p>
      <w:pPr>
        <w:spacing w:line="600" w:lineRule="exact"/>
        <w:ind w:firstLine="640"/>
        <w:rPr>
          <w:rFonts w:eastAsia="仿宋_GB2312" w:cs="仿宋_GB2312"/>
          <w:sz w:val="32"/>
          <w:szCs w:val="32"/>
        </w:rPr>
      </w:pPr>
      <w:r>
        <w:rPr>
          <w:rFonts w:hint="eastAsia" w:eastAsia="仿宋_GB2312" w:cs="仿宋_GB2312"/>
          <w:sz w:val="32"/>
          <w:szCs w:val="32"/>
        </w:rPr>
        <w:t>5.社会保障和就业支出（类）其他社会保障和就业支出（款）其他社会保障和就业支出（项）: 支出决算为26.66万元，完成预算100%，决算数与预算数持平。</w:t>
      </w:r>
    </w:p>
    <w:p>
      <w:pPr>
        <w:spacing w:line="600" w:lineRule="exact"/>
        <w:ind w:firstLine="640"/>
        <w:rPr>
          <w:rFonts w:eastAsia="仿宋_GB2312" w:cs="仿宋_GB2312"/>
          <w:sz w:val="32"/>
          <w:szCs w:val="32"/>
        </w:rPr>
      </w:pPr>
      <w:r>
        <w:rPr>
          <w:rFonts w:hint="eastAsia" w:eastAsia="仿宋_GB2312" w:cs="仿宋_GB2312"/>
          <w:sz w:val="32"/>
          <w:szCs w:val="32"/>
        </w:rPr>
        <w:t>6.卫生健康支出（类）行政事业单位医疗（款）事业单位医疗（项）:支出决算为49.87万元，完成预算100%，决算数与预算数持平。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sz w:val="32"/>
          <w:szCs w:val="32"/>
        </w:rPr>
        <w:t>7.交通运输支出（类）公路水路运输（款）公路养护（项）：支出决算为2167.85万元，完成预算93.62%，</w:t>
      </w:r>
      <w:r>
        <w:rPr>
          <w:rFonts w:hint="eastAsia" w:ascii="仿宋" w:hAnsi="仿宋" w:eastAsia="仿宋"/>
          <w:sz w:val="32"/>
          <w:szCs w:val="32"/>
          <w:highlight w:val="none"/>
        </w:rPr>
        <w:t>决算数小于预算数的主要原因是</w:t>
      </w:r>
      <w:r>
        <w:rPr>
          <w:rFonts w:hint="eastAsia" w:ascii="仿宋" w:hAnsi="仿宋" w:eastAsia="仿宋"/>
          <w:sz w:val="32"/>
          <w:szCs w:val="32"/>
          <w:highlight w:val="none"/>
          <w:lang w:val="en-US" w:eastAsia="zh-CN"/>
        </w:rPr>
        <w:t>部分项目正在推进中，暂不具备支付条件</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sz w:val="32"/>
          <w:szCs w:val="32"/>
        </w:rPr>
        <w:t>8.交通运输支出（类）公路水路运输（款）公路运输管理（项）：支出决算为0.6万元，完成预算50%，</w:t>
      </w:r>
      <w:r>
        <w:rPr>
          <w:rFonts w:hint="eastAsia" w:ascii="仿宋" w:hAnsi="仿宋" w:eastAsia="仿宋"/>
          <w:sz w:val="32"/>
          <w:szCs w:val="32"/>
          <w:highlight w:val="none"/>
        </w:rPr>
        <w:t>决算数小于预算数的主要原因是</w:t>
      </w:r>
      <w:r>
        <w:rPr>
          <w:rFonts w:hint="eastAsia" w:ascii="仿宋" w:hAnsi="仿宋" w:eastAsia="仿宋"/>
          <w:sz w:val="32"/>
          <w:szCs w:val="32"/>
          <w:highlight w:val="none"/>
          <w:lang w:val="en-US" w:eastAsia="zh-CN"/>
        </w:rPr>
        <w:t>部分项目正在推进中，暂不具备支付条件</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sz w:val="32"/>
          <w:szCs w:val="32"/>
        </w:rPr>
        <w:t>9.交通运输支出（类）公路水路运输（款）其他公路水路运输支出（项）：支出决算为2330.95万元，完成预算98.25%，</w:t>
      </w:r>
      <w:r>
        <w:rPr>
          <w:rFonts w:hint="eastAsia" w:ascii="仿宋" w:hAnsi="仿宋" w:eastAsia="仿宋"/>
          <w:sz w:val="32"/>
          <w:szCs w:val="32"/>
          <w:highlight w:val="none"/>
        </w:rPr>
        <w:t>决算数小于预算数的主要原因是</w:t>
      </w:r>
      <w:r>
        <w:rPr>
          <w:rFonts w:hint="eastAsia" w:ascii="仿宋" w:hAnsi="仿宋" w:eastAsia="仿宋"/>
          <w:sz w:val="32"/>
          <w:szCs w:val="32"/>
          <w:highlight w:val="none"/>
          <w:lang w:val="en-US" w:eastAsia="zh-CN"/>
        </w:rPr>
        <w:t>部分项目正在推进中，暂不具备支付条件</w:t>
      </w:r>
      <w:r>
        <w:rPr>
          <w:rFonts w:hint="eastAsia" w:eastAsia="仿宋_GB2312" w:cs="仿宋_GB2312"/>
          <w:color w:val="auto"/>
          <w:kern w:val="2"/>
          <w:sz w:val="32"/>
          <w:szCs w:val="32"/>
          <w:highlight w:val="none"/>
          <w:lang w:val="en-US" w:eastAsia="zh-CN" w:bidi="ar-SA"/>
        </w:rPr>
        <w:t>。</w:t>
      </w:r>
    </w:p>
    <w:p>
      <w:pPr>
        <w:spacing w:line="600" w:lineRule="exact"/>
        <w:ind w:firstLine="640"/>
        <w:rPr>
          <w:rFonts w:eastAsia="仿宋_GB2312" w:cs="仿宋_GB2312"/>
          <w:sz w:val="32"/>
          <w:szCs w:val="32"/>
        </w:rPr>
      </w:pPr>
      <w:r>
        <w:rPr>
          <w:rFonts w:hint="eastAsia" w:eastAsia="仿宋_GB2312" w:cs="仿宋_GB2312"/>
          <w:sz w:val="32"/>
          <w:szCs w:val="32"/>
        </w:rPr>
        <w:t>10.住房保障支出（类）住房改革支出（款）住房公积金（项）:支出决算为111.02万元，完成预算100%，决算数与预算数持平。</w:t>
      </w:r>
    </w:p>
    <w:p>
      <w:pPr>
        <w:tabs>
          <w:tab w:val="right" w:pos="8306"/>
        </w:tabs>
        <w:spacing w:line="600" w:lineRule="exact"/>
        <w:ind w:firstLine="640"/>
        <w:outlineLvl w:val="1"/>
        <w:rPr>
          <w:rStyle w:val="29"/>
          <w:rFonts w:ascii="Times New Roman" w:hAnsi="Times New Roman"/>
        </w:rPr>
      </w:pPr>
      <w:bookmarkStart w:id="30" w:name="_Toc15377214"/>
      <w:bookmarkStart w:id="31" w:name="_Toc15396608"/>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30"/>
      <w:bookmarkEnd w:id="31"/>
      <w:r>
        <w:rPr>
          <w:rStyle w:val="29"/>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2332.78万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1545.78万</w:t>
      </w:r>
      <w:r>
        <w:rPr>
          <w:rFonts w:hint="eastAsia" w:eastAsia="仿宋_GB2312" w:cs="仿宋_GB2312"/>
          <w:sz w:val="32"/>
          <w:szCs w:val="32"/>
        </w:rPr>
        <w:t>元，主要包括：基本工资、津贴补贴、绩效工资、机关事业单位基本养老保险缴费、职业年金缴费、职工基本医疗保险缴费、其他社会保障缴费、住房公积金、其他工资福利支出、抚恤金、生活补助、奖励金、其他对个人和家庭的补助支出。</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787万</w:t>
      </w:r>
      <w:r>
        <w:rPr>
          <w:rFonts w:hint="eastAsia" w:eastAsia="仿宋_GB2312" w:cs="仿宋_GB2312"/>
          <w:sz w:val="32"/>
          <w:szCs w:val="32"/>
        </w:rPr>
        <w:t>元，主要包括：办公费、水费、电费、邮电费、差旅费、维修（护）费、公务接待费、劳务费、工会经费、公务用车运行维护费、税金及附加费用、其他商品和服务支出、办公设备购置。</w:t>
      </w:r>
    </w:p>
    <w:p>
      <w:pPr>
        <w:spacing w:line="600" w:lineRule="exact"/>
        <w:ind w:firstLine="640"/>
        <w:outlineLvl w:val="1"/>
        <w:rPr>
          <w:rStyle w:val="29"/>
          <w:rFonts w:ascii="Times New Roman" w:hAnsi="Times New Roman" w:eastAsia="黑体"/>
          <w:b w:val="0"/>
        </w:rPr>
      </w:pPr>
      <w:bookmarkStart w:id="32" w:name="_Toc15396609"/>
      <w:bookmarkStart w:id="33" w:name="_Toc15377215"/>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2"/>
      <w:bookmarkEnd w:id="33"/>
    </w:p>
    <w:p>
      <w:pPr>
        <w:spacing w:line="600" w:lineRule="exact"/>
        <w:ind w:firstLine="643" w:firstLineChars="200"/>
        <w:outlineLvl w:val="2"/>
        <w:rPr>
          <w:rFonts w:eastAsia="楷体_GB2312" w:cs="楷体_GB2312"/>
          <w:b/>
          <w:sz w:val="32"/>
          <w:szCs w:val="32"/>
        </w:rPr>
      </w:pPr>
      <w:bookmarkStart w:id="34" w:name="_Toc15377216"/>
      <w:r>
        <w:rPr>
          <w:rFonts w:hint="eastAsia" w:eastAsia="楷体_GB2312" w:cs="楷体_GB2312"/>
          <w:b/>
          <w:sz w:val="32"/>
          <w:szCs w:val="32"/>
        </w:rPr>
        <w:t>（一）“三公”经费财政拨款支出决算总体情况说明</w:t>
      </w:r>
      <w:bookmarkEnd w:id="34"/>
    </w:p>
    <w:p>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70.88万元，完成预算100%，</w:t>
      </w:r>
      <w:r>
        <w:rPr>
          <w:rFonts w:hint="eastAsia" w:eastAsia="仿宋_GB2312" w:cs="仿宋_GB2312"/>
          <w:sz w:val="32"/>
          <w:szCs w:val="32"/>
        </w:rPr>
        <w:t>较上年度减少21.76万元，下降23.49%。决算数与预算数持平。</w:t>
      </w:r>
    </w:p>
    <w:p>
      <w:pPr>
        <w:spacing w:line="600" w:lineRule="exact"/>
        <w:ind w:firstLine="643" w:firstLineChars="200"/>
        <w:outlineLvl w:val="2"/>
        <w:rPr>
          <w:rFonts w:eastAsia="楷体_GB2312" w:cs="楷体_GB2312"/>
          <w:b/>
          <w:sz w:val="32"/>
          <w:szCs w:val="32"/>
        </w:rPr>
      </w:pPr>
      <w:bookmarkStart w:id="35" w:name="_Toc15377217"/>
      <w:r>
        <w:rPr>
          <w:rFonts w:hint="eastAsia" w:eastAsia="楷体_GB2312" w:cs="楷体_GB2312"/>
          <w:b/>
          <w:sz w:val="32"/>
          <w:szCs w:val="32"/>
        </w:rPr>
        <w:t>（二）“三公”经费财政拨款支出决算具体情况说明</w:t>
      </w:r>
      <w:bookmarkEnd w:id="35"/>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2024年度“三公”经费财政拨款支出决算中，因公出国（境）费支出决算0万元，占0%；公务用车购置及运行维护费支出决算70.59万元，占99.59%；公务接待费支出决算0.29万元，占0.41%。具体情况如下：</w:t>
      </w:r>
    </w:p>
    <w:p>
      <w:pPr>
        <w:pStyle w:val="13"/>
        <w:rPr>
          <w:rFonts w:ascii="仿宋_GB2312" w:hAnsi="仿宋_GB2312" w:eastAsia="仿宋_GB2312" w:cs="仿宋_GB2312"/>
          <w:sz w:val="32"/>
          <w:szCs w:val="32"/>
        </w:rPr>
      </w:pPr>
    </w:p>
    <w:p>
      <w:pPr>
        <w:pStyle w:val="7"/>
        <w:ind w:left="420"/>
        <w:rPr>
          <w:rFonts w:hAnsi="仿宋_GB2312" w:eastAsia="仿宋_GB2312" w:cs="仿宋_GB2312"/>
          <w:sz w:val="32"/>
        </w:rPr>
      </w:pPr>
      <w:r>
        <w:drawing>
          <wp:anchor distT="0" distB="0" distL="114300" distR="114300" simplePos="0" relativeHeight="251665408" behindDoc="0" locked="0" layoutInCell="1" allowOverlap="1">
            <wp:simplePos x="0" y="0"/>
            <wp:positionH relativeFrom="column">
              <wp:posOffset>-67310</wp:posOffset>
            </wp:positionH>
            <wp:positionV relativeFrom="paragraph">
              <wp:posOffset>4445</wp:posOffset>
            </wp:positionV>
            <wp:extent cx="5160010" cy="4083685"/>
            <wp:effectExtent l="0" t="0" r="2540" b="12065"/>
            <wp:wrapNone/>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4"/>
                    <a:stretch>
                      <a:fillRect/>
                    </a:stretch>
                  </pic:blipFill>
                  <pic:spPr>
                    <a:xfrm>
                      <a:off x="0" y="0"/>
                      <a:ext cx="5160010" cy="4083685"/>
                    </a:xfrm>
                    <a:prstGeom prst="rect">
                      <a:avLst/>
                    </a:prstGeom>
                    <a:noFill/>
                    <a:ln>
                      <a:noFill/>
                    </a:ln>
                  </pic:spPr>
                </pic:pic>
              </a:graphicData>
            </a:graphic>
          </wp:anchor>
        </w:drawing>
      </w:r>
    </w:p>
    <w:p>
      <w:pPr>
        <w:pStyle w:val="7"/>
        <w:ind w:left="420" w:firstLine="640"/>
        <w:rPr>
          <w:rFonts w:hAnsi="仿宋_GB2312" w:eastAsia="仿宋_GB2312" w:cs="仿宋_GB2312"/>
          <w:sz w:val="32"/>
        </w:rPr>
      </w:pPr>
    </w:p>
    <w:p>
      <w:pPr>
        <w:pStyle w:val="7"/>
        <w:ind w:left="420" w:firstLine="640"/>
        <w:rPr>
          <w:rFonts w:hAnsi="仿宋_GB2312" w:eastAsia="仿宋_GB2312" w:cs="仿宋_GB2312"/>
          <w:sz w:val="32"/>
        </w:rPr>
      </w:pPr>
    </w:p>
    <w:p>
      <w:pPr>
        <w:pStyle w:val="7"/>
        <w:ind w:left="420" w:firstLine="640"/>
        <w:rPr>
          <w:rFonts w:hAnsi="仿宋_GB2312" w:eastAsia="仿宋_GB2312" w:cs="仿宋_GB2312"/>
          <w:sz w:val="32"/>
        </w:rPr>
      </w:pPr>
    </w:p>
    <w:p>
      <w:pPr>
        <w:pStyle w:val="7"/>
        <w:ind w:left="420" w:firstLine="640"/>
        <w:rPr>
          <w:rFonts w:hAnsi="仿宋_GB2312" w:eastAsia="仿宋_GB2312" w:cs="仿宋_GB2312"/>
          <w:sz w:val="32"/>
        </w:rPr>
      </w:pPr>
    </w:p>
    <w:p>
      <w:pPr>
        <w:pStyle w:val="7"/>
        <w:ind w:left="420" w:firstLine="640"/>
        <w:rPr>
          <w:rFonts w:hAnsi="仿宋_GB2312" w:eastAsia="仿宋_GB2312" w:cs="仿宋_GB2312"/>
          <w:sz w:val="32"/>
        </w:rPr>
      </w:pPr>
    </w:p>
    <w:p>
      <w:pPr>
        <w:pStyle w:val="7"/>
        <w:ind w:left="420" w:firstLine="640"/>
        <w:rPr>
          <w:rFonts w:hAnsi="仿宋_GB2312" w:eastAsia="仿宋_GB2312" w:cs="仿宋_GB2312"/>
          <w:sz w:val="32"/>
        </w:rPr>
      </w:pPr>
    </w:p>
    <w:p>
      <w:pPr>
        <w:pStyle w:val="7"/>
        <w:ind w:left="420" w:firstLine="640"/>
        <w:rPr>
          <w:rFonts w:hAnsi="仿宋_GB2312" w:eastAsia="仿宋_GB2312" w:cs="仿宋_GB2312"/>
          <w:sz w:val="32"/>
        </w:rPr>
      </w:pPr>
    </w:p>
    <w:p>
      <w:pPr>
        <w:pStyle w:val="7"/>
        <w:ind w:left="420" w:firstLine="640"/>
        <w:rPr>
          <w:rFonts w:hAnsi="仿宋_GB2312" w:eastAsia="仿宋_GB2312" w:cs="仿宋_GB2312"/>
          <w:sz w:val="32"/>
        </w:rPr>
      </w:pPr>
    </w:p>
    <w:p>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。因公出国（境）支出决算比2023年增加0万元，增长0%。</w:t>
      </w:r>
    </w:p>
    <w:p>
      <w:pPr>
        <w:spacing w:line="600" w:lineRule="exact"/>
        <w:ind w:firstLine="640"/>
        <w:rPr>
          <w:rFonts w:ascii="仿宋" w:hAnsi="仿宋" w:eastAsia="仿宋"/>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70.59万</w:t>
      </w:r>
      <w:r>
        <w:rPr>
          <w:rFonts w:hint="eastAsia" w:eastAsia="仿宋_GB2312" w:cs="仿宋_GB2312"/>
          <w:b/>
          <w:bCs/>
          <w:sz w:val="32"/>
          <w:szCs w:val="32"/>
        </w:rPr>
        <w:t>元，完成预算100%。</w:t>
      </w:r>
      <w:r>
        <w:rPr>
          <w:rFonts w:hint="eastAsia" w:eastAsia="仿宋_GB2312" w:cs="仿宋_GB2312"/>
          <w:sz w:val="32"/>
          <w:szCs w:val="32"/>
        </w:rPr>
        <w:t>公务用车购置及运行维护费支出决算比2023年度减少21.67万元，下降23.49%。</w:t>
      </w:r>
      <w:r>
        <w:rPr>
          <w:rFonts w:hint="eastAsia" w:eastAsia="仿宋_GB2312" w:cs="仿宋_GB2312"/>
          <w:sz w:val="32"/>
          <w:szCs w:val="32"/>
          <w:highlight w:val="none"/>
        </w:rPr>
        <w:t>主要原因是</w:t>
      </w:r>
      <w:r>
        <w:rPr>
          <w:rFonts w:ascii="仿宋_GB2312" w:hAnsi="仿宋_GB2312" w:eastAsia="仿宋_GB2312" w:cs="仿宋_GB2312"/>
          <w:color w:val="000000"/>
          <w:kern w:val="0"/>
          <w:sz w:val="31"/>
          <w:szCs w:val="31"/>
          <w:lang w:bidi="ar"/>
        </w:rPr>
        <w:t>认真贯彻落实党中央、国务院关于过紧日子的要求，厉行节约，从严控制</w:t>
      </w:r>
      <w:r>
        <w:rPr>
          <w:rFonts w:hint="eastAsia" w:ascii="仿宋" w:hAnsi="仿宋" w:eastAsia="仿宋" w:cs="仿宋"/>
          <w:sz w:val="32"/>
          <w:szCs w:val="32"/>
        </w:rPr>
        <w:t>“三公”</w:t>
      </w:r>
      <w:r>
        <w:rPr>
          <w:rFonts w:ascii="仿宋_GB2312" w:hAnsi="仿宋_GB2312" w:eastAsia="仿宋_GB2312" w:cs="仿宋_GB2312"/>
          <w:color w:val="000000"/>
          <w:kern w:val="0"/>
          <w:sz w:val="31"/>
          <w:szCs w:val="31"/>
          <w:lang w:bidi="ar"/>
        </w:rPr>
        <w:t>经费开支</w:t>
      </w:r>
      <w:r>
        <w:rPr>
          <w:rFonts w:hint="eastAsia" w:ascii="仿宋" w:hAnsi="仿宋" w:eastAsia="仿宋" w:cs="仿宋"/>
          <w:sz w:val="32"/>
          <w:szCs w:val="32"/>
        </w:rPr>
        <w:t>。</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万元。全年按规定更新购置公务用车0辆，其中：轿车0辆、金额0万元，越野车0辆、金额0万元，载客汽车0辆、金额0万元。截至2024年12月31日，单位共有公务用车</w:t>
      </w:r>
      <w:r>
        <w:rPr>
          <w:rFonts w:hint="default" w:eastAsia="仿宋_GB2312" w:cs="仿宋_GB2312"/>
          <w:sz w:val="32"/>
          <w:szCs w:val="32"/>
          <w:lang w:val="en-US"/>
        </w:rPr>
        <w:t>26</w:t>
      </w:r>
      <w:r>
        <w:rPr>
          <w:rFonts w:hint="eastAsia" w:eastAsia="仿宋_GB2312" w:cs="仿宋_GB2312"/>
          <w:sz w:val="32"/>
          <w:szCs w:val="32"/>
        </w:rPr>
        <w:t>辆，其中：轿车</w:t>
      </w:r>
      <w:r>
        <w:rPr>
          <w:rFonts w:hint="default" w:eastAsia="仿宋_GB2312" w:cs="仿宋_GB2312"/>
          <w:sz w:val="32"/>
          <w:szCs w:val="32"/>
          <w:lang w:val="en-US"/>
        </w:rPr>
        <w:t>4</w:t>
      </w:r>
      <w:r>
        <w:rPr>
          <w:rFonts w:hint="eastAsia" w:eastAsia="仿宋_GB2312" w:cs="仿宋_GB2312"/>
          <w:sz w:val="32"/>
          <w:szCs w:val="32"/>
        </w:rPr>
        <w:t>辆、越野车1辆、</w:t>
      </w:r>
      <w:r>
        <w:rPr>
          <w:rFonts w:hint="eastAsia" w:ascii="仿宋" w:hAnsi="仿宋" w:eastAsia="仿宋" w:cs="仿宋"/>
          <w:sz w:val="32"/>
          <w:szCs w:val="32"/>
        </w:rPr>
        <w:t>小型客车</w:t>
      </w:r>
      <w:r>
        <w:rPr>
          <w:rFonts w:hint="eastAsia" w:ascii="仿宋" w:hAnsi="仿宋" w:eastAsia="仿宋" w:cs="仿宋"/>
          <w:sz w:val="32"/>
          <w:szCs w:val="32"/>
          <w:lang w:val="en-US" w:eastAsia="zh-CN"/>
        </w:rPr>
        <w:t>5辆、</w:t>
      </w:r>
      <w:r>
        <w:rPr>
          <w:rFonts w:hint="eastAsia" w:eastAsia="仿宋_GB2312" w:cs="仿宋_GB2312"/>
          <w:sz w:val="32"/>
          <w:szCs w:val="32"/>
        </w:rPr>
        <w:t>载客汽车</w:t>
      </w:r>
      <w:r>
        <w:rPr>
          <w:rFonts w:hint="default" w:eastAsia="仿宋_GB2312" w:cs="仿宋_GB2312"/>
          <w:sz w:val="32"/>
          <w:szCs w:val="32"/>
          <w:lang w:val="en-US"/>
        </w:rPr>
        <w:t>0</w:t>
      </w:r>
      <w:r>
        <w:rPr>
          <w:rFonts w:hint="eastAsia" w:eastAsia="仿宋_GB2312" w:cs="仿宋_GB2312"/>
          <w:sz w:val="32"/>
          <w:szCs w:val="32"/>
        </w:rPr>
        <w:t>辆、</w:t>
      </w:r>
      <w:r>
        <w:rPr>
          <w:rFonts w:hint="eastAsia" w:ascii="仿宋_GB2312" w:eastAsia="仿宋_GB2312"/>
          <w:sz w:val="32"/>
          <w:szCs w:val="32"/>
        </w:rPr>
        <w:t>其他车型16辆</w:t>
      </w:r>
      <w:r>
        <w:rPr>
          <w:rFonts w:hint="eastAsia" w:eastAsia="仿宋_GB2312" w:cs="仿宋_GB2312"/>
          <w:sz w:val="32"/>
          <w:szCs w:val="32"/>
        </w:rPr>
        <w:t>。</w:t>
      </w:r>
    </w:p>
    <w:p>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出70.59</w:t>
      </w:r>
      <w:r>
        <w:rPr>
          <w:rFonts w:hint="eastAsia" w:eastAsia="仿宋_GB2312" w:cs="仿宋_GB2312"/>
          <w:sz w:val="32"/>
          <w:szCs w:val="32"/>
        </w:rPr>
        <w:t>万元。</w:t>
      </w:r>
      <w:r>
        <w:rPr>
          <w:rFonts w:hint="eastAsia" w:eastAsia="仿宋_GB2312" w:cs="仿宋_GB2312"/>
          <w:sz w:val="32"/>
          <w:szCs w:val="32"/>
          <w:highlight w:val="none"/>
        </w:rPr>
        <w:t>主要用于</w:t>
      </w:r>
      <w:r>
        <w:rPr>
          <w:rFonts w:hint="eastAsia" w:eastAsia="仿宋_GB2312" w:cs="仿宋_GB2312"/>
          <w:sz w:val="32"/>
          <w:szCs w:val="32"/>
        </w:rPr>
        <w:t>公路及桥梁的维修、养护、保洁、绿化工作、公路工程建设、养护管理、水上交通安全监管及各项应急任务所需的公务用车燃料费、维修费、过路过桥费、保险费等支出。</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0.29万</w:t>
      </w:r>
      <w:r>
        <w:rPr>
          <w:rFonts w:hint="eastAsia" w:eastAsia="仿宋_GB2312" w:cs="仿宋_GB2312"/>
          <w:b/>
          <w:bCs/>
          <w:sz w:val="32"/>
          <w:szCs w:val="32"/>
        </w:rPr>
        <w:t>元，完成预算100%。</w:t>
      </w:r>
      <w:r>
        <w:rPr>
          <w:rFonts w:hint="eastAsia" w:eastAsia="仿宋_GB2312" w:cs="仿宋_GB2312"/>
          <w:sz w:val="32"/>
          <w:szCs w:val="32"/>
        </w:rPr>
        <w:t>公务接待费支出决算比2023年度减少0.08万元，下降21.62%。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年公务接待批次、人次</w:t>
      </w:r>
      <w:r>
        <w:rPr>
          <w:rFonts w:hint="eastAsia" w:ascii="仿宋" w:hAnsi="仿宋" w:eastAsia="仿宋" w:cs="仿宋"/>
          <w:sz w:val="32"/>
          <w:szCs w:val="32"/>
          <w:lang w:eastAsia="zh-CN"/>
        </w:rPr>
        <w:t>减少</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sz w:val="32"/>
          <w:szCs w:val="32"/>
        </w:rPr>
        <w:t>其中：</w:t>
      </w:r>
    </w:p>
    <w:p>
      <w:pPr>
        <w:spacing w:line="600" w:lineRule="exact"/>
        <w:ind w:firstLine="640"/>
        <w:rPr>
          <w:rFonts w:eastAsia="仿宋_GB2312" w:cs="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0.29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48</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0.29</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1.乡村振兴农村物流迎接省级考核接待费0.12万元；2.乐山市交通局、财政局年终绩效考核午餐接待费0.06万元；3.普通国省干线公路路况检查接待费0.03万元；4.国道G245线路况检测评定用餐0.05万元；5.省公路设计院对S308、S429进行路况检测评定工作餐0.03万元。</w:t>
      </w:r>
    </w:p>
    <w:p>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出0万元。外事接待0批次，0人次（不包括陪同人员），共计支出0万</w:t>
      </w:r>
      <w:r>
        <w:rPr>
          <w:rFonts w:hint="eastAsia" w:eastAsia="仿宋_GB2312" w:cs="仿宋_GB2312"/>
          <w:sz w:val="32"/>
          <w:szCs w:val="32"/>
        </w:rPr>
        <w:t>元。</w:t>
      </w:r>
      <w:bookmarkStart w:id="36" w:name="_Toc15396610"/>
      <w:bookmarkStart w:id="37" w:name="_Toc15377218"/>
    </w:p>
    <w:p>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6"/>
      <w:bookmarkEnd w:id="37"/>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2024年度政府性基金预算财政拨款支出1866.97万元，占本年支出合计的27.52%</w:t>
      </w:r>
      <w:r>
        <w:rPr>
          <w:rFonts w:hint="eastAsia" w:eastAsia="仿宋_GB2312" w:cs="仿宋_GB2312"/>
          <w:sz w:val="32"/>
          <w:szCs w:val="32"/>
        </w:rPr>
        <w:t>。与2023年度相比，政府性基金预算财政拨款支出减少446.6万元，下降19.3%。</w:t>
      </w:r>
      <w:r>
        <w:rPr>
          <w:rFonts w:hint="eastAsia" w:eastAsia="仿宋_GB2312" w:cs="仿宋_GB2312"/>
          <w:sz w:val="32"/>
          <w:szCs w:val="32"/>
          <w:highlight w:val="none"/>
        </w:rPr>
        <w:t>主要变动原因是</w:t>
      </w:r>
      <w:r>
        <w:rPr>
          <w:rFonts w:hint="eastAsia" w:ascii="仿宋" w:hAnsi="仿宋" w:eastAsia="仿宋" w:cs="仿宋"/>
          <w:sz w:val="32"/>
          <w:szCs w:val="32"/>
          <w:highlight w:val="none"/>
          <w:lang w:val="en-US" w:eastAsia="zh-CN"/>
        </w:rPr>
        <w:t>减少项目开支、控制日常支出</w:t>
      </w:r>
      <w:r>
        <w:rPr>
          <w:rFonts w:hint="eastAsia" w:eastAsia="仿宋_GB2312" w:cs="仿宋_GB2312"/>
          <w:sz w:val="32"/>
          <w:szCs w:val="32"/>
        </w:rPr>
        <w:t>。</w:t>
      </w:r>
    </w:p>
    <w:p>
      <w:pPr>
        <w:spacing w:line="600" w:lineRule="exact"/>
        <w:ind w:left="630"/>
        <w:outlineLvl w:val="1"/>
        <w:rPr>
          <w:rStyle w:val="29"/>
          <w:rFonts w:ascii="Times New Roman" w:hAnsi="Times New Roman" w:eastAsia="黑体"/>
          <w:b w:val="0"/>
        </w:rPr>
      </w:pPr>
      <w:bookmarkStart w:id="38" w:name="_Toc15396611"/>
      <w:bookmarkStart w:id="39" w:name="_Toc15377219"/>
      <w:r>
        <w:rPr>
          <w:rStyle w:val="29"/>
          <w:rFonts w:hint="eastAsia" w:ascii="Times New Roman" w:hAnsi="Times New Roman" w:eastAsia="黑体"/>
          <w:b w:val="0"/>
        </w:rPr>
        <w:t>九、国有资本经营预算支出决算情况说明</w:t>
      </w:r>
      <w:bookmarkEnd w:id="38"/>
      <w:bookmarkEnd w:id="39"/>
    </w:p>
    <w:p>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。与2023年度相比，国有资本经营预算财政拨款支出增加0万元，增长0%。</w:t>
      </w:r>
    </w:p>
    <w:p>
      <w:pPr>
        <w:spacing w:line="600" w:lineRule="exact"/>
        <w:ind w:left="630"/>
        <w:outlineLvl w:val="1"/>
        <w:rPr>
          <w:rStyle w:val="29"/>
          <w:rFonts w:ascii="Times New Roman" w:hAnsi="Times New Roman" w:eastAsia="黑体"/>
          <w:b w:val="0"/>
        </w:rPr>
      </w:pPr>
      <w:bookmarkStart w:id="40" w:name="_Toc15396612"/>
      <w:bookmarkStart w:id="41" w:name="_Toc15377221"/>
      <w:r>
        <w:rPr>
          <w:rStyle w:val="29"/>
          <w:rFonts w:hint="eastAsia" w:ascii="Times New Roman" w:hAnsi="Times New Roman" w:eastAsia="黑体"/>
          <w:b w:val="0"/>
        </w:rPr>
        <w:t>十、其他重要事项的情况说明</w:t>
      </w:r>
      <w:bookmarkEnd w:id="40"/>
      <w:bookmarkEnd w:id="41"/>
    </w:p>
    <w:p>
      <w:pPr>
        <w:spacing w:line="600" w:lineRule="exact"/>
        <w:ind w:firstLine="643" w:firstLineChars="200"/>
        <w:outlineLvl w:val="2"/>
        <w:rPr>
          <w:rFonts w:eastAsia="楷体_GB2312" w:cs="楷体_GB2312"/>
          <w:b/>
          <w:sz w:val="32"/>
          <w:szCs w:val="32"/>
        </w:rPr>
      </w:pPr>
      <w:bookmarkStart w:id="42" w:name="_Toc15377222"/>
      <w:r>
        <w:rPr>
          <w:rFonts w:hint="eastAsia" w:eastAsia="楷体_GB2312" w:cs="楷体_GB2312"/>
          <w:b/>
          <w:sz w:val="32"/>
          <w:szCs w:val="32"/>
        </w:rPr>
        <w:t>（一）机关运行经费支出情况</w:t>
      </w:r>
      <w:bookmarkEnd w:id="42"/>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，峨眉山市交通建设和运输中心机关运行经费支出0万</w:t>
      </w:r>
      <w:r>
        <w:rPr>
          <w:rFonts w:hint="eastAsia" w:eastAsia="仿宋_GB2312" w:cs="仿宋_GB2312"/>
          <w:sz w:val="32"/>
          <w:szCs w:val="32"/>
        </w:rPr>
        <w:t>元，比2023年度增加0万元，增长0%。</w:t>
      </w:r>
    </w:p>
    <w:p>
      <w:pPr>
        <w:spacing w:line="600" w:lineRule="exact"/>
        <w:ind w:firstLine="643" w:firstLineChars="200"/>
        <w:outlineLvl w:val="2"/>
        <w:rPr>
          <w:rFonts w:eastAsia="楷体_GB2312" w:cs="楷体_GB2312"/>
          <w:b/>
          <w:sz w:val="32"/>
          <w:szCs w:val="32"/>
        </w:rPr>
      </w:pPr>
      <w:bookmarkStart w:id="43" w:name="_Toc15377223"/>
      <w:r>
        <w:rPr>
          <w:rFonts w:hint="eastAsia" w:eastAsia="楷体_GB2312" w:cs="楷体_GB2312"/>
          <w:b/>
          <w:sz w:val="32"/>
          <w:szCs w:val="32"/>
        </w:rPr>
        <w:t>（二）政府采购支出情况</w:t>
      </w:r>
      <w:bookmarkEnd w:id="43"/>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2024年度，峨眉山市交通建设和运输中心政府采购支出总额400.3万元，其中：政府采购货物支出120.3</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万元、政府采购工程支出71万元、政府采购服务支出208.97万元。授予中小企业合同金额299.5万元，占政府采购支出总额的74.8</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%，其中：授予小微企业合同金额281.95万元，占政府采购支出总额的70.43%。</w:t>
      </w:r>
    </w:p>
    <w:p>
      <w:pPr>
        <w:spacing w:line="600" w:lineRule="exact"/>
        <w:ind w:firstLine="643" w:firstLineChars="200"/>
        <w:outlineLvl w:val="2"/>
        <w:rPr>
          <w:rFonts w:eastAsia="楷体_GB2312" w:cs="楷体_GB2312"/>
          <w:b/>
          <w:sz w:val="32"/>
          <w:szCs w:val="32"/>
        </w:rPr>
      </w:pPr>
      <w:bookmarkStart w:id="44" w:name="_Toc15377224"/>
      <w:r>
        <w:rPr>
          <w:rFonts w:hint="eastAsia" w:eastAsia="楷体_GB2312" w:cs="楷体_GB2312"/>
          <w:b/>
          <w:sz w:val="32"/>
          <w:szCs w:val="32"/>
        </w:rPr>
        <w:t>（三）国有资产占有使用情况</w:t>
      </w:r>
      <w:bookmarkEnd w:id="44"/>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截至2024年12月31日，峨眉山市交通建设和运输中心共有车辆23辆，其中：主要负责人用车0辆、机要通信用车0辆、应急保障用车3辆、特种专业技术用车8辆、其他用车12辆，</w:t>
      </w:r>
      <w:r>
        <w:rPr>
          <w:rFonts w:hint="eastAsia" w:ascii="仿宋_GB2312" w:hAnsi="仿宋_GB2312" w:eastAsia="仿宋_GB2312" w:cs="仿宋_GB2312"/>
          <w:sz w:val="32"/>
          <w:szCs w:val="32"/>
          <w:highlight w:val="none"/>
        </w:rPr>
        <w:t>其他用车主要是用于</w:t>
      </w:r>
      <w:r>
        <w:rPr>
          <w:rFonts w:hint="eastAsia" w:ascii="仿宋" w:hAnsi="仿宋" w:eastAsia="仿宋" w:cs="仿宋"/>
          <w:sz w:val="32"/>
          <w:szCs w:val="32"/>
        </w:rPr>
        <w:t>公路养护保洁、道路情况巡查、外出执行公务</w:t>
      </w:r>
      <w:r>
        <w:rPr>
          <w:rFonts w:hint="eastAsia" w:ascii="仿宋_GB2312" w:hAnsi="仿宋_GB2312" w:eastAsia="仿宋_GB2312" w:cs="仿宋_GB2312"/>
          <w:sz w:val="32"/>
          <w:szCs w:val="32"/>
        </w:rPr>
        <w:t>。单价100万元（含）以上设备（不含车辆）0台（套）</w:t>
      </w:r>
      <w:r>
        <w:rPr>
          <w:rFonts w:hint="eastAsia" w:eastAsia="仿宋_GB2312" w:cs="仿宋_GB2312"/>
          <w:sz w:val="32"/>
          <w:szCs w:val="32"/>
        </w:rPr>
        <w:t>。</w:t>
      </w:r>
    </w:p>
    <w:p>
      <w:pPr>
        <w:spacing w:line="600" w:lineRule="exact"/>
        <w:ind w:firstLine="643" w:firstLineChars="200"/>
        <w:outlineLvl w:val="2"/>
        <w:rPr>
          <w:rFonts w:eastAsia="楷体_GB2312" w:cs="楷体_GB2312"/>
          <w:b/>
          <w:sz w:val="32"/>
          <w:szCs w:val="32"/>
          <w:highlight w:val="none"/>
        </w:rPr>
      </w:pPr>
      <w:r>
        <w:rPr>
          <w:rFonts w:hint="eastAsia" w:eastAsia="楷体_GB2312" w:cs="楷体_GB2312"/>
          <w:b/>
          <w:sz w:val="32"/>
          <w:szCs w:val="32"/>
          <w:highlight w:val="none"/>
        </w:rPr>
        <w:t>（四）预算绩效管理情况</w:t>
      </w:r>
    </w:p>
    <w:p>
      <w:pPr>
        <w:spacing w:line="600" w:lineRule="exact"/>
        <w:ind w:firstLine="640" w:firstLineChars="200"/>
        <w:rPr>
          <w:rFonts w:ascii="仿宋" w:hAnsi="仿宋" w:eastAsia="仿宋" w:cs="仿宋"/>
          <w:sz w:val="32"/>
          <w:szCs w:val="32"/>
        </w:rPr>
      </w:pPr>
      <w:r>
        <w:rPr>
          <w:rFonts w:hint="eastAsia" w:ascii="仿宋_GB2312" w:eastAsia="仿宋_GB2312"/>
          <w:sz w:val="32"/>
          <w:szCs w:val="32"/>
        </w:rPr>
        <w:t>根据预算绩效管理要求，本单位在2024年度预算编制阶段，</w:t>
      </w:r>
      <w:r>
        <w:rPr>
          <w:rFonts w:hint="eastAsia" w:ascii="仿宋" w:hAnsi="仿宋" w:eastAsia="仿宋" w:cs="仿宋"/>
          <w:sz w:val="32"/>
          <w:szCs w:val="32"/>
        </w:rPr>
        <w:t>组织对扫地车、洒水车运行费，公路建设项目工程费用，农村公路管理养护资金等</w:t>
      </w:r>
      <w:r>
        <w:rPr>
          <w:rFonts w:hint="eastAsia" w:ascii="仿宋" w:hAnsi="仿宋" w:eastAsia="仿宋" w:cs="仿宋"/>
          <w:sz w:val="32"/>
          <w:szCs w:val="32"/>
          <w:lang w:val="en-US" w:eastAsia="zh-CN"/>
        </w:rPr>
        <w:t>5</w:t>
      </w:r>
      <w:r>
        <w:rPr>
          <w:rFonts w:hint="eastAsia" w:ascii="仿宋" w:hAnsi="仿宋" w:eastAsia="仿宋" w:cs="仿宋"/>
          <w:sz w:val="32"/>
          <w:szCs w:val="32"/>
        </w:rPr>
        <w:t>个项目开展了预算事前绩效评估</w:t>
      </w:r>
      <w:r>
        <w:rPr>
          <w:rFonts w:hint="eastAsia" w:ascii="仿宋" w:hAnsi="仿宋" w:eastAsia="仿宋" w:cs="仿宋"/>
          <w:sz w:val="32"/>
          <w:szCs w:val="32"/>
          <w:lang w:eastAsia="zh-CN"/>
        </w:rPr>
        <w:t>，</w:t>
      </w:r>
      <w:r>
        <w:rPr>
          <w:rFonts w:hint="eastAsia" w:ascii="仿宋" w:hAnsi="仿宋" w:eastAsia="仿宋" w:cs="仿宋"/>
          <w:sz w:val="32"/>
          <w:szCs w:val="32"/>
        </w:rPr>
        <w:t>对</w:t>
      </w:r>
      <w:r>
        <w:rPr>
          <w:rFonts w:hint="eastAsia" w:ascii="仿宋" w:hAnsi="仿宋" w:eastAsia="仿宋" w:cs="仿宋"/>
          <w:sz w:val="32"/>
          <w:szCs w:val="32"/>
          <w:lang w:val="en-US" w:eastAsia="zh-CN"/>
        </w:rPr>
        <w:t>10</w:t>
      </w:r>
      <w:r>
        <w:rPr>
          <w:rFonts w:hint="eastAsia" w:ascii="仿宋" w:hAnsi="仿宋" w:eastAsia="仿宋" w:cs="仿宋"/>
          <w:sz w:val="32"/>
          <w:szCs w:val="32"/>
        </w:rPr>
        <w:t>个项目编制了绩效目标，预算执行过程中，选取</w:t>
      </w:r>
      <w:r>
        <w:rPr>
          <w:rFonts w:hint="eastAsia" w:ascii="仿宋" w:hAnsi="仿宋" w:eastAsia="仿宋" w:cs="仿宋"/>
          <w:sz w:val="32"/>
          <w:szCs w:val="32"/>
          <w:lang w:val="en-US" w:eastAsia="zh-CN"/>
        </w:rPr>
        <w:t>10</w:t>
      </w:r>
      <w:r>
        <w:rPr>
          <w:rFonts w:hint="eastAsia" w:ascii="仿宋" w:hAnsi="仿宋" w:eastAsia="仿宋" w:cs="仿宋"/>
          <w:sz w:val="32"/>
          <w:szCs w:val="32"/>
        </w:rPr>
        <w:t>个项目开展绩效监控，组织对</w:t>
      </w:r>
      <w:r>
        <w:rPr>
          <w:rFonts w:hint="eastAsia" w:ascii="仿宋" w:hAnsi="仿宋" w:eastAsia="仿宋" w:cs="仿宋"/>
          <w:sz w:val="32"/>
          <w:szCs w:val="32"/>
          <w:lang w:val="en-US" w:eastAsia="zh-CN"/>
        </w:rPr>
        <w:t>10</w:t>
      </w:r>
      <w:r>
        <w:rPr>
          <w:rFonts w:hint="eastAsia" w:ascii="仿宋" w:hAnsi="仿宋" w:eastAsia="仿宋" w:cs="仿宋"/>
          <w:sz w:val="32"/>
          <w:szCs w:val="32"/>
        </w:rPr>
        <w:t>个项目开展绩效自评，绩效自评表详见第四部分附件。</w:t>
      </w:r>
    </w:p>
    <w:p>
      <w:pPr>
        <w:spacing w:line="600" w:lineRule="exact"/>
        <w:ind w:firstLine="640"/>
        <w:rPr>
          <w:rFonts w:eastAsia="仿宋_GB2312" w:cs="仿宋_GB2312"/>
          <w:sz w:val="32"/>
          <w:szCs w:val="32"/>
        </w:rPr>
      </w:pPr>
    </w:p>
    <w:p>
      <w:pPr>
        <w:pStyle w:val="2"/>
        <w:rPr>
          <w:rFonts w:eastAsia="仿宋_GB2312" w:cs="仿宋_GB2312"/>
          <w:sz w:val="32"/>
          <w:szCs w:val="32"/>
        </w:rPr>
      </w:pPr>
    </w:p>
    <w:p>
      <w:pPr>
        <w:rPr>
          <w:rFonts w:eastAsia="仿宋_GB2312" w:cs="仿宋_GB2312"/>
          <w:sz w:val="32"/>
          <w:szCs w:val="32"/>
        </w:rPr>
      </w:pPr>
    </w:p>
    <w:p>
      <w:pPr>
        <w:pStyle w:val="2"/>
        <w:rPr>
          <w:rFonts w:eastAsia="仿宋_GB2312" w:cs="仿宋_GB2312"/>
          <w:sz w:val="32"/>
          <w:szCs w:val="32"/>
        </w:rPr>
      </w:pPr>
    </w:p>
    <w:p>
      <w:pPr>
        <w:rPr>
          <w:rFonts w:eastAsia="仿宋_GB2312" w:cs="仿宋_GB2312"/>
          <w:sz w:val="32"/>
          <w:szCs w:val="32"/>
        </w:rPr>
      </w:pPr>
    </w:p>
    <w:p>
      <w:pPr>
        <w:pStyle w:val="2"/>
        <w:rPr>
          <w:rFonts w:eastAsia="仿宋_GB2312" w:cs="仿宋_GB2312"/>
          <w:sz w:val="32"/>
          <w:szCs w:val="32"/>
        </w:rPr>
      </w:pPr>
    </w:p>
    <w:p>
      <w:pPr>
        <w:rPr>
          <w:rFonts w:eastAsia="仿宋_GB2312" w:cs="仿宋_GB2312"/>
          <w:sz w:val="32"/>
          <w:szCs w:val="32"/>
        </w:rPr>
      </w:pPr>
    </w:p>
    <w:p>
      <w:pPr>
        <w:pStyle w:val="2"/>
        <w:rPr>
          <w:rFonts w:eastAsia="仿宋_GB2312" w:cs="仿宋_GB2312"/>
          <w:sz w:val="32"/>
          <w:szCs w:val="32"/>
        </w:rPr>
      </w:pPr>
    </w:p>
    <w:p>
      <w:pPr>
        <w:rPr>
          <w:rFonts w:eastAsia="仿宋_GB2312" w:cs="仿宋_GB2312"/>
          <w:sz w:val="32"/>
          <w:szCs w:val="32"/>
        </w:rPr>
      </w:pPr>
    </w:p>
    <w:p>
      <w:pPr>
        <w:pStyle w:val="2"/>
        <w:rPr>
          <w:rFonts w:eastAsia="仿宋_GB2312" w:cs="仿宋_GB2312"/>
          <w:sz w:val="32"/>
          <w:szCs w:val="32"/>
        </w:rPr>
      </w:pPr>
    </w:p>
    <w:p/>
    <w:p>
      <w:pPr>
        <w:spacing w:line="600" w:lineRule="exact"/>
        <w:jc w:val="center"/>
        <w:outlineLvl w:val="0"/>
        <w:rPr>
          <w:rFonts w:eastAsia="黑体"/>
          <w:sz w:val="44"/>
          <w:szCs w:val="44"/>
        </w:rPr>
      </w:pPr>
      <w:bookmarkStart w:id="45" w:name="_Toc15396613"/>
      <w:bookmarkStart w:id="46" w:name="_Toc15377225"/>
      <w:r>
        <w:rPr>
          <w:rFonts w:hint="eastAsia" w:eastAsia="黑体"/>
          <w:sz w:val="44"/>
          <w:szCs w:val="44"/>
        </w:rPr>
        <w:t>第三部分  名词解释</w:t>
      </w:r>
      <w:bookmarkEnd w:id="45"/>
      <w:bookmarkEnd w:id="46"/>
    </w:p>
    <w:p>
      <w:pPr>
        <w:spacing w:line="600" w:lineRule="exact"/>
        <w:jc w:val="left"/>
        <w:rPr>
          <w:b/>
          <w:sz w:val="44"/>
          <w:szCs w:val="44"/>
        </w:rPr>
      </w:pPr>
    </w:p>
    <w:p>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w:t>
      </w:r>
    </w:p>
    <w:p>
      <w:pPr>
        <w:spacing w:line="600" w:lineRule="exact"/>
        <w:ind w:firstLine="640"/>
        <w:rPr>
          <w:rFonts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pPr>
        <w:spacing w:line="600" w:lineRule="exact"/>
        <w:ind w:firstLine="640"/>
        <w:rPr>
          <w:rFonts w:eastAsia="仿宋_GB2312" w:cs="仿宋_GB2312"/>
          <w:sz w:val="32"/>
          <w:szCs w:val="32"/>
        </w:rPr>
      </w:pPr>
      <w:r>
        <w:rPr>
          <w:rFonts w:hint="eastAsia" w:eastAsia="仿宋_GB2312" w:cs="仿宋_GB2312"/>
          <w:sz w:val="32"/>
          <w:szCs w:val="32"/>
        </w:rPr>
        <w:t xml:space="preserve">4.其他收入：指单位取得的除上述收入以外的各项收入。 </w:t>
      </w:r>
    </w:p>
    <w:p>
      <w:pPr>
        <w:spacing w:line="600" w:lineRule="exact"/>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pPr>
        <w:spacing w:line="600" w:lineRule="exact"/>
        <w:ind w:firstLine="640"/>
        <w:rPr>
          <w:rFonts w:eastAsia="仿宋_GB2312" w:cs="仿宋_GB2312"/>
          <w:sz w:val="32"/>
          <w:szCs w:val="32"/>
        </w:rPr>
      </w:pPr>
      <w:r>
        <w:rPr>
          <w:rFonts w:hint="eastAsia" w:eastAsia="仿宋_GB2312" w:cs="仿宋_GB2312"/>
          <w:sz w:val="32"/>
          <w:szCs w:val="32"/>
        </w:rPr>
        <w:t>9.社会保障和就业支出（类）行政事业单位养老支出（款）机关事业单位基本养老保险缴费支出（项）：指机关事业单位实施养老保险制度由单位缴纳的基本养老保险费支出。</w:t>
      </w:r>
    </w:p>
    <w:p>
      <w:pPr>
        <w:spacing w:line="600" w:lineRule="exact"/>
        <w:ind w:firstLine="640"/>
        <w:rPr>
          <w:rFonts w:eastAsia="仿宋_GB2312" w:cs="仿宋_GB2312"/>
          <w:sz w:val="32"/>
          <w:szCs w:val="32"/>
        </w:rPr>
      </w:pPr>
      <w:r>
        <w:rPr>
          <w:rFonts w:hint="eastAsia" w:eastAsia="仿宋_GB2312" w:cs="仿宋_GB2312"/>
          <w:sz w:val="32"/>
          <w:szCs w:val="32"/>
        </w:rPr>
        <w:t>10.社会保障和就业支出（类）行政事业单位养老支出（款）机关事业单位职业年金缴费支出（项）:指机关事业单位实施养老保险制度由单位实际缴纳的职业年金支出（含职业年金补记支出）。</w:t>
      </w:r>
    </w:p>
    <w:p>
      <w:pPr>
        <w:spacing w:line="600" w:lineRule="exact"/>
        <w:ind w:firstLine="640"/>
        <w:rPr>
          <w:rFonts w:eastAsia="仿宋_GB2312" w:cs="仿宋_GB2312"/>
          <w:sz w:val="32"/>
          <w:szCs w:val="32"/>
        </w:rPr>
      </w:pPr>
      <w:r>
        <w:rPr>
          <w:rFonts w:hint="eastAsia" w:eastAsia="仿宋_GB2312" w:cs="仿宋_GB2312"/>
          <w:sz w:val="32"/>
          <w:szCs w:val="32"/>
        </w:rPr>
        <w:t>11.社会保障和就业支出（类）抚恤（款）死亡抚恤（项）:指按规定用于烈士和牺牲、病故人员家属的一次性和定期抚恤金以及丧葬补助费以及烈士褒扬金。</w:t>
      </w:r>
    </w:p>
    <w:p>
      <w:pPr>
        <w:spacing w:line="600" w:lineRule="exact"/>
        <w:ind w:firstLine="640"/>
        <w:rPr>
          <w:rFonts w:eastAsia="仿宋_GB2312" w:cs="仿宋_GB2312"/>
          <w:sz w:val="32"/>
          <w:szCs w:val="32"/>
        </w:rPr>
      </w:pPr>
      <w:r>
        <w:rPr>
          <w:rFonts w:hint="eastAsia" w:eastAsia="仿宋_GB2312" w:cs="仿宋_GB2312"/>
          <w:sz w:val="32"/>
          <w:szCs w:val="32"/>
        </w:rPr>
        <w:t>12.社会保障和就业支出（类）抚恤（款）其他优抚支出（项）:指除上述项目以外其他用于优抚方面的支出，包括向优抚对象发放的价格临时补贴、老烈士子女、老党员定期生活补助等支出。</w:t>
      </w:r>
    </w:p>
    <w:p>
      <w:pPr>
        <w:spacing w:line="600" w:lineRule="exact"/>
        <w:ind w:firstLine="640"/>
        <w:rPr>
          <w:rFonts w:eastAsia="仿宋_GB2312" w:cs="仿宋_GB2312"/>
          <w:sz w:val="32"/>
          <w:szCs w:val="32"/>
        </w:rPr>
      </w:pPr>
      <w:r>
        <w:rPr>
          <w:rFonts w:hint="eastAsia" w:eastAsia="仿宋_GB2312" w:cs="仿宋_GB2312"/>
          <w:sz w:val="32"/>
          <w:szCs w:val="32"/>
        </w:rPr>
        <w:t>13.社会保障和就业支出（类）其他社会保障和就业支出（款）其他社会保障和就业支出（项）:指其他用于社会保障和就业方面的支出。</w:t>
      </w:r>
    </w:p>
    <w:p>
      <w:pPr>
        <w:spacing w:line="600" w:lineRule="exact"/>
        <w:ind w:firstLine="640"/>
        <w:rPr>
          <w:rFonts w:eastAsia="仿宋_GB2312" w:cs="仿宋_GB2312"/>
          <w:sz w:val="32"/>
          <w:szCs w:val="32"/>
        </w:rPr>
      </w:pPr>
      <w:r>
        <w:rPr>
          <w:rFonts w:hint="eastAsia" w:eastAsia="仿宋_GB2312" w:cs="仿宋_GB2312"/>
          <w:sz w:val="32"/>
          <w:szCs w:val="32"/>
        </w:rPr>
        <w:t>14.卫生健康支出（类）行政事业单位医疗（款）事业单位医疗（项）: 指财政部门安排的事业单位基本医疗保险缴费经费，未参加医疗保险的事业单位的公费医疗经费，按国家规定享受离休人员待遇的医疗经费。</w:t>
      </w:r>
    </w:p>
    <w:p>
      <w:pPr>
        <w:spacing w:line="600" w:lineRule="exact"/>
        <w:ind w:firstLine="640"/>
        <w:rPr>
          <w:rFonts w:eastAsia="仿宋_GB2312" w:cs="仿宋_GB2312"/>
          <w:sz w:val="32"/>
          <w:szCs w:val="32"/>
        </w:rPr>
      </w:pPr>
      <w:r>
        <w:rPr>
          <w:rFonts w:hint="eastAsia" w:eastAsia="仿宋_GB2312" w:cs="仿宋_GB2312"/>
          <w:sz w:val="32"/>
          <w:szCs w:val="32"/>
        </w:rPr>
        <w:t>15.城乡社区支出（类）国有土地使用权出让收入安排的支出（款）土地开发支出（项）：指新疆生产建设兵团和地方政府用于前期土地开发性支出以及与前期土地开发相关的费用等支出。</w:t>
      </w:r>
    </w:p>
    <w:p>
      <w:pPr>
        <w:spacing w:line="600" w:lineRule="exact"/>
        <w:ind w:firstLine="640"/>
        <w:rPr>
          <w:rFonts w:eastAsia="仿宋_GB2312" w:cs="仿宋_GB2312"/>
          <w:sz w:val="32"/>
          <w:szCs w:val="32"/>
        </w:rPr>
      </w:pPr>
      <w:r>
        <w:rPr>
          <w:rFonts w:hint="eastAsia" w:eastAsia="仿宋_GB2312" w:cs="仿宋_GB2312"/>
          <w:sz w:val="32"/>
          <w:szCs w:val="32"/>
        </w:rPr>
        <w:t>16.城乡社区支出（类）国有土地使用权出让收入安排的支出（款）其他国有土地使用权出让收入安排的支出（项）：指土地出让收入用于其他方面的支出。不包括市县级政府当年按规定用于土地出让收入向中央和省级政府缴纳的新增建设用地土地有偿使用费的支出。</w:t>
      </w:r>
    </w:p>
    <w:p>
      <w:pPr>
        <w:spacing w:line="600" w:lineRule="exact"/>
        <w:ind w:firstLine="640"/>
        <w:rPr>
          <w:rFonts w:eastAsia="仿宋_GB2312" w:cs="仿宋_GB2312"/>
          <w:sz w:val="32"/>
          <w:szCs w:val="32"/>
        </w:rPr>
      </w:pPr>
      <w:r>
        <w:rPr>
          <w:rFonts w:hint="eastAsia" w:eastAsia="仿宋_GB2312" w:cs="仿宋_GB2312"/>
          <w:sz w:val="32"/>
          <w:szCs w:val="32"/>
        </w:rPr>
        <w:t>17.交通运输支出（类）公路水路运输（款）公路养护（项）：指公路养护支出。</w:t>
      </w:r>
    </w:p>
    <w:p>
      <w:pPr>
        <w:spacing w:line="600" w:lineRule="exact"/>
        <w:ind w:firstLine="640"/>
        <w:rPr>
          <w:rFonts w:eastAsia="仿宋_GB2312" w:cs="仿宋_GB2312"/>
          <w:sz w:val="32"/>
          <w:szCs w:val="32"/>
        </w:rPr>
      </w:pPr>
      <w:r>
        <w:rPr>
          <w:rFonts w:hint="eastAsia" w:eastAsia="仿宋_GB2312" w:cs="仿宋_GB2312"/>
          <w:sz w:val="32"/>
          <w:szCs w:val="32"/>
        </w:rPr>
        <w:t>18.交通运输支出（类）公路水路运输（款）公路运输管理（项）：指公路运输管理支出和公路路政管理支出。</w:t>
      </w:r>
    </w:p>
    <w:p>
      <w:pPr>
        <w:spacing w:line="600" w:lineRule="exact"/>
        <w:ind w:firstLine="640"/>
        <w:rPr>
          <w:rFonts w:eastAsia="仿宋_GB2312" w:cs="仿宋_GB2312"/>
          <w:sz w:val="32"/>
          <w:szCs w:val="32"/>
        </w:rPr>
      </w:pPr>
      <w:r>
        <w:rPr>
          <w:rFonts w:hint="eastAsia" w:eastAsia="仿宋_GB2312" w:cs="仿宋_GB2312"/>
          <w:sz w:val="32"/>
          <w:szCs w:val="32"/>
        </w:rPr>
        <w:t>19.交通运输支出（类）公路水路运输（款）其他公路水路运输支出（项）：指除上述项目以外其他用于公路水路运输方面的支出。</w:t>
      </w:r>
    </w:p>
    <w:p>
      <w:pPr>
        <w:spacing w:line="600" w:lineRule="exact"/>
        <w:ind w:firstLine="640"/>
        <w:rPr>
          <w:rFonts w:eastAsia="仿宋_GB2312" w:cs="仿宋_GB2312"/>
          <w:sz w:val="32"/>
          <w:szCs w:val="32"/>
        </w:rPr>
      </w:pPr>
      <w:r>
        <w:rPr>
          <w:rFonts w:hint="eastAsia" w:eastAsia="仿宋_GB2312" w:cs="仿宋_GB2312"/>
          <w:sz w:val="32"/>
          <w:szCs w:val="32"/>
        </w:rPr>
        <w:t>20.住房保障支出（类）住房改革支出（款）住房公积金（项）:指行政事业单位按人力资源和社会保障部、财政部规定的基本工资和津贴补贴以及规定比例为职工缴纳的住房公积金。</w:t>
      </w:r>
    </w:p>
    <w:p>
      <w:pPr>
        <w:spacing w:line="600" w:lineRule="exact"/>
        <w:ind w:firstLine="640"/>
        <w:rPr>
          <w:rFonts w:eastAsia="仿宋_GB2312" w:cs="仿宋_GB2312"/>
          <w:sz w:val="32"/>
          <w:szCs w:val="32"/>
        </w:rPr>
      </w:pPr>
      <w:r>
        <w:rPr>
          <w:rFonts w:hint="eastAsia" w:eastAsia="仿宋_GB2312" w:cs="仿宋_GB2312"/>
          <w:sz w:val="32"/>
          <w:szCs w:val="32"/>
        </w:rPr>
        <w:t>21.基本支出：指为保障机构正常运转、完成日常工作任务而发生的人员支出和公用支出。</w:t>
      </w:r>
    </w:p>
    <w:p>
      <w:pPr>
        <w:spacing w:line="600" w:lineRule="exact"/>
        <w:ind w:firstLine="640"/>
        <w:rPr>
          <w:rFonts w:eastAsia="仿宋_GB2312" w:cs="仿宋_GB2312"/>
          <w:sz w:val="32"/>
          <w:szCs w:val="32"/>
        </w:rPr>
      </w:pPr>
      <w:r>
        <w:rPr>
          <w:rFonts w:hint="eastAsia" w:eastAsia="仿宋_GB2312" w:cs="仿宋_GB2312"/>
          <w:sz w:val="32"/>
          <w:szCs w:val="32"/>
        </w:rPr>
        <w:t xml:space="preserve">22.项目支出：指在基本支出之外为完成特定行政任务和事业发展目标所发生的支出。 </w:t>
      </w:r>
    </w:p>
    <w:p>
      <w:pPr>
        <w:spacing w:line="600" w:lineRule="exact"/>
        <w:ind w:firstLine="640"/>
        <w:rPr>
          <w:rFonts w:eastAsia="仿宋_GB2312" w:cs="仿宋_GB2312"/>
          <w:sz w:val="32"/>
          <w:szCs w:val="32"/>
        </w:rPr>
      </w:pPr>
      <w:r>
        <w:rPr>
          <w:rFonts w:hint="eastAsia" w:eastAsia="仿宋_GB2312" w:cs="仿宋_GB2312"/>
          <w:sz w:val="32"/>
          <w:szCs w:val="32"/>
        </w:rPr>
        <w:t>23.经营支出：指事业单位在专业业务活动及其辅助活动之外开展非独立核算经营活动发生的支出。</w:t>
      </w:r>
    </w:p>
    <w:p>
      <w:pPr>
        <w:spacing w:line="600" w:lineRule="exact"/>
        <w:ind w:firstLine="640"/>
        <w:rPr>
          <w:rFonts w:eastAsia="仿宋_GB2312" w:cs="仿宋_GB2312"/>
          <w:sz w:val="32"/>
          <w:szCs w:val="32"/>
        </w:rPr>
      </w:pPr>
      <w:r>
        <w:rPr>
          <w:rFonts w:hint="eastAsia" w:eastAsia="仿宋_GB2312" w:cs="仿宋_GB2312"/>
          <w:sz w:val="32"/>
          <w:szCs w:val="32"/>
        </w:rPr>
        <w:t>24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eastAsia="仿宋_GB2312" w:cs="仿宋_GB2312"/>
          <w:sz w:val="32"/>
          <w:szCs w:val="32"/>
        </w:rPr>
      </w:pPr>
      <w:r>
        <w:rPr>
          <w:rFonts w:hint="eastAsia" w:eastAsia="仿宋_GB2312" w:cs="仿宋_GB2312"/>
          <w:sz w:val="32"/>
          <w:szCs w:val="32"/>
        </w:rPr>
        <w:t>25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28"/>
          <w:rFonts w:eastAsia="黑体"/>
          <w:b w:val="0"/>
        </w:rPr>
      </w:pPr>
      <w:bookmarkStart w:id="47" w:name="_Toc15377226"/>
      <w:r>
        <w:rPr>
          <w:rFonts w:hint="eastAsia" w:eastAsia="仿宋_GB2312" w:cs="仿宋_GB2312"/>
          <w:sz w:val="32"/>
          <w:szCs w:val="32"/>
        </w:rPr>
        <w:br w:type="page"/>
      </w:r>
      <w:bookmarkStart w:id="48" w:name="_Toc15396614"/>
      <w:r>
        <w:rPr>
          <w:rFonts w:hint="eastAsia" w:eastAsia="黑体"/>
          <w:sz w:val="44"/>
          <w:szCs w:val="44"/>
          <w:highlight w:val="none"/>
        </w:rPr>
        <w:t>第四部分  附件</w:t>
      </w:r>
      <w:bookmarkEnd w:id="48"/>
    </w:p>
    <w:p>
      <w:pPr>
        <w:spacing w:line="572" w:lineRule="exact"/>
        <w:jc w:val="left"/>
        <w:outlineLvl w:val="0"/>
        <w:rPr>
          <w:rFonts w:eastAsia="黑体" w:cs="黑体"/>
          <w:color w:val="FF0000"/>
          <w:sz w:val="32"/>
          <w:szCs w:val="32"/>
        </w:rPr>
      </w:pPr>
    </w:p>
    <w:p>
      <w:pPr>
        <w:spacing w:line="572" w:lineRule="exact"/>
        <w:jc w:val="left"/>
        <w:outlineLvl w:val="0"/>
        <w:rPr>
          <w:rFonts w:eastAsia="黑体" w:cs="黑体"/>
          <w:color w:val="FF0000"/>
          <w:sz w:val="32"/>
          <w:szCs w:val="32"/>
        </w:rPr>
      </w:pPr>
    </w:p>
    <w:p>
      <w:pPr>
        <w:spacing w:line="600" w:lineRule="exact"/>
        <w:jc w:val="center"/>
        <w:outlineLvl w:val="0"/>
        <w:rPr>
          <w:rFonts w:ascii="黑体" w:hAnsi="黑体" w:eastAsia="黑体"/>
          <w:color w:val="FF0000"/>
          <w:sz w:val="44"/>
          <w:szCs w:val="44"/>
        </w:rPr>
      </w:pPr>
      <w:r>
        <w:rPr>
          <w:rFonts w:hint="eastAsia"/>
          <w:sz w:val="32"/>
          <w:szCs w:val="32"/>
        </w:rPr>
        <w:t>部门预算项目支出绩效自评表（2024年度）</w:t>
      </w:r>
    </w:p>
    <w:p>
      <w:pPr>
        <w:spacing w:line="572" w:lineRule="exact"/>
        <w:jc w:val="left"/>
        <w:outlineLvl w:val="0"/>
        <w:rPr>
          <w:rFonts w:eastAsia="黑体" w:cs="黑体"/>
          <w:color w:val="FF0000"/>
          <w:sz w:val="32"/>
          <w:szCs w:val="32"/>
        </w:rPr>
      </w:pPr>
    </w:p>
    <w:p>
      <w:pPr>
        <w:widowControl/>
        <w:jc w:val="center"/>
        <w:rPr>
          <w:rFonts w:eastAsia="黑体"/>
          <w:sz w:val="44"/>
          <w:szCs w:val="44"/>
        </w:rPr>
      </w:pPr>
      <w:bookmarkStart w:id="49" w:name="_Toc15396618"/>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rPr>
          <w:rFonts w:eastAsia="黑体"/>
          <w:sz w:val="44"/>
          <w:szCs w:val="44"/>
        </w:rPr>
        <w:sectPr>
          <w:footerReference r:id="rId6" w:type="default"/>
          <w:pgSz w:w="11906" w:h="16838"/>
          <w:pgMar w:top="1440" w:right="1800" w:bottom="1440" w:left="1800" w:header="851" w:footer="992" w:gutter="0"/>
          <w:pgNumType w:fmt="decimal" w:start="1"/>
          <w:cols w:space="425" w:num="1"/>
          <w:docGrid w:type="lines" w:linePitch="312" w:charSpace="0"/>
        </w:sectPr>
      </w:pPr>
    </w:p>
    <w:p>
      <w:pPr>
        <w:pStyle w:val="2"/>
      </w:pPr>
    </w:p>
    <w:tbl>
      <w:tblPr>
        <w:tblStyle w:val="15"/>
        <w:tblW w:w="139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5"/>
        <w:gridCol w:w="1770"/>
        <w:gridCol w:w="2258"/>
        <w:gridCol w:w="520"/>
        <w:gridCol w:w="1675"/>
        <w:gridCol w:w="520"/>
        <w:gridCol w:w="1090"/>
        <w:gridCol w:w="505"/>
        <w:gridCol w:w="486"/>
        <w:gridCol w:w="2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39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2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51118122T000000353461-交通建设工程项目经费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峨眉山市交通建设和运输中心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按照上级文件要求，组织实施工程建设，确保质量，按时完成任务。</w:t>
            </w:r>
          </w:p>
        </w:tc>
        <w:tc>
          <w:tcPr>
            <w:tcW w:w="4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2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严格审批支付资料，按照相关上级文件要求，合理规范使用资金，做到专款专用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4,230.51</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4,188.95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99.02%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4,230.51</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4,188.95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99.02%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完成项目个数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道路质量</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拨付进度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周边经济带动效益</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交通便捷程度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持续推进交通建设</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沿线村民满意度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本项目自评总分为99分，通过本项目的实施，完成了部分交通建设项目的推进工作，保障了道路质量，推动了周边经济发展，提升了群众出行便捷程度。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项目负责人：任良俊</w:t>
            </w:r>
          </w:p>
        </w:tc>
        <w:tc>
          <w:tcPr>
            <w:tcW w:w="67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2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51118122T000000354557-公路和运输安全工作经费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峨眉山市交通建设和运输中心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用于全市公路和运输安全工作，建立和培育统一、开放、竞争、有序的客货运市场，强化行业监管，提高行业服务质量，完善客货运市场准入和退出机制，确保道路运输安全稳定发展。</w:t>
            </w:r>
          </w:p>
        </w:tc>
        <w:tc>
          <w:tcPr>
            <w:tcW w:w="4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2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公路运输量统计调查专项经费，按照项目进度支付款项，确保道路运输安全稳定发展。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全年检查次数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确保公路和运输安全工作正常开展</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确保公路运输市场安全畅通</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安全生产，减少碳排放</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促进行业可持续稳定发展</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本项目自评分为95分。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加大财政资金拨付力度，提高预算执行率。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加大财政资金扶持力度，推动行业可持续发展。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项目负责人：任良俊</w:t>
            </w:r>
          </w:p>
        </w:tc>
        <w:tc>
          <w:tcPr>
            <w:tcW w:w="67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2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51118122T000000358116-扫地车、洒水车运行费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峨眉山市交通建设和运输中心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对路面进行洒水降尘和路面保洁，确保我市境内国省县乡道道路交安设施整洁醒目，有效治理道路扬尘。</w:t>
            </w:r>
          </w:p>
        </w:tc>
        <w:tc>
          <w:tcPr>
            <w:tcW w:w="4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2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中心制定“养护管理办法”和“养护考核管理办法”规定，采取对国省县干线道路进行日常养护和洒水降尘，确保道路安全、畅通、整洁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67.59</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67.59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67.59</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67.59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保障道路整洁</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维护沿线村民收入稳定</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保持道路高效</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环境保护成效</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市民满意度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其他</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确障道路沿线生态环境</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项目自评分为100分，公路养护及绿化维护达到预期效果，路面清洁、沿线设施清洁、绿化带整齐美观、确保道路畅通，减少路面粉尘。项目按照上班制度按时出勤作业进行，全面完成上级交给的任务。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项目负责人：廖一军</w:t>
            </w:r>
          </w:p>
        </w:tc>
        <w:tc>
          <w:tcPr>
            <w:tcW w:w="67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2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51118122T000000358249-冰雪抢险经费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峨眉山市交通建设和运输中心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对冰雪天气路面结冰进行及时处置，确保道路安全畅通。</w:t>
            </w:r>
          </w:p>
        </w:tc>
        <w:tc>
          <w:tcPr>
            <w:tcW w:w="4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2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通过购买劳务观察冰雪路段雪情及看护应急物资，购买融雪盐对结冰路段进行处置，确保车辆在冰雪天安全出行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经费保障</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处置道路结冰效果</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常年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保护沿线生态指标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保持道路安全畅通</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效果良好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过往车辆驾驶员满意度良好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本项目自评总分为100分，通过本项目的实施，保障了车辆在结冰路段安全通行；预算编制科学，无结余资金。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项目负责人：廖一军</w:t>
            </w:r>
          </w:p>
        </w:tc>
        <w:tc>
          <w:tcPr>
            <w:tcW w:w="67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2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51118122T000000358305-国省县乡道道路修补工程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峨眉山市交通建设和运输中心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认真组织实施预防性公路养护维护，保障国省县道路PQI值不下降，进行日常预防养护作业，参与防汛防冰雪灾抢险，确保道路安全畅通。</w:t>
            </w:r>
          </w:p>
        </w:tc>
        <w:tc>
          <w:tcPr>
            <w:tcW w:w="4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2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及时对管养路段的坑凼进行养护维护，参与防汛防雪灾抢险等工作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30.78</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30.78</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本年完成</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对象满意度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好  </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出行方便</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提升我市形象</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项目自评分为100分，通过日常养护，保障国省县道路质量不降低，使群众出行便捷。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项目负责人：廖一军</w:t>
            </w:r>
          </w:p>
        </w:tc>
        <w:tc>
          <w:tcPr>
            <w:tcW w:w="67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2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51118122T000005359581-中央财政成品油税费改革转移支付资金（农村公路养护）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峨眉山市交通建设和运输中心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根据川财建[2021]0012号，下达2021年中央财政成品油税费改革转移支付资金（农村公路养护）</w:t>
            </w:r>
          </w:p>
        </w:tc>
        <w:tc>
          <w:tcPr>
            <w:tcW w:w="4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2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对我市我单位管养农村公路进行管养，保证群众出行安全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农产品销售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出行方便</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提升农村风貌</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1915820.28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0.16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项目自评分为100分，通过日常养护，保障群众出行便捷。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项目负责人：廖一军</w:t>
            </w:r>
          </w:p>
        </w:tc>
        <w:tc>
          <w:tcPr>
            <w:tcW w:w="67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2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51118123T000008893258-2023年交通建设项目经费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峨眉山市交通建设和运输中心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按照上级文件要求，组织实施峨眉山市川桃路交通加旅游（生态修复）工程、消除省道安全隐患及提升公路PQI值整治(中修和预防性养护) 工程(第二次) 、G245 线峨眉山市和平桥至观音桥中修工程、G245 线峨眉山市汪坝村至和平桥中修工程、国道G245峨眉山市高桥镇观音村至龙池镇杨柳村大修工程、峨眉山市国道G245高桥至龙池回头弯道整治工程建设，确保质量，按时完成。</w:t>
            </w:r>
          </w:p>
        </w:tc>
        <w:tc>
          <w:tcPr>
            <w:tcW w:w="4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2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严格审批支付资料，按照相关上级文件要求，合理规范使用资金，做到专款专用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22.13</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22.13</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22.13</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22.13</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22.13</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22.13</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完成项目个数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资金拨付进度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周边经济带动效益</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交通便捷程度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持续推动交通建设情况</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159147467.77</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22.13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本项目自评总分为100分，通过本项目的实施，完成了部分交通建设项目的推进工作，保障了道路质量，推动了周边经济发展，提升了群众出行便捷程度。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项目负责人：廖一军</w:t>
            </w:r>
          </w:p>
        </w:tc>
        <w:tc>
          <w:tcPr>
            <w:tcW w:w="67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2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51118122T000005359581-中央财政成品油税费改革转移支付资金（农村公路养护）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峨眉山市交通建设和运输中心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根据川财建[2021]0012号，下达2021年中央财政成品油税费改革转移支付资金（农村公路养护）</w:t>
            </w:r>
          </w:p>
        </w:tc>
        <w:tc>
          <w:tcPr>
            <w:tcW w:w="4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2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对我市我单位管养农村公路进行管养，保证群众出行安全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农产品销售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出行方便</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提升农村风貌</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1915820.28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0.16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项目自评分为100分，通过日常养护，保障群众出行便捷。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项目负责人：廖一军</w:t>
            </w:r>
          </w:p>
        </w:tc>
        <w:tc>
          <w:tcPr>
            <w:tcW w:w="67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2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51118124T000011871326-国省道大修工程交通管制经费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峨眉山市交通建设和运输中心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用于交通管制人员的工作餐费，饮水费、集装箱值班室租用费，广告牌制作费，办公及其他费用</w:t>
            </w:r>
          </w:p>
        </w:tc>
        <w:tc>
          <w:tcPr>
            <w:tcW w:w="4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2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用于交通管制人员的工作餐费，饮水费、集装箱值班室租用费，广告牌制作费，办公及其他费用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8.82</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8.82</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8.82</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8.82</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安全事故发生率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出勤率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在2024年完成</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带动周边经济发展</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群众通行安全性</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116960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8.82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项目自评分为100分，通过国省道大修工程交通管制，保障群众出行便捷。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项目负责人：任良俊</w:t>
            </w:r>
          </w:p>
        </w:tc>
        <w:tc>
          <w:tcPr>
            <w:tcW w:w="67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2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51118125T000012188400-普通国省干线公路日常养护补助资金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峨眉山市交通建设和运输中心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通过该项目的实施，补充和保障国省干线公路日常养护资金，确保道路整洁、安全、畅通。</w:t>
            </w:r>
          </w:p>
        </w:tc>
        <w:tc>
          <w:tcPr>
            <w:tcW w:w="4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2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通过该项目的实施，补充和保障国省干线公路日常养护资金，确保道路整洁、安全、畅通。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86.32</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0.87</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86.32</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0.87</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全省国省干线公路养护里程</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千米</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路面使用技术PQI</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公路养护及时性</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公路通行情况</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保障通畅</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保障通畅</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资金保障投入</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0.87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资金拨付力度不够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加大财政资金拨付力度，提高预算执行率。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3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项目负责：廖一军</w:t>
            </w:r>
          </w:p>
        </w:tc>
        <w:tc>
          <w:tcPr>
            <w:tcW w:w="67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财务负责人：彭玲</w:t>
            </w:r>
          </w:p>
        </w:tc>
      </w:tr>
    </w:tbl>
    <w:p>
      <w:pPr>
        <w:pStyle w:val="2"/>
        <w:rPr>
          <w:rFonts w:hint="eastAsia"/>
        </w:rPr>
        <w:sectPr>
          <w:pgSz w:w="16838" w:h="11906" w:orient="landscape"/>
          <w:pgMar w:top="1800" w:right="1440" w:bottom="1800" w:left="1440" w:header="851" w:footer="992" w:gutter="0"/>
          <w:pgNumType w:fmt="decimal"/>
          <w:cols w:space="425" w:num="1"/>
          <w:docGrid w:type="lines" w:linePitch="312" w:charSpace="0"/>
        </w:sectPr>
      </w:pPr>
    </w:p>
    <w:p>
      <w:pPr>
        <w:rPr>
          <w:rFonts w:hint="eastAsia"/>
        </w:rPr>
      </w:pPr>
    </w:p>
    <w:p>
      <w:pPr>
        <w:widowControl/>
        <w:jc w:val="center"/>
        <w:rPr>
          <w:rFonts w:eastAsia="仿宋"/>
        </w:rPr>
      </w:pPr>
      <w:r>
        <w:rPr>
          <w:rFonts w:hint="eastAsia" w:eastAsia="黑体"/>
          <w:sz w:val="44"/>
          <w:szCs w:val="44"/>
        </w:rPr>
        <w:t>第</w:t>
      </w:r>
      <w:r>
        <w:rPr>
          <w:rStyle w:val="28"/>
          <w:rFonts w:hint="eastAsia" w:eastAsia="黑体"/>
          <w:b w:val="0"/>
        </w:rPr>
        <w:t>五部分 附表</w:t>
      </w:r>
      <w:bookmarkEnd w:id="47"/>
      <w:bookmarkEnd w:id="49"/>
      <w:bookmarkStart w:id="50" w:name="_Toc15396619"/>
    </w:p>
    <w:p>
      <w:pPr>
        <w:pStyle w:val="14"/>
        <w:adjustRightInd w:val="0"/>
        <w:snapToGrid w:val="0"/>
        <w:spacing w:line="560" w:lineRule="exact"/>
        <w:jc w:val="left"/>
        <w:rPr>
          <w:rFonts w:eastAsia="仿宋_GB2312" w:cs="仿宋_GB2312"/>
          <w:sz w:val="32"/>
          <w:szCs w:val="32"/>
        </w:rPr>
      </w:pPr>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0"/>
    </w:p>
    <w:p>
      <w:pPr>
        <w:pStyle w:val="14"/>
        <w:adjustRightInd w:val="0"/>
        <w:snapToGrid w:val="0"/>
        <w:spacing w:line="560" w:lineRule="exact"/>
        <w:jc w:val="left"/>
        <w:rPr>
          <w:rFonts w:eastAsia="仿宋_GB2312" w:cs="仿宋_GB2312"/>
          <w:sz w:val="32"/>
          <w:szCs w:val="32"/>
        </w:rPr>
      </w:pPr>
      <w:bookmarkStart w:id="51" w:name="_Toc15396620"/>
      <w:r>
        <w:rPr>
          <w:rFonts w:hint="eastAsia" w:eastAsia="仿宋_GB2312" w:cs="仿宋_GB2312"/>
          <w:sz w:val="32"/>
          <w:szCs w:val="32"/>
        </w:rPr>
        <w:t>二、收入决算表</w:t>
      </w:r>
      <w:bookmarkEnd w:id="51"/>
    </w:p>
    <w:p>
      <w:pPr>
        <w:pStyle w:val="14"/>
        <w:adjustRightInd w:val="0"/>
        <w:snapToGrid w:val="0"/>
        <w:spacing w:line="560" w:lineRule="exact"/>
        <w:jc w:val="left"/>
        <w:rPr>
          <w:rFonts w:eastAsia="仿宋_GB2312" w:cs="仿宋_GB2312"/>
          <w:sz w:val="32"/>
          <w:szCs w:val="32"/>
        </w:rPr>
      </w:pPr>
      <w:bookmarkStart w:id="52" w:name="_Toc15396621"/>
      <w:r>
        <w:rPr>
          <w:rFonts w:hint="eastAsia" w:eastAsia="仿宋_GB2312" w:cs="仿宋_GB2312"/>
          <w:sz w:val="32"/>
          <w:szCs w:val="32"/>
        </w:rPr>
        <w:t>三、支出决算表</w:t>
      </w:r>
      <w:bookmarkEnd w:id="52"/>
    </w:p>
    <w:p>
      <w:pPr>
        <w:pStyle w:val="14"/>
        <w:adjustRightInd w:val="0"/>
        <w:snapToGrid w:val="0"/>
        <w:spacing w:line="560" w:lineRule="exact"/>
        <w:jc w:val="left"/>
        <w:rPr>
          <w:rFonts w:eastAsia="仿宋_GB2312" w:cs="仿宋_GB2312"/>
          <w:sz w:val="32"/>
          <w:szCs w:val="32"/>
        </w:rPr>
      </w:pPr>
      <w:bookmarkStart w:id="53" w:name="_Toc15396622"/>
      <w:r>
        <w:rPr>
          <w:rFonts w:hint="eastAsia" w:eastAsia="仿宋_GB2312" w:cs="仿宋_GB2312"/>
          <w:sz w:val="32"/>
          <w:szCs w:val="32"/>
        </w:rPr>
        <w:t>四、财政拨款收入支出决算总表</w:t>
      </w:r>
      <w:bookmarkEnd w:id="53"/>
    </w:p>
    <w:p>
      <w:pPr>
        <w:pStyle w:val="14"/>
        <w:adjustRightInd w:val="0"/>
        <w:snapToGrid w:val="0"/>
        <w:spacing w:line="560" w:lineRule="exact"/>
        <w:jc w:val="left"/>
        <w:rPr>
          <w:rFonts w:eastAsia="仿宋_GB2312" w:cs="仿宋_GB2312"/>
          <w:sz w:val="32"/>
          <w:szCs w:val="32"/>
        </w:rPr>
      </w:pPr>
      <w:bookmarkStart w:id="54" w:name="_Toc15396623"/>
      <w:r>
        <w:rPr>
          <w:rFonts w:hint="eastAsia" w:eastAsia="仿宋_GB2312" w:cs="仿宋_GB2312"/>
          <w:sz w:val="32"/>
          <w:szCs w:val="32"/>
        </w:rPr>
        <w:t>五、财政拨款支出决算明细表</w:t>
      </w:r>
      <w:bookmarkEnd w:id="54"/>
      <w:bookmarkStart w:id="55" w:name="_Toc15396624"/>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5"/>
    </w:p>
    <w:p>
      <w:pPr>
        <w:pStyle w:val="14"/>
        <w:adjustRightInd w:val="0"/>
        <w:snapToGrid w:val="0"/>
        <w:spacing w:line="560" w:lineRule="exact"/>
        <w:jc w:val="left"/>
        <w:rPr>
          <w:rFonts w:eastAsia="仿宋_GB2312" w:cs="仿宋_GB2312"/>
          <w:sz w:val="32"/>
          <w:szCs w:val="32"/>
        </w:rPr>
      </w:pPr>
      <w:bookmarkStart w:id="56" w:name="_Toc15396625"/>
      <w:r>
        <w:rPr>
          <w:rFonts w:hint="eastAsia" w:eastAsia="仿宋_GB2312" w:cs="仿宋_GB2312"/>
          <w:sz w:val="32"/>
          <w:szCs w:val="32"/>
        </w:rPr>
        <w:t>七、一般公共预算财政拨款支出决算明细表</w:t>
      </w:r>
      <w:bookmarkEnd w:id="56"/>
    </w:p>
    <w:p>
      <w:pPr>
        <w:pStyle w:val="14"/>
        <w:adjustRightInd w:val="0"/>
        <w:snapToGrid w:val="0"/>
        <w:spacing w:line="560" w:lineRule="exact"/>
        <w:jc w:val="left"/>
        <w:rPr>
          <w:rFonts w:eastAsia="仿宋_GB2312" w:cs="仿宋_GB2312"/>
          <w:sz w:val="32"/>
          <w:szCs w:val="32"/>
        </w:rPr>
      </w:pPr>
      <w:bookmarkStart w:id="57" w:name="_Toc15396626"/>
      <w:r>
        <w:rPr>
          <w:rFonts w:hint="eastAsia" w:eastAsia="仿宋_GB2312" w:cs="仿宋_GB2312"/>
          <w:sz w:val="32"/>
          <w:szCs w:val="32"/>
        </w:rPr>
        <w:t>八、一般公共预算财政拨款基本支出决算表</w:t>
      </w:r>
      <w:bookmarkEnd w:id="57"/>
    </w:p>
    <w:p>
      <w:pPr>
        <w:pStyle w:val="14"/>
        <w:adjustRightInd w:val="0"/>
        <w:snapToGrid w:val="0"/>
        <w:spacing w:line="560" w:lineRule="exact"/>
        <w:jc w:val="left"/>
        <w:rPr>
          <w:rFonts w:eastAsia="仿宋_GB2312" w:cs="仿宋_GB2312"/>
          <w:sz w:val="32"/>
          <w:szCs w:val="32"/>
        </w:rPr>
      </w:pPr>
      <w:bookmarkStart w:id="58" w:name="_Toc15396627"/>
      <w:r>
        <w:rPr>
          <w:rFonts w:hint="eastAsia" w:eastAsia="仿宋_GB2312" w:cs="仿宋_GB2312"/>
          <w:sz w:val="32"/>
          <w:szCs w:val="32"/>
        </w:rPr>
        <w:t>九、一般公共预算财政拨款项目支出决算表</w:t>
      </w:r>
      <w:bookmarkEnd w:id="58"/>
    </w:p>
    <w:p>
      <w:pPr>
        <w:pStyle w:val="14"/>
        <w:adjustRightInd w:val="0"/>
        <w:snapToGrid w:val="0"/>
        <w:spacing w:line="560" w:lineRule="exact"/>
        <w:jc w:val="left"/>
        <w:rPr>
          <w:rFonts w:eastAsia="仿宋_GB2312" w:cs="仿宋_GB2312"/>
          <w:sz w:val="32"/>
          <w:szCs w:val="32"/>
        </w:rPr>
      </w:pPr>
      <w:bookmarkStart w:id="59" w:name="_Toc15396628"/>
      <w:r>
        <w:rPr>
          <w:rFonts w:hint="eastAsia" w:eastAsia="仿宋_GB2312" w:cs="仿宋_GB2312"/>
          <w:sz w:val="32"/>
          <w:szCs w:val="32"/>
        </w:rPr>
        <w:t>十、</w:t>
      </w:r>
      <w:bookmarkEnd w:id="59"/>
      <w:r>
        <w:rPr>
          <w:rFonts w:hint="eastAsia" w:eastAsia="仿宋_GB2312" w:cs="仿宋_GB2312"/>
          <w:sz w:val="32"/>
          <w:szCs w:val="32"/>
        </w:rPr>
        <w:t>政府性基金预算财政拨款收入支出决算表</w:t>
      </w:r>
    </w:p>
    <w:p>
      <w:pPr>
        <w:pStyle w:val="14"/>
        <w:adjustRightInd w:val="0"/>
        <w:snapToGrid w:val="0"/>
        <w:spacing w:line="560" w:lineRule="exact"/>
        <w:jc w:val="left"/>
        <w:rPr>
          <w:rFonts w:eastAsia="仿宋_GB2312" w:cs="仿宋_GB2312"/>
          <w:sz w:val="32"/>
          <w:szCs w:val="32"/>
        </w:rPr>
      </w:pPr>
      <w:bookmarkStart w:id="60" w:name="_Toc15396629"/>
      <w:r>
        <w:rPr>
          <w:rFonts w:hint="eastAsia" w:eastAsia="仿宋_GB2312" w:cs="仿宋_GB2312"/>
          <w:sz w:val="32"/>
          <w:szCs w:val="32"/>
        </w:rPr>
        <w:t>十一、</w:t>
      </w:r>
      <w:bookmarkEnd w:id="60"/>
      <w:r>
        <w:rPr>
          <w:rFonts w:hint="eastAsia" w:eastAsia="仿宋_GB2312" w:cs="仿宋_GB2312"/>
          <w:sz w:val="32"/>
          <w:szCs w:val="32"/>
        </w:rPr>
        <w:t>国有资本经营预算财政拨款收入支出决算表</w:t>
      </w:r>
    </w:p>
    <w:p>
      <w:pPr>
        <w:pStyle w:val="14"/>
        <w:adjustRightInd w:val="0"/>
        <w:snapToGrid w:val="0"/>
        <w:spacing w:line="560" w:lineRule="exact"/>
        <w:jc w:val="left"/>
        <w:rPr>
          <w:rFonts w:eastAsia="仿宋_GB2312" w:cs="仿宋_GB2312"/>
          <w:sz w:val="32"/>
          <w:szCs w:val="32"/>
        </w:rPr>
      </w:pPr>
      <w:bookmarkStart w:id="61" w:name="_Toc15396630"/>
      <w:r>
        <w:rPr>
          <w:rFonts w:hint="eastAsia" w:eastAsia="仿宋_GB2312" w:cs="仿宋_GB2312"/>
          <w:sz w:val="32"/>
          <w:szCs w:val="32"/>
        </w:rPr>
        <w:t>十二、</w:t>
      </w:r>
      <w:bookmarkEnd w:id="61"/>
      <w:r>
        <w:rPr>
          <w:rFonts w:hint="eastAsia" w:eastAsia="仿宋_GB2312" w:cs="仿宋_GB2312"/>
          <w:sz w:val="32"/>
          <w:szCs w:val="32"/>
        </w:rPr>
        <w:t>国有资本经营预算财政拨款支出决算表</w:t>
      </w:r>
    </w:p>
    <w:p>
      <w:pPr>
        <w:pStyle w:val="14"/>
        <w:adjustRightInd w:val="0"/>
        <w:snapToGrid w:val="0"/>
        <w:spacing w:line="560" w:lineRule="exact"/>
        <w:jc w:val="left"/>
        <w:rPr>
          <w:rFonts w:eastAsia="仿宋_GB2312" w:cs="仿宋_GB2312"/>
          <w:sz w:val="32"/>
          <w:szCs w:val="32"/>
        </w:rPr>
      </w:pPr>
      <w:bookmarkStart w:id="62" w:name="_Toc15396631"/>
      <w:r>
        <w:rPr>
          <w:rFonts w:hint="eastAsia" w:eastAsia="仿宋_GB2312" w:cs="仿宋_GB2312"/>
          <w:sz w:val="32"/>
          <w:szCs w:val="32"/>
        </w:rPr>
        <w:t>十三、</w:t>
      </w:r>
      <w:bookmarkEnd w:id="62"/>
      <w:r>
        <w:rPr>
          <w:rFonts w:hint="eastAsia" w:eastAsia="仿宋_GB2312" w:cs="仿宋_GB2312"/>
          <w:sz w:val="32"/>
          <w:szCs w:val="32"/>
        </w:rPr>
        <w:t>财政拨款“三公”经费支出决算表</w:t>
      </w: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r>
                      <w:rPr>
                        <w:rFonts w:hint="eastAsia"/>
                        <w:lang w:eastAsia="zh-CN"/>
                      </w:rPr>
                      <w:t>—</w:t>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M2U3ZDdmY2FmN2RkYTRiNjZhZTc1ZmI3MGNjMD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1F0F"/>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532A"/>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437D"/>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390BCC"/>
    <w:rsid w:val="015975B8"/>
    <w:rsid w:val="023B6BC5"/>
    <w:rsid w:val="02FEBE30"/>
    <w:rsid w:val="04916F1E"/>
    <w:rsid w:val="056B77C2"/>
    <w:rsid w:val="061E35DE"/>
    <w:rsid w:val="062260D2"/>
    <w:rsid w:val="066E0107"/>
    <w:rsid w:val="07996F6E"/>
    <w:rsid w:val="07DFD8BA"/>
    <w:rsid w:val="08510EF1"/>
    <w:rsid w:val="087846CF"/>
    <w:rsid w:val="09867E8F"/>
    <w:rsid w:val="0A2032A3"/>
    <w:rsid w:val="0A783CE6"/>
    <w:rsid w:val="0B550A31"/>
    <w:rsid w:val="0B9F44FF"/>
    <w:rsid w:val="0C1A5AE4"/>
    <w:rsid w:val="0CA8290A"/>
    <w:rsid w:val="0D35B1ED"/>
    <w:rsid w:val="0E0F33F6"/>
    <w:rsid w:val="0E254B6B"/>
    <w:rsid w:val="0EFD76DC"/>
    <w:rsid w:val="0F98263C"/>
    <w:rsid w:val="101860EC"/>
    <w:rsid w:val="101F47CC"/>
    <w:rsid w:val="10C055FF"/>
    <w:rsid w:val="11694EBD"/>
    <w:rsid w:val="11772AA4"/>
    <w:rsid w:val="118107EC"/>
    <w:rsid w:val="12E24EE2"/>
    <w:rsid w:val="13BF39F2"/>
    <w:rsid w:val="13D50BC4"/>
    <w:rsid w:val="14B17F78"/>
    <w:rsid w:val="162B0FD3"/>
    <w:rsid w:val="165E0673"/>
    <w:rsid w:val="16B831D5"/>
    <w:rsid w:val="16BB723D"/>
    <w:rsid w:val="173A1899"/>
    <w:rsid w:val="17E50567"/>
    <w:rsid w:val="186504BB"/>
    <w:rsid w:val="19A445FC"/>
    <w:rsid w:val="1A5003B0"/>
    <w:rsid w:val="1BE8440E"/>
    <w:rsid w:val="1D155CEE"/>
    <w:rsid w:val="1D1638FE"/>
    <w:rsid w:val="1D3931CA"/>
    <w:rsid w:val="1E032835"/>
    <w:rsid w:val="1E051417"/>
    <w:rsid w:val="1E312DEB"/>
    <w:rsid w:val="1E740ACF"/>
    <w:rsid w:val="1E7E7ACB"/>
    <w:rsid w:val="1FF35744"/>
    <w:rsid w:val="1FF6BC77"/>
    <w:rsid w:val="2186353C"/>
    <w:rsid w:val="219C4B33"/>
    <w:rsid w:val="23860B96"/>
    <w:rsid w:val="240371BF"/>
    <w:rsid w:val="244F3473"/>
    <w:rsid w:val="24C97D99"/>
    <w:rsid w:val="259F292B"/>
    <w:rsid w:val="25A718F0"/>
    <w:rsid w:val="25BB59F6"/>
    <w:rsid w:val="260F557C"/>
    <w:rsid w:val="26347A30"/>
    <w:rsid w:val="265F14EF"/>
    <w:rsid w:val="26970054"/>
    <w:rsid w:val="27736336"/>
    <w:rsid w:val="281408E2"/>
    <w:rsid w:val="29FD04D3"/>
    <w:rsid w:val="2AB80A8F"/>
    <w:rsid w:val="2B4F480D"/>
    <w:rsid w:val="2BFF7BC6"/>
    <w:rsid w:val="2C8A61B5"/>
    <w:rsid w:val="2D121EFF"/>
    <w:rsid w:val="2DF04E50"/>
    <w:rsid w:val="2E586DFA"/>
    <w:rsid w:val="2EF3180C"/>
    <w:rsid w:val="2F040D46"/>
    <w:rsid w:val="2F6B035B"/>
    <w:rsid w:val="2FAE5751"/>
    <w:rsid w:val="2FB1A395"/>
    <w:rsid w:val="2FD9A7D8"/>
    <w:rsid w:val="2FDBF714"/>
    <w:rsid w:val="309F650A"/>
    <w:rsid w:val="30AB6865"/>
    <w:rsid w:val="315076E8"/>
    <w:rsid w:val="319F7F4E"/>
    <w:rsid w:val="32B26332"/>
    <w:rsid w:val="32BD1EF1"/>
    <w:rsid w:val="3304709D"/>
    <w:rsid w:val="33A773CB"/>
    <w:rsid w:val="349D6851"/>
    <w:rsid w:val="34F34F5A"/>
    <w:rsid w:val="36006739"/>
    <w:rsid w:val="36AA5135"/>
    <w:rsid w:val="36BE0DA7"/>
    <w:rsid w:val="376B6AA6"/>
    <w:rsid w:val="376D39B2"/>
    <w:rsid w:val="37E16F03"/>
    <w:rsid w:val="37F53A3B"/>
    <w:rsid w:val="389B6C89"/>
    <w:rsid w:val="38D469F0"/>
    <w:rsid w:val="39627CCD"/>
    <w:rsid w:val="397BAF1F"/>
    <w:rsid w:val="39D7551F"/>
    <w:rsid w:val="3A282FB0"/>
    <w:rsid w:val="3AB79AF3"/>
    <w:rsid w:val="3AE834C0"/>
    <w:rsid w:val="3B7EF35A"/>
    <w:rsid w:val="3B9FDB6C"/>
    <w:rsid w:val="3BF5BC2F"/>
    <w:rsid w:val="3CEBA265"/>
    <w:rsid w:val="3D98207C"/>
    <w:rsid w:val="3DEE7CF3"/>
    <w:rsid w:val="3E740A63"/>
    <w:rsid w:val="3E78745D"/>
    <w:rsid w:val="3EE17838"/>
    <w:rsid w:val="3EF52598"/>
    <w:rsid w:val="3F55381A"/>
    <w:rsid w:val="3F7F7599"/>
    <w:rsid w:val="3FF4CAE0"/>
    <w:rsid w:val="3FF7B227"/>
    <w:rsid w:val="40AA0BC3"/>
    <w:rsid w:val="410C3422"/>
    <w:rsid w:val="41B70014"/>
    <w:rsid w:val="42D85300"/>
    <w:rsid w:val="44B875F0"/>
    <w:rsid w:val="44E268DA"/>
    <w:rsid w:val="450D13D7"/>
    <w:rsid w:val="450F36EA"/>
    <w:rsid w:val="45506656"/>
    <w:rsid w:val="46D05789"/>
    <w:rsid w:val="474F6443"/>
    <w:rsid w:val="486A6C7A"/>
    <w:rsid w:val="49CB3958"/>
    <w:rsid w:val="4A627F82"/>
    <w:rsid w:val="4B0E749A"/>
    <w:rsid w:val="4B2477C4"/>
    <w:rsid w:val="4B4F25DA"/>
    <w:rsid w:val="4BE068DB"/>
    <w:rsid w:val="4C96319D"/>
    <w:rsid w:val="4D577224"/>
    <w:rsid w:val="4D591D71"/>
    <w:rsid w:val="4DBF1CEB"/>
    <w:rsid w:val="4DF0007C"/>
    <w:rsid w:val="4E0624AB"/>
    <w:rsid w:val="4E2C4EA2"/>
    <w:rsid w:val="4EAB630A"/>
    <w:rsid w:val="4ECE2238"/>
    <w:rsid w:val="4F833267"/>
    <w:rsid w:val="4FCE06A0"/>
    <w:rsid w:val="4FE9BD67"/>
    <w:rsid w:val="4FFB052F"/>
    <w:rsid w:val="52065E75"/>
    <w:rsid w:val="535E583D"/>
    <w:rsid w:val="537E6D0A"/>
    <w:rsid w:val="538E1C7E"/>
    <w:rsid w:val="53F74C96"/>
    <w:rsid w:val="5452542D"/>
    <w:rsid w:val="550B5550"/>
    <w:rsid w:val="55170BA8"/>
    <w:rsid w:val="553218C9"/>
    <w:rsid w:val="560247BC"/>
    <w:rsid w:val="567E1AA5"/>
    <w:rsid w:val="56E47B74"/>
    <w:rsid w:val="56F269C8"/>
    <w:rsid w:val="57175D52"/>
    <w:rsid w:val="574C432A"/>
    <w:rsid w:val="57BD3DD4"/>
    <w:rsid w:val="59CF05F7"/>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01C2816"/>
    <w:rsid w:val="60A000F5"/>
    <w:rsid w:val="62BF3928"/>
    <w:rsid w:val="63716EC6"/>
    <w:rsid w:val="63B3701E"/>
    <w:rsid w:val="644F7208"/>
    <w:rsid w:val="647F5392"/>
    <w:rsid w:val="65E66580"/>
    <w:rsid w:val="664834CC"/>
    <w:rsid w:val="664B1D71"/>
    <w:rsid w:val="664B4E8E"/>
    <w:rsid w:val="67277B67"/>
    <w:rsid w:val="67641AB7"/>
    <w:rsid w:val="67AA3209"/>
    <w:rsid w:val="68472FC3"/>
    <w:rsid w:val="698D0931"/>
    <w:rsid w:val="6A7FE5F3"/>
    <w:rsid w:val="6B053271"/>
    <w:rsid w:val="6BDD78B3"/>
    <w:rsid w:val="6C4A05C8"/>
    <w:rsid w:val="6C8742B8"/>
    <w:rsid w:val="6D4C4C2C"/>
    <w:rsid w:val="6D5C2378"/>
    <w:rsid w:val="6DBF5E93"/>
    <w:rsid w:val="6DFF077E"/>
    <w:rsid w:val="6E414065"/>
    <w:rsid w:val="6E714EF0"/>
    <w:rsid w:val="6E7E3605"/>
    <w:rsid w:val="6E7FDCC7"/>
    <w:rsid w:val="6ED6A62E"/>
    <w:rsid w:val="6EE00B15"/>
    <w:rsid w:val="6F6FB3EB"/>
    <w:rsid w:val="6F8731EA"/>
    <w:rsid w:val="6FCE6052"/>
    <w:rsid w:val="6FD57C00"/>
    <w:rsid w:val="6FEFFFD8"/>
    <w:rsid w:val="6FF5CC65"/>
    <w:rsid w:val="6FFB47EC"/>
    <w:rsid w:val="6FFF034A"/>
    <w:rsid w:val="702F1E90"/>
    <w:rsid w:val="70484440"/>
    <w:rsid w:val="712A28F1"/>
    <w:rsid w:val="71550829"/>
    <w:rsid w:val="715C0E4B"/>
    <w:rsid w:val="71992E7C"/>
    <w:rsid w:val="71CD3E62"/>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664E53"/>
    <w:rsid w:val="7A894339"/>
    <w:rsid w:val="7AD284E8"/>
    <w:rsid w:val="7AFF7572"/>
    <w:rsid w:val="7B187B83"/>
    <w:rsid w:val="7B6C7DFB"/>
    <w:rsid w:val="7BBFBED0"/>
    <w:rsid w:val="7BC3E394"/>
    <w:rsid w:val="7C06069C"/>
    <w:rsid w:val="7C1F3737"/>
    <w:rsid w:val="7CBFC87B"/>
    <w:rsid w:val="7CFE0F48"/>
    <w:rsid w:val="7D272ABC"/>
    <w:rsid w:val="7D2C4132"/>
    <w:rsid w:val="7D44233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autoRedefine/>
    <w:unhideWhenUsed/>
    <w:qFormat/>
    <w:uiPriority w:val="9"/>
    <w:pPr>
      <w:keepNext/>
      <w:keepLines/>
      <w:spacing w:before="260" w:after="260" w:line="416" w:lineRule="auto"/>
      <w:outlineLvl w:val="2"/>
    </w:pPr>
    <w:rPr>
      <w:b/>
      <w:bCs/>
      <w:sz w:val="32"/>
      <w:szCs w:val="32"/>
    </w:rPr>
  </w:style>
  <w:style w:type="character" w:default="1" w:styleId="16">
    <w:name w:val="Default Paragraph Font"/>
    <w:autoRedefine/>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next w:val="1"/>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40</Pages>
  <Words>5812</Words>
  <Characters>6435</Characters>
  <Lines>47</Lines>
  <Paragraphs>13</Paragraphs>
  <TotalTime>0</TotalTime>
  <ScaleCrop>false</ScaleCrop>
  <LinksUpToDate>false</LinksUpToDate>
  <CharactersWithSpaces>6478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彭玲</cp:lastModifiedBy>
  <cp:lastPrinted>2025-08-06T17:34:00Z</cp:lastPrinted>
  <dcterms:modified xsi:type="dcterms:W3CDTF">2025-12-04T02:08:09Z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04787F2533EB45DC91BCDE4AB213247F</vt:lpwstr>
  </property>
  <property fmtid="{D5CDD505-2E9C-101B-9397-08002B2CF9AE}" pid="4" name="KSOTemplateDocerSaveRecord">
    <vt:lpwstr>eyJoZGlkIjoiNzRmMDM0Y2UxZDEzMTE5MDVmMzAxYjA2MzhiYTE1NGEiLCJ1c2VySWQiOiIzMjc1MTk4ODkifQ==</vt:lpwstr>
  </property>
</Properties>
</file>