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77193"/>
      <w:bookmarkStart w:id="2" w:name="_Toc15396597"/>
      <w:bookmarkStart w:id="3" w:name="_Toc15377425"/>
      <w:bookmarkStart w:id="4" w:name="_Toc15396475"/>
      <w:bookmarkStart w:id="5" w:name="_Toc15306267"/>
    </w:p>
    <w:p>
      <w:pPr>
        <w:pStyle w:val="5"/>
        <w:rPr>
          <w:rFonts w:hint="eastAsia" w:ascii="Times New Roman" w:hAnsi="Times New Roman" w:eastAsia="方正小标宋简体" w:cs="Times New Roman"/>
          <w:color w:val="auto"/>
          <w:kern w:val="2"/>
          <w:sz w:val="72"/>
          <w:szCs w:val="72"/>
          <w:highlight w:val="none"/>
          <w:lang w:val="en-US" w:eastAsia="zh-CN" w:bidi="ar-SA"/>
        </w:rPr>
      </w:pPr>
    </w:p>
    <w:p>
      <w:pPr>
        <w:pStyle w:val="5"/>
        <w:rPr>
          <w:rFonts w:hint="eastAsia" w:ascii="Times New Roman" w:hAnsi="Times New Roman" w:eastAsia="方正小标宋简体" w:cs="Times New Roman"/>
          <w:color w:val="auto"/>
          <w:kern w:val="2"/>
          <w:sz w:val="72"/>
          <w:szCs w:val="72"/>
          <w:highlight w:val="none"/>
          <w:lang w:val="en-US" w:eastAsia="zh-CN" w:bidi="ar-SA"/>
        </w:rPr>
      </w:pP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2024年度</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r>
        <w:rPr>
          <w:rFonts w:hint="eastAsia" w:ascii="方正小标宋简体" w:hAnsi="方正小标宋简体" w:eastAsia="方正小标宋简体" w:cs="方正小标宋简体"/>
          <w:sz w:val="72"/>
          <w:szCs w:val="72"/>
          <w:lang w:val="en-US" w:eastAsia="zh-CN"/>
        </w:rPr>
        <w:t>四川省峨眉山市交通运输局单位决算</w:t>
      </w: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5</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bookmarkStart w:id="63" w:name="_GoBack"/>
      <w:bookmarkEnd w:id="63"/>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r>
        <w:rPr>
          <w:rFonts w:hint="default" w:eastAsia="仿宋_GB2312" w:cs="仿宋_GB2312"/>
          <w:color w:val="auto"/>
          <w:sz w:val="32"/>
          <w:szCs w:val="32"/>
          <w:highlight w:val="none"/>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23</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r>
        <w:rPr>
          <w:rFonts w:hint="default" w:ascii="Times New Roman" w:hAnsi="Times New Roman" w:eastAsia="黑体" w:cs="黑体"/>
          <w:color w:val="auto"/>
          <w:sz w:val="32"/>
          <w:szCs w:val="32"/>
          <w:highlight w:val="none"/>
          <w:lang w:val="en-US" w:eastAsia="zh-CN"/>
        </w:rPr>
        <w:t>2</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pPr>
        <w:widowControl/>
        <w:jc w:val="left"/>
        <w:rPr>
          <w:rFonts w:ascii="Times New Roman" w:hAnsi="Times New Roman" w:eastAsia="黑体"/>
          <w:color w:val="auto"/>
          <w:sz w:val="32"/>
          <w:szCs w:val="32"/>
          <w:highlight w:val="none"/>
        </w:rPr>
      </w:pPr>
    </w:p>
    <w:p>
      <w:pPr>
        <w:pStyle w:val="3"/>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承担市人民政府交通战备任务等事项。</w:t>
      </w:r>
    </w:p>
    <w:p>
      <w:pPr>
        <w:pStyle w:val="3"/>
        <w:rPr>
          <w:rStyle w:val="29"/>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机构情况，峨眉山市交通运输局（本级）</w:t>
      </w:r>
      <w:r>
        <w:rPr>
          <w:rFonts w:hint="eastAsia" w:ascii="仿宋_GB2312" w:hAnsi="仿宋_GB2312" w:eastAsia="仿宋_GB2312" w:cs="仿宋_GB2312"/>
          <w:color w:val="auto"/>
          <w:sz w:val="32"/>
          <w:szCs w:val="32"/>
          <w:highlight w:val="none"/>
          <w:lang w:val="en-US" w:eastAsia="zh-CN"/>
        </w:rPr>
        <w:t>隶属于</w:t>
      </w:r>
      <w:r>
        <w:rPr>
          <w:rFonts w:hint="eastAsia" w:ascii="仿宋_GB2312" w:hAnsi="仿宋_GB2312" w:eastAsia="仿宋_GB2312" w:cs="仿宋_GB2312"/>
          <w:color w:val="auto"/>
          <w:sz w:val="32"/>
          <w:szCs w:val="32"/>
          <w:highlight w:val="none"/>
        </w:rPr>
        <w:t>峨眉山市交通运输局</w:t>
      </w:r>
      <w:r>
        <w:rPr>
          <w:rFonts w:hint="eastAsia" w:ascii="仿宋_GB2312" w:hAnsi="仿宋_GB2312" w:eastAsia="仿宋_GB2312" w:cs="仿宋_GB2312"/>
          <w:color w:val="auto"/>
          <w:sz w:val="32"/>
          <w:szCs w:val="32"/>
          <w:highlight w:val="none"/>
          <w:lang w:val="en-US" w:eastAsia="zh-CN"/>
        </w:rPr>
        <w:t>的二级预算单位，</w:t>
      </w:r>
      <w:r>
        <w:rPr>
          <w:rFonts w:hint="eastAsia" w:eastAsia="仿宋_GB2312" w:cs="仿宋_GB2312"/>
          <w:sz w:val="32"/>
          <w:szCs w:val="32"/>
        </w:rPr>
        <w:t>无下属预算单位</w:t>
      </w:r>
      <w:r>
        <w:rPr>
          <w:rFonts w:hint="eastAsia" w:eastAsia="仿宋_GB2312" w:cs="仿宋_GB2312"/>
          <w:sz w:val="32"/>
          <w:szCs w:val="32"/>
          <w:lang w:eastAsia="zh-CN"/>
        </w:rPr>
        <w:t>。</w:t>
      </w:r>
      <w:r>
        <w:rPr>
          <w:rFonts w:hint="eastAsia" w:ascii="仿宋_GB2312" w:hAnsi="仿宋_GB2312" w:eastAsia="仿宋_GB2312" w:cs="仿宋_GB2312"/>
          <w:color w:val="auto"/>
          <w:sz w:val="32"/>
          <w:szCs w:val="32"/>
          <w:highlight w:val="none"/>
        </w:rPr>
        <w:t>机关内设机构5个，分别是：办公室、综合规划股、工程建设管理股、运输管理股（峨眉山市交通战备办公室）、交通安全监督管理股。</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人员情况，峨眉山市交通运输局机关编制人数为17人，年末实有人数为1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人。</w:t>
      </w:r>
    </w:p>
    <w:p>
      <w:pPr>
        <w:pStyle w:val="5"/>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2"/>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13899.38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19345.64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58.19</w:t>
      </w:r>
      <w:r>
        <w:rPr>
          <w:rFonts w:hint="eastAsia" w:ascii="Times New Roman" w:hAnsi="Times New Roman" w:eastAsia="仿宋_GB2312" w:cs="仿宋_GB2312"/>
          <w:color w:val="auto"/>
          <w:sz w:val="32"/>
          <w:szCs w:val="32"/>
          <w:highlight w:val="none"/>
        </w:rPr>
        <w:t>%。</w:t>
      </w:r>
      <w:r>
        <w:rPr>
          <w:rFonts w:hint="eastAsia" w:ascii="仿宋" w:hAnsi="仿宋" w:eastAsia="仿宋" w:cs="仿宋"/>
          <w:b w:val="0"/>
          <w:bCs w:val="0"/>
          <w:sz w:val="32"/>
          <w:szCs w:val="32"/>
          <w:highlight w:val="none"/>
        </w:rPr>
        <w:t>主要变动原因是</w:t>
      </w:r>
      <w:r>
        <w:rPr>
          <w:rFonts w:hint="eastAsia" w:ascii="仿宋" w:hAnsi="仿宋" w:eastAsia="仿宋" w:cs="仿宋"/>
          <w:sz w:val="32"/>
          <w:szCs w:val="32"/>
          <w:highlight w:val="none"/>
          <w:lang w:val="en-US" w:eastAsia="zh-CN"/>
        </w:rPr>
        <w:t>本年度上级专项资金的减少</w:t>
      </w:r>
      <w:r>
        <w:rPr>
          <w:rFonts w:hint="eastAsia"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295275</wp:posOffset>
            </wp:positionH>
            <wp:positionV relativeFrom="paragraph">
              <wp:posOffset>10795</wp:posOffset>
            </wp:positionV>
            <wp:extent cx="4944745" cy="4130040"/>
            <wp:effectExtent l="0" t="0" r="825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944745" cy="4130040"/>
                    </a:xfrm>
                    <a:prstGeom prst="rect">
                      <a:avLst/>
                    </a:prstGeom>
                    <a:noFill/>
                    <a:ln>
                      <a:noFill/>
                    </a:ln>
                  </pic:spPr>
                </pic:pic>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13899.38万元，其中：一般公共预算财政拨款收入7310.84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6588.54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47.4</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38100</wp:posOffset>
            </wp:positionH>
            <wp:positionV relativeFrom="paragraph">
              <wp:posOffset>266700</wp:posOffset>
            </wp:positionV>
            <wp:extent cx="5199380" cy="4264025"/>
            <wp:effectExtent l="0" t="0" r="127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199380" cy="4264025"/>
                    </a:xfrm>
                    <a:prstGeom prst="rect">
                      <a:avLst/>
                    </a:prstGeom>
                    <a:noFill/>
                    <a:ln>
                      <a:noFill/>
                    </a:ln>
                  </pic:spPr>
                </pic:pic>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13899.38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527.11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3.79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13372.27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127000</wp:posOffset>
            </wp:positionH>
            <wp:positionV relativeFrom="paragraph">
              <wp:posOffset>298450</wp:posOffset>
            </wp:positionV>
            <wp:extent cx="5045075" cy="3949065"/>
            <wp:effectExtent l="0" t="0" r="3175" b="133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045075" cy="3949065"/>
                    </a:xfrm>
                    <a:prstGeom prst="rect">
                      <a:avLst/>
                    </a:prstGeom>
                    <a:noFill/>
                    <a:ln>
                      <a:noFill/>
                    </a:ln>
                  </pic:spPr>
                </pic:pic>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13899.38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19345.64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58.19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b w:val="0"/>
          <w:bCs w:val="0"/>
          <w:sz w:val="32"/>
          <w:szCs w:val="32"/>
          <w:highlight w:val="none"/>
        </w:rPr>
        <w:t>主要变动原因是</w:t>
      </w:r>
      <w:r>
        <w:rPr>
          <w:rFonts w:hint="eastAsia" w:ascii="仿宋" w:hAnsi="仿宋" w:eastAsia="仿宋" w:cs="仿宋"/>
          <w:sz w:val="32"/>
          <w:szCs w:val="32"/>
          <w:highlight w:val="none"/>
          <w:lang w:val="en-US" w:eastAsia="zh-CN"/>
        </w:rPr>
        <w:t>本年度上级专项资金的减少</w:t>
      </w:r>
      <w:r>
        <w:rPr>
          <w:rFonts w:hint="eastAsia" w:eastAsia="仿宋_GB2312" w:cs="仿宋_GB2312"/>
          <w:color w:val="auto"/>
          <w:sz w:val="32"/>
          <w:szCs w:val="32"/>
          <w:highlight w:val="none"/>
          <w:lang w:eastAsia="zh-CN"/>
        </w:rPr>
        <w:t>。</w:t>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-48895</wp:posOffset>
            </wp:positionH>
            <wp:positionV relativeFrom="paragraph">
              <wp:posOffset>66040</wp:posOffset>
            </wp:positionV>
            <wp:extent cx="5455285" cy="4349115"/>
            <wp:effectExtent l="0" t="0" r="12065" b="133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455285" cy="4349115"/>
                    </a:xfrm>
                    <a:prstGeom prst="rect">
                      <a:avLst/>
                    </a:prstGeom>
                    <a:noFill/>
                    <a:ln>
                      <a:noFill/>
                    </a:ln>
                  </pic:spPr>
                </pic:pic>
              </a:graphicData>
            </a:graphic>
          </wp:anchor>
        </w:drawing>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default"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9"/>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7310.84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%。与2023年度相比，一般公共预算财政拨款支出减少21273.85万元，下降74.42%。</w:t>
      </w:r>
      <w:r>
        <w:rPr>
          <w:rFonts w:hint="eastAsia" w:ascii="仿宋" w:hAnsi="仿宋" w:eastAsia="仿宋" w:cs="仿宋"/>
          <w:b w:val="0"/>
          <w:bCs w:val="0"/>
          <w:sz w:val="32"/>
          <w:szCs w:val="32"/>
          <w:highlight w:val="none"/>
        </w:rPr>
        <w:t>主要变动原因是</w:t>
      </w:r>
      <w:r>
        <w:rPr>
          <w:rFonts w:hint="eastAsia" w:ascii="仿宋" w:hAnsi="仿宋" w:eastAsia="仿宋" w:cs="仿宋"/>
          <w:sz w:val="32"/>
          <w:szCs w:val="32"/>
          <w:highlight w:val="none"/>
          <w:lang w:val="en-US" w:eastAsia="zh-CN"/>
        </w:rPr>
        <w:t>本年度上级专项资金的减少</w:t>
      </w:r>
      <w:r>
        <w:rPr>
          <w:rFonts w:hint="eastAsia" w:eastAsia="仿宋_GB2312" w:cs="仿宋_GB2312"/>
          <w:color w:val="auto"/>
          <w:sz w:val="32"/>
          <w:szCs w:val="32"/>
          <w:highlight w:val="none"/>
          <w:lang w:eastAsia="zh-CN"/>
        </w:rPr>
        <w:t>。</w:t>
      </w:r>
    </w:p>
    <w:p>
      <w:pPr>
        <w:spacing w:line="600" w:lineRule="exact"/>
        <w:rPr>
          <w:rFonts w:hint="eastAsia" w:ascii="仿宋_GB2312" w:hAnsi="仿宋_GB2312" w:eastAsia="仿宋_GB2312" w:cs="仿宋_GB2312"/>
          <w:color w:val="auto"/>
          <w:kern w:val="2"/>
          <w:sz w:val="32"/>
          <w:szCs w:val="32"/>
          <w:highlight w:val="none"/>
          <w:lang w:val="en-US" w:eastAsia="zh-CN" w:bidi="ar-SA"/>
        </w:rPr>
      </w:pPr>
    </w:p>
    <w:p>
      <w:pPr>
        <w:spacing w:line="600" w:lineRule="exact"/>
        <w:rPr>
          <w:rFonts w:hint="eastAsia" w:ascii="仿宋_GB2312" w:hAnsi="仿宋_GB2312" w:eastAsia="仿宋_GB2312" w:cs="仿宋_GB2312"/>
          <w:color w:val="auto"/>
          <w:kern w:val="2"/>
          <w:sz w:val="32"/>
          <w:szCs w:val="32"/>
          <w:highlight w:val="none"/>
          <w:lang w:val="en-US" w:eastAsia="zh-CN" w:bidi="ar-SA"/>
        </w:rPr>
      </w:pPr>
    </w:p>
    <w:p>
      <w:pPr>
        <w:spacing w:line="600" w:lineRule="exact"/>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10795</wp:posOffset>
            </wp:positionH>
            <wp:positionV relativeFrom="paragraph">
              <wp:posOffset>29210</wp:posOffset>
            </wp:positionV>
            <wp:extent cx="5196840" cy="4233545"/>
            <wp:effectExtent l="0" t="0" r="3810" b="146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196840" cy="4233545"/>
                    </a:xfrm>
                    <a:prstGeom prst="rect">
                      <a:avLst/>
                    </a:prstGeom>
                    <a:noFill/>
                    <a:ln>
                      <a:noFill/>
                    </a:ln>
                  </pic:spPr>
                </pic:pic>
              </a:graphicData>
            </a:graphic>
          </wp:anchor>
        </w:drawing>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rPr>
          <w:rFonts w:hint="default"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2024年度一般公共预算财政拨款支出7310.84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%；社会保障和就业支出78.22万元，占</w:t>
      </w:r>
      <w:r>
        <w:rPr>
          <w:rFonts w:hint="eastAsia" w:eastAsia="仿宋_GB2312" w:cs="仿宋_GB2312"/>
          <w:color w:val="auto"/>
          <w:kern w:val="2"/>
          <w:sz w:val="32"/>
          <w:szCs w:val="32"/>
          <w:highlight w:val="none"/>
          <w:lang w:val="en-US" w:eastAsia="zh-CN" w:bidi="ar-SA"/>
        </w:rPr>
        <w:t>1.07</w:t>
      </w:r>
      <w:r>
        <w:rPr>
          <w:rFonts w:hint="eastAsia" w:ascii="Times New Roman" w:hAnsi="Times New Roman" w:eastAsia="仿宋_GB2312" w:cs="仿宋_GB2312"/>
          <w:color w:val="auto"/>
          <w:kern w:val="2"/>
          <w:sz w:val="32"/>
          <w:szCs w:val="32"/>
          <w:highlight w:val="none"/>
          <w:lang w:val="en-US" w:eastAsia="zh-CN" w:bidi="ar-SA"/>
        </w:rPr>
        <w:t>%；卫生健康支出16.79万元，占</w:t>
      </w:r>
      <w:r>
        <w:rPr>
          <w:rFonts w:hint="eastAsia" w:eastAsia="仿宋_GB2312" w:cs="仿宋_GB2312"/>
          <w:color w:val="auto"/>
          <w:kern w:val="2"/>
          <w:sz w:val="32"/>
          <w:szCs w:val="32"/>
          <w:highlight w:val="none"/>
          <w:lang w:val="en-US" w:eastAsia="zh-CN" w:bidi="ar-SA"/>
        </w:rPr>
        <w:t>0.23</w:t>
      </w:r>
      <w:r>
        <w:rPr>
          <w:rFonts w:hint="eastAsia" w:ascii="Times New Roman" w:hAnsi="Times New Roman" w:eastAsia="仿宋_GB2312" w:cs="仿宋_GB2312"/>
          <w:color w:val="auto"/>
          <w:kern w:val="2"/>
          <w:sz w:val="32"/>
          <w:szCs w:val="32"/>
          <w:highlight w:val="none"/>
          <w:lang w:val="en-US" w:eastAsia="zh-CN" w:bidi="ar-SA"/>
        </w:rPr>
        <w:t>%；农林水支出93.41</w:t>
      </w:r>
      <w:r>
        <w:rPr>
          <w:rFonts w:hint="eastAsia" w:eastAsia="仿宋_GB2312" w:cs="仿宋_GB2312"/>
          <w:color w:val="auto"/>
          <w:kern w:val="2"/>
          <w:sz w:val="32"/>
          <w:szCs w:val="32"/>
          <w:highlight w:val="none"/>
          <w:lang w:val="en-US" w:eastAsia="zh-CN" w:bidi="ar-SA"/>
        </w:rPr>
        <w:t>万元，占1.27%；交通运输支出7094.86万元，占97.05%；</w:t>
      </w:r>
      <w:r>
        <w:rPr>
          <w:rFonts w:hint="eastAsia" w:ascii="Times New Roman" w:hAnsi="Times New Roman" w:eastAsia="仿宋_GB2312" w:cs="仿宋_GB2312"/>
          <w:color w:val="auto"/>
          <w:kern w:val="2"/>
          <w:sz w:val="32"/>
          <w:szCs w:val="32"/>
          <w:highlight w:val="none"/>
          <w:lang w:val="en-US" w:eastAsia="zh-CN" w:bidi="ar-SA"/>
        </w:rPr>
        <w:t>住房保障支出27.56万元，占</w:t>
      </w:r>
      <w:r>
        <w:rPr>
          <w:rFonts w:hint="eastAsia" w:eastAsia="仿宋_GB2312" w:cs="仿宋_GB2312"/>
          <w:color w:val="auto"/>
          <w:kern w:val="2"/>
          <w:sz w:val="32"/>
          <w:szCs w:val="32"/>
          <w:highlight w:val="none"/>
          <w:lang w:val="en-US" w:eastAsia="zh-CN" w:bidi="ar-SA"/>
        </w:rPr>
        <w:t>0.38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113030</wp:posOffset>
            </wp:positionH>
            <wp:positionV relativeFrom="paragraph">
              <wp:posOffset>82550</wp:posOffset>
            </wp:positionV>
            <wp:extent cx="5039995" cy="4335145"/>
            <wp:effectExtent l="0" t="0" r="8255" b="825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039995" cy="4335145"/>
                    </a:xfrm>
                    <a:prstGeom prst="rect">
                      <a:avLst/>
                    </a:prstGeom>
                    <a:noFill/>
                    <a:ln>
                      <a:noFill/>
                    </a:ln>
                  </pic:spPr>
                </pic:pic>
              </a:graphicData>
            </a:graphic>
          </wp:anchor>
        </w:drawing>
      </w: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213"/>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7310.84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82.8</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 支出决算为</w:t>
      </w:r>
      <w:r>
        <w:rPr>
          <w:rFonts w:hint="eastAsia" w:eastAsia="仿宋_GB2312" w:cs="仿宋_GB2312"/>
          <w:color w:val="auto"/>
          <w:kern w:val="2"/>
          <w:sz w:val="32"/>
          <w:szCs w:val="32"/>
          <w:highlight w:val="none"/>
          <w:lang w:val="en-US" w:eastAsia="zh-CN" w:bidi="ar-SA"/>
        </w:rPr>
        <w:t>30.98</w:t>
      </w:r>
      <w:r>
        <w:rPr>
          <w:rFonts w:hint="eastAsia" w:ascii="Times New Roman" w:hAnsi="Times New Roman" w:eastAsia="仿宋_GB2312" w:cs="仿宋_GB2312"/>
          <w:color w:val="auto"/>
          <w:kern w:val="2"/>
          <w:sz w:val="32"/>
          <w:szCs w:val="32"/>
          <w:highlight w:val="none"/>
          <w:lang w:val="en-US" w:eastAsia="zh-CN" w:bidi="ar-SA"/>
        </w:rPr>
        <w:t>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 支出决算为16.97万元，完成预算100%，决算数与预算数持平。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（类）抚恤（款）死亡抚恤（项）: 支出决算为23.56万元，完成预算100%，决算数与预算数持平。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（类）抚恤（款）其他优抚支出（项）: 支出决算为1.34万元，完成预算100%，决算数与预算数持平。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 支出决算为5.37万元，完成预算100%，决算数与预算数持平。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（类）行政事业单位医疗（款）行政单位医疗（项）:支出决算为11.8万元，完成预算100%，决算数与预算数持平。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（类）行政事业单位医疗（款）公务员医疗补助（项）:支出决算为4.99万元，完成预算100%，决算数与预算数持平。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.农林水支出（类）巩固脱贫攻坚成果衔接乡村振兴（款）其他巩固脱贫攻坚成果衔接乡村振兴支出（项）:支出决算为93.41万元，完成预算100%，决算数与预算数持平。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（类）公路水路运输（款）行政运行（项）：支出决算为404.54万元，完成预算100%，决算数与预算数持平。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（类）公路水路运输（款）一般行政管理事务（项）：支出决算数65.42万元，完成预算100%，决算数与预算数持平。</w:t>
      </w:r>
    </w:p>
    <w:p>
      <w:pPr>
        <w:pStyle w:val="5"/>
        <w:spacing w:before="93"/>
        <w:ind w:firstLine="640" w:firstLineChars="200"/>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（类）公路水路运输（款）公路建设（项）：支出决算为1777万元，完成预算</w:t>
      </w:r>
      <w:r>
        <w:rPr>
          <w:rFonts w:hint="eastAsia" w:eastAsia="仿宋_GB2312" w:cs="仿宋_GB2312"/>
          <w:color w:val="auto"/>
          <w:kern w:val="2"/>
          <w:sz w:val="32"/>
          <w:szCs w:val="32"/>
          <w:highlight w:val="none"/>
          <w:lang w:val="en-US" w:eastAsia="zh-CN" w:bidi="ar-SA"/>
        </w:rPr>
        <w:t>94.12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ascii="仿宋" w:hAnsi="仿宋" w:eastAsia="仿宋"/>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（类）公路水路运输（款）公路养护（项）：支出决算数为391.8万元，完成预算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仿宋" w:hAnsi="仿宋" w:eastAsia="仿宋"/>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（类）公路水路运输（款）其他公路水路运输支出（项）：支出决算为1782万元，完成预算</w:t>
      </w:r>
      <w:r>
        <w:rPr>
          <w:rFonts w:hint="eastAsia" w:eastAsia="仿宋_GB2312" w:cs="仿宋_GB2312"/>
          <w:color w:val="auto"/>
          <w:kern w:val="2"/>
          <w:sz w:val="32"/>
          <w:szCs w:val="32"/>
          <w:highlight w:val="none"/>
          <w:lang w:val="en-US" w:eastAsia="zh-CN" w:bidi="ar-SA"/>
        </w:rPr>
        <w:t>72.31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rPr>
        <w:t>决算数</w:t>
      </w:r>
      <w:r>
        <w:rPr>
          <w:rFonts w:hint="eastAsia" w:ascii="仿宋" w:hAnsi="仿宋" w:eastAsia="仿宋"/>
          <w:sz w:val="32"/>
          <w:szCs w:val="32"/>
          <w:highlight w:val="none"/>
          <w:lang w:val="en-US" w:eastAsia="zh-CN"/>
        </w:rPr>
        <w:t>小于</w:t>
      </w:r>
      <w:r>
        <w:rPr>
          <w:rFonts w:hint="eastAsia" w:ascii="仿宋" w:hAnsi="仿宋" w:eastAsia="仿宋"/>
          <w:sz w:val="32"/>
          <w:szCs w:val="32"/>
          <w:highlight w:val="none"/>
        </w:rPr>
        <w:t>预算数</w:t>
      </w:r>
      <w:r>
        <w:rPr>
          <w:rFonts w:hint="eastAsia" w:ascii="仿宋" w:hAnsi="仿宋" w:eastAsia="仿宋"/>
          <w:sz w:val="32"/>
          <w:szCs w:val="32"/>
          <w:highlight w:val="none"/>
          <w:lang w:val="en-US" w:eastAsia="zh-CN"/>
        </w:rPr>
        <w:t>的主要原因</w:t>
      </w:r>
      <w:r>
        <w:rPr>
          <w:rFonts w:hint="eastAsia" w:ascii="仿宋" w:hAnsi="仿宋" w:eastAsia="仿宋"/>
          <w:sz w:val="32"/>
          <w:szCs w:val="32"/>
          <w:highlight w:val="none"/>
        </w:rPr>
        <w:t>是</w:t>
      </w:r>
      <w:r>
        <w:rPr>
          <w:rFonts w:hint="eastAsia" w:ascii="仿宋" w:hAnsi="仿宋" w:eastAsia="仿宋"/>
          <w:sz w:val="32"/>
          <w:szCs w:val="32"/>
          <w:highlight w:val="none"/>
          <w:lang w:val="en-US" w:eastAsia="zh-CN"/>
        </w:rPr>
        <w:t>部分项目正在推进中，暂不具备支付条件</w:t>
      </w:r>
      <w:r>
        <w:rPr>
          <w:rFonts w:hint="eastAsia" w:ascii="仿宋" w:hAnsi="仿宋" w:eastAsia="仿宋"/>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.交通运输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（类）其他交通运输支出（款）公共交通运营补助（项）：支出决算为2374万元，完成预算</w:t>
      </w:r>
      <w:r>
        <w:rPr>
          <w:rFonts w:hint="eastAsia" w:eastAsia="仿宋_GB2312" w:cs="仿宋_GB2312"/>
          <w:color w:val="auto"/>
          <w:kern w:val="2"/>
          <w:sz w:val="32"/>
          <w:szCs w:val="32"/>
          <w:highlight w:val="none"/>
          <w:lang w:val="en-US" w:eastAsia="zh-CN" w:bidi="ar-SA"/>
        </w:rPr>
        <w:t>90.88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ascii="仿宋" w:hAnsi="仿宋" w:eastAsia="仿宋"/>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.交通运输（类）其他交通运输支出（款）其他交通运输支出（项）：支出决算为300.1万元，完成预算</w:t>
      </w:r>
      <w:r>
        <w:rPr>
          <w:rFonts w:hint="eastAsia" w:eastAsia="仿宋_GB2312" w:cs="仿宋_GB2312"/>
          <w:color w:val="auto"/>
          <w:kern w:val="2"/>
          <w:sz w:val="32"/>
          <w:szCs w:val="32"/>
          <w:highlight w:val="none"/>
          <w:lang w:val="en-US" w:eastAsia="zh-CN" w:bidi="ar-SA"/>
        </w:rPr>
        <w:t>38.14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highlight w:val="none"/>
        </w:rPr>
        <w:t>决算数小于预算数的主要原因是</w:t>
      </w:r>
      <w:r>
        <w:rPr>
          <w:rFonts w:hint="eastAsia" w:ascii="仿宋" w:hAnsi="仿宋" w:eastAsia="仿宋"/>
          <w:sz w:val="32"/>
          <w:szCs w:val="32"/>
          <w:highlight w:val="none"/>
          <w:lang w:val="en-US" w:eastAsia="zh-CN"/>
        </w:rPr>
        <w:t>部分项目正在推进中，暂不具备支付条件</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.住房保障支出（类）住房改革支出（款）住房公积金（项）:支出决算为27.56万元，完成预算100%，决算数与预算数持平。</w:t>
      </w:r>
    </w:p>
    <w:p>
      <w:pPr>
        <w:tabs>
          <w:tab w:val="right" w:pos="8306"/>
        </w:tabs>
        <w:spacing w:line="600" w:lineRule="exact"/>
        <w:ind w:firstLine="640"/>
        <w:outlineLvl w:val="1"/>
        <w:rPr>
          <w:rStyle w:val="29"/>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527.11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367.8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元，主要包括：基本工资、津贴补贴、奖金、机关事业单位基本养老保险缴费、职业年金缴费、 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其他社会保障缴费、住房公积金、其他工资福利支出、抚恤金、生活补助、奖励金、其他对个人和家庭的补助支出等。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159.2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物业管理费、差旅费、维修（护）费、会议费、劳务费、委托业务费、工会经费、福利费、公务用车运行维护费、其他交通费、其他商品和服务支出、办公设备购置等。</w:t>
      </w:r>
    </w:p>
    <w:p>
      <w:pPr>
        <w:spacing w:line="600" w:lineRule="exact"/>
        <w:ind w:firstLine="640"/>
        <w:outlineLvl w:val="1"/>
        <w:rPr>
          <w:rStyle w:val="29"/>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8.85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1.25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16.45</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8.85</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spacing w:line="600" w:lineRule="exact"/>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5408" behindDoc="0" locked="0" layoutInCell="1" allowOverlap="1">
            <wp:simplePos x="0" y="0"/>
            <wp:positionH relativeFrom="column">
              <wp:posOffset>194310</wp:posOffset>
            </wp:positionH>
            <wp:positionV relativeFrom="paragraph">
              <wp:posOffset>339090</wp:posOffset>
            </wp:positionV>
            <wp:extent cx="5157470" cy="4087495"/>
            <wp:effectExtent l="0" t="0" r="5080" b="825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5157470" cy="4087495"/>
                    </a:xfrm>
                    <a:prstGeom prst="rect">
                      <a:avLst/>
                    </a:prstGeom>
                    <a:noFill/>
                    <a:ln>
                      <a:noFill/>
                    </a:ln>
                  </pic:spPr>
                </pic:pic>
              </a:graphicData>
            </a:graphic>
          </wp:anchor>
        </w:drawing>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8.85万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1.43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19.27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因本单位部分车辆老旧，运行维护费增加。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default"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default"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8.85</w:t>
      </w:r>
      <w:r>
        <w:rPr>
          <w:rFonts w:hint="eastAsia" w:ascii="Times New Roman" w:hAnsi="Times New Roman" w:eastAsia="仿宋_GB2312" w:cs="仿宋_GB2312"/>
          <w:color w:val="auto"/>
          <w:kern w:val="2"/>
          <w:sz w:val="32"/>
          <w:szCs w:val="32"/>
          <w:highlight w:val="none"/>
          <w:lang w:val="en-US" w:eastAsia="zh-CN" w:bidi="ar-SA"/>
        </w:rPr>
        <w:t>万元。主要用于全市交通运输市场监管，交通公路工程建设及养护管理，水上交通安全监管职责，监督、指导全市经营性道路运输源头安全、公路工程建设和交通企事业单位内部安全，以及完成市委市政府交的各项应急任务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我局无</w:t>
      </w:r>
      <w:r>
        <w:rPr>
          <w:rFonts w:hint="eastAsia" w:ascii="仿宋" w:hAnsi="仿宋" w:eastAsia="仿宋" w:cs="仿宋"/>
          <w:sz w:val="32"/>
          <w:szCs w:val="32"/>
        </w:rPr>
        <w:t>公务接待</w:t>
      </w:r>
      <w:r>
        <w:rPr>
          <w:rFonts w:hint="eastAsia" w:ascii="仿宋" w:hAnsi="仿宋" w:eastAsia="仿宋" w:cs="仿宋"/>
          <w:sz w:val="32"/>
          <w:szCs w:val="32"/>
          <w:lang w:val="en-US" w:eastAsia="zh-CN"/>
        </w:rPr>
        <w:t>开支</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6" w:name="_Toc15396610"/>
      <w:bookmarkStart w:id="37" w:name="_Toc15377218"/>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6588.54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47.4%</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1928.21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41.37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cs="仿宋"/>
          <w:sz w:val="32"/>
          <w:szCs w:val="32"/>
          <w:highlight w:val="none"/>
          <w:lang w:val="en-US" w:eastAsia="zh-CN"/>
        </w:rPr>
        <w:t>本年度项目有所增加</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77219"/>
      <w:bookmarkStart w:id="39"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77221"/>
      <w:bookmarkStart w:id="41"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峨眉山市交通运输局（本级）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75.66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92.11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b w:val="0"/>
          <w:bCs w:val="0"/>
          <w:sz w:val="32"/>
          <w:szCs w:val="32"/>
          <w:lang w:eastAsia="zh-CN"/>
        </w:rPr>
        <w:t>各类项目支出</w:t>
      </w:r>
      <w:r>
        <w:rPr>
          <w:rFonts w:hint="eastAsia" w:ascii="仿宋_GB2312" w:hAnsi="仿宋_GB2312" w:eastAsia="仿宋_GB2312" w:cs="仿宋_GB2312"/>
          <w:b w:val="0"/>
          <w:bCs w:val="0"/>
          <w:sz w:val="32"/>
          <w:szCs w:val="32"/>
          <w:lang w:val="en-US" w:eastAsia="zh-CN"/>
        </w:rPr>
        <w:t>有所</w:t>
      </w:r>
      <w:r>
        <w:rPr>
          <w:rFonts w:hint="eastAsia" w:ascii="仿宋_GB2312" w:hAnsi="仿宋_GB2312" w:eastAsia="仿宋_GB2312" w:cs="仿宋_GB2312"/>
          <w:b w:val="0"/>
          <w:bCs w:val="0"/>
          <w:sz w:val="32"/>
          <w:szCs w:val="32"/>
          <w:lang w:eastAsia="zh-CN"/>
        </w:rPr>
        <w:t>增加</w:t>
      </w:r>
      <w:r>
        <w:rPr>
          <w:rFonts w:hint="eastAsia"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峨眉山市交通运输局（本级）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241.08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4.96</w:t>
      </w:r>
      <w:r>
        <w:rPr>
          <w:rFonts w:hint="eastAsia" w:ascii="仿宋_GB2312" w:hAnsi="仿宋_GB2312" w:eastAsia="仿宋_GB2312" w:cs="仿宋_GB2312"/>
          <w:color w:val="auto"/>
          <w:kern w:val="2"/>
          <w:sz w:val="32"/>
          <w:szCs w:val="32"/>
          <w:highlight w:val="none"/>
          <w:lang w:val="en-US" w:eastAsia="zh-CN" w:bidi="ar-SA"/>
        </w:rPr>
        <w:t>万元、主要用于信创打印机0.84万，信创电脑4.12万，政府采购工程支出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236.12</w:t>
      </w:r>
      <w:r>
        <w:rPr>
          <w:rFonts w:hint="eastAsia" w:ascii="仿宋_GB2312" w:hAnsi="仿宋_GB2312" w:eastAsia="仿宋_GB2312" w:cs="仿宋_GB2312"/>
          <w:color w:val="auto"/>
          <w:kern w:val="2"/>
          <w:sz w:val="32"/>
          <w:szCs w:val="32"/>
          <w:highlight w:val="none"/>
          <w:lang w:val="en-US" w:eastAsia="zh-CN" w:bidi="ar-SA"/>
        </w:rPr>
        <w:t>万元，主要用于乐峨大道等四条公路日常养护服务费151.1万，机养中心预防性养护保通作业服务费45.63万，高铁站安保服务费34.58万，局机关公务车维修费4.63万，公务车保险费0.18万。授予中小企业合同金额</w:t>
      </w:r>
      <w:r>
        <w:rPr>
          <w:rFonts w:hint="eastAsia" w:ascii="仿宋_GB2312" w:hAnsi="仿宋_GB2312" w:eastAsia="仿宋_GB2312" w:cs="仿宋_GB2312"/>
          <w:sz w:val="32"/>
          <w:szCs w:val="32"/>
        </w:rPr>
        <w:t>241.08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峨眉山市交通运输局（本级）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辆、执法执勤用车1辆、其他用车</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hAnsi="仿宋" w:eastAsia="仿宋_GB2312"/>
          <w:sz w:val="32"/>
          <w:szCs w:val="32"/>
        </w:rPr>
        <w:t>全市交通运输市场监管，交通公路工程建设及养护管理，水上交通安全监管，监督、指导全市经营性道路运输源头安全、公路工程建设和交通企事业单位内部安全，以及完成市委市政府交的各项应急任务等公务出行用车</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根据</w:t>
      </w:r>
      <w:r>
        <w:rPr>
          <w:rFonts w:hint="eastAsia" w:ascii="仿宋_GB2312" w:hAnsi="Times New Roman" w:eastAsia="仿宋_GB2312" w:cs="Times New Roman"/>
          <w:color w:val="auto"/>
          <w:sz w:val="32"/>
          <w:szCs w:val="32"/>
          <w:highlight w:val="none"/>
          <w:lang w:eastAsia="zh-CN"/>
        </w:rPr>
        <w:t>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eastAsia="仿宋_GB2312"/>
          <w:sz w:val="32"/>
          <w:szCs w:val="32"/>
        </w:rPr>
        <w:t>组织对</w:t>
      </w:r>
      <w:r>
        <w:rPr>
          <w:rFonts w:hint="eastAsia" w:ascii="仿宋_GB2312" w:eastAsia="仿宋_GB2312"/>
          <w:sz w:val="32"/>
          <w:szCs w:val="32"/>
          <w:lang w:val="en-US" w:eastAsia="zh-CN"/>
        </w:rPr>
        <w:t>川桃路等三条公路日常养护服务项目、公交成本监审运营补贴、交通重点建设项目工程费用等17</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22</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22</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22</w:t>
      </w:r>
      <w:r>
        <w:rPr>
          <w:rFonts w:hint="eastAsia" w:ascii="仿宋_GB2312" w:eastAsia="仿宋_GB2312"/>
          <w:sz w:val="32"/>
          <w:szCs w:val="32"/>
        </w:rPr>
        <w:t>个项目开展绩效自评，绩效自评表详见第四部分附件。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both"/>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（类）行政事业单位养老支（款）机关事业单位基本养老保险缴费支出（项）：指机关事业单位实施养老保险制度由单位缴纳的基本养老保险费支出。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（类）行政事业单位养老支（款）机关事业单位职业年金缴费支出（项）:指机关事业单位实施养老保险制度由单位实际缴纳的职业年金支出</w:t>
      </w:r>
      <w:r>
        <w:rPr>
          <w:rFonts w:hint="eastAsia" w:eastAsia="仿宋_GB2312" w:cs="仿宋_GB2312"/>
          <w:color w:val="auto"/>
          <w:kern w:val="2"/>
          <w:sz w:val="32"/>
          <w:szCs w:val="32"/>
          <w:highlight w:val="none"/>
          <w:lang w:val="en-US" w:eastAsia="zh-CN" w:bidi="ar-SA"/>
        </w:rPr>
        <w:t>（含职业年金补记支出）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（类）抚恤（款）死亡抚恤（项）: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按规定用于烈士和牺牲、病故人员家属的一次性和定期抚恤金以及丧葬补助费</w:t>
      </w:r>
      <w:r>
        <w:rPr>
          <w:rFonts w:hint="eastAsia" w:eastAsia="仿宋_GB2312" w:cs="仿宋_GB2312"/>
          <w:color w:val="auto"/>
          <w:kern w:val="2"/>
          <w:sz w:val="32"/>
          <w:szCs w:val="32"/>
          <w:highlight w:val="none"/>
          <w:lang w:val="en-US" w:eastAsia="zh-CN" w:bidi="ar-SA"/>
        </w:rPr>
        <w:t>以及烈士褒扬金</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（类）抚恤（款）其他优抚支出（项）: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其他用于优抚方面的支出，</w:t>
      </w:r>
      <w:r>
        <w:rPr>
          <w:rFonts w:hint="eastAsia" w:ascii="仿宋_GB2312" w:hAnsi="仿宋_GB2312" w:eastAsia="仿宋_GB2312" w:cs="仿宋_GB2312"/>
          <w:sz w:val="32"/>
          <w:szCs w:val="32"/>
        </w:rPr>
        <w:t>包括向优抚对象发放的价格临时补贴、老烈士子女、老党员定期生活补助支出</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（类）其他社会保障和就业支出（款）其他社会保障和就业支出（项）:指其他用于社会保障和就业方面的支出。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（类）行政事业单位医疗（款）行政单位医疗（项）: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财政部门安排的行政单位（包括实行公务员管理的事业单位，下同）基本医疗保险缴费经费，未参加医疗保险的行政单位的公费医疗经费，按国家规定享受离退休人员、红军老战士待遇人员的医疗经费。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（类）行政事业单位医疗（款）公务员医疗补助（项）:</w:t>
      </w:r>
      <w:r>
        <w:rPr>
          <w:rFonts w:hint="eastAsia" w:ascii="仿宋_GB2312" w:hAnsi="仿宋_GB2312" w:eastAsia="仿宋_GB2312" w:cs="仿宋_GB2312"/>
          <w:sz w:val="32"/>
          <w:szCs w:val="32"/>
        </w:rPr>
        <w:t>指财政部门安排的公务员医疗补助经费</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征地和拆迁补偿支出（项）：指新疆生产建设兵团和地方政府在征地和收购土地过程中支付的土地补偿费、安置补助费、地上附着和青苗补偿费、拆迁补偿费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.城乡社区支出（类）国有土地使用权出让收入安排的支出（款）土地开发支出（项）：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新疆生产建设兵团和地方政府用于前期土地开发性支出以及与前期土地开发相关的费用等支出。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.城乡社区支出（类）国有土地使用权出让收入安排的支出（款）农村基础设施建设支出（项）：指土地出让收入用于农村供水保障、村庄公共设施建设和管护以及与农业农村直接相关的以工代赈等方面的支出。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.城乡社区支出（类）国有土地使用权出让收入安排的支出（款）其他国有土地使用权出让收入安排的支出（项）：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土地出让收入用于其他方面的支出。不包括市县级政府当年按规定用于土地出让收入向中央和省级政府缴纳的新增建设用地土地有偿使用费的支出。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.农林水支出（类）巩固脱贫攻坚成果衔接乡村振兴（款）其他巩固脱贫攻坚成果衔接乡村振兴支出（项）指其他用于巩固拓展脱贫攻坚成果同乡村振兴有效衔接方面的支出。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.交通运输支出（类）公路水路运输（款）行政运行（项）：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与公路、水路运输相关的行政单</w:t>
      </w:r>
      <w:r>
        <w:rPr>
          <w:rFonts w:hint="eastAsia" w:eastAsia="仿宋_GB2312" w:cs="仿宋_GB2312"/>
          <w:color w:val="auto"/>
          <w:kern w:val="2"/>
          <w:sz w:val="32"/>
          <w:szCs w:val="32"/>
          <w:highlight w:val="none"/>
          <w:lang w:val="en-US" w:eastAsia="zh-CN" w:bidi="ar-SA"/>
        </w:rPr>
        <w:t>位</w:t>
      </w:r>
      <w:r>
        <w:rPr>
          <w:rFonts w:hint="eastAsia" w:ascii="Times New Roman" w:hAnsi="Times New Roman" w:eastAsia="仿宋_GB2312" w:cs="仿宋_GB2312"/>
          <w:color w:val="auto"/>
          <w:kern w:val="2"/>
          <w:sz w:val="32"/>
          <w:szCs w:val="32"/>
          <w:highlight w:val="none"/>
          <w:lang w:val="en-US" w:eastAsia="zh-CN" w:bidi="ar-SA"/>
        </w:rPr>
        <w:t>（包括实行公务员管理的事业单位）的基本支出。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.交通运输支出（类）公路水路运输（款）一般行政管理事务（项）：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行政单位（包括实行公务员管理的事业单位）未单独设置项级科目的其他项目支出。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.交通运输支出（类）公路水路运输（款）公路建设（项）：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新建公路支出，公路改建支出，特大型桥梁建设支出，公路客货运站（场）建设支出。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.交通运输支出（类）公路水路运输（款）公路养护（项）：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公路养护支出。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.交通运输支出（类）公路水路运输（款）其他公路水路运输支出（项）：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除上述项目以外其他用于公路水路运输方面的支出。</w:t>
      </w:r>
    </w:p>
    <w:p>
      <w:pPr>
        <w:spacing w:line="600" w:lineRule="exact"/>
        <w:ind w:firstLine="640"/>
        <w:rPr>
          <w:rFonts w:hint="eastAsia"/>
          <w:lang w:val="en-US" w:eastAsia="zh-CN"/>
        </w:rPr>
      </w:pP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.交通运输支出（类）其他交通运输支出（款）公共交通运营补助（项）：</w:t>
      </w:r>
      <w:r>
        <w:rPr>
          <w:rFonts w:hint="eastAsia" w:eastAsia="仿宋_GB2312" w:cs="仿宋_GB2312"/>
          <w:color w:val="auto"/>
          <w:kern w:val="2"/>
          <w:sz w:val="32"/>
          <w:szCs w:val="32"/>
          <w:highlight w:val="none"/>
          <w:lang w:val="en-US" w:eastAsia="zh-CN" w:bidi="ar-SA"/>
        </w:rPr>
        <w:t>指对公共交通运输企业的补助支出。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.交通运输支出（类）其他交通运输支出（款）其他交通运输支出（项）：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其他交通运输支出中除对公共交通运营补助以外的其他支出。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.资源勘探工业信息等支出（类）超长期特别国债安排的支出（款）制造业（项）：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使用超长期特别国债收人安排的纺织、轻工、化工、医药、机械、冶炼、建材、交通运输设备、烟草、兵器、核工、航空、航天、船舶、电子及通讯设备等制造业支出。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.住房保障（类）住房改革支出（款）住房公积金（项）:指行政事业单位按人力资源和社会保障部、财政部规定的基本工资和津贴补贴以及规定比例为职工缴纳的住房公积金。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.其他支出（类）其他政府性基金及对应专项债务收入安排的支出（款）其他地方自行试点项目收益专项债券收入安排的支出（项）：</w:t>
      </w:r>
      <w:r>
        <w:rPr>
          <w:rFonts w:hint="eastAsia" w:eastAsia="仿宋_GB2312" w:cs="仿宋_GB2312"/>
          <w:color w:val="auto"/>
          <w:kern w:val="2"/>
          <w:sz w:val="32"/>
          <w:szCs w:val="32"/>
          <w:highlight w:val="none"/>
          <w:lang w:val="en-US" w:eastAsia="zh-CN" w:bidi="ar-SA"/>
        </w:rPr>
        <w:t>指</w:t>
      </w:r>
      <w:r>
        <w:rPr>
          <w:rFonts w:hint="eastAsia" w:ascii="Times New Roman" w:hAnsi="Times New Roman" w:eastAsia="仿宋_GB2312" w:cs="仿宋_GB2312"/>
          <w:color w:val="auto"/>
          <w:kern w:val="2"/>
          <w:sz w:val="32"/>
          <w:szCs w:val="32"/>
          <w:highlight w:val="none"/>
          <w:lang w:val="en-US" w:eastAsia="zh-CN" w:bidi="ar-SA"/>
        </w:rPr>
        <w:t>其他地方自行试点项目收益专项偿券收入安排的支出。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部门预算项目支出绩效自评表（2024年度）</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widowControl/>
        <w:jc w:val="center"/>
        <w:rPr>
          <w:rFonts w:hint="eastAsia" w:ascii="Times New Roman" w:hAnsi="Times New Roman" w:eastAsia="黑体"/>
          <w:color w:val="auto"/>
          <w:sz w:val="44"/>
          <w:szCs w:val="44"/>
          <w:highlight w:val="none"/>
        </w:rPr>
      </w:pPr>
      <w:bookmarkStart w:id="49" w:name="_Toc15396618"/>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tbl>
      <w:tblPr>
        <w:tblStyle w:val="15"/>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8"/>
        <w:gridCol w:w="1631"/>
        <w:gridCol w:w="1787"/>
        <w:gridCol w:w="1705"/>
        <w:gridCol w:w="1079"/>
        <w:gridCol w:w="1079"/>
        <w:gridCol w:w="1079"/>
        <w:gridCol w:w="1080"/>
        <w:gridCol w:w="1079"/>
        <w:gridCol w:w="1079"/>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51118122T000000331400-城市公交燃气补贴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对公汽司公交车辆燃气费用进行补贴，保障公交票价低廉惠民.</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按峨府议〔2010〕40号会议纪要，CNG销售价格调整后，城市公交运营成本增支部分，由市政府进行补贴，实行按月按实结算。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补贴公交车数量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公交运行通畅率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2022-2024年完成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保障群众低价出行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保障公交正常运行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市民满意度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缓解峨眉山市公交企业运营压力，保障公交车辆正常运行，方便广大人民群众便捷畅通出行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51118122T000000331860-九珠客运中心搬迁租金及税费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保障九珠客运站的搬迁，保证九珠客运站的正常运转</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峨眉山九珠客运中心是我市国有控股汽车客运企业，其原经营场地因2014年修建四川旅博会永久场馆被占用，经市政府协调临时搬迁至市二汽司城北客运站，其租金及税费由市财政支付。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123.48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122.38</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123.48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122.38</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支付企业数量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2022-2024年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促进我市客运经济发展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促进该项工作长期稳定发展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乘客满意度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123.48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123.48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缓解相关客运企业运营压力，保障我市旅博会的举办，提高旅游城市知名度，促进全市旅游经济快速发展。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51118122T000000331895-公汽司IC卡刷卡优惠性政策补贴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维持老年卡、军残免费、普通卡8折、学生卡2折优惠政策的延续，优惠保障公交运行正常、百姓出行方便。</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依据《乐山市人民政府关于优先发展城市公共交通的意见》乐府发〔2012〕4号文件精神，我市从2015年起实施老年IC卡免费乘坐，学生卡、普通卡实行2折和8折优惠，其优惠部分按实由市财政支付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554.09</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554.09</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刷卡次数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刷卡覆盖率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2022-2024年完成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保障群众低价出行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保障公交车正常运行调查率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乘客满意度调查率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570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缓解峨眉山市公交企业运营压力，保障公交车辆正常运行，方便广大人民群众便捷畅通出行，促进全市经济快速发展。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51118122T000000331916-交通重点建设项目工程费用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交通建设顺利实施。省道308线峨眉山市绥山镇太泉村至绥山镇大楠村道路工程；G245汪坝至和平桥、和平桥至观音桥中修；九沙路暴雨损毁恢复工程；峨眉山市川桃路交通加旅游（生态修复）工程；符溪-桂花桥-九里美丽乡村旅游产业道路；完善峨眉山市道路交通标志、标线项目；峨眉山市国省道部分交安设施完善项目；省道306线20.3-25.6KM道路两侧水渠增设安全护栏项目；2019年农村公路交安建设项目；2020年生命安全防护（村道交安）项目；连乐铁路项目资本金、青杨路、符双路、双普路等等。</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由我局及下属单位作为业主的政府投资类交通建设项目，包括G245大中修项目、新（改）建285公里农村公路、幸福美丽乡村路建设等250多个项目，含在建、完工、采购类工程、管线迁改、前期费用等。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5,837.00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38,221.53</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38,110.53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5,837.00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38,221.53</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38,110.53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99.71%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完成项目个数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质量验收达标率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2022年-2024年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周边经济带动效益</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每年持续推进交通建设项目数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加大了各类交通项目建设力度，提升我市交通基础设施硬环境，为人民群众创造良好出行环境，促进全市经济快速发展。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51118122T000005470480-公路灾毁应急抢险保通经费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保障公路灾毁受损后得到抢修保通</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减少灾害对经济社会的影响，保障人民生命财产安全。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139.08</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139.08</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26.68%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完工项目验收合格率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按期完成投资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符合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新改建公路项目适应未来一定时期内交通需求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资金拨付力度还不够大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保障了公路灾毁受损后得到抢修保通，为人民群众创造良好出行环境，促进全市经济快速发展。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项目资金拨付力度还有待提高。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51118122T000007339209-机养中心预防性养护保通作业服务采购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通过对全市国省县道公路路面预防性养护修补、灌缝、绿化等作业项目的开展，有利于及时消除公路安全隐患，保障道路安全畅通，提升全市公路路况水平，延长公路使用寿命。</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消除道路安全隐患，提高公路通行服务水平，促进经济快速发展，确保我市公路建管养运工作长期稳定可持续发展。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工作任务完成率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公路水平状况综合评价PQI</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保畅通、促进经济建设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确保该项工作长期稳定推进</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消除道路安全隐患，提高公路通行服务水平，促进经济快速发展，确保我市公路建管养运工作长期稳定可持续发展。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51118123T000009130525-乐峨大道等四条公路日常养护服务采购项目经费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峨大道等四条公路日常养护服务政府采购项目的实施，有利于进一步提升我市公路养护服务水平和通行保障能力，为人民群众提供舒适、快捷、安全的出行条件，促进我市经济快速发展，切实推动公路养护改革，逐步实现公路“管养分离”，实现养护管理专业化、养护作业标准化、养护服务市场化的总体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提高道路养护质量，消除道路安全隐患，提高公路通行服务水平，确保客货运安全运输，促进全市经济快速发展，确保我市公路建管养运工作长期稳定发展。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养护公里数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46.7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养护工作任务完成率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2023年-2025年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保畅通、促经济</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促进该项工作长期发展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205.1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消除道路安全隐患，提高公路通行服务水平，确保客货运安全运输，促进全市经济快速发展，确保我市公路建管养运工作长期稳定发展。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51118123T000009131666-公路零星交安设施维修项目经费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根据《关于公路交通零星交安设施维修服务项目有关事项的请示》（峨交【2022】36号），市财政年度专项经费为150万元，对全市零星受损交安设施及时进行恢复更新，确保道路交通行车安全。</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对全市零星受损交安设施及时进行恢复更新，确保道路交通行车安全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54.76</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54.76</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资金拨付完成率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验收质量达标率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2023年-2025年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促进乡村经济发展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促进该项工作长期稳定发展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控制成本</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确保道路交通行车安全，消除道路安全隐患，提高公路通行服务水平。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51118123T000009444605-2021—2022年度中央财政农村客运补贴和城市交通发展奖励资金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用于发放2021—2022年度农村客运补贴和城市交通发展奖励，确保农村客运市场秩序的平稳运行，方便群众低价出行，促进乡村振兴。</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根据《峨眉山市2021、2022年度中央财政农村客运补贴和城市交通发展奖励资金实施方案(送审稿)》,市政府领导同意了该方案（市政府文件处理单号2023270）。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300.10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308.48</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300.10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拨付企业数量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资金补贴达标率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保障群众低价出行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保障车辆正常运行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308.48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308.48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提升农村客运普遍服务能力，促进农村客运高质量发展和转型升级，维护出租车行业稳定，优先发展城市公共交通，落实节能减排任务，促进农村客运、出租车、城市公共交通等行业健康可持续和高质量发展。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51118123T000009521397-2023年成品油税费改革转移支付农村公路养护资金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通过该项目的实施，促进我市农村公路日常养护，消除农村公路通行隐患，提升农村公路交通安全出行水平，确保道路整洁畅通，改善人民群众出行环境，促进全市经济快速发展。</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对我市我单位管养农村公路进行管养，保证群众出行安全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养护公里数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养护质量验收达标率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适应未来一定时期内交通需求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158.8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项目自评分为100分，通过日常养护，保障群众出行便捷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51118123T000009618617-大峨眉交旅融合先行示范区建设推进会经费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通过该项目会议的举办，认真落实交通强国和全域旅游战略，加快建设交通强省、文化旅游强省，对大峨眉交旅融合先行示范区建设工作进行系统部署，为推动全省交旅融合高质量发展提供示范样板。</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对该项目实施过程中产生的会议费、场地费、广告等费用进行据实报销。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参会人员数量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各项会议议程完成率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会议召开时间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对经济发展的促进作用是否明显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是否适应未来一定时期交通需求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适应</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会议成本控制在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233761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233761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加快建设交通强省、文化旅游强省，对大峨眉交旅融合先行示范区建设工作进行系统部署，为推动全省交旅融合高质量发展提供示范样板。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51118123T000009697870-2023省第二批省级交通专项资金（幸福美丽乡村路）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通过该项目的实施，为我市幸福美丽乡村路建设提供强有力的资金保障，改善人民群众出行环境，消除农村公路通行安全隐患，促进乡村振兴，带动我市经济快速发展。</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该项资金主要用于峨眉山市C09Y黄湾镇(万年村至仙山村段)幸福美丽乡村路、峨眉山市X149/Y009/Y010/X149/X148高桥镇高桥村至连峨村段美丽乡村路(峨眉山市高桥-罗目-沙溪美丽乡村旅游产业道路工程 )等10条幸福美丽乡村路建设。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4,268.00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4,268.00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公路建设里程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完工项目验收合格率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适应未来一定时期内交通需求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适应</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4268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促进我市幸福美丽乡村路建设，改善人民群众出行环境，提升农村公路安全通行水平，促进全市乡村振兴。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51118124T000011445212-公交成本监审运营补贴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通过项目实施，可大大降低公交公司的运营成本，确保公交公司运转正常，降低人民群众出行成本，促进我市公交行业健康稳定发展。</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对全市农村客运车辆进行专项补贴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公交车辆数量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车辆质量达标率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方便人民群众出行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促进该项工作长期发展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2374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确保公交公司运转正常，降低人民群众出行成本，促进我市公交行业健康稳定发展。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51118124T000011451297-川桃路等三条公路日常养护服务项目经费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通过该项目的实施，有利于川桃路等三条公路养护工作得到保障，进一步提高道路通行环境，降低道路通行安全隐患，方便人民群众出行，促进经济建设再上新台阶。</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川桃路等三条公路养护工作得到保障，进一步提高道路通行环境，降低道路通行安全隐患，方便人民群众出行，促进经济建设再上新台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159.89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159.89</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养护公路数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43.314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43.314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养护质量检查得分率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改善通行环境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优 </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促进该项工作长期稳定发展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159.89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项目自评分为100分，通过日常养护，绿化带整齐美观。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51118124T000011532138-2023年省级交通专项资金(客运电子客票补助)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支持道路客运电子客票改造</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提升旅客出行便捷性；优化流程。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支持道路客运电子客票改造</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完工项目验收合格率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2024年内完成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公路安全水平保障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新改建公路适应未来一定时期内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51118124T000011758887-高铁峨眉山站安保服务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通过该项目的实施，更好的维护好高铁站站场秩序，做好铁路运输与地方政府之间的协调，确保高铁站秩序运行正常，为广大旅客创造良好的旅游乘车环境，促进我市旅游经济向好发展。</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确保高铁站秩序运行正常，为广大旅客创造良好的旅游乘车环境，促进我市旅游经济向好发展。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34.58</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34.58</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设施设备检查次数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站场秩序通畅率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2024年-2026年完成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对经济建设的促进作用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方便广大群众出行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建设绿色出行环境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适应未来一定时期内交通运输发展需要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确保高铁站秩序运行正常，为广大旅客创造良好的旅游乘车环境，促进我市旅游经济向好发展。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51118124T000011857339-2023年度中央财政农村客运补贴和城市发展奖励资金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用于发放2023年度农村客运补贴和城市交通发展奖励，确保农村客运市场秩序的平稳运行，方便群众低价出行，促进乡村振兴。</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根据《峨眉山市2021、2022年度中央财政农村客运补贴和城市交通发展奖励资金实施方案(送审稿)》,市政府领导同意了该方案（市政府文件处理单号2023270）。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519.86</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519.86</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拨付企业数量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资金补贴达标率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资金按时到位率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保障群众低价出行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保障车辆正常运行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519.86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519.68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提升农村客运普遍服务能力，促进农村客运高质量发展和转型升级，维护出租车行业稳定，优先发展城市公共交通，落实节能减排任务，促进农村客运、出租车、城市公共交通等行业健康可持续和高质量发展。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51118124T000011953205-2024年第一批省级交通专项资金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通过该项目的实施，实现建制村100%通客车，确保乡村群众行有所乘，提高乘客出行安全，推动农村客运健康稳定发展，有力巩固农村客运脱贫攻坚成果。</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消除农村公路通行安全隐患，促进乡村振兴，带动我市经济快速发展。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382.45</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382.45</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行政村通车数量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是 </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按期完成投资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符合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新改建公路项目适应未来一定时期内交通需求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消除农村公路通行安全隐患，促进乡村振兴，带动我市经济快速发展。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51118125T000012170029-农村公路日常养护补助经费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建立、健全农村公路县乡村三级管理养护机制，农村公路列养率达到100%，消除道路安全隐患，提高公路通行服务水平，通行条件和路域环境基本改善，抗灾能力显著提高，促进全市乡村振兴。</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通过该项目的实施，公路日常养护，确保道路整洁、安全、畅通。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93.41</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93.41</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公路养护及时性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农村公路养护里程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1278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1278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路面使用技术PQI</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资金使用规范率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完成时间效率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提升道路交通安全率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对道路建设的促进作用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公路通行情况</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通过该项目的实施，补充和保障国省干线公路日常养护资金，确保道路整洁、安全、畅通。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51118125T000012448570-2024年超长期特别国债资金（大规模设备更新和消费品以旧换新方向）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通过该项目实施，重点支持老旧营运货车报废更新、能源公交车及动力电池更新，有利于提升交通硬件设备更新，更好地服务于交通通行，满足人民群众出行需要，促进我市经济快速发展。</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更好地服务于交通通行，满足人民群众出行需要，促进我市经济快速发展。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737.00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737.00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更新新能源公交车和报废货车数量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符合国家标准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2024年完成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促进经济快速发展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适应未来一定时期内交通需求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适应</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适应</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通过该项目实施，重点支持老旧营运货车报废更新、能源公交车及动力电池更新，有利于提升交通硬件设备更新，更好地服务于交通通行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51118125T000013083130-2024年省级交通专项资金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通过对全市农村客运车辆保险进行专项补贴，降低农村客运车辆业主经营成本，确保农村客运市场正常运行，满足广大人民群众出行需求，促进乡村振兴工作再上新台阶。</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确保农村客运市场正常运行，满足广大人民群众出行需求，促进乡村振兴工作再上新台阶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203.33</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203.33</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支持综合客运枢纽站1个、支持县级客运站1个、支持农村客运车辆主动安全智能防控系统1套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完成项目验收合格率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按期完成投资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对经济发展的促进作用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基本公共服务水平、公路安全水平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交通建设符合环评审批要求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符合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新改建公路项目适应未来一定时期内交通需求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改善通行服务水平群众满意度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确保农村客运市场正常运行，满足广大人民群众出行需求，促进乡村振兴工作再上新台阶。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37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51118125T000013083232-2020-2023年度农村客运补贴和城市交通发展奖励清算资金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交通运输局</w:t>
            </w:r>
          </w:p>
        </w:tc>
        <w:tc>
          <w:tcPr>
            <w:tcW w:w="108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用于清算2020-2023年度农村客运补贴和城市交通发展奖励，确保农村客运市场秩序的平稳运行，方便群众低价出行，促进乡村振兴。</w:t>
            </w:r>
          </w:p>
        </w:tc>
        <w:tc>
          <w:tcPr>
            <w:tcW w:w="4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04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确保农村客运市场秩序的平稳运行，方便群众低价出行，促进乡村振兴。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拨付企业数量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资金拨付及时性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对新能源汽车运营的支持作用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对农村客运的促进作用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明显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农村客运经营者和出租车司机满意度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5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资金拨付力度不够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确保农村客运市场秩序的平稳运行，方便群众低价出行，促进乡村振兴。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加大财政资金拨付力度，提高预算执行率。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加大财政资金扶持力度，推动行业可持续发展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项目负责人：方睿</w:t>
            </w:r>
          </w:p>
        </w:tc>
        <w:tc>
          <w:tcPr>
            <w:tcW w:w="6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财务负责人：杨勇</w:t>
            </w:r>
          </w:p>
        </w:tc>
      </w:tr>
    </w:tbl>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sectPr>
          <w:pgSz w:w="16838" w:h="11906" w:orient="landscape"/>
          <w:pgMar w:top="1800" w:right="1440" w:bottom="1800" w:left="1440" w:header="851" w:footer="992" w:gutter="0"/>
          <w:pgNumType w:fmt="decimal"/>
          <w:cols w:space="425" w:num="1"/>
          <w:docGrid w:type="lines" w:linePitch="312" w:charSpace="0"/>
        </w:sectPr>
      </w:pPr>
    </w:p>
    <w:p>
      <w:pPr>
        <w:widowControl/>
        <w:jc w:val="both"/>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lang w:eastAsia="zh-CN"/>
                      </w:rPr>
                      <w:t xml:space="preserve"> —</w:t>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M2U3ZDdmY2FmN2RkYTRiNjZhZTc1ZmI3MGNjMD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20EA"/>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4F26"/>
    <w:rsid w:val="00F45853"/>
    <w:rsid w:val="00F602DF"/>
    <w:rsid w:val="00F754A1"/>
    <w:rsid w:val="00F81FD9"/>
    <w:rsid w:val="00F841AA"/>
    <w:rsid w:val="00F84A94"/>
    <w:rsid w:val="00F87E96"/>
    <w:rsid w:val="00FA23E8"/>
    <w:rsid w:val="00FD3CC1"/>
    <w:rsid w:val="00FF1E02"/>
    <w:rsid w:val="00FF30B4"/>
    <w:rsid w:val="012A5EC2"/>
    <w:rsid w:val="015975B8"/>
    <w:rsid w:val="023001C7"/>
    <w:rsid w:val="026F1F7D"/>
    <w:rsid w:val="02F8427B"/>
    <w:rsid w:val="02FEBE30"/>
    <w:rsid w:val="04916F1E"/>
    <w:rsid w:val="04CA46FD"/>
    <w:rsid w:val="05C060B5"/>
    <w:rsid w:val="061E35DE"/>
    <w:rsid w:val="066E0107"/>
    <w:rsid w:val="0677222C"/>
    <w:rsid w:val="06CD3B1B"/>
    <w:rsid w:val="07996F6E"/>
    <w:rsid w:val="07DFD8BA"/>
    <w:rsid w:val="09867E8F"/>
    <w:rsid w:val="0A2032A3"/>
    <w:rsid w:val="0A4A207D"/>
    <w:rsid w:val="0BB93722"/>
    <w:rsid w:val="0CA8290A"/>
    <w:rsid w:val="0D35B1ED"/>
    <w:rsid w:val="0E254B6B"/>
    <w:rsid w:val="0EA737C6"/>
    <w:rsid w:val="0F98263C"/>
    <w:rsid w:val="101860EC"/>
    <w:rsid w:val="101F47CC"/>
    <w:rsid w:val="10C055FF"/>
    <w:rsid w:val="11694EBD"/>
    <w:rsid w:val="11772AA4"/>
    <w:rsid w:val="118107EC"/>
    <w:rsid w:val="12E24EE2"/>
    <w:rsid w:val="13D50BC4"/>
    <w:rsid w:val="14B17F78"/>
    <w:rsid w:val="154C47CE"/>
    <w:rsid w:val="165E0673"/>
    <w:rsid w:val="16B831D5"/>
    <w:rsid w:val="16BB723D"/>
    <w:rsid w:val="17E50567"/>
    <w:rsid w:val="186504BB"/>
    <w:rsid w:val="19A445FC"/>
    <w:rsid w:val="1B701236"/>
    <w:rsid w:val="1BCC22AB"/>
    <w:rsid w:val="1BE8440E"/>
    <w:rsid w:val="1D155CEE"/>
    <w:rsid w:val="1D1638FE"/>
    <w:rsid w:val="1E312DEB"/>
    <w:rsid w:val="1E740ACF"/>
    <w:rsid w:val="1FF35744"/>
    <w:rsid w:val="1FF6BC77"/>
    <w:rsid w:val="2186353C"/>
    <w:rsid w:val="21FE134A"/>
    <w:rsid w:val="23353491"/>
    <w:rsid w:val="23563135"/>
    <w:rsid w:val="23860B96"/>
    <w:rsid w:val="240371BF"/>
    <w:rsid w:val="244F3473"/>
    <w:rsid w:val="249B37C8"/>
    <w:rsid w:val="24C97D99"/>
    <w:rsid w:val="24EC5DD1"/>
    <w:rsid w:val="24ED0D45"/>
    <w:rsid w:val="25A718F0"/>
    <w:rsid w:val="25BB59F6"/>
    <w:rsid w:val="260F557C"/>
    <w:rsid w:val="26970054"/>
    <w:rsid w:val="281408E2"/>
    <w:rsid w:val="29FD04D3"/>
    <w:rsid w:val="2BFF7BC6"/>
    <w:rsid w:val="2C8A61B5"/>
    <w:rsid w:val="2DB74FD2"/>
    <w:rsid w:val="2DF04E50"/>
    <w:rsid w:val="2E586DFA"/>
    <w:rsid w:val="2F040D46"/>
    <w:rsid w:val="2F6B035B"/>
    <w:rsid w:val="2FAE5751"/>
    <w:rsid w:val="2FB1A395"/>
    <w:rsid w:val="2FD9A7D8"/>
    <w:rsid w:val="2FDBF714"/>
    <w:rsid w:val="30AB6865"/>
    <w:rsid w:val="319F7F4E"/>
    <w:rsid w:val="32BD1EF1"/>
    <w:rsid w:val="3304709D"/>
    <w:rsid w:val="33A773CB"/>
    <w:rsid w:val="33F16F60"/>
    <w:rsid w:val="349D6851"/>
    <w:rsid w:val="3575771D"/>
    <w:rsid w:val="36AA5135"/>
    <w:rsid w:val="36BE0DA7"/>
    <w:rsid w:val="3720190B"/>
    <w:rsid w:val="376B6AA6"/>
    <w:rsid w:val="376D39B2"/>
    <w:rsid w:val="37E16F03"/>
    <w:rsid w:val="37F53A3B"/>
    <w:rsid w:val="389B6C89"/>
    <w:rsid w:val="38D469F0"/>
    <w:rsid w:val="38E30E42"/>
    <w:rsid w:val="39627CCD"/>
    <w:rsid w:val="397BAF1F"/>
    <w:rsid w:val="39EB4B32"/>
    <w:rsid w:val="3A451FA9"/>
    <w:rsid w:val="3A797CAF"/>
    <w:rsid w:val="3AB79AF3"/>
    <w:rsid w:val="3AC80174"/>
    <w:rsid w:val="3AE834C0"/>
    <w:rsid w:val="3B7EF35A"/>
    <w:rsid w:val="3B9FDB6C"/>
    <w:rsid w:val="3BF5BC2F"/>
    <w:rsid w:val="3CEBA265"/>
    <w:rsid w:val="3D98207C"/>
    <w:rsid w:val="3DEE7CF3"/>
    <w:rsid w:val="3E740A63"/>
    <w:rsid w:val="3E78745D"/>
    <w:rsid w:val="3EE17838"/>
    <w:rsid w:val="3F454604"/>
    <w:rsid w:val="3F55381A"/>
    <w:rsid w:val="3F7F7599"/>
    <w:rsid w:val="3FF4CAE0"/>
    <w:rsid w:val="3FF7B227"/>
    <w:rsid w:val="3FF80A9F"/>
    <w:rsid w:val="407E2D76"/>
    <w:rsid w:val="44E268DA"/>
    <w:rsid w:val="450D13D7"/>
    <w:rsid w:val="45506656"/>
    <w:rsid w:val="45C616F9"/>
    <w:rsid w:val="47417398"/>
    <w:rsid w:val="48515DC8"/>
    <w:rsid w:val="486A6C7A"/>
    <w:rsid w:val="48E93727"/>
    <w:rsid w:val="4A627F82"/>
    <w:rsid w:val="4B0E749A"/>
    <w:rsid w:val="4B2477C4"/>
    <w:rsid w:val="4B4F25DA"/>
    <w:rsid w:val="4BE068DB"/>
    <w:rsid w:val="4D577224"/>
    <w:rsid w:val="4D7614B0"/>
    <w:rsid w:val="4DBF1CEB"/>
    <w:rsid w:val="4DF0007C"/>
    <w:rsid w:val="4EAB630A"/>
    <w:rsid w:val="4ECE2238"/>
    <w:rsid w:val="4F181A12"/>
    <w:rsid w:val="4F592625"/>
    <w:rsid w:val="4F833267"/>
    <w:rsid w:val="4FE9BD67"/>
    <w:rsid w:val="4FFB052F"/>
    <w:rsid w:val="501760BE"/>
    <w:rsid w:val="52383444"/>
    <w:rsid w:val="537E6D0A"/>
    <w:rsid w:val="53F74C96"/>
    <w:rsid w:val="55170BA8"/>
    <w:rsid w:val="553218C9"/>
    <w:rsid w:val="557B26D6"/>
    <w:rsid w:val="565C440E"/>
    <w:rsid w:val="567E1AA5"/>
    <w:rsid w:val="56E47B74"/>
    <w:rsid w:val="57175D52"/>
    <w:rsid w:val="57BD3DD4"/>
    <w:rsid w:val="585B17A0"/>
    <w:rsid w:val="59F667CF"/>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D373F6"/>
    <w:rsid w:val="62BF3928"/>
    <w:rsid w:val="62D33B51"/>
    <w:rsid w:val="63B3701E"/>
    <w:rsid w:val="647F5392"/>
    <w:rsid w:val="64FE1B44"/>
    <w:rsid w:val="65E66580"/>
    <w:rsid w:val="66385282"/>
    <w:rsid w:val="664B1D71"/>
    <w:rsid w:val="664B4E8E"/>
    <w:rsid w:val="66E300DB"/>
    <w:rsid w:val="66F52351"/>
    <w:rsid w:val="67277B67"/>
    <w:rsid w:val="67AA3209"/>
    <w:rsid w:val="68BB06F0"/>
    <w:rsid w:val="698D0931"/>
    <w:rsid w:val="6A7FE5F3"/>
    <w:rsid w:val="6B053271"/>
    <w:rsid w:val="6BDD78B3"/>
    <w:rsid w:val="6C4A05C8"/>
    <w:rsid w:val="6C8742B8"/>
    <w:rsid w:val="6D596ECB"/>
    <w:rsid w:val="6DBF5E93"/>
    <w:rsid w:val="6DEE0ACC"/>
    <w:rsid w:val="6DFF077E"/>
    <w:rsid w:val="6E0A23F1"/>
    <w:rsid w:val="6E714EF0"/>
    <w:rsid w:val="6E7E3605"/>
    <w:rsid w:val="6E7FDCC7"/>
    <w:rsid w:val="6ED6A62E"/>
    <w:rsid w:val="6EE00B15"/>
    <w:rsid w:val="6F6FB3EB"/>
    <w:rsid w:val="6F8731EA"/>
    <w:rsid w:val="6FCE6052"/>
    <w:rsid w:val="6FD57C00"/>
    <w:rsid w:val="6FEFFFD8"/>
    <w:rsid w:val="6FF5CC65"/>
    <w:rsid w:val="6FFB47EC"/>
    <w:rsid w:val="6FFF034A"/>
    <w:rsid w:val="70380634"/>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AC2297"/>
    <w:rsid w:val="76E3355F"/>
    <w:rsid w:val="76FF5125"/>
    <w:rsid w:val="776F6FFA"/>
    <w:rsid w:val="778769C8"/>
    <w:rsid w:val="77A75DCA"/>
    <w:rsid w:val="77DC22F5"/>
    <w:rsid w:val="782774D5"/>
    <w:rsid w:val="783E271A"/>
    <w:rsid w:val="78616DE9"/>
    <w:rsid w:val="78E875D7"/>
    <w:rsid w:val="79086DAD"/>
    <w:rsid w:val="79D7FD79"/>
    <w:rsid w:val="79EE5BA4"/>
    <w:rsid w:val="7A894339"/>
    <w:rsid w:val="7A903C7E"/>
    <w:rsid w:val="7AD284E8"/>
    <w:rsid w:val="7AFF7572"/>
    <w:rsid w:val="7B6C7DFB"/>
    <w:rsid w:val="7BA23344"/>
    <w:rsid w:val="7BBFBED0"/>
    <w:rsid w:val="7BC3E394"/>
    <w:rsid w:val="7C174657"/>
    <w:rsid w:val="7C1F3737"/>
    <w:rsid w:val="7CBFC87B"/>
    <w:rsid w:val="7CFE0F48"/>
    <w:rsid w:val="7D272ABC"/>
    <w:rsid w:val="7D7EC23E"/>
    <w:rsid w:val="7E8ADEBF"/>
    <w:rsid w:val="7EA30589"/>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autoRedefine/>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63</Pages>
  <Words>7153</Words>
  <Characters>7828</Characters>
  <Lines>61</Lines>
  <Paragraphs>17</Paragraphs>
  <TotalTime>17</TotalTime>
  <ScaleCrop>false</ScaleCrop>
  <LinksUpToDate>false</LinksUpToDate>
  <CharactersWithSpaces>7872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彭玲</cp:lastModifiedBy>
  <cp:lastPrinted>2025-12-04T02:27:49Z</cp:lastPrinted>
  <dcterms:modified xsi:type="dcterms:W3CDTF">2025-12-04T02:28:05Z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04787F2533EB45DC91BCDE4AB213247F</vt:lpwstr>
  </property>
  <property fmtid="{D5CDD505-2E9C-101B-9397-08002B2CF9AE}" pid="4" name="KSOTemplateDocerSaveRecord">
    <vt:lpwstr>eyJoZGlkIjoiNzRmMDM0Y2UxZDEzMTE5MDVmMzAxYjA2MzhiYTE1NGEiLCJ1c2VySWQiOiIzMjc1MTk4ODkifQ==</vt:lpwstr>
  </property>
</Properties>
</file>