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D186C">
      <w:pPr>
        <w:pStyle w:val="8"/>
        <w:spacing w:before="93"/>
        <w:rPr>
          <w:rFonts w:ascii="Times New Roman" w:eastAsia="方正小标宋简体"/>
          <w:kern w:val="2"/>
          <w:sz w:val="72"/>
          <w:szCs w:val="72"/>
        </w:rPr>
      </w:pPr>
      <w:bookmarkStart w:id="0" w:name="_Toc15396475"/>
      <w:bookmarkStart w:id="1" w:name="_Toc15396597"/>
      <w:bookmarkStart w:id="2" w:name="_Toc15377193"/>
      <w:bookmarkStart w:id="3" w:name="_Toc15378441"/>
      <w:bookmarkStart w:id="4" w:name="_Toc15377425"/>
      <w:bookmarkStart w:id="5" w:name="_Toc15306267"/>
    </w:p>
    <w:p w14:paraId="553E0585">
      <w:pPr>
        <w:pStyle w:val="8"/>
        <w:spacing w:before="93"/>
        <w:rPr>
          <w:rFonts w:ascii="Times New Roman" w:eastAsia="方正小标宋简体"/>
          <w:kern w:val="2"/>
          <w:sz w:val="72"/>
          <w:szCs w:val="72"/>
        </w:rPr>
      </w:pPr>
    </w:p>
    <w:p w14:paraId="6424D431">
      <w:pPr>
        <w:pStyle w:val="8"/>
        <w:spacing w:before="93"/>
        <w:rPr>
          <w:rFonts w:ascii="Times New Roman" w:eastAsia="方正小标宋简体"/>
          <w:kern w:val="2"/>
          <w:sz w:val="72"/>
          <w:szCs w:val="72"/>
        </w:rPr>
      </w:pPr>
    </w:p>
    <w:p w14:paraId="7626954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3C9E41FD">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四川省峨眉山市体育发展中心单位决算</w:t>
      </w:r>
    </w:p>
    <w:p w14:paraId="6D046C97">
      <w:pPr>
        <w:pStyle w:val="19"/>
        <w:rPr>
          <w:rFonts w:ascii="Times New Roman" w:hAnsi="Times New Roman"/>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bookmarkEnd w:id="0"/>
    <w:bookmarkEnd w:id="1"/>
    <w:bookmarkEnd w:id="2"/>
    <w:bookmarkEnd w:id="3"/>
    <w:bookmarkEnd w:id="4"/>
    <w:bookmarkEnd w:id="5"/>
    <w:p w14:paraId="17E07DDB">
      <w:pPr>
        <w:widowControl/>
        <w:jc w:val="center"/>
        <w:rPr>
          <w:rFonts w:eastAsia="黑体"/>
          <w:sz w:val="48"/>
          <w:szCs w:val="48"/>
        </w:rPr>
      </w:pPr>
      <w:r>
        <w:rPr>
          <w:rFonts w:hint="eastAsia" w:eastAsia="黑体"/>
          <w:sz w:val="48"/>
          <w:szCs w:val="48"/>
        </w:rPr>
        <w:t>目录</w:t>
      </w:r>
    </w:p>
    <w:p w14:paraId="6C2B22F6">
      <w:pPr>
        <w:widowControl/>
        <w:jc w:val="center"/>
        <w:rPr>
          <w:rFonts w:eastAsia="黑体" w:cstheme="minorBidi"/>
          <w:sz w:val="28"/>
          <w:szCs w:val="28"/>
          <w:highlight w:val="none"/>
        </w:rPr>
      </w:pPr>
    </w:p>
    <w:p w14:paraId="5009333B">
      <w:pPr>
        <w:pStyle w:val="13"/>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公开时间：2025年12月</w:t>
      </w:r>
      <w:r>
        <w:rPr>
          <w:rFonts w:hint="eastAsia" w:ascii="Times New Roman" w:hAnsi="Times New Roman" w:eastAsia="仿宋_GB2312" w:cs="仿宋_GB2312"/>
          <w:sz w:val="32"/>
          <w:szCs w:val="32"/>
          <w:highlight w:val="none"/>
          <w:lang w:val="en-US" w:eastAsia="zh-CN"/>
        </w:rPr>
        <w:t>5</w:t>
      </w:r>
      <w:bookmarkStart w:id="63" w:name="_GoBack"/>
      <w:bookmarkEnd w:id="63"/>
      <w:r>
        <w:rPr>
          <w:rFonts w:hint="eastAsia" w:ascii="Times New Roman" w:hAnsi="Times New Roman" w:eastAsia="仿宋_GB2312" w:cs="仿宋_GB2312"/>
          <w:sz w:val="32"/>
          <w:szCs w:val="32"/>
          <w:highlight w:val="none"/>
        </w:rPr>
        <w:t>日</w:t>
      </w:r>
    </w:p>
    <w:p w14:paraId="51D60F7B"/>
    <w:p w14:paraId="10273A3B">
      <w:pPr>
        <w:pStyle w:val="13"/>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3</w:t>
      </w:r>
    </w:p>
    <w:p w14:paraId="4A384EF1">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一、主要职责</w:t>
      </w:r>
      <w:r>
        <w:rPr>
          <w:rFonts w:hint="eastAsia" w:eastAsia="仿宋_GB2312" w:cs="仿宋_GB2312"/>
          <w:sz w:val="32"/>
          <w:szCs w:val="32"/>
        </w:rPr>
        <w:tab/>
      </w:r>
      <w:r>
        <w:rPr>
          <w:rFonts w:hint="eastAsia" w:eastAsia="仿宋_GB2312" w:cs="仿宋_GB2312"/>
          <w:sz w:val="32"/>
          <w:szCs w:val="32"/>
          <w:lang w:val="en-US" w:eastAsia="zh-CN"/>
        </w:rPr>
        <w:t>3</w:t>
      </w:r>
    </w:p>
    <w:p w14:paraId="15953614">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rPr>
        <w:tab/>
      </w:r>
      <w:r>
        <w:rPr>
          <w:rFonts w:hint="eastAsia" w:eastAsia="仿宋_GB2312" w:cs="仿宋_GB2312"/>
          <w:sz w:val="32"/>
          <w:szCs w:val="32"/>
          <w:lang w:val="en-US" w:eastAsia="zh-CN"/>
        </w:rPr>
        <w:t>3</w:t>
      </w:r>
    </w:p>
    <w:p w14:paraId="3C87CB12">
      <w:pPr>
        <w:pStyle w:val="13"/>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2024年度单位决算情况说明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4</w:t>
      </w:r>
    </w:p>
    <w:p w14:paraId="2FA6C1A5">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lang w:val="en-US" w:eastAsia="zh-CN"/>
        </w:rPr>
        <w:t>4</w:t>
      </w:r>
    </w:p>
    <w:p w14:paraId="2C6140C3">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lang w:val="en-US" w:eastAsia="zh-CN"/>
        </w:rPr>
        <w:t>4</w:t>
      </w:r>
    </w:p>
    <w:p w14:paraId="51573994">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lang w:val="en-US" w:eastAsia="zh-CN"/>
        </w:rPr>
        <w:t>5</w:t>
      </w:r>
    </w:p>
    <w:p w14:paraId="3D96AD62">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lang w:val="en-US" w:eastAsia="zh-CN"/>
        </w:rPr>
        <w:t>6</w:t>
      </w:r>
    </w:p>
    <w:p w14:paraId="1CCB5029">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lang w:val="en-US" w:eastAsia="zh-CN"/>
        </w:rPr>
        <w:t>7</w:t>
      </w:r>
    </w:p>
    <w:p w14:paraId="61E4266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lang w:val="en-US" w:eastAsia="zh-CN"/>
        </w:rPr>
        <w:t>10</w:t>
      </w:r>
    </w:p>
    <w:p w14:paraId="56559AC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lang w:val="en-US" w:eastAsia="zh-CN"/>
        </w:rPr>
        <w:t>10</w:t>
      </w:r>
    </w:p>
    <w:p w14:paraId="45B5993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lang w:val="en-US" w:eastAsia="zh-CN"/>
        </w:rPr>
        <w:t>12</w:t>
      </w:r>
    </w:p>
    <w:p w14:paraId="52BC6FE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lang w:val="en-US" w:eastAsia="zh-CN"/>
        </w:rPr>
        <w:t>12</w:t>
      </w:r>
    </w:p>
    <w:p w14:paraId="1281404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lang w:val="en-US" w:eastAsia="zh-CN"/>
        </w:rPr>
        <w:t>12</w:t>
      </w:r>
    </w:p>
    <w:p w14:paraId="605607CE">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13</w:t>
      </w:r>
    </w:p>
    <w:p w14:paraId="5D08118A">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17</w:t>
      </w:r>
    </w:p>
    <w:p w14:paraId="077F6D03">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19</w:t>
      </w:r>
    </w:p>
    <w:p w14:paraId="7012541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366ACA2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5D1A0B7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22B0C2B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11C081B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027CDA7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591EF58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2ADAA64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64B55D0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52D911F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4CBFB59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0C1EB8B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640F174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1A0C4A11">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14:paraId="57B40C96">
      <w:pPr>
        <w:pStyle w:val="5"/>
        <w:jc w:val="center"/>
        <w:rPr>
          <w:rStyle w:val="28"/>
          <w:rFonts w:eastAsia="方正小标宋简体" w:cs="方正小标宋简体"/>
          <w:b/>
          <w:bCs w:val="0"/>
        </w:rPr>
      </w:pPr>
      <w:r>
        <w:rPr>
          <w:rFonts w:hint="eastAsia" w:eastAsia="方正小标宋简体" w:cs="方正小标宋简体"/>
          <w:b w:val="0"/>
        </w:rPr>
        <w:t>第一部分  单位</w:t>
      </w:r>
      <w:r>
        <w:rPr>
          <w:rStyle w:val="28"/>
          <w:rFonts w:hint="eastAsia" w:eastAsia="方正小标宋简体" w:cs="方正小标宋简体"/>
          <w:b w:val="0"/>
          <w:bCs w:val="0"/>
        </w:rPr>
        <w:t>概况</w:t>
      </w:r>
      <w:bookmarkEnd w:id="6"/>
      <w:bookmarkEnd w:id="7"/>
    </w:p>
    <w:p w14:paraId="4D33DA81">
      <w:pPr>
        <w:widowControl/>
        <w:jc w:val="left"/>
        <w:rPr>
          <w:rFonts w:eastAsia="黑体"/>
          <w:sz w:val="32"/>
          <w:szCs w:val="32"/>
        </w:rPr>
      </w:pPr>
    </w:p>
    <w:p w14:paraId="66AA37DB">
      <w:pPr>
        <w:pStyle w:val="6"/>
        <w:rPr>
          <w:rFonts w:ascii="Times New Roman" w:hAnsi="Times New Roman" w:eastAsia="黑体"/>
          <w:b w:val="0"/>
        </w:rPr>
      </w:pPr>
      <w:bookmarkStart w:id="8" w:name="_Toc15396600"/>
      <w:bookmarkStart w:id="9" w:name="_Toc15377197"/>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14:paraId="6A74552C">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承担公共体育设施（场馆）开放、维护相关事务性工作；组织开展群众性体育健身活动；为全民健身活动提供咨询、知识科普、技能培训及后勤服务保障工作；组织参加各项赛事以及赛事举办。</w:t>
      </w:r>
    </w:p>
    <w:p w14:paraId="50C5D8A4">
      <w:pPr>
        <w:pStyle w:val="6"/>
        <w:rPr>
          <w:rStyle w:val="29"/>
          <w:rFonts w:ascii="Times New Roman" w:hAnsi="Times New Roman"/>
          <w:b w:val="0"/>
          <w:bCs w:val="0"/>
        </w:rPr>
      </w:pPr>
      <w:bookmarkStart w:id="10" w:name="_Toc15396601"/>
      <w:bookmarkStart w:id="11"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0"/>
      <w:bookmarkEnd w:id="11"/>
    </w:p>
    <w:p w14:paraId="75C985DB">
      <w:pPr>
        <w:ind w:firstLine="640" w:firstLineChars="200"/>
        <w:rPr>
          <w:rFonts w:ascii="仿宋" w:hAnsi="仿宋" w:eastAsia="仿宋" w:cs="仿宋"/>
          <w:sz w:val="32"/>
          <w:szCs w:val="32"/>
        </w:rPr>
      </w:pPr>
      <w:r>
        <w:rPr>
          <w:rFonts w:hint="eastAsia" w:ascii="仿宋" w:hAnsi="仿宋" w:eastAsia="仿宋" w:cs="仿宋"/>
          <w:sz w:val="32"/>
          <w:szCs w:val="32"/>
        </w:rPr>
        <w:t>机构情况，峨眉山市体育发展中心隶属于峨眉山市文化广播电视体育和旅游局的二级预算单位，下设独立编制机构0个，其中行政机构0个，参照公务员法管理的事业机构0个，其他事业机构0个。</w:t>
      </w:r>
    </w:p>
    <w:p w14:paraId="00E570F8">
      <w:pPr>
        <w:ind w:firstLine="640" w:firstLineChars="200"/>
        <w:rPr>
          <w:rFonts w:eastAsia="仿宋"/>
          <w:kern w:val="0"/>
          <w:sz w:val="32"/>
          <w:szCs w:val="32"/>
        </w:rPr>
      </w:pPr>
      <w:r>
        <w:rPr>
          <w:rFonts w:hint="eastAsia" w:ascii="仿宋" w:hAnsi="仿宋" w:eastAsia="仿宋" w:cs="仿宋"/>
          <w:sz w:val="32"/>
          <w:szCs w:val="32"/>
        </w:rPr>
        <w:t>人员情况， 峨眉山市体育发展中心中心编制总数16人，年末在职16人。</w:t>
      </w:r>
      <w:r>
        <w:rPr>
          <w:rFonts w:eastAsia="仿宋"/>
          <w:sz w:val="32"/>
          <w:szCs w:val="32"/>
        </w:rPr>
        <w:br w:type="page"/>
      </w:r>
    </w:p>
    <w:p w14:paraId="2E7CEFB6">
      <w:pPr>
        <w:pStyle w:val="5"/>
        <w:jc w:val="center"/>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2024年度单位决算情况说明</w:t>
      </w:r>
      <w:bookmarkEnd w:id="12"/>
      <w:bookmarkEnd w:id="13"/>
    </w:p>
    <w:p w14:paraId="24140C11"/>
    <w:p w14:paraId="38F98773">
      <w:pPr>
        <w:pStyle w:val="27"/>
        <w:spacing w:line="600" w:lineRule="exact"/>
        <w:ind w:firstLine="640"/>
        <w:outlineLvl w:val="1"/>
        <w:rPr>
          <w:rStyle w:val="29"/>
          <w:rFonts w:ascii="Times New Roman" w:hAnsi="Times New Roman" w:eastAsia="黑体"/>
          <w:b w:val="0"/>
        </w:rPr>
      </w:pPr>
      <w:bookmarkStart w:id="14" w:name="_Toc15396603"/>
      <w:bookmarkStart w:id="15"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4"/>
      <w:bookmarkEnd w:id="15"/>
    </w:p>
    <w:p w14:paraId="2ABED3F3">
      <w:pPr>
        <w:pStyle w:val="27"/>
        <w:spacing w:line="600" w:lineRule="exact"/>
        <w:ind w:firstLine="640"/>
        <w:outlineLvl w:val="1"/>
        <w:rPr>
          <w:rFonts w:eastAsia="仿宋_GB2312" w:cs="仿宋_GB2312"/>
          <w:sz w:val="32"/>
          <w:szCs w:val="32"/>
          <w:highlight w:val="none"/>
        </w:rPr>
      </w:pPr>
      <w:r>
        <w:rPr>
          <w:rFonts w:hint="eastAsia" w:eastAsia="仿宋_GB2312" w:cs="仿宋_GB2312"/>
          <w:sz w:val="32"/>
          <w:szCs w:val="32"/>
        </w:rPr>
        <w:t>2024年度收入、支出总计均为329.17万元。与2023年度相比，收入、支出总计各增加6.17万元，增长1.91%</w:t>
      </w:r>
      <w:r>
        <w:rPr>
          <w:rFonts w:hint="eastAsia" w:eastAsia="仿宋_GB2312" w:cs="仿宋_GB2312"/>
          <w:sz w:val="32"/>
          <w:szCs w:val="32"/>
          <w:highlight w:val="none"/>
        </w:rPr>
        <w:t>。主要变动原因是人员社会保险增加。</w:t>
      </w:r>
    </w:p>
    <w:p w14:paraId="5ABA2058">
      <w:pPr>
        <w:pStyle w:val="27"/>
        <w:spacing w:line="600" w:lineRule="exact"/>
        <w:ind w:firstLine="640"/>
        <w:outlineLvl w:val="1"/>
        <w:rPr>
          <w:rFonts w:eastAsia="仿宋_GB2312" w:cs="仿宋_GB2312"/>
          <w:sz w:val="32"/>
          <w:szCs w:val="32"/>
          <w:highlight w:val="none"/>
        </w:rPr>
      </w:pPr>
    </w:p>
    <w:p w14:paraId="3F865098">
      <w:pPr>
        <w:pStyle w:val="27"/>
        <w:spacing w:line="600" w:lineRule="exact"/>
        <w:ind w:firstLine="640"/>
        <w:outlineLvl w:val="1"/>
        <w:rPr>
          <w:rFonts w:eastAsia="仿宋_GB2312" w:cs="仿宋_GB2312"/>
          <w:sz w:val="32"/>
          <w:szCs w:val="32"/>
        </w:rPr>
      </w:pPr>
    </w:p>
    <w:p w14:paraId="7DE4B0AD">
      <w:pPr>
        <w:pStyle w:val="27"/>
        <w:spacing w:line="600" w:lineRule="exact"/>
        <w:ind w:firstLine="640"/>
        <w:outlineLvl w:val="1"/>
        <w:rPr>
          <w:rFonts w:eastAsia="仿宋_GB2312" w:cs="仿宋_GB2312"/>
          <w:sz w:val="32"/>
          <w:szCs w:val="32"/>
        </w:rPr>
      </w:pPr>
    </w:p>
    <w:p w14:paraId="3935E735">
      <w:pPr>
        <w:pStyle w:val="27"/>
        <w:spacing w:line="600" w:lineRule="exact"/>
        <w:ind w:firstLine="640"/>
        <w:outlineLvl w:val="1"/>
        <w:rPr>
          <w:rFonts w:eastAsia="仿宋_GB2312" w:cs="仿宋_GB2312"/>
          <w:sz w:val="32"/>
          <w:szCs w:val="32"/>
        </w:rPr>
      </w:pPr>
    </w:p>
    <w:p w14:paraId="548396C6">
      <w:pPr>
        <w:pStyle w:val="27"/>
        <w:spacing w:line="600" w:lineRule="exact"/>
        <w:ind w:firstLine="640"/>
        <w:outlineLvl w:val="1"/>
        <w:rPr>
          <w:rFonts w:eastAsia="仿宋_GB2312" w:cs="仿宋_GB2312"/>
          <w:sz w:val="32"/>
          <w:szCs w:val="32"/>
        </w:rPr>
      </w:pPr>
    </w:p>
    <w:p w14:paraId="7DFFA4EC">
      <w:pPr>
        <w:pStyle w:val="27"/>
        <w:spacing w:line="600" w:lineRule="exact"/>
        <w:ind w:firstLine="640"/>
        <w:outlineLvl w:val="1"/>
        <w:rPr>
          <w:rFonts w:eastAsia="仿宋_GB2312" w:cs="仿宋_GB2312"/>
          <w:sz w:val="32"/>
          <w:szCs w:val="32"/>
        </w:rPr>
      </w:pPr>
    </w:p>
    <w:p w14:paraId="46386767">
      <w:pPr>
        <w:pStyle w:val="27"/>
        <w:spacing w:line="600" w:lineRule="exact"/>
        <w:ind w:firstLine="640"/>
        <w:outlineLvl w:val="1"/>
        <w:rPr>
          <w:rFonts w:eastAsia="仿宋_GB2312" w:cs="仿宋_GB2312"/>
          <w:sz w:val="32"/>
          <w:szCs w:val="32"/>
        </w:rPr>
      </w:pPr>
    </w:p>
    <w:p w14:paraId="7669DA24">
      <w:pPr>
        <w:pStyle w:val="27"/>
        <w:spacing w:line="600" w:lineRule="exact"/>
        <w:ind w:firstLine="640"/>
        <w:outlineLvl w:val="1"/>
        <w:rPr>
          <w:rFonts w:eastAsia="仿宋_GB2312" w:cs="仿宋_GB2312"/>
          <w:sz w:val="32"/>
          <w:szCs w:val="32"/>
        </w:rPr>
      </w:pPr>
    </w:p>
    <w:p w14:paraId="0CB8EAF8">
      <w:pPr>
        <w:pStyle w:val="27"/>
        <w:spacing w:line="600" w:lineRule="exact"/>
        <w:ind w:firstLine="640"/>
        <w:outlineLvl w:val="1"/>
        <w:rPr>
          <w:rFonts w:eastAsia="仿宋_GB2312" w:cs="仿宋_GB2312"/>
          <w:sz w:val="32"/>
          <w:szCs w:val="32"/>
        </w:rPr>
      </w:pPr>
    </w:p>
    <w:p w14:paraId="3E2887B6">
      <w:pPr>
        <w:pStyle w:val="27"/>
        <w:spacing w:line="600" w:lineRule="exact"/>
        <w:outlineLvl w:val="1"/>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-3352800</wp:posOffset>
            </wp:positionV>
            <wp:extent cx="4589780" cy="3647440"/>
            <wp:effectExtent l="0" t="0" r="1270" b="1016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4589780" cy="3647440"/>
                    </a:xfrm>
                    <a:prstGeom prst="rect">
                      <a:avLst/>
                    </a:prstGeom>
                    <a:noFill/>
                    <a:ln>
                      <a:noFill/>
                    </a:ln>
                  </pic:spPr>
                </pic:pic>
              </a:graphicData>
            </a:graphic>
          </wp:anchor>
        </w:drawing>
      </w:r>
    </w:p>
    <w:p w14:paraId="0A5AED3B">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36ADE0D3">
      <w:pPr>
        <w:ind w:firstLine="640" w:firstLineChars="200"/>
        <w:rPr>
          <w:rFonts w:eastAsia="仿宋_GB2312" w:cs="仿宋_GB2312"/>
          <w:sz w:val="32"/>
          <w:szCs w:val="32"/>
        </w:rPr>
      </w:pPr>
    </w:p>
    <w:p w14:paraId="4609E30E">
      <w:pPr>
        <w:pStyle w:val="27"/>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22BCB0DB">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294.48万元，其中：一般公共预算财政拨款收入294.48万元，占100%；政府性基金预算财政拨款收入0万元，占0%；国有资本经营预算财政拨款收入0万元，占0%；上级补助收入0万元，占0%；事业收入0万元，占0%；经营收入0万元，占0%；附属单位上缴收入0万元，占0%；其他收入0万元，占0%。</w:t>
      </w:r>
    </w:p>
    <w:p w14:paraId="2959DE4D">
      <w:pPr>
        <w:pStyle w:val="27"/>
        <w:spacing w:line="600" w:lineRule="exact"/>
        <w:jc w:val="left"/>
        <w:outlineLvl w:val="1"/>
        <w:rPr>
          <w:rFonts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column">
              <wp:posOffset>120015</wp:posOffset>
            </wp:positionH>
            <wp:positionV relativeFrom="paragraph">
              <wp:posOffset>127000</wp:posOffset>
            </wp:positionV>
            <wp:extent cx="4832350" cy="3944620"/>
            <wp:effectExtent l="0" t="0" r="6350" b="1778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4832350" cy="3944620"/>
                    </a:xfrm>
                    <a:prstGeom prst="rect">
                      <a:avLst/>
                    </a:prstGeom>
                    <a:noFill/>
                    <a:ln>
                      <a:noFill/>
                    </a:ln>
                  </pic:spPr>
                </pic:pic>
              </a:graphicData>
            </a:graphic>
          </wp:anchor>
        </w:drawing>
      </w:r>
    </w:p>
    <w:p w14:paraId="36CCB850">
      <w:pPr>
        <w:pStyle w:val="27"/>
        <w:spacing w:line="600" w:lineRule="exact"/>
        <w:ind w:firstLine="640"/>
        <w:jc w:val="left"/>
        <w:outlineLvl w:val="1"/>
        <w:rPr>
          <w:rFonts w:ascii="仿宋_GB2312" w:hAnsi="仿宋_GB2312" w:eastAsia="仿宋_GB2312" w:cs="仿宋_GB2312"/>
          <w:sz w:val="32"/>
          <w:szCs w:val="32"/>
        </w:rPr>
      </w:pPr>
    </w:p>
    <w:p w14:paraId="70AF0D65">
      <w:pPr>
        <w:pStyle w:val="27"/>
        <w:spacing w:line="600" w:lineRule="exact"/>
        <w:ind w:firstLine="640"/>
        <w:jc w:val="left"/>
        <w:outlineLvl w:val="1"/>
        <w:rPr>
          <w:rFonts w:ascii="仿宋_GB2312" w:hAnsi="仿宋_GB2312" w:eastAsia="仿宋_GB2312" w:cs="仿宋_GB2312"/>
          <w:sz w:val="32"/>
          <w:szCs w:val="32"/>
        </w:rPr>
      </w:pPr>
    </w:p>
    <w:p w14:paraId="1382CAA4">
      <w:pPr>
        <w:pStyle w:val="27"/>
        <w:spacing w:line="600" w:lineRule="exact"/>
        <w:ind w:firstLine="640"/>
        <w:jc w:val="left"/>
        <w:outlineLvl w:val="1"/>
        <w:rPr>
          <w:rFonts w:ascii="仿宋_GB2312" w:hAnsi="仿宋_GB2312" w:eastAsia="仿宋_GB2312" w:cs="仿宋_GB2312"/>
          <w:sz w:val="32"/>
          <w:szCs w:val="32"/>
        </w:rPr>
      </w:pPr>
    </w:p>
    <w:p w14:paraId="7A9A2B11">
      <w:pPr>
        <w:pStyle w:val="27"/>
        <w:spacing w:line="600" w:lineRule="exact"/>
        <w:ind w:firstLine="640"/>
        <w:jc w:val="left"/>
        <w:outlineLvl w:val="1"/>
        <w:rPr>
          <w:rFonts w:ascii="仿宋_GB2312" w:hAnsi="仿宋_GB2312" w:eastAsia="仿宋_GB2312" w:cs="仿宋_GB2312"/>
          <w:sz w:val="32"/>
          <w:szCs w:val="32"/>
        </w:rPr>
      </w:pPr>
    </w:p>
    <w:p w14:paraId="695AF5B1">
      <w:pPr>
        <w:pStyle w:val="27"/>
        <w:spacing w:line="600" w:lineRule="exact"/>
        <w:ind w:firstLine="640"/>
        <w:jc w:val="left"/>
        <w:outlineLvl w:val="1"/>
        <w:rPr>
          <w:rFonts w:ascii="仿宋_GB2312" w:hAnsi="仿宋_GB2312" w:eastAsia="仿宋_GB2312" w:cs="仿宋_GB2312"/>
          <w:sz w:val="32"/>
          <w:szCs w:val="32"/>
        </w:rPr>
      </w:pPr>
    </w:p>
    <w:p w14:paraId="150C0D6D">
      <w:pPr>
        <w:pStyle w:val="27"/>
        <w:spacing w:line="600" w:lineRule="exact"/>
        <w:ind w:firstLine="640"/>
        <w:jc w:val="left"/>
        <w:outlineLvl w:val="1"/>
        <w:rPr>
          <w:rFonts w:ascii="仿宋_GB2312" w:hAnsi="仿宋_GB2312" w:eastAsia="仿宋_GB2312" w:cs="仿宋_GB2312"/>
          <w:sz w:val="32"/>
          <w:szCs w:val="32"/>
        </w:rPr>
      </w:pPr>
    </w:p>
    <w:p w14:paraId="2FF89EDE">
      <w:pPr>
        <w:pStyle w:val="27"/>
        <w:spacing w:line="600" w:lineRule="exact"/>
        <w:ind w:firstLine="640"/>
        <w:jc w:val="left"/>
        <w:outlineLvl w:val="1"/>
        <w:rPr>
          <w:rFonts w:ascii="仿宋_GB2312" w:hAnsi="仿宋_GB2312" w:eastAsia="仿宋_GB2312" w:cs="仿宋_GB2312"/>
          <w:sz w:val="32"/>
          <w:szCs w:val="32"/>
        </w:rPr>
      </w:pPr>
    </w:p>
    <w:p w14:paraId="1620E1E2">
      <w:pPr>
        <w:pStyle w:val="27"/>
        <w:spacing w:line="600" w:lineRule="exact"/>
        <w:ind w:firstLine="640"/>
        <w:jc w:val="left"/>
        <w:outlineLvl w:val="1"/>
        <w:rPr>
          <w:rFonts w:ascii="仿宋_GB2312" w:hAnsi="仿宋_GB2312" w:eastAsia="仿宋_GB2312" w:cs="仿宋_GB2312"/>
          <w:sz w:val="32"/>
          <w:szCs w:val="32"/>
        </w:rPr>
      </w:pPr>
    </w:p>
    <w:p w14:paraId="1218D201">
      <w:pPr>
        <w:pStyle w:val="27"/>
        <w:spacing w:line="600" w:lineRule="exact"/>
        <w:ind w:firstLine="640"/>
        <w:jc w:val="left"/>
        <w:outlineLvl w:val="1"/>
        <w:rPr>
          <w:rFonts w:ascii="仿宋_GB2312" w:hAnsi="仿宋_GB2312" w:eastAsia="仿宋_GB2312" w:cs="仿宋_GB2312"/>
          <w:sz w:val="32"/>
          <w:szCs w:val="32"/>
        </w:rPr>
      </w:pPr>
    </w:p>
    <w:p w14:paraId="19A0DE00">
      <w:pPr>
        <w:pStyle w:val="27"/>
        <w:spacing w:line="600" w:lineRule="exact"/>
        <w:ind w:firstLine="640"/>
        <w:jc w:val="left"/>
        <w:outlineLvl w:val="1"/>
        <w:rPr>
          <w:rFonts w:ascii="仿宋_GB2312" w:hAnsi="仿宋_GB2312" w:eastAsia="仿宋_GB2312" w:cs="仿宋_GB2312"/>
          <w:sz w:val="32"/>
          <w:szCs w:val="32"/>
        </w:rPr>
      </w:pPr>
    </w:p>
    <w:p w14:paraId="5506E6D6">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2D4FFA18">
      <w:pPr>
        <w:ind w:firstLine="800" w:firstLineChars="250"/>
        <w:rPr>
          <w:rFonts w:eastAsia="仿宋_GB2312" w:cs="仿宋_GB2312"/>
          <w:sz w:val="32"/>
          <w:szCs w:val="32"/>
        </w:rPr>
      </w:pPr>
    </w:p>
    <w:p w14:paraId="0DE5F421">
      <w:pPr>
        <w:pStyle w:val="27"/>
        <w:spacing w:line="600" w:lineRule="exact"/>
        <w:ind w:firstLine="640"/>
        <w:outlineLvl w:val="1"/>
        <w:rPr>
          <w:rStyle w:val="29"/>
          <w:rFonts w:ascii="Times New Roman" w:hAnsi="Times New Roman" w:eastAsia="黑体"/>
          <w:b w:val="0"/>
        </w:rPr>
      </w:pPr>
      <w:bookmarkStart w:id="18" w:name="_Toc15377207"/>
      <w:bookmarkStart w:id="19" w:name="_Toc15396605"/>
      <w:r>
        <w:rPr>
          <w:rFonts w:hint="eastAsia" w:eastAsia="黑体"/>
          <w:sz w:val="32"/>
          <w:szCs w:val="32"/>
        </w:rPr>
        <w:t>三、支</w:t>
      </w:r>
      <w:r>
        <w:rPr>
          <w:rStyle w:val="29"/>
          <w:rFonts w:hint="eastAsia" w:ascii="Times New Roman" w:hAnsi="Times New Roman" w:eastAsia="黑体"/>
          <w:b w:val="0"/>
        </w:rPr>
        <w:t>出决算情况说明</w:t>
      </w:r>
      <w:bookmarkEnd w:id="18"/>
      <w:bookmarkEnd w:id="19"/>
    </w:p>
    <w:p w14:paraId="134729D0">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2024年度本年支出合计294.48万元，其中：基本支出284.48万元，占96.6%；项目支出10万元，占3.4%；上缴上级支出0万元，占0%；经营支出0万元，占0%；对附属单位补助支出0万元，占0%。</w:t>
      </w:r>
    </w:p>
    <w:p w14:paraId="4452E8DB">
      <w:pPr>
        <w:pStyle w:val="27"/>
        <w:spacing w:line="600" w:lineRule="exact"/>
        <w:ind w:firstLine="640"/>
        <w:jc w:val="left"/>
        <w:outlineLvl w:val="1"/>
        <w:rPr>
          <w:rFonts w:ascii="仿宋_GB2312" w:hAnsi="仿宋_GB2312" w:eastAsia="仿宋_GB2312" w:cs="仿宋_GB2312"/>
          <w:sz w:val="32"/>
          <w:szCs w:val="32"/>
        </w:rPr>
      </w:pPr>
    </w:p>
    <w:p w14:paraId="10D2D367">
      <w:pPr>
        <w:pStyle w:val="27"/>
        <w:spacing w:line="600" w:lineRule="exact"/>
        <w:ind w:firstLine="640"/>
        <w:jc w:val="left"/>
        <w:outlineLvl w:val="1"/>
        <w:rPr>
          <w:rFonts w:ascii="仿宋_GB2312" w:hAnsi="仿宋_GB2312" w:eastAsia="仿宋_GB2312" w:cs="仿宋_GB2312"/>
          <w:sz w:val="32"/>
          <w:szCs w:val="32"/>
        </w:rPr>
      </w:pPr>
    </w:p>
    <w:p w14:paraId="4AF5840C">
      <w:pPr>
        <w:pStyle w:val="27"/>
        <w:spacing w:line="600" w:lineRule="exact"/>
        <w:jc w:val="left"/>
        <w:outlineLvl w:val="1"/>
        <w:rPr>
          <w:rFonts w:ascii="仿宋_GB2312" w:hAnsi="仿宋_GB2312" w:eastAsia="仿宋_GB2312" w:cs="仿宋_GB2312"/>
          <w:sz w:val="32"/>
          <w:szCs w:val="32"/>
        </w:rPr>
      </w:pPr>
      <w:r>
        <w:drawing>
          <wp:anchor distT="0" distB="0" distL="114300" distR="114300" simplePos="0" relativeHeight="251661312" behindDoc="0" locked="0" layoutInCell="1" allowOverlap="1">
            <wp:simplePos x="0" y="0"/>
            <wp:positionH relativeFrom="column">
              <wp:posOffset>354965</wp:posOffset>
            </wp:positionH>
            <wp:positionV relativeFrom="paragraph">
              <wp:posOffset>69215</wp:posOffset>
            </wp:positionV>
            <wp:extent cx="4730115" cy="4036695"/>
            <wp:effectExtent l="0" t="0" r="13335" b="190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4730115" cy="4036695"/>
                    </a:xfrm>
                    <a:prstGeom prst="rect">
                      <a:avLst/>
                    </a:prstGeom>
                    <a:noFill/>
                    <a:ln>
                      <a:noFill/>
                    </a:ln>
                  </pic:spPr>
                </pic:pic>
              </a:graphicData>
            </a:graphic>
          </wp:anchor>
        </w:drawing>
      </w:r>
    </w:p>
    <w:p w14:paraId="26CEC698">
      <w:pPr>
        <w:pStyle w:val="27"/>
        <w:spacing w:line="600" w:lineRule="exact"/>
        <w:ind w:firstLine="640"/>
        <w:jc w:val="left"/>
        <w:outlineLvl w:val="1"/>
        <w:rPr>
          <w:rFonts w:ascii="仿宋_GB2312" w:hAnsi="仿宋_GB2312" w:eastAsia="仿宋_GB2312" w:cs="仿宋_GB2312"/>
          <w:sz w:val="32"/>
          <w:szCs w:val="32"/>
        </w:rPr>
      </w:pPr>
    </w:p>
    <w:p w14:paraId="70AEA866">
      <w:pPr>
        <w:pStyle w:val="27"/>
        <w:spacing w:line="600" w:lineRule="exact"/>
        <w:ind w:firstLine="640"/>
        <w:jc w:val="left"/>
        <w:outlineLvl w:val="1"/>
        <w:rPr>
          <w:rFonts w:ascii="仿宋_GB2312" w:hAnsi="仿宋_GB2312" w:eastAsia="仿宋_GB2312" w:cs="仿宋_GB2312"/>
          <w:sz w:val="32"/>
          <w:szCs w:val="32"/>
        </w:rPr>
      </w:pPr>
    </w:p>
    <w:p w14:paraId="6A7167A1">
      <w:pPr>
        <w:pStyle w:val="27"/>
        <w:spacing w:line="600" w:lineRule="exact"/>
        <w:ind w:firstLine="640"/>
        <w:jc w:val="left"/>
        <w:outlineLvl w:val="1"/>
        <w:rPr>
          <w:rFonts w:ascii="仿宋_GB2312" w:hAnsi="仿宋_GB2312" w:eastAsia="仿宋_GB2312" w:cs="仿宋_GB2312"/>
          <w:sz w:val="32"/>
          <w:szCs w:val="32"/>
        </w:rPr>
      </w:pPr>
    </w:p>
    <w:p w14:paraId="03322FAB">
      <w:pPr>
        <w:pStyle w:val="27"/>
        <w:spacing w:line="600" w:lineRule="exact"/>
        <w:ind w:firstLine="640"/>
        <w:jc w:val="left"/>
        <w:outlineLvl w:val="1"/>
        <w:rPr>
          <w:rFonts w:ascii="仿宋_GB2312" w:hAnsi="仿宋_GB2312" w:eastAsia="仿宋_GB2312" w:cs="仿宋_GB2312"/>
          <w:sz w:val="32"/>
          <w:szCs w:val="32"/>
        </w:rPr>
      </w:pPr>
    </w:p>
    <w:p w14:paraId="768BF164">
      <w:pPr>
        <w:pStyle w:val="27"/>
        <w:spacing w:line="600" w:lineRule="exact"/>
        <w:ind w:firstLine="640"/>
        <w:jc w:val="left"/>
        <w:outlineLvl w:val="1"/>
        <w:rPr>
          <w:rFonts w:ascii="仿宋_GB2312" w:hAnsi="仿宋_GB2312" w:eastAsia="仿宋_GB2312" w:cs="仿宋_GB2312"/>
          <w:sz w:val="32"/>
          <w:szCs w:val="32"/>
        </w:rPr>
      </w:pPr>
    </w:p>
    <w:p w14:paraId="55292074">
      <w:pPr>
        <w:pStyle w:val="27"/>
        <w:spacing w:line="600" w:lineRule="exact"/>
        <w:ind w:firstLine="640"/>
        <w:jc w:val="left"/>
        <w:outlineLvl w:val="1"/>
        <w:rPr>
          <w:rFonts w:ascii="仿宋_GB2312" w:hAnsi="仿宋_GB2312" w:eastAsia="仿宋_GB2312" w:cs="仿宋_GB2312"/>
          <w:sz w:val="32"/>
          <w:szCs w:val="32"/>
        </w:rPr>
      </w:pPr>
    </w:p>
    <w:p w14:paraId="3C853D2C">
      <w:pPr>
        <w:pStyle w:val="27"/>
        <w:spacing w:line="600" w:lineRule="exact"/>
        <w:ind w:firstLine="640"/>
        <w:jc w:val="left"/>
        <w:outlineLvl w:val="1"/>
        <w:rPr>
          <w:rFonts w:ascii="仿宋_GB2312" w:hAnsi="仿宋_GB2312" w:eastAsia="仿宋_GB2312" w:cs="仿宋_GB2312"/>
          <w:sz w:val="32"/>
          <w:szCs w:val="32"/>
        </w:rPr>
      </w:pPr>
    </w:p>
    <w:p w14:paraId="67BC0257">
      <w:pPr>
        <w:pStyle w:val="27"/>
        <w:spacing w:line="600" w:lineRule="exact"/>
        <w:ind w:firstLine="640"/>
        <w:jc w:val="left"/>
        <w:outlineLvl w:val="1"/>
        <w:rPr>
          <w:rFonts w:ascii="仿宋_GB2312" w:hAnsi="仿宋_GB2312" w:eastAsia="仿宋_GB2312" w:cs="仿宋_GB2312"/>
          <w:sz w:val="32"/>
          <w:szCs w:val="32"/>
        </w:rPr>
      </w:pPr>
    </w:p>
    <w:p w14:paraId="79418FF1">
      <w:pPr>
        <w:pStyle w:val="27"/>
        <w:spacing w:line="600" w:lineRule="exact"/>
        <w:ind w:firstLine="640"/>
        <w:jc w:val="left"/>
        <w:outlineLvl w:val="1"/>
        <w:rPr>
          <w:rFonts w:ascii="仿宋_GB2312" w:hAnsi="仿宋_GB2312" w:eastAsia="仿宋_GB2312" w:cs="仿宋_GB2312"/>
          <w:sz w:val="32"/>
          <w:szCs w:val="32"/>
        </w:rPr>
      </w:pPr>
    </w:p>
    <w:p w14:paraId="3A026B21">
      <w:pPr>
        <w:pStyle w:val="27"/>
        <w:spacing w:line="600" w:lineRule="exact"/>
        <w:ind w:firstLine="640"/>
        <w:jc w:val="left"/>
        <w:outlineLvl w:val="1"/>
        <w:rPr>
          <w:rFonts w:ascii="仿宋_GB2312" w:hAnsi="仿宋_GB2312" w:eastAsia="仿宋_GB2312" w:cs="仿宋_GB2312"/>
          <w:sz w:val="32"/>
          <w:szCs w:val="32"/>
        </w:rPr>
      </w:pPr>
    </w:p>
    <w:p w14:paraId="06ECDD9F">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627D942F">
      <w:pPr>
        <w:ind w:firstLine="800" w:firstLineChars="250"/>
        <w:rPr>
          <w:rFonts w:eastAsia="仿宋_GB2312" w:cs="仿宋_GB2312"/>
          <w:sz w:val="32"/>
          <w:szCs w:val="32"/>
        </w:rPr>
      </w:pPr>
    </w:p>
    <w:p w14:paraId="20D6E8D2">
      <w:pPr>
        <w:spacing w:line="600" w:lineRule="exact"/>
        <w:ind w:firstLine="640" w:firstLineChars="200"/>
        <w:outlineLvl w:val="1"/>
        <w:rPr>
          <w:rStyle w:val="29"/>
          <w:rFonts w:ascii="Times New Roman" w:hAnsi="Times New Roman" w:eastAsia="黑体"/>
          <w:b w:val="0"/>
        </w:rPr>
      </w:pPr>
      <w:bookmarkStart w:id="20" w:name="_Toc15396606"/>
      <w:bookmarkStart w:id="21"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0"/>
      <w:bookmarkEnd w:id="21"/>
    </w:p>
    <w:p w14:paraId="4F55BECA">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294.78</w:t>
      </w:r>
      <w:r>
        <w:rPr>
          <w:rFonts w:hint="eastAsia" w:eastAsia="仿宋_GB2312" w:cs="仿宋_GB2312"/>
          <w:sz w:val="32"/>
          <w:szCs w:val="32"/>
        </w:rPr>
        <w:t>万元。与2023年度</w:t>
      </w:r>
      <w:r>
        <w:rPr>
          <w:rFonts w:hint="eastAsia" w:eastAsia="仿宋_GB2312" w:cs="仿宋_GB2312"/>
          <w:sz w:val="32"/>
          <w:szCs w:val="32"/>
          <w:highlight w:val="none"/>
        </w:rPr>
        <w:t>相比，财政拨款收入总计、支出总计各增加6.16万元，增长2.13%。主要变动原因是</w:t>
      </w:r>
      <w:r>
        <w:rPr>
          <w:rFonts w:hint="eastAsia" w:eastAsia="仿宋_GB2312" w:cs="仿宋_GB2312"/>
          <w:sz w:val="32"/>
          <w:szCs w:val="32"/>
        </w:rPr>
        <w:t>人员社会保险增加。</w:t>
      </w:r>
    </w:p>
    <w:p w14:paraId="5B5F118F">
      <w:pPr>
        <w:pStyle w:val="11"/>
        <w:rPr>
          <w:rFonts w:eastAsia="仿宋_GB2312" w:cs="仿宋_GB2312"/>
          <w:kern w:val="2"/>
          <w:sz w:val="32"/>
          <w:szCs w:val="32"/>
        </w:rPr>
      </w:pPr>
    </w:p>
    <w:p w14:paraId="389942C1">
      <w:pPr>
        <w:rPr>
          <w:rFonts w:eastAsia="仿宋_GB2312" w:cs="仿宋_GB2312"/>
          <w:sz w:val="32"/>
          <w:szCs w:val="32"/>
        </w:rPr>
      </w:pPr>
    </w:p>
    <w:p w14:paraId="7A4411E7">
      <w:pPr>
        <w:pStyle w:val="11"/>
        <w:rPr>
          <w:rFonts w:eastAsia="仿宋_GB2312" w:cs="仿宋_GB2312"/>
          <w:kern w:val="2"/>
          <w:sz w:val="32"/>
          <w:szCs w:val="32"/>
        </w:rPr>
      </w:pPr>
    </w:p>
    <w:p w14:paraId="221A81E0">
      <w:pPr>
        <w:rPr>
          <w:rFonts w:eastAsia="仿宋_GB2312" w:cs="仿宋_GB2312"/>
          <w:sz w:val="32"/>
          <w:szCs w:val="32"/>
        </w:rPr>
      </w:pPr>
    </w:p>
    <w:p w14:paraId="7B42097C">
      <w:pPr>
        <w:pStyle w:val="11"/>
        <w:rPr>
          <w:rFonts w:eastAsia="仿宋_GB2312" w:cs="仿宋_GB2312"/>
          <w:kern w:val="2"/>
          <w:sz w:val="32"/>
          <w:szCs w:val="32"/>
        </w:rPr>
      </w:pPr>
    </w:p>
    <w:p w14:paraId="5787A0A4">
      <w:pPr>
        <w:rPr>
          <w:rFonts w:eastAsia="仿宋_GB2312" w:cs="仿宋_GB2312"/>
          <w:sz w:val="32"/>
          <w:szCs w:val="32"/>
        </w:rPr>
      </w:pPr>
    </w:p>
    <w:p w14:paraId="2667BE8B">
      <w:pPr>
        <w:pStyle w:val="11"/>
        <w:rPr>
          <w:rFonts w:eastAsia="仿宋_GB2312" w:cs="仿宋_GB2312"/>
          <w:kern w:val="2"/>
          <w:sz w:val="32"/>
          <w:szCs w:val="32"/>
        </w:rPr>
      </w:pPr>
    </w:p>
    <w:p w14:paraId="32D7AC33">
      <w:pPr>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-14605</wp:posOffset>
            </wp:positionH>
            <wp:positionV relativeFrom="paragraph">
              <wp:posOffset>135255</wp:posOffset>
            </wp:positionV>
            <wp:extent cx="5209540" cy="4420870"/>
            <wp:effectExtent l="0" t="0" r="10160" b="1778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5209540" cy="4420870"/>
                    </a:xfrm>
                    <a:prstGeom prst="rect">
                      <a:avLst/>
                    </a:prstGeom>
                    <a:noFill/>
                    <a:ln>
                      <a:noFill/>
                    </a:ln>
                  </pic:spPr>
                </pic:pic>
              </a:graphicData>
            </a:graphic>
          </wp:anchor>
        </w:drawing>
      </w:r>
    </w:p>
    <w:p w14:paraId="3D274BDE">
      <w:pPr>
        <w:pStyle w:val="11"/>
        <w:rPr>
          <w:rFonts w:eastAsia="仿宋_GB2312" w:cs="仿宋_GB2312"/>
          <w:kern w:val="2"/>
          <w:sz w:val="32"/>
          <w:szCs w:val="32"/>
        </w:rPr>
      </w:pPr>
    </w:p>
    <w:p w14:paraId="6A88BDD0">
      <w:pPr>
        <w:rPr>
          <w:rFonts w:eastAsia="仿宋_GB2312" w:cs="仿宋_GB2312"/>
          <w:sz w:val="32"/>
          <w:szCs w:val="32"/>
        </w:rPr>
      </w:pPr>
    </w:p>
    <w:p w14:paraId="08C004E1">
      <w:pPr>
        <w:pStyle w:val="11"/>
        <w:rPr>
          <w:rFonts w:eastAsia="仿宋_GB2312" w:cs="仿宋_GB2312"/>
          <w:kern w:val="2"/>
          <w:sz w:val="32"/>
          <w:szCs w:val="32"/>
        </w:rPr>
      </w:pPr>
    </w:p>
    <w:p w14:paraId="70941108">
      <w:pPr>
        <w:rPr>
          <w:rFonts w:eastAsia="仿宋_GB2312" w:cs="仿宋_GB2312"/>
          <w:sz w:val="32"/>
          <w:szCs w:val="32"/>
        </w:rPr>
      </w:pPr>
    </w:p>
    <w:p w14:paraId="2E86D515">
      <w:pPr>
        <w:pStyle w:val="11"/>
        <w:rPr>
          <w:rFonts w:eastAsia="仿宋_GB2312" w:cs="仿宋_GB2312"/>
          <w:kern w:val="2"/>
          <w:sz w:val="32"/>
          <w:szCs w:val="32"/>
        </w:rPr>
      </w:pPr>
    </w:p>
    <w:p w14:paraId="5CBA53D2">
      <w:pPr>
        <w:rPr>
          <w:rFonts w:eastAsia="仿宋_GB2312" w:cs="仿宋_GB2312"/>
          <w:sz w:val="32"/>
          <w:szCs w:val="32"/>
        </w:rPr>
      </w:pPr>
    </w:p>
    <w:p w14:paraId="34AFAC23">
      <w:pPr>
        <w:pStyle w:val="11"/>
        <w:rPr>
          <w:rFonts w:eastAsia="仿宋_GB2312" w:cs="仿宋_GB2312"/>
          <w:kern w:val="2"/>
          <w:sz w:val="32"/>
          <w:szCs w:val="32"/>
        </w:rPr>
      </w:pPr>
    </w:p>
    <w:p w14:paraId="747E6501">
      <w:pPr>
        <w:rPr>
          <w:rFonts w:eastAsia="仿宋_GB2312" w:cs="仿宋_GB2312"/>
          <w:sz w:val="32"/>
          <w:szCs w:val="32"/>
        </w:rPr>
      </w:pPr>
    </w:p>
    <w:p w14:paraId="139BF86A">
      <w:pPr>
        <w:pStyle w:val="11"/>
        <w:rPr>
          <w:rFonts w:eastAsia="仿宋_GB2312" w:cs="仿宋_GB2312"/>
          <w:kern w:val="2"/>
          <w:sz w:val="32"/>
          <w:szCs w:val="32"/>
        </w:rPr>
      </w:pPr>
    </w:p>
    <w:p w14:paraId="21B4BA5F">
      <w:pPr>
        <w:rPr>
          <w:rFonts w:eastAsia="仿宋_GB2312" w:cs="仿宋_GB2312"/>
          <w:sz w:val="32"/>
          <w:szCs w:val="32"/>
        </w:rPr>
      </w:pPr>
    </w:p>
    <w:p w14:paraId="75672966">
      <w:pPr>
        <w:pStyle w:val="11"/>
        <w:rPr>
          <w:rFonts w:eastAsia="仿宋_GB2312" w:cs="仿宋_GB2312"/>
          <w:kern w:val="2"/>
          <w:sz w:val="32"/>
          <w:szCs w:val="32"/>
        </w:rPr>
      </w:pPr>
    </w:p>
    <w:p w14:paraId="1074155F">
      <w:pPr>
        <w:rPr>
          <w:rFonts w:eastAsia="仿宋_GB2312" w:cs="仿宋_GB2312"/>
          <w:sz w:val="32"/>
          <w:szCs w:val="32"/>
        </w:rPr>
      </w:pPr>
    </w:p>
    <w:p w14:paraId="7C90E813">
      <w:pPr>
        <w:pStyle w:val="11"/>
        <w:rPr>
          <w:rFonts w:eastAsia="仿宋_GB2312" w:cs="仿宋_GB2312"/>
          <w:kern w:val="2"/>
          <w:sz w:val="32"/>
          <w:szCs w:val="32"/>
        </w:rPr>
      </w:pPr>
    </w:p>
    <w:p w14:paraId="37882CE0"/>
    <w:p w14:paraId="7E1BAC5E">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0BFB0DF4">
      <w:pPr>
        <w:spacing w:line="600" w:lineRule="exact"/>
        <w:ind w:firstLine="640"/>
        <w:rPr>
          <w:rFonts w:eastAsia="仿宋_GB2312" w:cs="仿宋_GB2312"/>
          <w:sz w:val="32"/>
          <w:szCs w:val="32"/>
        </w:rPr>
      </w:pPr>
    </w:p>
    <w:p w14:paraId="6BDB6D5F">
      <w:pPr>
        <w:spacing w:line="600" w:lineRule="exact"/>
        <w:ind w:firstLine="640" w:firstLineChars="200"/>
        <w:outlineLvl w:val="1"/>
        <w:rPr>
          <w:rStyle w:val="29"/>
          <w:rFonts w:ascii="Times New Roman" w:hAnsi="Times New Roman" w:eastAsia="黑体"/>
          <w:b w:val="0"/>
        </w:rPr>
      </w:pPr>
      <w:bookmarkStart w:id="22" w:name="_Toc15396607"/>
      <w:bookmarkStart w:id="23"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2"/>
      <w:bookmarkEnd w:id="23"/>
    </w:p>
    <w:p w14:paraId="050EAC74">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1CEE30AD">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2024年度一般公共预算财政拨款支出294.48万元，占本年支出合计的100%。与2023年度相比，一般公共预算财政拨款支出增加6.17万元，增长2.14%。</w:t>
      </w:r>
      <w:r>
        <w:rPr>
          <w:rFonts w:hint="eastAsia" w:ascii="仿宋_GB2312" w:hAnsi="仿宋_GB2312" w:eastAsia="仿宋_GB2312" w:cs="仿宋_GB2312"/>
          <w:sz w:val="32"/>
          <w:szCs w:val="32"/>
          <w:highlight w:val="none"/>
        </w:rPr>
        <w:t>主要变动原因是</w:t>
      </w:r>
      <w:r>
        <w:rPr>
          <w:rFonts w:hint="eastAsia" w:eastAsia="仿宋_GB2312" w:cs="仿宋_GB2312"/>
          <w:sz w:val="32"/>
          <w:szCs w:val="32"/>
          <w:highlight w:val="none"/>
        </w:rPr>
        <w:t>人员社会保险增加</w:t>
      </w:r>
      <w:r>
        <w:rPr>
          <w:rFonts w:hint="eastAsia" w:ascii="仿宋_GB2312" w:hAnsi="仿宋_GB2312" w:eastAsia="仿宋_GB2312" w:cs="仿宋_GB2312"/>
          <w:sz w:val="32"/>
          <w:szCs w:val="32"/>
          <w:highlight w:val="none"/>
        </w:rPr>
        <w:t>。</w:t>
      </w:r>
    </w:p>
    <w:p w14:paraId="371FF2CA">
      <w:pPr>
        <w:pStyle w:val="11"/>
        <w:rPr>
          <w:highlight w:val="none"/>
        </w:rPr>
      </w:pPr>
    </w:p>
    <w:p w14:paraId="4AFBCC64">
      <w:pPr>
        <w:pStyle w:val="11"/>
        <w:rPr>
          <w:rFonts w:ascii="仿宋_GB2312" w:hAnsi="仿宋_GB2312" w:eastAsia="仿宋_GB2312" w:cs="仿宋_GB2312"/>
          <w:kern w:val="2"/>
          <w:sz w:val="32"/>
          <w:szCs w:val="32"/>
          <w:highlight w:val="none"/>
        </w:rPr>
      </w:pPr>
    </w:p>
    <w:p w14:paraId="66E978CE">
      <w:pPr>
        <w:rPr>
          <w:rFonts w:ascii="仿宋_GB2312" w:hAnsi="仿宋_GB2312" w:eastAsia="仿宋_GB2312" w:cs="仿宋_GB2312"/>
          <w:sz w:val="32"/>
          <w:szCs w:val="32"/>
          <w:highlight w:val="none"/>
        </w:rPr>
      </w:pPr>
    </w:p>
    <w:p w14:paraId="7FFACFFC">
      <w:pPr>
        <w:pStyle w:val="11"/>
        <w:rPr>
          <w:rFonts w:ascii="仿宋_GB2312" w:hAnsi="仿宋_GB2312" w:eastAsia="仿宋_GB2312" w:cs="仿宋_GB2312"/>
          <w:kern w:val="2"/>
          <w:sz w:val="32"/>
          <w:szCs w:val="32"/>
        </w:rPr>
      </w:pPr>
    </w:p>
    <w:p w14:paraId="18D68EF9">
      <w:pPr>
        <w:rPr>
          <w:rFonts w:ascii="仿宋_GB2312" w:hAnsi="仿宋_GB2312" w:eastAsia="仿宋_GB2312" w:cs="仿宋_GB2312"/>
          <w:sz w:val="32"/>
          <w:szCs w:val="32"/>
        </w:rPr>
      </w:pPr>
      <w:r>
        <w:drawing>
          <wp:anchor distT="0" distB="0" distL="114300" distR="114300" simplePos="0" relativeHeight="251663360" behindDoc="0" locked="0" layoutInCell="1" allowOverlap="1">
            <wp:simplePos x="0" y="0"/>
            <wp:positionH relativeFrom="column">
              <wp:posOffset>160655</wp:posOffset>
            </wp:positionH>
            <wp:positionV relativeFrom="paragraph">
              <wp:posOffset>181610</wp:posOffset>
            </wp:positionV>
            <wp:extent cx="4996815" cy="4093845"/>
            <wp:effectExtent l="0" t="0" r="13335"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996815" cy="4093845"/>
                    </a:xfrm>
                    <a:prstGeom prst="rect">
                      <a:avLst/>
                    </a:prstGeom>
                    <a:noFill/>
                    <a:ln>
                      <a:noFill/>
                    </a:ln>
                  </pic:spPr>
                </pic:pic>
              </a:graphicData>
            </a:graphic>
          </wp:anchor>
        </w:drawing>
      </w:r>
    </w:p>
    <w:p w14:paraId="31FE43F4">
      <w:pPr>
        <w:pStyle w:val="11"/>
        <w:rPr>
          <w:rFonts w:ascii="仿宋_GB2312" w:hAnsi="仿宋_GB2312" w:eastAsia="仿宋_GB2312" w:cs="仿宋_GB2312"/>
          <w:kern w:val="2"/>
          <w:sz w:val="32"/>
          <w:szCs w:val="32"/>
        </w:rPr>
      </w:pPr>
    </w:p>
    <w:p w14:paraId="5BF48730">
      <w:pPr>
        <w:rPr>
          <w:rFonts w:ascii="仿宋_GB2312" w:hAnsi="仿宋_GB2312" w:eastAsia="仿宋_GB2312" w:cs="仿宋_GB2312"/>
          <w:sz w:val="32"/>
          <w:szCs w:val="32"/>
        </w:rPr>
      </w:pPr>
    </w:p>
    <w:p w14:paraId="24990F9C">
      <w:pPr>
        <w:pStyle w:val="11"/>
      </w:pPr>
    </w:p>
    <w:p w14:paraId="26CF59D9">
      <w:pPr>
        <w:rPr>
          <w:rFonts w:ascii="仿宋_GB2312" w:hAnsi="仿宋_GB2312" w:eastAsia="仿宋_GB2312" w:cs="仿宋_GB2312"/>
          <w:sz w:val="32"/>
          <w:szCs w:val="32"/>
        </w:rPr>
      </w:pPr>
    </w:p>
    <w:p w14:paraId="1DA1402E">
      <w:pPr>
        <w:pStyle w:val="11"/>
        <w:rPr>
          <w:rFonts w:ascii="仿宋_GB2312" w:hAnsi="仿宋_GB2312" w:eastAsia="仿宋_GB2312" w:cs="仿宋_GB2312"/>
          <w:kern w:val="2"/>
          <w:sz w:val="32"/>
          <w:szCs w:val="32"/>
        </w:rPr>
      </w:pPr>
    </w:p>
    <w:p w14:paraId="6E0A38BE">
      <w:pPr>
        <w:rPr>
          <w:rFonts w:ascii="仿宋_GB2312" w:hAnsi="仿宋_GB2312" w:eastAsia="仿宋_GB2312" w:cs="仿宋_GB2312"/>
          <w:sz w:val="32"/>
          <w:szCs w:val="32"/>
        </w:rPr>
      </w:pPr>
    </w:p>
    <w:p w14:paraId="13BE8D2E">
      <w:pPr>
        <w:pStyle w:val="11"/>
        <w:rPr>
          <w:rFonts w:ascii="仿宋_GB2312" w:hAnsi="仿宋_GB2312" w:eastAsia="仿宋_GB2312" w:cs="仿宋_GB2312"/>
          <w:kern w:val="2"/>
          <w:sz w:val="32"/>
          <w:szCs w:val="32"/>
        </w:rPr>
      </w:pPr>
    </w:p>
    <w:p w14:paraId="6A841455">
      <w:pPr>
        <w:rPr>
          <w:rFonts w:ascii="仿宋_GB2312" w:hAnsi="仿宋_GB2312" w:eastAsia="仿宋_GB2312" w:cs="仿宋_GB2312"/>
          <w:sz w:val="32"/>
          <w:szCs w:val="32"/>
        </w:rPr>
      </w:pPr>
    </w:p>
    <w:p w14:paraId="177530B4">
      <w:pPr>
        <w:pStyle w:val="11"/>
        <w:rPr>
          <w:rFonts w:ascii="仿宋_GB2312" w:hAnsi="仿宋_GB2312" w:eastAsia="仿宋_GB2312" w:cs="仿宋_GB2312"/>
          <w:kern w:val="2"/>
          <w:sz w:val="32"/>
          <w:szCs w:val="32"/>
        </w:rPr>
      </w:pPr>
    </w:p>
    <w:p w14:paraId="5428FDC1">
      <w:pPr>
        <w:rPr>
          <w:rFonts w:ascii="仿宋_GB2312" w:hAnsi="仿宋_GB2312" w:eastAsia="仿宋_GB2312" w:cs="仿宋_GB2312"/>
          <w:sz w:val="32"/>
          <w:szCs w:val="32"/>
        </w:rPr>
      </w:pPr>
    </w:p>
    <w:p w14:paraId="4CFB6DFC">
      <w:pPr>
        <w:pStyle w:val="11"/>
        <w:rPr>
          <w:rFonts w:ascii="仿宋_GB2312" w:hAnsi="仿宋_GB2312" w:eastAsia="仿宋_GB2312" w:cs="仿宋_GB2312"/>
          <w:kern w:val="2"/>
          <w:sz w:val="32"/>
          <w:szCs w:val="32"/>
        </w:rPr>
      </w:pPr>
    </w:p>
    <w:p w14:paraId="0C79AEE3">
      <w:pPr>
        <w:rPr>
          <w:rFonts w:ascii="仿宋_GB2312" w:hAnsi="仿宋_GB2312" w:eastAsia="仿宋_GB2312" w:cs="仿宋_GB2312"/>
          <w:sz w:val="32"/>
          <w:szCs w:val="32"/>
        </w:rPr>
      </w:pPr>
    </w:p>
    <w:p w14:paraId="6E1BE3B7">
      <w:pPr>
        <w:pStyle w:val="11"/>
      </w:pPr>
    </w:p>
    <w:p w14:paraId="4E4ABAA4">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67B2113B">
      <w:pPr>
        <w:spacing w:line="600" w:lineRule="exact"/>
        <w:ind w:firstLine="640"/>
        <w:rPr>
          <w:rFonts w:eastAsia="仿宋_GB2312" w:cs="仿宋_GB2312"/>
          <w:sz w:val="32"/>
          <w:szCs w:val="32"/>
        </w:rPr>
      </w:pPr>
    </w:p>
    <w:p w14:paraId="4B66E40C">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0CF65542">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294.48万元</w:t>
      </w:r>
      <w:r>
        <w:rPr>
          <w:rFonts w:hint="eastAsia" w:eastAsia="仿宋_GB2312" w:cs="仿宋_GB2312"/>
          <w:sz w:val="32"/>
          <w:szCs w:val="32"/>
        </w:rPr>
        <w:t>，主要用于以下方面：一般公共服务支出0万元，占0%；教育支出0万元，占0%；科学技术支出0万元，占0%；文化旅游体育与传媒支出224.95万元，占76.39%；社会保障和就业支出39.64万元，占13.46%；卫生健康支出7.47万元，占2.54%；住房保障支出22.42万元，占7.61%。</w:t>
      </w:r>
    </w:p>
    <w:p w14:paraId="00E7A841">
      <w:pPr>
        <w:pStyle w:val="2"/>
      </w:pPr>
    </w:p>
    <w:p w14:paraId="24820882">
      <w:pPr>
        <w:pStyle w:val="3"/>
        <w:ind w:left="420"/>
      </w:pPr>
    </w:p>
    <w:p w14:paraId="610965FE">
      <w:pPr>
        <w:rPr>
          <w:rFonts w:hint="eastAsia"/>
        </w:rPr>
      </w:pPr>
    </w:p>
    <w:p w14:paraId="11432C6E">
      <w:pPr>
        <w:pStyle w:val="11"/>
      </w:pPr>
    </w:p>
    <w:p w14:paraId="76084C7A">
      <w:pPr>
        <w:pStyle w:val="11"/>
        <w:rPr>
          <w:rFonts w:ascii="Times New Roman" w:hAnsi="Times New Roman" w:eastAsia="仿宋_GB2312" w:cs="仿宋_GB2312"/>
          <w:b/>
          <w:bCs/>
          <w:kern w:val="2"/>
          <w:sz w:val="32"/>
          <w:szCs w:val="32"/>
        </w:rPr>
      </w:pPr>
    </w:p>
    <w:p w14:paraId="7C988604">
      <w:pPr>
        <w:rPr>
          <w:rFonts w:eastAsia="仿宋_GB2312" w:cs="仿宋_GB2312"/>
          <w:b/>
          <w:bCs/>
          <w:sz w:val="32"/>
          <w:szCs w:val="32"/>
        </w:rPr>
      </w:pPr>
      <w:r>
        <w:drawing>
          <wp:anchor distT="0" distB="0" distL="114300" distR="114300" simplePos="0" relativeHeight="251664384" behindDoc="0" locked="0" layoutInCell="1" allowOverlap="1">
            <wp:simplePos x="0" y="0"/>
            <wp:positionH relativeFrom="column">
              <wp:posOffset>87630</wp:posOffset>
            </wp:positionH>
            <wp:positionV relativeFrom="paragraph">
              <wp:posOffset>132715</wp:posOffset>
            </wp:positionV>
            <wp:extent cx="5060315" cy="4182110"/>
            <wp:effectExtent l="0" t="0" r="6985" b="889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5060315" cy="4182110"/>
                    </a:xfrm>
                    <a:prstGeom prst="rect">
                      <a:avLst/>
                    </a:prstGeom>
                    <a:noFill/>
                    <a:ln>
                      <a:noFill/>
                    </a:ln>
                  </pic:spPr>
                </pic:pic>
              </a:graphicData>
            </a:graphic>
          </wp:anchor>
        </w:drawing>
      </w:r>
    </w:p>
    <w:p w14:paraId="14F8560E">
      <w:pPr>
        <w:pStyle w:val="11"/>
        <w:rPr>
          <w:rFonts w:ascii="Times New Roman" w:hAnsi="Times New Roman" w:eastAsia="仿宋_GB2312" w:cs="仿宋_GB2312"/>
          <w:b/>
          <w:bCs/>
          <w:kern w:val="2"/>
          <w:sz w:val="32"/>
          <w:szCs w:val="32"/>
        </w:rPr>
      </w:pPr>
    </w:p>
    <w:p w14:paraId="10C73C53">
      <w:pPr>
        <w:rPr>
          <w:rFonts w:eastAsia="仿宋_GB2312" w:cs="仿宋_GB2312"/>
          <w:b/>
          <w:bCs/>
          <w:sz w:val="32"/>
          <w:szCs w:val="32"/>
        </w:rPr>
      </w:pPr>
    </w:p>
    <w:p w14:paraId="757CCB2F">
      <w:pPr>
        <w:pStyle w:val="11"/>
        <w:rPr>
          <w:rFonts w:ascii="Times New Roman" w:hAnsi="Times New Roman" w:eastAsia="仿宋_GB2312" w:cs="仿宋_GB2312"/>
          <w:b/>
          <w:bCs/>
          <w:kern w:val="2"/>
          <w:sz w:val="32"/>
          <w:szCs w:val="32"/>
        </w:rPr>
      </w:pPr>
    </w:p>
    <w:p w14:paraId="1924D751">
      <w:pPr>
        <w:rPr>
          <w:rFonts w:eastAsia="仿宋_GB2312" w:cs="仿宋_GB2312"/>
          <w:b/>
          <w:bCs/>
          <w:sz w:val="32"/>
          <w:szCs w:val="32"/>
        </w:rPr>
      </w:pPr>
    </w:p>
    <w:p w14:paraId="23FBC580">
      <w:pPr>
        <w:pStyle w:val="11"/>
        <w:rPr>
          <w:rFonts w:ascii="Times New Roman" w:hAnsi="Times New Roman" w:eastAsia="仿宋_GB2312" w:cs="仿宋_GB2312"/>
          <w:b/>
          <w:bCs/>
          <w:kern w:val="2"/>
          <w:sz w:val="32"/>
          <w:szCs w:val="32"/>
        </w:rPr>
      </w:pPr>
    </w:p>
    <w:p w14:paraId="59C78AC2">
      <w:pPr>
        <w:rPr>
          <w:rFonts w:eastAsia="仿宋_GB2312" w:cs="仿宋_GB2312"/>
          <w:b/>
          <w:bCs/>
          <w:sz w:val="32"/>
          <w:szCs w:val="32"/>
        </w:rPr>
      </w:pPr>
    </w:p>
    <w:p w14:paraId="6696181F">
      <w:pPr>
        <w:pStyle w:val="11"/>
        <w:rPr>
          <w:rFonts w:ascii="Times New Roman" w:hAnsi="Times New Roman" w:eastAsia="仿宋_GB2312" w:cs="仿宋_GB2312"/>
          <w:b/>
          <w:bCs/>
          <w:kern w:val="2"/>
          <w:sz w:val="32"/>
          <w:szCs w:val="32"/>
        </w:rPr>
      </w:pPr>
    </w:p>
    <w:p w14:paraId="19D67A1A">
      <w:pPr>
        <w:rPr>
          <w:rFonts w:eastAsia="仿宋_GB2312" w:cs="仿宋_GB2312"/>
          <w:b/>
          <w:bCs/>
          <w:sz w:val="32"/>
          <w:szCs w:val="32"/>
        </w:rPr>
      </w:pPr>
    </w:p>
    <w:p w14:paraId="2F6F1047">
      <w:pPr>
        <w:pStyle w:val="11"/>
        <w:rPr>
          <w:rFonts w:ascii="Times New Roman" w:hAnsi="Times New Roman" w:eastAsia="仿宋_GB2312" w:cs="仿宋_GB2312"/>
          <w:b/>
          <w:bCs/>
          <w:kern w:val="2"/>
          <w:sz w:val="32"/>
          <w:szCs w:val="32"/>
        </w:rPr>
      </w:pPr>
    </w:p>
    <w:p w14:paraId="344B1ED1">
      <w:pPr>
        <w:rPr>
          <w:rFonts w:eastAsia="仿宋_GB2312" w:cs="仿宋_GB2312"/>
          <w:b/>
          <w:bCs/>
          <w:sz w:val="32"/>
          <w:szCs w:val="32"/>
        </w:rPr>
      </w:pPr>
    </w:p>
    <w:p w14:paraId="3535EAE8">
      <w:pPr>
        <w:pStyle w:val="11"/>
        <w:rPr>
          <w:rFonts w:ascii="Times New Roman" w:hAnsi="Times New Roman" w:eastAsia="仿宋_GB2312" w:cs="仿宋_GB2312"/>
          <w:b/>
          <w:bCs/>
          <w:kern w:val="2"/>
          <w:sz w:val="32"/>
          <w:szCs w:val="32"/>
        </w:rPr>
      </w:pPr>
    </w:p>
    <w:p w14:paraId="158DCDDA">
      <w:pPr>
        <w:rPr>
          <w:rFonts w:eastAsia="仿宋_GB2312" w:cs="仿宋_GB2312"/>
          <w:b/>
          <w:bCs/>
          <w:sz w:val="32"/>
          <w:szCs w:val="32"/>
        </w:rPr>
      </w:pPr>
    </w:p>
    <w:p w14:paraId="23252250">
      <w:pPr>
        <w:pStyle w:val="11"/>
        <w:rPr>
          <w:rFonts w:ascii="Times New Roman" w:hAnsi="Times New Roman" w:eastAsia="仿宋_GB2312" w:cs="仿宋_GB2312"/>
          <w:b/>
          <w:bCs/>
          <w:kern w:val="2"/>
          <w:sz w:val="32"/>
          <w:szCs w:val="32"/>
        </w:rPr>
      </w:pPr>
    </w:p>
    <w:p w14:paraId="7D6B6D4C"/>
    <w:p w14:paraId="30FB4103">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1A1FE2F6">
      <w:pPr>
        <w:spacing w:line="600" w:lineRule="exact"/>
        <w:ind w:firstLine="640"/>
        <w:rPr>
          <w:rFonts w:eastAsia="仿宋_GB2312" w:cs="仿宋_GB2312"/>
          <w:sz w:val="32"/>
          <w:szCs w:val="32"/>
        </w:rPr>
      </w:pPr>
    </w:p>
    <w:p w14:paraId="345B1AC1">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7426ED3A">
      <w:pPr>
        <w:spacing w:line="600" w:lineRule="exact"/>
        <w:ind w:firstLine="640"/>
        <w:rPr>
          <w:rFonts w:eastAsia="仿宋_GB2312" w:cs="仿宋_GB2312"/>
          <w:sz w:val="32"/>
          <w:szCs w:val="32"/>
        </w:rPr>
      </w:pPr>
      <w:bookmarkStart w:id="27" w:name="_Toc15377213"/>
      <w:bookmarkStart w:id="28" w:name="_Toc15378460"/>
      <w:bookmarkStart w:id="29"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294.48万元，</w:t>
      </w:r>
      <w:r>
        <w:rPr>
          <w:rFonts w:hint="eastAsia" w:eastAsia="仿宋_GB2312" w:cs="仿宋_GB2312"/>
          <w:sz w:val="32"/>
          <w:szCs w:val="32"/>
        </w:rPr>
        <w:t>完成预算99.9%。其中：</w:t>
      </w:r>
      <w:bookmarkEnd w:id="27"/>
      <w:bookmarkEnd w:id="28"/>
      <w:bookmarkEnd w:id="29"/>
    </w:p>
    <w:p w14:paraId="72A1E093">
      <w:pPr>
        <w:spacing w:line="600" w:lineRule="exact"/>
        <w:ind w:firstLine="64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highlight w:val="none"/>
        </w:rPr>
        <w:t>.文化旅游体育与传媒支出（类）体育（款）其他体育支出（项）: 支出决算为224.95万元，完成预算99.86%，决算数小于预算数的主要原因是以前</w:t>
      </w:r>
      <w:r>
        <w:rPr>
          <w:rFonts w:hint="eastAsia" w:eastAsia="仿宋_GB2312" w:cs="仿宋_GB2312"/>
          <w:sz w:val="32"/>
          <w:szCs w:val="32"/>
        </w:rPr>
        <w:t>年度累计结转资金。</w:t>
      </w:r>
    </w:p>
    <w:p w14:paraId="269E1F7F">
      <w:pPr>
        <w:spacing w:line="600" w:lineRule="exact"/>
        <w:ind w:firstLine="640"/>
        <w:rPr>
          <w:rFonts w:eastAsia="仿宋_GB2312" w:cs="仿宋_GB2312"/>
          <w:sz w:val="32"/>
          <w:szCs w:val="32"/>
        </w:rPr>
      </w:pPr>
      <w:r>
        <w:rPr>
          <w:rFonts w:hint="eastAsia" w:eastAsia="仿宋_GB2312" w:cs="仿宋_GB2312"/>
          <w:sz w:val="32"/>
          <w:szCs w:val="32"/>
        </w:rPr>
        <w:t>2.社会保障和就业支出（类）行政事业单位养老支出（款）机关事业单位基本养老保险缴费支出（项）: 支出决算为25.9万元，完成预算100%，决算数与预算数持平。</w:t>
      </w:r>
    </w:p>
    <w:p w14:paraId="50A1981D">
      <w:pPr>
        <w:spacing w:line="600" w:lineRule="exact"/>
        <w:ind w:firstLine="640"/>
        <w:rPr>
          <w:rFonts w:eastAsia="仿宋_GB2312" w:cs="仿宋_GB2312"/>
          <w:sz w:val="32"/>
          <w:szCs w:val="32"/>
        </w:rPr>
      </w:pPr>
      <w:r>
        <w:rPr>
          <w:rFonts w:hint="eastAsia" w:eastAsia="仿宋_GB2312" w:cs="仿宋_GB2312"/>
          <w:sz w:val="32"/>
          <w:szCs w:val="32"/>
        </w:rPr>
        <w:t>3.社会保障和就业地支出（类）行政事业单位养老支出（款）机关事业单位职业年金缴费支出（项）: 支出决算为11.32万元，完成预算100%，决算数与预算数持平。</w:t>
      </w:r>
    </w:p>
    <w:p w14:paraId="1181C26A">
      <w:pPr>
        <w:spacing w:line="600" w:lineRule="exact"/>
        <w:ind w:firstLine="640"/>
        <w:rPr>
          <w:rFonts w:eastAsia="仿宋_GB2312" w:cs="仿宋_GB2312"/>
          <w:sz w:val="32"/>
          <w:szCs w:val="32"/>
        </w:rPr>
      </w:pPr>
      <w:r>
        <w:rPr>
          <w:rFonts w:hint="eastAsia" w:eastAsia="仿宋_GB2312" w:cs="仿宋_GB2312"/>
          <w:sz w:val="32"/>
          <w:szCs w:val="32"/>
        </w:rPr>
        <w:t>4.社会保障和就业支出（类）其他社会保障和就业支出（款）其他社会保障和就业支出（项）: 支出决算为2.42万元，完成预算100%，决算数与预算数持平。</w:t>
      </w:r>
    </w:p>
    <w:p w14:paraId="774CCCA6">
      <w:pPr>
        <w:spacing w:line="600" w:lineRule="exact"/>
        <w:ind w:firstLine="640"/>
        <w:rPr>
          <w:rFonts w:eastAsia="仿宋_GB2312" w:cs="仿宋_GB2312"/>
          <w:sz w:val="32"/>
          <w:szCs w:val="32"/>
        </w:rPr>
      </w:pPr>
      <w:r>
        <w:rPr>
          <w:rFonts w:hint="eastAsia" w:eastAsia="仿宋_GB2312" w:cs="仿宋_GB2312"/>
          <w:sz w:val="32"/>
          <w:szCs w:val="32"/>
        </w:rPr>
        <w:t>5.卫生健康支出支出（类）行政事业单位医疗（款）事业单位医疗（项）:支出决算为7.47万元，完成预算100%，决算数与预算数持平。</w:t>
      </w:r>
    </w:p>
    <w:p w14:paraId="41ACA6F0">
      <w:pPr>
        <w:spacing w:line="600" w:lineRule="exact"/>
        <w:ind w:firstLine="640"/>
        <w:rPr>
          <w:rFonts w:eastAsia="仿宋_GB2312" w:cs="仿宋_GB2312"/>
          <w:sz w:val="32"/>
          <w:szCs w:val="32"/>
        </w:rPr>
      </w:pPr>
      <w:r>
        <w:rPr>
          <w:rFonts w:hint="eastAsia" w:eastAsia="仿宋_GB2312" w:cs="仿宋_GB2312"/>
          <w:sz w:val="32"/>
          <w:szCs w:val="32"/>
        </w:rPr>
        <w:t>6.住房保障支出（类）住房改革支出（款）住房公积金（项）:支出决算为22.42万元，完成预算100%，决算数与预算数持平。</w:t>
      </w:r>
    </w:p>
    <w:p w14:paraId="590F5145">
      <w:pPr>
        <w:tabs>
          <w:tab w:val="right" w:pos="8306"/>
        </w:tabs>
        <w:spacing w:line="600" w:lineRule="exact"/>
        <w:ind w:firstLine="640"/>
        <w:outlineLvl w:val="1"/>
        <w:rPr>
          <w:rStyle w:val="29"/>
          <w:rFonts w:ascii="Times New Roman" w:hAnsi="Times New Roman"/>
        </w:rPr>
      </w:pPr>
      <w:bookmarkStart w:id="30" w:name="_Toc15396608"/>
      <w:bookmarkStart w:id="31"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0"/>
      <w:bookmarkEnd w:id="31"/>
      <w:r>
        <w:rPr>
          <w:rStyle w:val="29"/>
          <w:rFonts w:ascii="Times New Roman" w:hAnsi="Times New Roman" w:eastAsia="黑体"/>
          <w:b w:val="0"/>
        </w:rPr>
        <w:tab/>
      </w:r>
    </w:p>
    <w:p w14:paraId="18724AA2">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284.48万</w:t>
      </w:r>
      <w:r>
        <w:rPr>
          <w:rFonts w:hint="eastAsia" w:eastAsia="仿宋_GB2312" w:cs="仿宋_GB2312"/>
          <w:sz w:val="32"/>
          <w:szCs w:val="32"/>
        </w:rPr>
        <w:t>元，其中：</w:t>
      </w:r>
    </w:p>
    <w:p w14:paraId="0B790B86">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258.89万</w:t>
      </w:r>
      <w:r>
        <w:rPr>
          <w:rFonts w:hint="eastAsia" w:eastAsia="仿宋_GB2312" w:cs="仿宋_GB2312"/>
          <w:sz w:val="32"/>
          <w:szCs w:val="32"/>
        </w:rPr>
        <w:t>元，主要包括：基本工资、津贴补贴、绩效工资、机关事业单位基本养老保险缴费、职业年金缴费、职工基本医疗保险缴费、其他社会保障缴费、住房公积金、其他工资福利支出、生活补助。</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25.59万</w:t>
      </w:r>
      <w:r>
        <w:rPr>
          <w:rFonts w:hint="eastAsia" w:eastAsia="仿宋_GB2312" w:cs="仿宋_GB2312"/>
          <w:sz w:val="32"/>
          <w:szCs w:val="32"/>
        </w:rPr>
        <w:t>元，主要包括：办公费、邮电费、差旅费、委托业务费、工会经费、其他商品和服务支出。</w:t>
      </w:r>
    </w:p>
    <w:p w14:paraId="4FE67920">
      <w:pPr>
        <w:spacing w:line="600" w:lineRule="exact"/>
        <w:ind w:firstLine="640"/>
        <w:outlineLvl w:val="1"/>
        <w:rPr>
          <w:rStyle w:val="29"/>
          <w:rFonts w:ascii="Times New Roman" w:hAnsi="Times New Roman" w:eastAsia="黑体"/>
          <w:b w:val="0"/>
        </w:rPr>
      </w:pPr>
      <w:bookmarkStart w:id="32" w:name="_Toc15377215"/>
      <w:bookmarkStart w:id="33"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2"/>
      <w:bookmarkEnd w:id="33"/>
    </w:p>
    <w:p w14:paraId="4A6D17D5">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76845EED">
      <w:pPr>
        <w:spacing w:line="600" w:lineRule="exact"/>
        <w:ind w:firstLine="640"/>
        <w:rPr>
          <w:rFonts w:ascii="仿宋_GB2312" w:hAnsi="仿宋_GB2312"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eastAsia="仿宋_GB2312" w:cs="仿宋_GB2312"/>
          <w:sz w:val="32"/>
          <w:szCs w:val="32"/>
        </w:rPr>
        <w:t>较上年度增加0万元，增长0%，</w:t>
      </w:r>
      <w:r>
        <w:rPr>
          <w:rFonts w:hint="eastAsia" w:ascii="仿宋_GB2312" w:hAnsi="仿宋_GB2312" w:eastAsia="仿宋_GB2312" w:cs="仿宋_GB2312"/>
          <w:sz w:val="32"/>
          <w:szCs w:val="32"/>
        </w:rPr>
        <w:t>决算数与预算数持平。</w:t>
      </w:r>
    </w:p>
    <w:p w14:paraId="0C591B2E">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7994770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w:t>
      </w:r>
    </w:p>
    <w:p w14:paraId="522DC3D9">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。因公出国（境）支出决算比2023年增加0万元，增长0%。</w:t>
      </w:r>
    </w:p>
    <w:p w14:paraId="0209C33F">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公务用车购置及运行维护费支出决算比2023年度增加0万元，增长0%。</w:t>
      </w:r>
    </w:p>
    <w:p w14:paraId="20C3FDB1">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775C3DEB">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10D05BFD">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公务接待费支出决算比2023年度增加0万元，增长0%。</w:t>
      </w:r>
    </w:p>
    <w:p w14:paraId="47EA0DA6">
      <w:pPr>
        <w:spacing w:line="600" w:lineRule="exact"/>
        <w:ind w:firstLine="640"/>
        <w:rPr>
          <w:rFonts w:eastAsia="仿宋_GB2312" w:cs="仿宋_GB2312"/>
          <w:sz w:val="32"/>
          <w:szCs w:val="32"/>
        </w:rPr>
      </w:pPr>
      <w:r>
        <w:rPr>
          <w:rFonts w:hint="eastAsia" w:eastAsia="仿宋_GB2312" w:cs="仿宋_GB2312"/>
          <w:sz w:val="32"/>
          <w:szCs w:val="32"/>
        </w:rPr>
        <w:t>其中：</w:t>
      </w:r>
    </w:p>
    <w:p w14:paraId="6B233E15">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人次（不包括陪同人员），共计支出0万元。</w:t>
      </w:r>
    </w:p>
    <w:p w14:paraId="666492E8">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36" w:name="_Toc15377218"/>
      <w:bookmarkStart w:id="37" w:name="_Toc15396610"/>
    </w:p>
    <w:p w14:paraId="184624D8">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6"/>
      <w:bookmarkEnd w:id="37"/>
    </w:p>
    <w:p w14:paraId="1798E2D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。与2023年度相比，政府性基金预算财政拨款支出增加0万元，增长0%。</w:t>
      </w:r>
    </w:p>
    <w:p w14:paraId="79FEE8AC">
      <w:pPr>
        <w:spacing w:line="600" w:lineRule="exact"/>
        <w:ind w:left="630"/>
        <w:outlineLvl w:val="1"/>
        <w:rPr>
          <w:rStyle w:val="29"/>
          <w:rFonts w:ascii="Times New Roman" w:hAnsi="Times New Roman" w:eastAsia="黑体"/>
          <w:b w:val="0"/>
        </w:rPr>
      </w:pPr>
      <w:bookmarkStart w:id="38" w:name="_Toc15377219"/>
      <w:bookmarkStart w:id="39" w:name="_Toc15396611"/>
      <w:r>
        <w:rPr>
          <w:rStyle w:val="29"/>
          <w:rFonts w:hint="eastAsia" w:ascii="Times New Roman" w:hAnsi="Times New Roman" w:eastAsia="黑体"/>
          <w:b w:val="0"/>
        </w:rPr>
        <w:t>九、国有资本经营预算支出决算情况说明</w:t>
      </w:r>
      <w:bookmarkEnd w:id="38"/>
      <w:bookmarkEnd w:id="39"/>
    </w:p>
    <w:p w14:paraId="05CA6300">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。与2023年度相比，国有资本经营预算财政拨款支出增加0万元，增长0%。</w:t>
      </w:r>
    </w:p>
    <w:p w14:paraId="2092DE43">
      <w:pPr>
        <w:spacing w:line="600" w:lineRule="exact"/>
        <w:ind w:left="630"/>
        <w:outlineLvl w:val="1"/>
        <w:rPr>
          <w:rStyle w:val="29"/>
          <w:rFonts w:ascii="Times New Roman" w:hAnsi="Times New Roman" w:eastAsia="黑体"/>
          <w:b w:val="0"/>
        </w:rPr>
      </w:pPr>
      <w:bookmarkStart w:id="40" w:name="_Toc15396612"/>
      <w:bookmarkStart w:id="41" w:name="_Toc15377221"/>
      <w:r>
        <w:rPr>
          <w:rStyle w:val="29"/>
          <w:rFonts w:hint="eastAsia" w:ascii="Times New Roman" w:hAnsi="Times New Roman" w:eastAsia="黑体"/>
          <w:b w:val="0"/>
        </w:rPr>
        <w:t>十、其他重要事项的情况说明</w:t>
      </w:r>
      <w:bookmarkEnd w:id="40"/>
      <w:bookmarkEnd w:id="41"/>
    </w:p>
    <w:p w14:paraId="1824D3D1">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2005D92A">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，峨眉山市体育发展中心机关运行经费支出0万</w:t>
      </w:r>
      <w:r>
        <w:rPr>
          <w:rFonts w:hint="eastAsia" w:eastAsia="仿宋_GB2312" w:cs="仿宋_GB2312"/>
          <w:sz w:val="32"/>
          <w:szCs w:val="32"/>
        </w:rPr>
        <w:t>元，比2023年度增加0万元，增长0%。</w:t>
      </w:r>
    </w:p>
    <w:p w14:paraId="1BF6BF3A">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3F030EB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眉山市体育发展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F8C440D">
      <w:pPr>
        <w:spacing w:line="600" w:lineRule="exact"/>
        <w:ind w:firstLine="640"/>
        <w:rPr>
          <w:rFonts w:eastAsia="仿宋_GB2312" w:cs="仿宋_GB2312"/>
          <w:sz w:val="32"/>
          <w:szCs w:val="32"/>
        </w:rPr>
      </w:pPr>
    </w:p>
    <w:p w14:paraId="01C79221">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16AE81F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截至2024年12月31日，峨眉山市体育发展中心共有车辆0辆，其中：主要负责人用车0辆、机要通信用车0辆、应急保障用车0辆、其他用车0辆。单价100万元（含）以上设备（不含车辆）0台（套）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0B9BB31F">
      <w:pPr>
        <w:spacing w:line="600" w:lineRule="exact"/>
        <w:ind w:firstLine="643" w:firstLineChars="200"/>
        <w:outlineLvl w:val="2"/>
        <w:rPr>
          <w:rFonts w:eastAsia="楷体_GB2312" w:cs="楷体_GB2312"/>
          <w:b/>
          <w:sz w:val="32"/>
          <w:szCs w:val="32"/>
          <w:highlight w:val="none"/>
        </w:rPr>
      </w:pPr>
      <w:r>
        <w:rPr>
          <w:rFonts w:hint="eastAsia" w:eastAsia="楷体_GB2312" w:cs="楷体_GB2312"/>
          <w:b/>
          <w:sz w:val="32"/>
          <w:szCs w:val="32"/>
          <w:highlight w:val="none"/>
        </w:rPr>
        <w:t>（四）预算绩效管理情况</w:t>
      </w:r>
    </w:p>
    <w:p w14:paraId="73DC18B3">
      <w:pPr>
        <w:spacing w:line="600" w:lineRule="exact"/>
        <w:ind w:firstLine="640"/>
        <w:rPr>
          <w:rFonts w:eastAsia="仿宋_GB2312" w:cs="仿宋_GB2312"/>
          <w:b/>
          <w:bCs/>
          <w:sz w:val="32"/>
          <w:szCs w:val="32"/>
        </w:rPr>
      </w:pPr>
      <w:r>
        <w:rPr>
          <w:rFonts w:hint="eastAsia" w:eastAsia="仿宋_GB2312" w:cs="仿宋_GB2312"/>
          <w:sz w:val="32"/>
          <w:szCs w:val="32"/>
        </w:rPr>
        <w:t>根据</w:t>
      </w:r>
      <w:r>
        <w:rPr>
          <w:rFonts w:hint="eastAsia" w:ascii="仿宋_GB2312" w:eastAsia="仿宋_GB2312"/>
          <w:sz w:val="32"/>
          <w:szCs w:val="32"/>
        </w:rPr>
        <w:t>预算绩效管理要求，本单位在2024年度预算编制阶段，组织对竞技体育训练工作经费项目1个项目开展了预算事前绩效评估，对1个项目编制了绩效目标，预算执行过程中，选取1个项目开展绩效监控，组织对1个项目开展绩效自评，绩效自评表详见第四部分附件。</w:t>
      </w:r>
    </w:p>
    <w:p w14:paraId="76DEE5B8">
      <w:pPr>
        <w:spacing w:line="600" w:lineRule="exact"/>
        <w:ind w:firstLine="640"/>
        <w:rPr>
          <w:rFonts w:eastAsia="仿宋_GB2312" w:cs="仿宋_GB2312"/>
          <w:sz w:val="32"/>
          <w:szCs w:val="32"/>
        </w:rPr>
      </w:pPr>
    </w:p>
    <w:p w14:paraId="71154876">
      <w:pPr>
        <w:spacing w:line="600" w:lineRule="exact"/>
        <w:ind w:firstLine="640"/>
        <w:rPr>
          <w:rFonts w:eastAsia="仿宋_GB2312" w:cs="仿宋_GB2312"/>
          <w:sz w:val="32"/>
          <w:szCs w:val="32"/>
        </w:rPr>
      </w:pPr>
    </w:p>
    <w:p w14:paraId="0A663150">
      <w:pPr>
        <w:spacing w:line="600" w:lineRule="exact"/>
        <w:jc w:val="center"/>
        <w:outlineLvl w:val="0"/>
        <w:rPr>
          <w:rFonts w:eastAsia="黑体"/>
          <w:sz w:val="44"/>
          <w:szCs w:val="44"/>
        </w:rPr>
      </w:pPr>
      <w:bookmarkStart w:id="45" w:name="_Toc15396613"/>
      <w:bookmarkStart w:id="46" w:name="_Toc15377225"/>
      <w:r>
        <w:rPr>
          <w:rFonts w:hint="eastAsia" w:eastAsia="黑体"/>
          <w:sz w:val="44"/>
          <w:szCs w:val="44"/>
        </w:rPr>
        <w:t>第三部分  名词解释</w:t>
      </w:r>
      <w:bookmarkEnd w:id="45"/>
      <w:bookmarkEnd w:id="46"/>
    </w:p>
    <w:p w14:paraId="70B9F6FF">
      <w:pPr>
        <w:spacing w:line="600" w:lineRule="exact"/>
        <w:jc w:val="left"/>
        <w:rPr>
          <w:b/>
          <w:sz w:val="44"/>
          <w:szCs w:val="44"/>
        </w:rPr>
      </w:pPr>
    </w:p>
    <w:p w14:paraId="765271B6">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9092173">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491A5566">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64533B67">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w:t>
      </w:r>
    </w:p>
    <w:p w14:paraId="2B850F26">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4EEB8E68">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36D3DF40">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17257AB9">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1F9F0D6E">
      <w:pPr>
        <w:spacing w:line="600" w:lineRule="exact"/>
        <w:ind w:firstLine="640"/>
        <w:rPr>
          <w:rFonts w:eastAsia="仿宋_GB2312" w:cs="仿宋_GB2312"/>
          <w:sz w:val="32"/>
          <w:szCs w:val="32"/>
        </w:rPr>
      </w:pPr>
      <w:r>
        <w:rPr>
          <w:rFonts w:hint="eastAsia" w:eastAsia="仿宋_GB2312" w:cs="仿宋_GB2312"/>
          <w:sz w:val="32"/>
          <w:szCs w:val="32"/>
        </w:rPr>
        <w:t>9.文化旅游体育与传媒支出（类）体育（款）其他体育支出（项）: 指其他用于体育方面的支出。</w:t>
      </w:r>
    </w:p>
    <w:p w14:paraId="25F72806">
      <w:pPr>
        <w:spacing w:line="600" w:lineRule="exact"/>
        <w:ind w:firstLine="640"/>
        <w:rPr>
          <w:rFonts w:eastAsia="仿宋_GB2312" w:cs="仿宋_GB2312"/>
          <w:sz w:val="32"/>
          <w:szCs w:val="32"/>
        </w:rPr>
      </w:pPr>
      <w:r>
        <w:rPr>
          <w:rFonts w:hint="eastAsia" w:eastAsia="仿宋_GB2312" w:cs="仿宋_GB2312"/>
          <w:sz w:val="32"/>
          <w:szCs w:val="32"/>
        </w:rPr>
        <w:t>10.社会保障和就业支出（类）行政事业单位养老支出（款）机关事业单位基本养老保险缴费支出（项）：指机关事业单位实施养老保险制度由单位缴纳的基本养老保险费支出。</w:t>
      </w:r>
    </w:p>
    <w:p w14:paraId="4BF22689">
      <w:pPr>
        <w:spacing w:line="600" w:lineRule="exact"/>
        <w:ind w:firstLine="640"/>
        <w:rPr>
          <w:rFonts w:eastAsia="仿宋_GB2312" w:cs="仿宋_GB2312"/>
          <w:sz w:val="32"/>
          <w:szCs w:val="32"/>
        </w:rPr>
      </w:pPr>
      <w:r>
        <w:rPr>
          <w:rFonts w:hint="eastAsia" w:eastAsia="仿宋_GB2312" w:cs="仿宋_GB2312"/>
          <w:sz w:val="32"/>
          <w:szCs w:val="32"/>
        </w:rPr>
        <w:t>11.社会保障和就业支出（类）行政事业单位养老支出（款）机关事业单位职业年金缴费支出（项）:指机关事业单位实施养老保险制度由单位实际缴纳的职业年金支出（含职业年金补记支出）。</w:t>
      </w:r>
    </w:p>
    <w:p w14:paraId="3B6BA74C">
      <w:pPr>
        <w:spacing w:line="600" w:lineRule="exact"/>
        <w:ind w:firstLine="640"/>
        <w:rPr>
          <w:rFonts w:eastAsia="仿宋_GB2312" w:cs="仿宋_GB2312"/>
          <w:sz w:val="32"/>
          <w:szCs w:val="32"/>
        </w:rPr>
      </w:pPr>
      <w:r>
        <w:rPr>
          <w:rFonts w:hint="eastAsia" w:eastAsia="仿宋_GB2312" w:cs="仿宋_GB2312"/>
          <w:sz w:val="32"/>
          <w:szCs w:val="32"/>
        </w:rPr>
        <w:t>12.社会保障和就业支出（类）其他社会保障和就业支出（款）其他社会保障和就业支出（项）：指其他用于社会保障和就业方面的支出。</w:t>
      </w:r>
    </w:p>
    <w:p w14:paraId="09FA9DDA">
      <w:pPr>
        <w:spacing w:line="600" w:lineRule="exact"/>
        <w:ind w:firstLine="640"/>
        <w:rPr>
          <w:rFonts w:eastAsia="仿宋_GB2312" w:cs="仿宋_GB2312"/>
          <w:sz w:val="32"/>
          <w:szCs w:val="32"/>
        </w:rPr>
      </w:pPr>
      <w:r>
        <w:rPr>
          <w:rFonts w:hint="eastAsia" w:eastAsia="仿宋_GB2312" w:cs="仿宋_GB2312"/>
          <w:sz w:val="32"/>
          <w:szCs w:val="32"/>
        </w:rPr>
        <w:t>13.卫生健康支出（类）行政事业单位医疗（款）事业单位医疗（项）:指财政部门安排的行政单位（包括实行公务员管理的事业单位）基本医疗保险缴费经费，未参加医疗保险的行政单位的公费医疗经费，按国家规定享受离退休人员、红军老战士待遇人员的医疗经费。</w:t>
      </w:r>
    </w:p>
    <w:p w14:paraId="479F847A">
      <w:pPr>
        <w:spacing w:line="600" w:lineRule="exact"/>
        <w:ind w:firstLine="640"/>
        <w:rPr>
          <w:rFonts w:eastAsia="仿宋_GB2312" w:cs="仿宋_GB2312"/>
          <w:sz w:val="32"/>
          <w:szCs w:val="32"/>
        </w:rPr>
      </w:pPr>
      <w:r>
        <w:rPr>
          <w:rFonts w:hint="eastAsia" w:eastAsia="仿宋_GB2312" w:cs="仿宋_GB2312"/>
          <w:sz w:val="32"/>
          <w:szCs w:val="32"/>
        </w:rPr>
        <w:t>14.住房保障支出（类）住房改革支出（款）住房公积金（项）:指行政事业单位按人力资源和社会保障部、财政部规定的基本工资和津贴补贴以及规定比例为职工缴纳的住房公积金。</w:t>
      </w:r>
    </w:p>
    <w:p w14:paraId="633FD046">
      <w:pPr>
        <w:spacing w:line="600" w:lineRule="exact"/>
        <w:ind w:firstLine="640"/>
        <w:rPr>
          <w:rFonts w:eastAsia="仿宋_GB2312" w:cs="仿宋_GB2312"/>
          <w:sz w:val="32"/>
          <w:szCs w:val="32"/>
        </w:rPr>
      </w:pPr>
      <w:r>
        <w:rPr>
          <w:rFonts w:hint="eastAsia" w:eastAsia="仿宋_GB2312" w:cs="仿宋_GB2312"/>
          <w:sz w:val="32"/>
          <w:szCs w:val="32"/>
        </w:rPr>
        <w:t>15.基本支出：指为保障机构正常运转、完成日常工作任务而发生的人员支出和公用支出。</w:t>
      </w:r>
    </w:p>
    <w:p w14:paraId="6F903812">
      <w:pPr>
        <w:spacing w:line="600" w:lineRule="exact"/>
        <w:ind w:firstLine="640"/>
        <w:rPr>
          <w:rFonts w:eastAsia="仿宋_GB2312" w:cs="仿宋_GB2312"/>
          <w:sz w:val="32"/>
          <w:szCs w:val="32"/>
        </w:rPr>
      </w:pPr>
      <w:r>
        <w:rPr>
          <w:rFonts w:hint="eastAsia" w:eastAsia="仿宋_GB2312" w:cs="仿宋_GB2312"/>
          <w:sz w:val="32"/>
          <w:szCs w:val="32"/>
        </w:rPr>
        <w:t xml:space="preserve">16.项目支出：指在基本支出之外为完成特定行政任务和事业发展目标所发生的支出。 </w:t>
      </w:r>
    </w:p>
    <w:p w14:paraId="463150EE">
      <w:pPr>
        <w:spacing w:line="600" w:lineRule="exact"/>
        <w:ind w:firstLine="640"/>
        <w:rPr>
          <w:rFonts w:eastAsia="仿宋_GB2312" w:cs="仿宋_GB2312"/>
          <w:sz w:val="32"/>
          <w:szCs w:val="32"/>
        </w:rPr>
      </w:pPr>
      <w:r>
        <w:rPr>
          <w:rFonts w:hint="eastAsia" w:eastAsia="仿宋_GB2312" w:cs="仿宋_GB2312"/>
          <w:sz w:val="32"/>
          <w:szCs w:val="32"/>
        </w:rPr>
        <w:t>17.经营支出：指事业单位在专业业务活动及其辅助活动之外开展非独立核算经营活动发生的支出。</w:t>
      </w:r>
    </w:p>
    <w:p w14:paraId="3523ED93">
      <w:pPr>
        <w:spacing w:line="600" w:lineRule="exact"/>
        <w:ind w:firstLine="640"/>
        <w:rPr>
          <w:rFonts w:eastAsia="仿宋_GB2312" w:cs="仿宋_GB2312"/>
          <w:sz w:val="32"/>
          <w:szCs w:val="32"/>
        </w:rPr>
      </w:pPr>
      <w:r>
        <w:rPr>
          <w:rFonts w:hint="eastAsia" w:eastAsia="仿宋_GB2312" w:cs="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02165E">
      <w:pPr>
        <w:spacing w:line="600" w:lineRule="exact"/>
        <w:ind w:firstLine="640"/>
        <w:rPr>
          <w:rFonts w:eastAsia="仿宋_GB2312" w:cs="仿宋_GB2312"/>
          <w:sz w:val="32"/>
          <w:szCs w:val="32"/>
        </w:rPr>
      </w:pPr>
      <w:r>
        <w:rPr>
          <w:rFonts w:hint="eastAsia" w:eastAsia="仿宋_GB2312" w:cs="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191D0C">
      <w:pPr>
        <w:spacing w:line="600" w:lineRule="exact"/>
        <w:jc w:val="center"/>
        <w:rPr>
          <w:rFonts w:eastAsia="黑体"/>
          <w:sz w:val="44"/>
          <w:szCs w:val="44"/>
        </w:rPr>
      </w:pPr>
      <w:bookmarkStart w:id="47" w:name="_Toc15396614"/>
      <w:bookmarkStart w:id="48" w:name="_Toc15377226"/>
    </w:p>
    <w:p w14:paraId="1F7B754E">
      <w:pPr>
        <w:spacing w:line="600" w:lineRule="exact"/>
        <w:jc w:val="center"/>
        <w:rPr>
          <w:rFonts w:eastAsia="黑体"/>
          <w:sz w:val="44"/>
          <w:szCs w:val="44"/>
        </w:rPr>
      </w:pPr>
    </w:p>
    <w:p w14:paraId="20C08CB5">
      <w:pPr>
        <w:pStyle w:val="2"/>
        <w:rPr>
          <w:rFonts w:eastAsia="黑体"/>
          <w:sz w:val="44"/>
          <w:szCs w:val="44"/>
        </w:rPr>
      </w:pPr>
    </w:p>
    <w:p w14:paraId="1B7E585C">
      <w:pPr>
        <w:pStyle w:val="3"/>
        <w:rPr>
          <w:rFonts w:eastAsia="黑体"/>
          <w:sz w:val="44"/>
          <w:szCs w:val="44"/>
        </w:rPr>
      </w:pPr>
    </w:p>
    <w:p w14:paraId="10896737">
      <w:pPr>
        <w:rPr>
          <w:rFonts w:eastAsia="黑体"/>
          <w:sz w:val="44"/>
          <w:szCs w:val="44"/>
        </w:rPr>
      </w:pPr>
    </w:p>
    <w:p w14:paraId="1156C993">
      <w:pPr>
        <w:pStyle w:val="2"/>
        <w:rPr>
          <w:rFonts w:eastAsia="黑体"/>
          <w:sz w:val="44"/>
          <w:szCs w:val="44"/>
        </w:rPr>
      </w:pPr>
    </w:p>
    <w:p w14:paraId="24FD9C0A">
      <w:pPr>
        <w:pStyle w:val="3"/>
        <w:rPr>
          <w:rFonts w:eastAsia="黑体"/>
          <w:sz w:val="44"/>
          <w:szCs w:val="44"/>
        </w:rPr>
      </w:pPr>
    </w:p>
    <w:p w14:paraId="08A9BF06">
      <w:pPr>
        <w:rPr>
          <w:rFonts w:eastAsia="黑体"/>
          <w:sz w:val="44"/>
          <w:szCs w:val="44"/>
        </w:rPr>
      </w:pPr>
    </w:p>
    <w:p w14:paraId="46979B64">
      <w:pPr>
        <w:pStyle w:val="2"/>
        <w:rPr>
          <w:rFonts w:eastAsia="黑体"/>
          <w:sz w:val="44"/>
          <w:szCs w:val="44"/>
        </w:rPr>
      </w:pPr>
    </w:p>
    <w:p w14:paraId="348752DE">
      <w:pPr>
        <w:pStyle w:val="3"/>
        <w:rPr>
          <w:rFonts w:eastAsia="黑体"/>
          <w:sz w:val="44"/>
          <w:szCs w:val="44"/>
        </w:rPr>
      </w:pPr>
    </w:p>
    <w:p w14:paraId="6A31B793">
      <w:pPr>
        <w:rPr>
          <w:rFonts w:eastAsia="黑体"/>
          <w:sz w:val="44"/>
          <w:szCs w:val="44"/>
        </w:rPr>
      </w:pPr>
    </w:p>
    <w:p w14:paraId="4D3483F1">
      <w:pPr>
        <w:pStyle w:val="2"/>
        <w:rPr>
          <w:rFonts w:eastAsia="黑体"/>
          <w:sz w:val="44"/>
          <w:szCs w:val="44"/>
        </w:rPr>
      </w:pPr>
    </w:p>
    <w:p w14:paraId="17FEFABE">
      <w:pPr>
        <w:pStyle w:val="3"/>
        <w:rPr>
          <w:rFonts w:eastAsia="黑体"/>
          <w:sz w:val="44"/>
          <w:szCs w:val="44"/>
        </w:rPr>
      </w:pPr>
    </w:p>
    <w:p w14:paraId="20164800">
      <w:pPr>
        <w:rPr>
          <w:rFonts w:eastAsia="黑体"/>
          <w:sz w:val="44"/>
          <w:szCs w:val="44"/>
        </w:rPr>
      </w:pPr>
    </w:p>
    <w:p w14:paraId="2D1271FB">
      <w:pPr>
        <w:pStyle w:val="2"/>
        <w:rPr>
          <w:rFonts w:eastAsia="黑体"/>
          <w:sz w:val="44"/>
          <w:szCs w:val="44"/>
        </w:rPr>
      </w:pPr>
    </w:p>
    <w:p w14:paraId="3E1D1CEE">
      <w:pPr>
        <w:pStyle w:val="3"/>
        <w:rPr>
          <w:rFonts w:eastAsia="黑体"/>
          <w:sz w:val="44"/>
          <w:szCs w:val="44"/>
        </w:rPr>
      </w:pPr>
    </w:p>
    <w:p w14:paraId="0B0A308A">
      <w:pPr>
        <w:rPr>
          <w:rFonts w:eastAsia="黑体"/>
          <w:sz w:val="44"/>
          <w:szCs w:val="44"/>
        </w:rPr>
      </w:pPr>
    </w:p>
    <w:p w14:paraId="688E65CC">
      <w:pPr>
        <w:pStyle w:val="2"/>
        <w:rPr>
          <w:rFonts w:eastAsia="黑体"/>
          <w:sz w:val="44"/>
          <w:szCs w:val="44"/>
        </w:rPr>
      </w:pPr>
    </w:p>
    <w:p w14:paraId="4BD90950">
      <w:pPr>
        <w:pStyle w:val="3"/>
      </w:pPr>
    </w:p>
    <w:p w14:paraId="4DF05FF1">
      <w:pPr>
        <w:spacing w:line="600" w:lineRule="exact"/>
        <w:jc w:val="center"/>
        <w:rPr>
          <w:rFonts w:eastAsia="黑体"/>
          <w:sz w:val="44"/>
          <w:szCs w:val="44"/>
        </w:rPr>
      </w:pPr>
    </w:p>
    <w:p w14:paraId="5BF08904">
      <w:pPr>
        <w:spacing w:line="600" w:lineRule="exact"/>
        <w:jc w:val="center"/>
        <w:rPr>
          <w:rStyle w:val="28"/>
          <w:rFonts w:eastAsia="黑体"/>
          <w:b w:val="0"/>
          <w:highlight w:val="none"/>
        </w:rPr>
      </w:pPr>
      <w:r>
        <w:rPr>
          <w:rFonts w:hint="eastAsia" w:eastAsia="黑体"/>
          <w:sz w:val="44"/>
          <w:szCs w:val="44"/>
          <w:highlight w:val="none"/>
        </w:rPr>
        <w:t>第四部分  附件</w:t>
      </w:r>
      <w:bookmarkEnd w:id="47"/>
    </w:p>
    <w:p w14:paraId="06F62742">
      <w:pPr>
        <w:spacing w:line="572" w:lineRule="exact"/>
        <w:jc w:val="left"/>
        <w:outlineLvl w:val="0"/>
        <w:rPr>
          <w:rFonts w:eastAsia="黑体" w:cs="黑体"/>
          <w:color w:val="FF0000"/>
          <w:sz w:val="32"/>
          <w:szCs w:val="32"/>
        </w:rPr>
      </w:pPr>
    </w:p>
    <w:p w14:paraId="1B120A2A">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部门预算项目支出绩效自评表（2024年度）</w:t>
      </w:r>
    </w:p>
    <w:p w14:paraId="54D84A6D">
      <w:pPr>
        <w:pStyle w:val="11"/>
      </w:pP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700"/>
        <w:gridCol w:w="866"/>
        <w:gridCol w:w="988"/>
        <w:gridCol w:w="496"/>
        <w:gridCol w:w="472"/>
        <w:gridCol w:w="498"/>
        <w:gridCol w:w="915"/>
        <w:gridCol w:w="496"/>
        <w:gridCol w:w="581"/>
        <w:gridCol w:w="1833"/>
      </w:tblGrid>
      <w:tr w14:paraId="2F08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95" w:type="pct"/>
            <w:gridSpan w:val="4"/>
            <w:tcBorders>
              <w:top w:val="nil"/>
              <w:left w:val="nil"/>
              <w:bottom w:val="nil"/>
              <w:right w:val="nil"/>
            </w:tcBorders>
            <w:shd w:val="clear" w:color="auto" w:fill="auto"/>
            <w:vAlign w:val="center"/>
          </w:tcPr>
          <w:p w14:paraId="605B5E46">
            <w:pPr>
              <w:keepNext w:val="0"/>
              <w:keepLines w:val="0"/>
              <w:widowControl/>
              <w:suppressLineNumbers w:val="0"/>
              <w:snapToGrid w:val="0"/>
              <w:jc w:val="left"/>
              <w:textAlignment w:val="center"/>
              <w:rPr>
                <w:rFonts w:ascii="宋体" w:hAnsi="宋体" w:eastAsia="宋体" w:cs="宋体"/>
                <w:i w:val="0"/>
                <w:iCs w:val="0"/>
                <w:color w:val="C0C0C0"/>
                <w:sz w:val="20"/>
                <w:szCs w:val="20"/>
                <w:u w:val="none"/>
              </w:rPr>
            </w:pPr>
            <w:bookmarkStart w:id="49" w:name="_Toc15396618"/>
            <w:r>
              <w:rPr>
                <w:rFonts w:ascii="宋体" w:hAnsi="宋体" w:eastAsia="宋体" w:cs="宋体"/>
                <w:i w:val="0"/>
                <w:iCs w:val="0"/>
                <w:color w:val="C0C0C0"/>
                <w:kern w:val="0"/>
                <w:sz w:val="20"/>
                <w:szCs w:val="20"/>
                <w:u w:val="none"/>
                <w:lang w:val="en-US" w:eastAsia="zh-CN" w:bidi="ar"/>
              </w:rPr>
              <w:t>报表编号：510000_0013zp</w:t>
            </w:r>
          </w:p>
        </w:tc>
        <w:tc>
          <w:tcPr>
            <w:tcW w:w="291" w:type="pct"/>
            <w:tcBorders>
              <w:top w:val="nil"/>
              <w:left w:val="nil"/>
              <w:bottom w:val="nil"/>
              <w:right w:val="nil"/>
            </w:tcBorders>
            <w:shd w:val="clear" w:color="auto" w:fill="auto"/>
            <w:noWrap/>
            <w:vAlign w:val="center"/>
          </w:tcPr>
          <w:p w14:paraId="563F5EB4">
            <w:pPr>
              <w:snapToGrid w:val="0"/>
              <w:rPr>
                <w:rFonts w:hint="eastAsia" w:ascii="宋体" w:hAnsi="宋体" w:eastAsia="宋体" w:cs="宋体"/>
                <w:i w:val="0"/>
                <w:iCs w:val="0"/>
                <w:color w:val="000000"/>
                <w:sz w:val="22"/>
                <w:szCs w:val="22"/>
                <w:u w:val="none"/>
              </w:rPr>
            </w:pPr>
          </w:p>
        </w:tc>
        <w:tc>
          <w:tcPr>
            <w:tcW w:w="1106" w:type="pct"/>
            <w:gridSpan w:val="3"/>
            <w:tcBorders>
              <w:top w:val="nil"/>
              <w:left w:val="nil"/>
              <w:bottom w:val="nil"/>
              <w:right w:val="nil"/>
            </w:tcBorders>
            <w:shd w:val="clear" w:color="auto" w:fill="auto"/>
            <w:vAlign w:val="center"/>
          </w:tcPr>
          <w:p w14:paraId="4A1DEEC0">
            <w:pPr>
              <w:snapToGrid w:val="0"/>
              <w:rPr>
                <w:rFonts w:hint="eastAsia" w:ascii="宋体" w:hAnsi="宋体" w:eastAsia="宋体" w:cs="宋体"/>
                <w:i w:val="0"/>
                <w:iCs w:val="0"/>
                <w:color w:val="000000"/>
                <w:sz w:val="20"/>
                <w:szCs w:val="20"/>
                <w:u w:val="none"/>
              </w:rPr>
            </w:pPr>
          </w:p>
        </w:tc>
        <w:tc>
          <w:tcPr>
            <w:tcW w:w="291" w:type="pct"/>
            <w:tcBorders>
              <w:top w:val="nil"/>
              <w:left w:val="nil"/>
              <w:bottom w:val="nil"/>
              <w:right w:val="nil"/>
            </w:tcBorders>
            <w:shd w:val="clear" w:color="auto" w:fill="auto"/>
            <w:noWrap/>
            <w:vAlign w:val="center"/>
          </w:tcPr>
          <w:p w14:paraId="22EDFEF6">
            <w:pPr>
              <w:snapToGrid w:val="0"/>
              <w:rPr>
                <w:rFonts w:hint="eastAsia" w:ascii="宋体" w:hAnsi="宋体" w:eastAsia="宋体" w:cs="宋体"/>
                <w:i w:val="0"/>
                <w:iCs w:val="0"/>
                <w:color w:val="000000"/>
                <w:sz w:val="22"/>
                <w:szCs w:val="22"/>
                <w:u w:val="none"/>
              </w:rPr>
            </w:pPr>
          </w:p>
        </w:tc>
        <w:tc>
          <w:tcPr>
            <w:tcW w:w="341" w:type="pct"/>
            <w:tcBorders>
              <w:top w:val="nil"/>
              <w:left w:val="nil"/>
              <w:bottom w:val="nil"/>
              <w:right w:val="nil"/>
            </w:tcBorders>
            <w:shd w:val="clear" w:color="auto" w:fill="auto"/>
            <w:noWrap/>
            <w:vAlign w:val="center"/>
          </w:tcPr>
          <w:p w14:paraId="704F5075">
            <w:pPr>
              <w:snapToGrid w:val="0"/>
              <w:rPr>
                <w:rFonts w:hint="eastAsia" w:ascii="宋体" w:hAnsi="宋体" w:eastAsia="宋体" w:cs="宋体"/>
                <w:i w:val="0"/>
                <w:iCs w:val="0"/>
                <w:color w:val="000000"/>
                <w:sz w:val="22"/>
                <w:szCs w:val="22"/>
                <w:u w:val="none"/>
              </w:rPr>
            </w:pPr>
          </w:p>
        </w:tc>
        <w:tc>
          <w:tcPr>
            <w:tcW w:w="1075" w:type="pct"/>
            <w:tcBorders>
              <w:top w:val="nil"/>
              <w:left w:val="nil"/>
              <w:bottom w:val="nil"/>
              <w:right w:val="nil"/>
            </w:tcBorders>
            <w:shd w:val="clear" w:color="auto" w:fill="auto"/>
            <w:noWrap/>
            <w:vAlign w:val="center"/>
          </w:tcPr>
          <w:p w14:paraId="37C269C8">
            <w:pPr>
              <w:snapToGrid w:val="0"/>
              <w:rPr>
                <w:rFonts w:hint="eastAsia" w:ascii="宋体" w:hAnsi="宋体" w:eastAsia="宋体" w:cs="宋体"/>
                <w:i w:val="0"/>
                <w:iCs w:val="0"/>
                <w:color w:val="000000"/>
                <w:sz w:val="22"/>
                <w:szCs w:val="22"/>
                <w:u w:val="none"/>
              </w:rPr>
            </w:pPr>
          </w:p>
        </w:tc>
      </w:tr>
      <w:tr w14:paraId="5DA5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4CA82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13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1A5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FEE8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51118122T000004706833-竞技体育训练工作经费</w:t>
            </w:r>
          </w:p>
        </w:tc>
      </w:tr>
      <w:tr w14:paraId="3812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ADC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746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文化体育和旅游局</w:t>
            </w:r>
          </w:p>
        </w:tc>
        <w:tc>
          <w:tcPr>
            <w:tcW w:w="537" w:type="pct"/>
            <w:tcBorders>
              <w:top w:val="nil"/>
              <w:left w:val="nil"/>
              <w:bottom w:val="nil"/>
              <w:right w:val="nil"/>
            </w:tcBorders>
            <w:shd w:val="clear" w:color="auto" w:fill="auto"/>
            <w:vAlign w:val="center"/>
          </w:tcPr>
          <w:p w14:paraId="0356770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124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峨眉山市体育发展中心</w:t>
            </w:r>
          </w:p>
        </w:tc>
      </w:tr>
      <w:tr w14:paraId="0C06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DF8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88CC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B9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BA01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C1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C605">
            <w:pPr>
              <w:snapToGrid w:val="0"/>
              <w:rPr>
                <w:rFonts w:hint="eastAsia" w:ascii="宋体" w:hAnsi="宋体" w:eastAsia="宋体" w:cs="宋体"/>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6D8E">
            <w:pPr>
              <w:snapToGrid w:val="0"/>
              <w:rPr>
                <w:rFonts w:hint="eastAsia" w:ascii="宋体" w:hAnsi="宋体" w:eastAsia="宋体" w:cs="宋体"/>
                <w:i w:val="0"/>
                <w:iCs w:val="0"/>
                <w:color w:val="000000"/>
                <w:sz w:val="18"/>
                <w:szCs w:val="18"/>
                <w:u w:val="none"/>
              </w:rPr>
            </w:pPr>
          </w:p>
        </w:tc>
        <w:tc>
          <w:tcPr>
            <w:tcW w:w="19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E1A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做好举重、武术、篮球、田径等项目的业余训练，维修、维护运动场地，保证省市级比赛的参加。举重队运动员伙食补助，向上一级培养输送优秀运动员，保证教练员再培训学习。</w:t>
            </w:r>
          </w:p>
        </w:tc>
        <w:tc>
          <w:tcPr>
            <w:tcW w:w="22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6958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均已完成</w:t>
            </w:r>
          </w:p>
        </w:tc>
      </w:tr>
      <w:tr w14:paraId="7D15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87F6">
            <w:pPr>
              <w:snapToGrid w:val="0"/>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F8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044A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完成2024年各项市级省级赛事训练任务，参赛任务。</w:t>
            </w:r>
          </w:p>
        </w:tc>
      </w:tr>
      <w:tr w14:paraId="14CC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9E5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14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1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B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6B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D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A7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1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AB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A7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0804">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9E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89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4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DC2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E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21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E1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0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FCAD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AF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E2AD">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B6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5F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5B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BB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A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3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4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95C2">
            <w:pPr>
              <w:snapToGrid w:val="0"/>
              <w:rPr>
                <w:rFonts w:hint="eastAsia" w:ascii="黑体" w:hAnsi="黑体" w:eastAsia="黑体" w:cs="黑体"/>
                <w:i/>
                <w:iCs/>
                <w:color w:val="000000"/>
                <w:sz w:val="18"/>
                <w:szCs w:val="18"/>
                <w:u w:val="none"/>
              </w:rPr>
            </w:pPr>
          </w:p>
        </w:tc>
      </w:tr>
      <w:tr w14:paraId="2586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5EA6">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B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89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AC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D51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D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6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15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5BCF">
            <w:pPr>
              <w:snapToGrid w:val="0"/>
              <w:rPr>
                <w:rFonts w:hint="eastAsia" w:ascii="黑体" w:hAnsi="黑体" w:eastAsia="黑体" w:cs="黑体"/>
                <w:i/>
                <w:iCs/>
                <w:color w:val="000000"/>
                <w:sz w:val="18"/>
                <w:szCs w:val="18"/>
                <w:u w:val="none"/>
              </w:rPr>
            </w:pPr>
          </w:p>
        </w:tc>
      </w:tr>
      <w:tr w14:paraId="1047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40EE">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F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3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A1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216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4B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4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BB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D10CF">
            <w:pPr>
              <w:snapToGrid w:val="0"/>
              <w:rPr>
                <w:rFonts w:hint="eastAsia" w:ascii="黑体" w:hAnsi="黑体" w:eastAsia="黑体" w:cs="黑体"/>
                <w:i/>
                <w:iCs/>
                <w:color w:val="000000"/>
                <w:sz w:val="18"/>
                <w:szCs w:val="18"/>
                <w:u w:val="none"/>
              </w:rPr>
            </w:pPr>
          </w:p>
        </w:tc>
      </w:tr>
      <w:tr w14:paraId="418B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953A">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0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13C3">
            <w:pPr>
              <w:snapToGrid w:val="0"/>
              <w:jc w:val="center"/>
              <w:rPr>
                <w:rFonts w:hint="eastAsia" w:ascii="微软雅黑" w:hAnsi="微软雅黑" w:eastAsia="微软雅黑" w:cs="微软雅黑"/>
                <w:i/>
                <w:iCs/>
                <w:color w:val="000000"/>
                <w:sz w:val="16"/>
                <w:szCs w:val="16"/>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0075">
            <w:pPr>
              <w:snapToGrid w:val="0"/>
              <w:jc w:val="center"/>
              <w:rPr>
                <w:rFonts w:hint="eastAsia" w:ascii="微软雅黑" w:hAnsi="微软雅黑" w:eastAsia="微软雅黑" w:cs="微软雅黑"/>
                <w:i/>
                <w:iCs/>
                <w:color w:val="000000"/>
                <w:sz w:val="16"/>
                <w:szCs w:val="16"/>
                <w:u w:val="none"/>
              </w:rPr>
            </w:pPr>
          </w:p>
        </w:tc>
        <w:tc>
          <w:tcPr>
            <w:tcW w:w="8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8222D">
            <w:pPr>
              <w:snapToGrid w:val="0"/>
              <w:jc w:val="center"/>
              <w:rPr>
                <w:rFonts w:hint="eastAsia" w:ascii="微软雅黑" w:hAnsi="微软雅黑" w:eastAsia="微软雅黑" w:cs="微软雅黑"/>
                <w:i/>
                <w:iCs/>
                <w:color w:val="000000"/>
                <w:sz w:val="16"/>
                <w:szCs w:val="16"/>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DA9D">
            <w:pPr>
              <w:snapToGrid w:val="0"/>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DF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E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354A">
            <w:pPr>
              <w:snapToGrid w:val="0"/>
              <w:rPr>
                <w:rFonts w:hint="eastAsia" w:ascii="黑体" w:hAnsi="黑体" w:eastAsia="黑体" w:cs="黑体"/>
                <w:i/>
                <w:iCs/>
                <w:color w:val="000000"/>
                <w:sz w:val="18"/>
                <w:szCs w:val="18"/>
                <w:u w:val="none"/>
              </w:rPr>
            </w:pPr>
          </w:p>
        </w:tc>
      </w:tr>
      <w:tr w14:paraId="4453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76C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3F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1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D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CA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55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F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E3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C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66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A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BC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D612">
            <w:pPr>
              <w:snapToGrid w:val="0"/>
              <w:jc w:val="center"/>
              <w:rPr>
                <w:rFonts w:hint="eastAsia" w:ascii="宋体" w:hAnsi="宋体" w:eastAsia="宋体" w:cs="宋体"/>
                <w:i w:val="0"/>
                <w:iCs w:val="0"/>
                <w:color w:val="000000"/>
                <w:sz w:val="18"/>
                <w:szCs w:val="18"/>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E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6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3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全年完成5次比赛</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F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9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4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2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B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DA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C806">
            <w:pPr>
              <w:snapToGrid w:val="0"/>
              <w:jc w:val="center"/>
              <w:rPr>
                <w:rFonts w:hint="eastAsia" w:ascii="微软雅黑" w:hAnsi="微软雅黑" w:eastAsia="微软雅黑" w:cs="微软雅黑"/>
                <w:i/>
                <w:iCs/>
                <w:color w:val="000000"/>
                <w:sz w:val="16"/>
                <w:szCs w:val="16"/>
                <w:u w:val="none"/>
              </w:rPr>
            </w:pPr>
          </w:p>
        </w:tc>
      </w:tr>
      <w:tr w14:paraId="05D1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8BFA">
            <w:pPr>
              <w:snapToGrid w:val="0"/>
              <w:jc w:val="center"/>
              <w:rPr>
                <w:rFonts w:hint="eastAsia" w:ascii="宋体" w:hAnsi="宋体" w:eastAsia="宋体" w:cs="宋体"/>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B0FE">
            <w:pPr>
              <w:snapToGrid w:val="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F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A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高质量完成省市级各项参赛任务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1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D3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2F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2F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6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70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D1B9">
            <w:pPr>
              <w:snapToGrid w:val="0"/>
              <w:jc w:val="center"/>
              <w:rPr>
                <w:rFonts w:hint="eastAsia" w:ascii="微软雅黑" w:hAnsi="微软雅黑" w:eastAsia="微软雅黑" w:cs="微软雅黑"/>
                <w:i/>
                <w:iCs/>
                <w:color w:val="000000"/>
                <w:sz w:val="16"/>
                <w:szCs w:val="16"/>
                <w:u w:val="none"/>
              </w:rPr>
            </w:pPr>
          </w:p>
        </w:tc>
      </w:tr>
      <w:tr w14:paraId="0FAE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F1BB">
            <w:pPr>
              <w:snapToGrid w:val="0"/>
              <w:jc w:val="center"/>
              <w:rPr>
                <w:rFonts w:hint="eastAsia" w:ascii="宋体" w:hAnsi="宋体" w:eastAsia="宋体" w:cs="宋体"/>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BBE26">
            <w:pPr>
              <w:snapToGrid w:val="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FB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0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2024年内完成</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E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5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CD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F0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2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0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4D78">
            <w:pPr>
              <w:snapToGrid w:val="0"/>
              <w:jc w:val="center"/>
              <w:rPr>
                <w:rFonts w:hint="eastAsia" w:ascii="微软雅黑" w:hAnsi="微软雅黑" w:eastAsia="微软雅黑" w:cs="微软雅黑"/>
                <w:i/>
                <w:iCs/>
                <w:color w:val="000000"/>
                <w:sz w:val="16"/>
                <w:szCs w:val="16"/>
                <w:u w:val="none"/>
              </w:rPr>
            </w:pPr>
          </w:p>
        </w:tc>
      </w:tr>
      <w:tr w14:paraId="2F2B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BA61">
            <w:pPr>
              <w:snapToGrid w:val="0"/>
              <w:jc w:val="center"/>
              <w:rPr>
                <w:rFonts w:hint="eastAsia" w:ascii="宋体" w:hAnsi="宋体" w:eastAsia="宋体" w:cs="宋体"/>
                <w:i w:val="0"/>
                <w:iCs w:val="0"/>
                <w:color w:val="000000"/>
                <w:sz w:val="18"/>
                <w:szCs w:val="18"/>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B2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86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25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峨眉山市竞技体育大幅度提高</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49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68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D9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9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6B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3D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1B6B">
            <w:pPr>
              <w:snapToGrid w:val="0"/>
              <w:jc w:val="center"/>
              <w:rPr>
                <w:rFonts w:hint="eastAsia" w:ascii="微软雅黑" w:hAnsi="微软雅黑" w:eastAsia="微软雅黑" w:cs="微软雅黑"/>
                <w:i/>
                <w:iCs/>
                <w:color w:val="000000"/>
                <w:sz w:val="16"/>
                <w:szCs w:val="16"/>
                <w:u w:val="none"/>
              </w:rPr>
            </w:pPr>
          </w:p>
        </w:tc>
      </w:tr>
      <w:tr w14:paraId="1E68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31BC">
            <w:pPr>
              <w:snapToGrid w:val="0"/>
              <w:jc w:val="center"/>
              <w:rPr>
                <w:rFonts w:hint="eastAsia" w:ascii="宋体" w:hAnsi="宋体" w:eastAsia="宋体" w:cs="宋体"/>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332C">
            <w:pPr>
              <w:snapToGrid w:val="0"/>
              <w:jc w:val="cente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E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0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体育人才实现梯队式发展</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D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5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3A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7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AF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19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3D51">
            <w:pPr>
              <w:snapToGrid w:val="0"/>
              <w:jc w:val="center"/>
              <w:rPr>
                <w:rFonts w:hint="eastAsia" w:ascii="微软雅黑" w:hAnsi="微软雅黑" w:eastAsia="微软雅黑" w:cs="微软雅黑"/>
                <w:i/>
                <w:iCs/>
                <w:color w:val="000000"/>
                <w:sz w:val="16"/>
                <w:szCs w:val="16"/>
                <w:u w:val="none"/>
              </w:rPr>
            </w:pPr>
          </w:p>
        </w:tc>
      </w:tr>
      <w:tr w14:paraId="2AB6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4B3D">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C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A5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2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社会满意度大大提高</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0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B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0D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A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E3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F0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E3E6">
            <w:pPr>
              <w:snapToGrid w:val="0"/>
              <w:jc w:val="center"/>
              <w:rPr>
                <w:rFonts w:hint="eastAsia" w:ascii="微软雅黑" w:hAnsi="微软雅黑" w:eastAsia="微软雅黑" w:cs="微软雅黑"/>
                <w:i/>
                <w:iCs/>
                <w:color w:val="000000"/>
                <w:sz w:val="16"/>
                <w:szCs w:val="16"/>
                <w:u w:val="none"/>
              </w:rPr>
            </w:pPr>
          </w:p>
        </w:tc>
      </w:tr>
      <w:tr w14:paraId="0C7E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A221">
            <w:pPr>
              <w:snapToGrid w:val="0"/>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18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B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64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3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81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1D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8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1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B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21A0">
            <w:pPr>
              <w:snapToGrid w:val="0"/>
              <w:jc w:val="center"/>
              <w:rPr>
                <w:rFonts w:hint="eastAsia" w:ascii="微软雅黑" w:hAnsi="微软雅黑" w:eastAsia="微软雅黑" w:cs="微软雅黑"/>
                <w:i/>
                <w:iCs/>
                <w:color w:val="000000"/>
                <w:sz w:val="16"/>
                <w:szCs w:val="16"/>
                <w:u w:val="none"/>
              </w:rPr>
            </w:pPr>
          </w:p>
        </w:tc>
      </w:tr>
      <w:tr w14:paraId="0270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931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BB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94A7">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97.6</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C8E1">
            <w:pPr>
              <w:snapToGrid w:val="0"/>
              <w:rPr>
                <w:rFonts w:hint="eastAsia" w:ascii="宋体" w:hAnsi="宋体" w:eastAsia="宋体" w:cs="宋体"/>
                <w:i w:val="0"/>
                <w:iCs w:val="0"/>
                <w:color w:val="000000"/>
                <w:sz w:val="18"/>
                <w:szCs w:val="18"/>
                <w:u w:val="none"/>
              </w:rPr>
            </w:pPr>
          </w:p>
        </w:tc>
      </w:tr>
      <w:tr w14:paraId="18AF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5D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658C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积极开展峨眉山是体育发展中心阶梯式人才培养工作，圆满完成2024年训练参赛目标。</w:t>
            </w:r>
          </w:p>
        </w:tc>
      </w:tr>
      <w:tr w14:paraId="5503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0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65162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00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68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58548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BD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49BB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项目负责人：斯大军</w:t>
            </w:r>
          </w:p>
        </w:tc>
        <w:tc>
          <w:tcPr>
            <w:tcW w:w="28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D2D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财务负责人：徐志远</w:t>
            </w:r>
          </w:p>
        </w:tc>
      </w:tr>
      <w:tr w14:paraId="3A3C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7B656">
            <w:pPr>
              <w:keepNext w:val="0"/>
              <w:keepLines w:val="0"/>
              <w:widowControl/>
              <w:suppressLineNumbers w:val="0"/>
              <w:snapToGrid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28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895D4B">
            <w:pPr>
              <w:keepNext w:val="0"/>
              <w:keepLines w:val="0"/>
              <w:widowControl/>
              <w:suppressLineNumbers w:val="0"/>
              <w:snapToGrid w:val="0"/>
              <w:jc w:val="left"/>
              <w:textAlignment w:val="center"/>
              <w:rPr>
                <w:rFonts w:hint="eastAsia" w:ascii="黑体" w:hAnsi="黑体" w:eastAsia="黑体" w:cs="黑体"/>
                <w:i w:val="0"/>
                <w:iCs w:val="0"/>
                <w:color w:val="000000"/>
                <w:kern w:val="0"/>
                <w:sz w:val="18"/>
                <w:szCs w:val="18"/>
                <w:u w:val="none"/>
                <w:lang w:val="en-US" w:eastAsia="zh-CN" w:bidi="ar"/>
              </w:rPr>
            </w:pPr>
          </w:p>
        </w:tc>
      </w:tr>
    </w:tbl>
    <w:p w14:paraId="60BC30F8">
      <w:pPr>
        <w:widowControl/>
        <w:jc w:val="center"/>
        <w:rPr>
          <w:rFonts w:eastAsia="黑体"/>
          <w:sz w:val="44"/>
          <w:szCs w:val="44"/>
        </w:rPr>
      </w:pPr>
    </w:p>
    <w:p w14:paraId="23991024">
      <w:pPr>
        <w:widowControl/>
        <w:jc w:val="center"/>
        <w:rPr>
          <w:rFonts w:eastAsia="黑体"/>
          <w:sz w:val="44"/>
          <w:szCs w:val="44"/>
        </w:rPr>
      </w:pPr>
    </w:p>
    <w:p w14:paraId="23D50090">
      <w:pPr>
        <w:widowControl/>
        <w:jc w:val="center"/>
        <w:rPr>
          <w:rFonts w:eastAsia="黑体"/>
          <w:sz w:val="44"/>
          <w:szCs w:val="44"/>
        </w:rPr>
      </w:pPr>
    </w:p>
    <w:p w14:paraId="7EE1AD66">
      <w:pPr>
        <w:widowControl/>
        <w:jc w:val="center"/>
        <w:rPr>
          <w:rFonts w:eastAsia="黑体"/>
          <w:sz w:val="44"/>
          <w:szCs w:val="44"/>
        </w:rPr>
      </w:pPr>
    </w:p>
    <w:p w14:paraId="11B7B26C">
      <w:pPr>
        <w:widowControl/>
        <w:jc w:val="center"/>
        <w:rPr>
          <w:rFonts w:eastAsia="黑体"/>
          <w:sz w:val="44"/>
          <w:szCs w:val="44"/>
        </w:rPr>
      </w:pPr>
    </w:p>
    <w:p w14:paraId="48F130D9">
      <w:pPr>
        <w:widowControl/>
        <w:jc w:val="center"/>
        <w:rPr>
          <w:rFonts w:eastAsia="黑体"/>
          <w:sz w:val="44"/>
          <w:szCs w:val="44"/>
        </w:rPr>
      </w:pPr>
    </w:p>
    <w:p w14:paraId="1B7D896F">
      <w:pPr>
        <w:widowControl/>
        <w:jc w:val="center"/>
        <w:rPr>
          <w:rFonts w:eastAsia="黑体"/>
          <w:sz w:val="44"/>
          <w:szCs w:val="44"/>
        </w:rPr>
      </w:pPr>
    </w:p>
    <w:p w14:paraId="4346911B">
      <w:pPr>
        <w:widowControl/>
        <w:jc w:val="center"/>
        <w:rPr>
          <w:rFonts w:eastAsia="黑体"/>
          <w:sz w:val="44"/>
          <w:szCs w:val="44"/>
        </w:rPr>
      </w:pPr>
    </w:p>
    <w:p w14:paraId="19AA1225">
      <w:pPr>
        <w:widowControl/>
        <w:jc w:val="center"/>
        <w:rPr>
          <w:rFonts w:eastAsia="黑体"/>
          <w:sz w:val="44"/>
          <w:szCs w:val="44"/>
        </w:rPr>
      </w:pPr>
    </w:p>
    <w:p w14:paraId="3F0FA686">
      <w:pPr>
        <w:widowControl/>
        <w:jc w:val="center"/>
        <w:rPr>
          <w:rFonts w:eastAsia="黑体"/>
          <w:sz w:val="44"/>
          <w:szCs w:val="44"/>
        </w:rPr>
      </w:pPr>
    </w:p>
    <w:p w14:paraId="012E4050">
      <w:pPr>
        <w:widowControl/>
        <w:jc w:val="center"/>
        <w:rPr>
          <w:rFonts w:eastAsia="黑体"/>
          <w:sz w:val="44"/>
          <w:szCs w:val="44"/>
        </w:rPr>
      </w:pPr>
    </w:p>
    <w:p w14:paraId="730C0AE2">
      <w:pPr>
        <w:widowControl/>
        <w:jc w:val="center"/>
        <w:rPr>
          <w:rFonts w:eastAsia="黑体"/>
          <w:sz w:val="44"/>
          <w:szCs w:val="44"/>
        </w:rPr>
      </w:pPr>
    </w:p>
    <w:p w14:paraId="4076D959">
      <w:pPr>
        <w:widowControl/>
        <w:jc w:val="center"/>
        <w:rPr>
          <w:rFonts w:eastAsia="黑体"/>
          <w:sz w:val="44"/>
          <w:szCs w:val="44"/>
        </w:rPr>
      </w:pPr>
    </w:p>
    <w:p w14:paraId="540D4D7C">
      <w:pPr>
        <w:widowControl/>
        <w:jc w:val="center"/>
        <w:rPr>
          <w:rFonts w:eastAsia="黑体"/>
          <w:sz w:val="44"/>
          <w:szCs w:val="44"/>
        </w:rPr>
      </w:pPr>
    </w:p>
    <w:p w14:paraId="0B6B752D">
      <w:pPr>
        <w:widowControl/>
        <w:jc w:val="center"/>
        <w:rPr>
          <w:rFonts w:eastAsia="仿宋"/>
        </w:rPr>
      </w:pPr>
      <w:r>
        <w:rPr>
          <w:rFonts w:hint="eastAsia" w:eastAsia="黑体"/>
          <w:sz w:val="44"/>
          <w:szCs w:val="44"/>
        </w:rPr>
        <w:t>第</w:t>
      </w:r>
      <w:r>
        <w:rPr>
          <w:rStyle w:val="28"/>
          <w:rFonts w:hint="eastAsia" w:eastAsia="黑体"/>
          <w:b w:val="0"/>
        </w:rPr>
        <w:t>五部分 附表</w:t>
      </w:r>
      <w:bookmarkEnd w:id="48"/>
      <w:bookmarkEnd w:id="49"/>
      <w:bookmarkStart w:id="50" w:name="_Toc15396619"/>
    </w:p>
    <w:p w14:paraId="7991E4C7">
      <w:pPr>
        <w:pStyle w:val="14"/>
        <w:adjustRightInd w:val="0"/>
        <w:snapToGrid w:val="0"/>
        <w:spacing w:line="560" w:lineRule="exact"/>
        <w:jc w:val="left"/>
        <w:rPr>
          <w:rFonts w:eastAsia="仿宋_GB2312" w:cs="仿宋_GB2312"/>
          <w:sz w:val="32"/>
          <w:szCs w:val="32"/>
        </w:rPr>
      </w:pPr>
    </w:p>
    <w:p w14:paraId="3802E756">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43FFA71F">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66B58EDC">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4E987A43">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5525C6CB">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4D5928E5">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48C6B7FD">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149E14A1">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552ACCF2">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4550EA2C">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4688618D">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58F4DE41">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01AC16F9">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1826CB0D"/>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BEAF">
    <w:pPr>
      <w:pStyle w:val="11"/>
      <w:jc w:val="center"/>
    </w:pPr>
  </w:p>
  <w:p w14:paraId="6B1A12E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C13D">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AAEC8">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4AAEC8">
                    <w:pPr>
                      <w:pStyle w:val="11"/>
                    </w:pPr>
                    <w:r>
                      <w:fldChar w:fldCharType="begin"/>
                    </w:r>
                    <w:r>
                      <w:instrText xml:space="preserve"> PAGE  \* MERGEFORMAT </w:instrText>
                    </w:r>
                    <w:r>
                      <w:fldChar w:fldCharType="separate"/>
                    </w:r>
                    <w:r>
                      <w:t>10</w:t>
                    </w:r>
                    <w:r>
                      <w:fldChar w:fldCharType="end"/>
                    </w:r>
                  </w:p>
                </w:txbxContent>
              </v:textbox>
            </v:shape>
          </w:pict>
        </mc:Fallback>
      </mc:AlternateContent>
    </w:r>
  </w:p>
  <w:p w14:paraId="4939F6A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B6583">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206F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2F206F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6A36">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60C"/>
    <w:rsid w:val="00F67A06"/>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7B6CE4"/>
    <w:rsid w:val="14B17F78"/>
    <w:rsid w:val="15AC1A74"/>
    <w:rsid w:val="165E0673"/>
    <w:rsid w:val="16B831D5"/>
    <w:rsid w:val="16BB723D"/>
    <w:rsid w:val="175D340E"/>
    <w:rsid w:val="17E50567"/>
    <w:rsid w:val="186504BB"/>
    <w:rsid w:val="19A445FC"/>
    <w:rsid w:val="1AE23C2A"/>
    <w:rsid w:val="1BE8440E"/>
    <w:rsid w:val="1D155CEE"/>
    <w:rsid w:val="1D1638FE"/>
    <w:rsid w:val="1E312DEB"/>
    <w:rsid w:val="1E740ACF"/>
    <w:rsid w:val="1FF35744"/>
    <w:rsid w:val="1FF6BC77"/>
    <w:rsid w:val="21821CC3"/>
    <w:rsid w:val="2186353C"/>
    <w:rsid w:val="228419B0"/>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2DE4473"/>
    <w:rsid w:val="3304709D"/>
    <w:rsid w:val="33A773CB"/>
    <w:rsid w:val="349D6851"/>
    <w:rsid w:val="36AA5135"/>
    <w:rsid w:val="36BE0DA7"/>
    <w:rsid w:val="376B6AA6"/>
    <w:rsid w:val="376D39B2"/>
    <w:rsid w:val="37E16F03"/>
    <w:rsid w:val="37F53A3B"/>
    <w:rsid w:val="3876733E"/>
    <w:rsid w:val="389B6C89"/>
    <w:rsid w:val="38D469F0"/>
    <w:rsid w:val="39627CCD"/>
    <w:rsid w:val="397BAF1F"/>
    <w:rsid w:val="3AB79AF3"/>
    <w:rsid w:val="3AE834C0"/>
    <w:rsid w:val="3B7EF35A"/>
    <w:rsid w:val="3B9FDB6C"/>
    <w:rsid w:val="3BB60310"/>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212224"/>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7B2333"/>
    <w:rsid w:val="73160E6D"/>
    <w:rsid w:val="7332FE48"/>
    <w:rsid w:val="73AB61DA"/>
    <w:rsid w:val="73AD73D5"/>
    <w:rsid w:val="73B6EB34"/>
    <w:rsid w:val="73FA497D"/>
    <w:rsid w:val="744731E5"/>
    <w:rsid w:val="74BBD01D"/>
    <w:rsid w:val="74ED5379"/>
    <w:rsid w:val="750A2CD7"/>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4F6645"/>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4543</Words>
  <Characters>4911</Characters>
  <Lines>38</Lines>
  <Paragraphs>10</Paragraphs>
  <TotalTime>9</TotalTime>
  <ScaleCrop>false</ScaleCrop>
  <LinksUpToDate>false</LinksUpToDate>
  <CharactersWithSpaces>4953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嘿、柒仔</cp:lastModifiedBy>
  <cp:lastPrinted>2025-08-06T17:34:00Z</cp:lastPrinted>
  <dcterms:modified xsi:type="dcterms:W3CDTF">2025-12-05T02:52:05Z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eyJoZGlkIjoiZWZkN2I5MGYyMWNkNmQyNDIyZDVhYjFkNDc2YmZkYWUiLCJ1c2VySWQiOiI5OTQxMjc0NzMifQ==</vt:lpwstr>
  </property>
</Properties>
</file>