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96475"/>
      <w:bookmarkStart w:id="3" w:name="_Toc15396597"/>
      <w:bookmarkStart w:id="4" w:name="_Toc15377193"/>
      <w:bookmarkStart w:id="5" w:name="_Toc15378441"/>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四川省峨眉山市交通运输局部门决算</w:t>
      </w:r>
    </w:p>
    <w:p>
      <w:pPr>
        <w:pStyle w:val="22"/>
        <w:rPr>
          <w:rFonts w:ascii="Times New Roman" w:hAnsi="Times New Roman"/>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5</w:t>
      </w:r>
      <w:bookmarkStart w:id="84" w:name="_GoBack"/>
      <w:bookmarkEnd w:id="84"/>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default" w:ascii="Times New Roman" w:hAnsi="Times New Roman" w:eastAsia="黑体" w:cs="黑体"/>
          <w:color w:val="auto"/>
          <w:sz w:val="32"/>
          <w:szCs w:val="32"/>
          <w:highlight w:val="none"/>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default" w:ascii="Times New Roman" w:hAnsi="Times New Roman" w:eastAsia="黑体" w:cs="黑体"/>
          <w:color w:val="auto"/>
          <w:sz w:val="32"/>
          <w:szCs w:val="32"/>
          <w:highlight w:val="none"/>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7</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8</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13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14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16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16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default" w:eastAsia="仿宋_GB2312" w:cs="仿宋_GB2312"/>
          <w:color w:val="auto"/>
          <w:sz w:val="32"/>
          <w:szCs w:val="32"/>
          <w:highlight w:val="none"/>
          <w:lang w:val="en-US" w:eastAsia="zh-CN"/>
        </w:rPr>
        <w:t>16</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default" w:ascii="Times New Roman" w:hAnsi="Times New Roman" w:eastAsia="黑体" w:cs="黑体"/>
          <w:color w:val="auto"/>
          <w:sz w:val="32"/>
          <w:szCs w:val="32"/>
          <w:highlight w:val="none"/>
          <w:lang w:val="en-US" w:eastAsia="zh-CN"/>
        </w:rPr>
        <w:t>19</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default" w:ascii="Times New Roman" w:hAnsi="Times New Roman" w:eastAsia="黑体" w:cs="黑体"/>
          <w:color w:val="auto"/>
          <w:sz w:val="32"/>
          <w:szCs w:val="32"/>
          <w:highlight w:val="none"/>
          <w:lang w:val="en-US" w:eastAsia="zh-CN"/>
        </w:rPr>
        <w:t>25</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default" w:ascii="Times New Roman" w:hAnsi="Times New Roman" w:eastAsia="黑体" w:cs="黑体"/>
          <w:color w:val="auto"/>
          <w:sz w:val="32"/>
          <w:szCs w:val="32"/>
          <w:highlight w:val="none"/>
          <w:lang w:val="en-US" w:eastAsia="zh-CN"/>
        </w:rPr>
        <w:t>124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pPr>
        <w:pStyle w:val="2"/>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3"/>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负责交通有关涉外工作；承担市人民政府交通战备任务等事项。</w:t>
      </w:r>
    </w:p>
    <w:p>
      <w:pPr>
        <w:pStyle w:val="3"/>
        <w:rPr>
          <w:rStyle w:val="32"/>
          <w:rFonts w:ascii="Times New Roman" w:hAnsi="Times New Roman"/>
          <w:b w:val="0"/>
          <w:bCs w:val="0"/>
          <w:color w:val="auto"/>
          <w:highlight w:val="none"/>
        </w:rPr>
      </w:pPr>
      <w:bookmarkStart w:id="10" w:name="_Toc15377200"/>
      <w:bookmarkStart w:id="11" w:name="_Toc15396601"/>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0"/>
      <w:bookmarkEnd w:id="11"/>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峨眉山市交通运输局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p>
    <w:p>
      <w:pPr>
        <w:pStyle w:val="6"/>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峨眉山市交通运输局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pPr>
        <w:pStyle w:val="6"/>
        <w:numPr>
          <w:ilvl w:val="0"/>
          <w:numId w:val="0"/>
        </w:numPr>
        <w:adjustRightInd w:val="0"/>
        <w:snapToGrid w:val="0"/>
        <w:spacing w:before="93" w:line="600" w:lineRule="exact"/>
        <w:ind w:left="672" w:leftChars="0"/>
        <w:outlineLvl w:val="2"/>
        <w:rPr>
          <w:rFonts w:hint="eastAsia" w:ascii="Times New Roman" w:hAnsi="Times New Roman" w:eastAsia="仿宋_GB2312" w:cs="仿宋_GB2312"/>
          <w:color w:val="auto"/>
          <w:sz w:val="32"/>
          <w:szCs w:val="32"/>
          <w:highlight w:val="none"/>
        </w:rPr>
      </w:pPr>
      <w:r>
        <w:rPr>
          <w:rFonts w:hint="default" w:ascii="Times New Roman" w:cs="仿宋_GB2312"/>
          <w:color w:val="auto"/>
          <w:sz w:val="32"/>
          <w:szCs w:val="32"/>
          <w:highlight w:val="none"/>
          <w:lang w:val="en-US" w:eastAsia="zh-CN"/>
        </w:rPr>
        <w:t>1.</w:t>
      </w:r>
      <w:r>
        <w:rPr>
          <w:rFonts w:hint="eastAsia" w:ascii="Times New Roman" w:cs="仿宋_GB2312"/>
          <w:color w:val="auto"/>
          <w:sz w:val="32"/>
          <w:szCs w:val="32"/>
          <w:highlight w:val="none"/>
          <w:lang w:val="en-US" w:eastAsia="zh-CN"/>
        </w:rPr>
        <w:t>峨眉山市交通运输局</w:t>
      </w:r>
    </w:p>
    <w:p>
      <w:pPr>
        <w:pStyle w:val="6"/>
        <w:numPr>
          <w:ilvl w:val="0"/>
          <w:numId w:val="0"/>
        </w:numPr>
        <w:adjustRightInd w:val="0"/>
        <w:snapToGrid w:val="0"/>
        <w:spacing w:before="93" w:line="600" w:lineRule="exact"/>
        <w:ind w:left="672" w:leftChars="0"/>
        <w:outlineLvl w:val="2"/>
        <w:rPr>
          <w:rFonts w:hint="eastAsia" w:ascii="Times New Roman" w:hAnsi="Times New Roman" w:eastAsia="仿宋_GB2312" w:cs="仿宋_GB2312"/>
          <w:color w:val="auto"/>
          <w:sz w:val="32"/>
          <w:szCs w:val="32"/>
          <w:highlight w:val="none"/>
        </w:rPr>
      </w:pPr>
      <w:bookmarkStart w:id="12" w:name="_Toc15377203"/>
      <w:bookmarkStart w:id="13" w:name="_Toc15378450"/>
      <w:bookmarkStart w:id="14" w:name="_Toc15377434"/>
      <w:bookmarkStart w:id="15" w:name="_Toc15306277"/>
      <w:r>
        <w:rPr>
          <w:rFonts w:hint="default" w:ascii="Times New Roman" w:cs="仿宋_GB2312"/>
          <w:color w:val="auto"/>
          <w:sz w:val="32"/>
          <w:szCs w:val="32"/>
          <w:highlight w:val="none"/>
          <w:lang w:val="en-US" w:eastAsia="zh-CN"/>
        </w:rPr>
        <w:t>2.</w:t>
      </w:r>
      <w:r>
        <w:rPr>
          <w:rFonts w:hint="eastAsia" w:ascii="Times New Roman" w:cs="仿宋_GB2312"/>
          <w:color w:val="auto"/>
          <w:sz w:val="32"/>
          <w:szCs w:val="32"/>
          <w:highlight w:val="none"/>
          <w:lang w:val="en-US" w:eastAsia="zh-CN"/>
        </w:rPr>
        <w:t>峨眉山市</w:t>
      </w:r>
      <w:bookmarkEnd w:id="12"/>
      <w:bookmarkEnd w:id="13"/>
      <w:bookmarkEnd w:id="14"/>
      <w:bookmarkEnd w:id="15"/>
      <w:r>
        <w:rPr>
          <w:rFonts w:hint="eastAsia" w:hAnsi="仿宋"/>
          <w:sz w:val="32"/>
          <w:szCs w:val="32"/>
        </w:rPr>
        <w:t>铁路服务中心</w:t>
      </w:r>
    </w:p>
    <w:p>
      <w:pPr>
        <w:pStyle w:val="6"/>
        <w:numPr>
          <w:ilvl w:val="0"/>
          <w:numId w:val="0"/>
        </w:numPr>
        <w:adjustRightInd w:val="0"/>
        <w:snapToGrid w:val="0"/>
        <w:spacing w:before="93" w:line="600" w:lineRule="exact"/>
        <w:ind w:left="672" w:leftChars="0"/>
        <w:outlineLvl w:val="2"/>
        <w:rPr>
          <w:rFonts w:ascii="仿宋" w:hAnsi="仿宋" w:eastAsia="仿宋"/>
          <w:sz w:val="32"/>
          <w:szCs w:val="32"/>
        </w:rPr>
      </w:pPr>
      <w:r>
        <w:rPr>
          <w:rFonts w:hint="default" w:hAnsi="仿宋"/>
          <w:sz w:val="32"/>
          <w:szCs w:val="32"/>
          <w:lang w:val="en-US"/>
        </w:rPr>
        <w:t>3.</w:t>
      </w:r>
      <w:r>
        <w:rPr>
          <w:rFonts w:hint="eastAsia" w:hAnsi="仿宋"/>
          <w:sz w:val="32"/>
          <w:szCs w:val="32"/>
        </w:rPr>
        <w:t>峨眉山市交通建设和运输中心</w:t>
      </w:r>
    </w:p>
    <w:p>
      <w:pPr>
        <w:pStyle w:val="6"/>
        <w:numPr>
          <w:ilvl w:val="0"/>
          <w:numId w:val="0"/>
        </w:numPr>
        <w:adjustRightInd w:val="0"/>
        <w:snapToGrid w:val="0"/>
        <w:spacing w:before="93" w:line="600" w:lineRule="exact"/>
        <w:ind w:left="672" w:leftChars="0"/>
        <w:outlineLvl w:val="2"/>
        <w:rPr>
          <w:rFonts w:ascii="Times New Roman" w:hAnsi="Times New Roman" w:eastAsia="仿宋"/>
          <w:color w:val="auto"/>
          <w:kern w:val="0"/>
          <w:sz w:val="32"/>
          <w:szCs w:val="32"/>
          <w:highlight w:val="none"/>
        </w:rPr>
      </w:pPr>
      <w:r>
        <w:rPr>
          <w:rFonts w:hint="default" w:hAnsi="仿宋"/>
          <w:sz w:val="32"/>
          <w:szCs w:val="32"/>
          <w:lang w:val="en-US"/>
        </w:rPr>
        <w:t>4.</w:t>
      </w:r>
      <w:r>
        <w:rPr>
          <w:rFonts w:hint="eastAsia" w:hAnsi="仿宋"/>
          <w:sz w:val="32"/>
          <w:szCs w:val="32"/>
        </w:rPr>
        <w:t>峨眉山市交通工程质量安全中心</w:t>
      </w:r>
      <w:r>
        <w:rPr>
          <w:rFonts w:ascii="Times New Roman" w:hAnsi="Times New Roman" w:eastAsia="仿宋"/>
          <w:color w:val="auto"/>
          <w:sz w:val="32"/>
          <w:szCs w:val="32"/>
          <w:highlight w:val="none"/>
        </w:rPr>
        <w:br w:type="page"/>
      </w:r>
    </w:p>
    <w:p>
      <w:pPr>
        <w:pStyle w:val="2"/>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pPr>
        <w:rPr>
          <w:rFonts w:ascii="Times New Roman" w:hAnsi="Times New Roman"/>
          <w:color w:val="auto"/>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8"/>
      <w:bookmarkEnd w:id="19"/>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21660.47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19273.65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47.08</w:t>
      </w:r>
      <w:r>
        <w:rPr>
          <w:rFonts w:hint="eastAsia" w:ascii="Times New Roman" w:hAnsi="Times New Roman" w:eastAsia="仿宋_GB2312" w:cs="仿宋_GB2312"/>
          <w:color w:val="auto"/>
          <w:sz w:val="32"/>
          <w:szCs w:val="32"/>
          <w:highlight w:val="none"/>
        </w:rPr>
        <w:t>%。</w:t>
      </w:r>
      <w:r>
        <w:rPr>
          <w:rFonts w:hint="eastAsia" w:ascii="仿宋" w:hAnsi="仿宋" w:eastAsia="仿宋" w:cs="仿宋"/>
          <w:b w:val="0"/>
          <w:bCs w:val="0"/>
          <w:sz w:val="32"/>
          <w:szCs w:val="32"/>
          <w:highlight w:val="none"/>
        </w:rPr>
        <w:t>主要变动原因是</w:t>
      </w:r>
      <w:r>
        <w:rPr>
          <w:rFonts w:hint="eastAsia" w:ascii="仿宋" w:hAnsi="仿宋" w:eastAsia="仿宋" w:cs="仿宋"/>
          <w:sz w:val="32"/>
          <w:szCs w:val="32"/>
          <w:highlight w:val="none"/>
          <w:lang w:val="en-US" w:eastAsia="zh-CN"/>
        </w:rPr>
        <w:t>本年度上级专项下达资金的减少</w:t>
      </w:r>
      <w:r>
        <w:rPr>
          <w:rFonts w:hint="eastAsia" w:eastAsia="仿宋_GB2312" w:cs="仿宋_GB2312"/>
          <w:color w:val="auto"/>
          <w:sz w:val="32"/>
          <w:szCs w:val="32"/>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266700</wp:posOffset>
            </wp:positionH>
            <wp:positionV relativeFrom="paragraph">
              <wp:posOffset>133985</wp:posOffset>
            </wp:positionV>
            <wp:extent cx="5201285" cy="4345305"/>
            <wp:effectExtent l="0" t="0" r="18415" b="1714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lum bright="-6000"/>
                    </a:blip>
                    <a:stretch>
                      <a:fillRect/>
                    </a:stretch>
                  </pic:blipFill>
                  <pic:spPr>
                    <a:xfrm>
                      <a:off x="0" y="0"/>
                      <a:ext cx="5201285" cy="4345305"/>
                    </a:xfrm>
                    <a:prstGeom prst="rect">
                      <a:avLst/>
                    </a:prstGeom>
                    <a:noFill/>
                    <a:ln>
                      <a:noFill/>
                    </a:ln>
                  </pic:spPr>
                </pic:pic>
              </a:graphicData>
            </a:graphic>
          </wp:anchor>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21660.37万元，其中：一般公共预算财政拨款收入13148.34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60.7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8512.03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149225</wp:posOffset>
            </wp:positionH>
            <wp:positionV relativeFrom="paragraph">
              <wp:posOffset>172720</wp:posOffset>
            </wp:positionV>
            <wp:extent cx="5220335" cy="4278630"/>
            <wp:effectExtent l="0" t="0" r="18415" b="762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a:stretch>
                      <a:fillRect/>
                    </a:stretch>
                  </pic:blipFill>
                  <pic:spPr>
                    <a:xfrm>
                      <a:off x="0" y="0"/>
                      <a:ext cx="5220335" cy="4278630"/>
                    </a:xfrm>
                    <a:prstGeom prst="rect">
                      <a:avLst/>
                    </a:prstGeom>
                    <a:noFill/>
                    <a:ln>
                      <a:noFill/>
                    </a:ln>
                  </pic:spPr>
                </pic:pic>
              </a:graphicData>
            </a:graphic>
          </wp:anchor>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2"/>
      <w:bookmarkEnd w:id="23"/>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21660.37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3302.14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18358.23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84.75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112395</wp:posOffset>
            </wp:positionH>
            <wp:positionV relativeFrom="paragraph">
              <wp:posOffset>8255</wp:posOffset>
            </wp:positionV>
            <wp:extent cx="5161280" cy="4039235"/>
            <wp:effectExtent l="0" t="0" r="1270" b="18415"/>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0"/>
                    <a:stretch>
                      <a:fillRect/>
                    </a:stretch>
                  </pic:blipFill>
                  <pic:spPr>
                    <a:xfrm>
                      <a:off x="0" y="0"/>
                      <a:ext cx="5161280" cy="4039235"/>
                    </a:xfrm>
                    <a:prstGeom prst="rect">
                      <a:avLst/>
                    </a:prstGeom>
                    <a:noFill/>
                    <a:ln>
                      <a:noFill/>
                    </a:ln>
                  </pic:spPr>
                </pic:pic>
              </a:graphicData>
            </a:graphic>
          </wp:anchor>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2"/>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4"/>
      <w:bookmarkEnd w:id="2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21660.37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19273.65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47.08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b w:val="0"/>
          <w:bCs w:val="0"/>
          <w:sz w:val="32"/>
          <w:szCs w:val="32"/>
          <w:highlight w:val="none"/>
        </w:rPr>
        <w:t>主要变动原因是</w:t>
      </w:r>
      <w:r>
        <w:rPr>
          <w:rFonts w:hint="eastAsia" w:ascii="仿宋" w:hAnsi="仿宋" w:eastAsia="仿宋" w:cs="仿宋"/>
          <w:sz w:val="32"/>
          <w:szCs w:val="32"/>
          <w:highlight w:val="none"/>
          <w:lang w:val="en-US" w:eastAsia="zh-CN"/>
        </w:rPr>
        <w:t>本年度上级专项下达资金的减少</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175895</wp:posOffset>
            </wp:positionH>
            <wp:positionV relativeFrom="paragraph">
              <wp:posOffset>88900</wp:posOffset>
            </wp:positionV>
            <wp:extent cx="5089525" cy="4055745"/>
            <wp:effectExtent l="0" t="0" r="15875" b="190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1"/>
                    <a:stretch>
                      <a:fillRect/>
                    </a:stretch>
                  </pic:blipFill>
                  <pic:spPr>
                    <a:xfrm>
                      <a:off x="0" y="0"/>
                      <a:ext cx="5089525" cy="4055745"/>
                    </a:xfrm>
                    <a:prstGeom prst="rect">
                      <a:avLst/>
                    </a:prstGeom>
                    <a:noFill/>
                    <a:ln>
                      <a:noFill/>
                    </a:ln>
                  </pic:spPr>
                </pic:pic>
              </a:graphicData>
            </a:graphic>
          </wp:anchor>
        </w:drawing>
      </w:r>
    </w:p>
    <w:p>
      <w:pPr>
        <w:pStyle w:val="2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pStyle w:val="22"/>
        <w:rPr>
          <w:rFonts w:hint="eastAsia"/>
          <w:lang w:val="en-US" w:eastAsia="zh-CN"/>
        </w:rPr>
      </w:pPr>
    </w:p>
    <w:p>
      <w:pPr>
        <w:rPr>
          <w:rFonts w:hint="eastAsia"/>
          <w:lang w:val="en-US" w:eastAsia="zh-CN"/>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2"/>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13148.34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60.7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%。与2023年度相比，一般公共预算财政拨款支出减少20811.78万元，下降61.28%。</w:t>
      </w:r>
      <w:r>
        <w:rPr>
          <w:rFonts w:hint="eastAsia" w:ascii="仿宋" w:hAnsi="仿宋" w:eastAsia="仿宋" w:cs="仿宋"/>
          <w:b w:val="0"/>
          <w:bCs w:val="0"/>
          <w:sz w:val="32"/>
          <w:szCs w:val="32"/>
          <w:highlight w:val="none"/>
        </w:rPr>
        <w:t>主要变动原因是</w:t>
      </w:r>
      <w:r>
        <w:rPr>
          <w:rFonts w:hint="eastAsia" w:ascii="仿宋" w:hAnsi="仿宋" w:eastAsia="仿宋" w:cs="仿宋"/>
          <w:sz w:val="32"/>
          <w:szCs w:val="32"/>
          <w:highlight w:val="none"/>
          <w:lang w:val="en-US" w:eastAsia="zh-CN"/>
        </w:rPr>
        <w:t>本年度上级专项下达资金的减少</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35560</wp:posOffset>
            </wp:positionH>
            <wp:positionV relativeFrom="paragraph">
              <wp:posOffset>55245</wp:posOffset>
            </wp:positionV>
            <wp:extent cx="5238115" cy="4269740"/>
            <wp:effectExtent l="0" t="0" r="635" b="1651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2"/>
                    <a:stretch>
                      <a:fillRect/>
                    </a:stretch>
                  </pic:blipFill>
                  <pic:spPr>
                    <a:xfrm>
                      <a:off x="0" y="0"/>
                      <a:ext cx="5238115" cy="4269740"/>
                    </a:xfrm>
                    <a:prstGeom prst="rect">
                      <a:avLst/>
                    </a:prstGeom>
                    <a:noFill/>
                    <a:ln>
                      <a:noFill/>
                    </a:ln>
                  </pic:spPr>
                </pic:pic>
              </a:graphicData>
            </a:graphic>
          </wp:anchor>
        </w:drawing>
      </w:r>
    </w:p>
    <w:p>
      <w:pPr>
        <w:pStyle w:val="22"/>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22"/>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22"/>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22"/>
        <w:rPr>
          <w:rFonts w:hint="eastAsia" w:ascii="仿宋_GB2312" w:hAnsi="仿宋_GB2312" w:eastAsia="仿宋_GB2312" w:cs="仿宋_GB2312"/>
          <w:color w:val="auto"/>
          <w:kern w:val="2"/>
          <w:sz w:val="32"/>
          <w:szCs w:val="32"/>
          <w:highlight w:val="none"/>
          <w:lang w:val="en-US" w:eastAsia="zh-CN" w:bidi="ar-SA"/>
        </w:rPr>
      </w:pPr>
    </w:p>
    <w:p>
      <w:pPr>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2024年度一般公共预算财政拨款支出13148.34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%；社会保障和就业支出409.49万元，占</w:t>
      </w:r>
      <w:r>
        <w:rPr>
          <w:rFonts w:hint="eastAsia" w:eastAsia="仿宋_GB2312" w:cs="仿宋_GB2312"/>
          <w:color w:val="auto"/>
          <w:kern w:val="2"/>
          <w:sz w:val="32"/>
          <w:szCs w:val="32"/>
          <w:highlight w:val="none"/>
          <w:lang w:val="en-US" w:eastAsia="zh-CN" w:bidi="ar-SA"/>
        </w:rPr>
        <w:t>3.11</w:t>
      </w:r>
      <w:r>
        <w:rPr>
          <w:rFonts w:hint="eastAsia" w:ascii="Times New Roman" w:hAnsi="Times New Roman" w:eastAsia="仿宋_GB2312" w:cs="仿宋_GB2312"/>
          <w:color w:val="auto"/>
          <w:kern w:val="2"/>
          <w:sz w:val="32"/>
          <w:szCs w:val="32"/>
          <w:highlight w:val="none"/>
          <w:lang w:val="en-US" w:eastAsia="zh-CN" w:bidi="ar-SA"/>
        </w:rPr>
        <w:t>%；卫生健康支出84.43万元，占</w:t>
      </w:r>
      <w:r>
        <w:rPr>
          <w:rFonts w:hint="eastAsia" w:eastAsia="仿宋_GB2312" w:cs="仿宋_GB2312"/>
          <w:color w:val="auto"/>
          <w:kern w:val="2"/>
          <w:sz w:val="32"/>
          <w:szCs w:val="32"/>
          <w:highlight w:val="none"/>
          <w:lang w:val="en-US" w:eastAsia="zh-CN" w:bidi="ar-SA"/>
        </w:rPr>
        <w:t>0.64</w:t>
      </w:r>
      <w:r>
        <w:rPr>
          <w:rFonts w:hint="eastAsia" w:ascii="Times New Roman" w:hAnsi="Times New Roman" w:eastAsia="仿宋_GB2312" w:cs="仿宋_GB2312"/>
          <w:color w:val="auto"/>
          <w:kern w:val="2"/>
          <w:sz w:val="32"/>
          <w:szCs w:val="32"/>
          <w:highlight w:val="none"/>
          <w:lang w:val="en-US" w:eastAsia="zh-CN" w:bidi="ar-SA"/>
        </w:rPr>
        <w:t>%；农林水支出93.41</w:t>
      </w:r>
      <w:r>
        <w:rPr>
          <w:rFonts w:hint="eastAsia" w:eastAsia="仿宋_GB2312" w:cs="仿宋_GB2312"/>
          <w:color w:val="auto"/>
          <w:kern w:val="2"/>
          <w:sz w:val="32"/>
          <w:szCs w:val="32"/>
          <w:highlight w:val="none"/>
          <w:lang w:val="en-US" w:eastAsia="zh-CN" w:bidi="ar-SA"/>
        </w:rPr>
        <w:t>万元；占0.71%；交通运输支出12394.33万元，占94.27%；</w:t>
      </w:r>
      <w:r>
        <w:rPr>
          <w:rFonts w:hint="eastAsia" w:ascii="Times New Roman" w:hAnsi="Times New Roman" w:eastAsia="仿宋_GB2312" w:cs="仿宋_GB2312"/>
          <w:color w:val="auto"/>
          <w:kern w:val="2"/>
          <w:sz w:val="32"/>
          <w:szCs w:val="32"/>
          <w:highlight w:val="none"/>
          <w:lang w:val="en-US" w:eastAsia="zh-CN" w:bidi="ar-SA"/>
        </w:rPr>
        <w:t>住房保障支出166.68万元，占</w:t>
      </w:r>
      <w:r>
        <w:rPr>
          <w:rFonts w:hint="eastAsia" w:eastAsia="仿宋_GB2312" w:cs="仿宋_GB2312"/>
          <w:color w:val="auto"/>
          <w:kern w:val="2"/>
          <w:sz w:val="32"/>
          <w:szCs w:val="32"/>
          <w:highlight w:val="none"/>
          <w:lang w:val="en-US" w:eastAsia="zh-CN" w:bidi="ar-SA"/>
        </w:rPr>
        <w:t>1.27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2"/>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65405</wp:posOffset>
            </wp:positionH>
            <wp:positionV relativeFrom="paragraph">
              <wp:posOffset>203835</wp:posOffset>
            </wp:positionV>
            <wp:extent cx="5151120" cy="4362450"/>
            <wp:effectExtent l="0" t="0" r="11430" b="0"/>
            <wp:wrapNone/>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3"/>
                    <a:stretch>
                      <a:fillRect/>
                    </a:stretch>
                  </pic:blipFill>
                  <pic:spPr>
                    <a:xfrm>
                      <a:off x="0" y="0"/>
                      <a:ext cx="5151120" cy="4362450"/>
                    </a:xfrm>
                    <a:prstGeom prst="rect">
                      <a:avLst/>
                    </a:prstGeom>
                    <a:noFill/>
                    <a:ln>
                      <a:noFill/>
                    </a:ln>
                  </pic:spPr>
                </pic:pic>
              </a:graphicData>
            </a:graphic>
          </wp:anchor>
        </w:drawing>
      </w:r>
    </w:p>
    <w:p>
      <w:pPr>
        <w:pStyle w:val="22"/>
        <w:rPr>
          <w:rFonts w:hint="eastAsia" w:ascii="Times New Roman" w:hAnsi="Times New Roman" w:eastAsia="仿宋_GB2312" w:cs="仿宋_GB2312"/>
          <w:b/>
          <w:bCs/>
          <w:color w:val="auto"/>
          <w:kern w:val="2"/>
          <w:sz w:val="32"/>
          <w:szCs w:val="32"/>
          <w:highlight w:val="none"/>
          <w:lang w:val="en-US" w:eastAsia="zh-CN" w:bidi="ar-SA"/>
        </w:rPr>
      </w:pPr>
    </w:p>
    <w:p>
      <w:pPr>
        <w:rPr>
          <w:rFonts w:hint="eastAsia" w:ascii="Times New Roman" w:hAnsi="Times New Roman" w:eastAsia="仿宋_GB2312" w:cs="仿宋_GB2312"/>
          <w:b/>
          <w:bCs/>
          <w:color w:val="auto"/>
          <w:kern w:val="2"/>
          <w:sz w:val="32"/>
          <w:szCs w:val="32"/>
          <w:highlight w:val="none"/>
          <w:lang w:val="en-US" w:eastAsia="zh-CN" w:bidi="ar-SA"/>
        </w:rPr>
      </w:pPr>
    </w:p>
    <w:p>
      <w:pPr>
        <w:pStyle w:val="22"/>
        <w:rPr>
          <w:rFonts w:hint="eastAsia" w:ascii="Times New Roman" w:hAnsi="Times New Roman" w:eastAsia="仿宋_GB2312" w:cs="仿宋_GB2312"/>
          <w:b/>
          <w:bCs/>
          <w:color w:val="auto"/>
          <w:kern w:val="2"/>
          <w:sz w:val="32"/>
          <w:szCs w:val="32"/>
          <w:highlight w:val="none"/>
          <w:lang w:val="en-US" w:eastAsia="zh-CN" w:bidi="ar-SA"/>
        </w:rPr>
      </w:pPr>
    </w:p>
    <w:p>
      <w:pPr>
        <w:rPr>
          <w:rFonts w:hint="eastAsia" w:ascii="Times New Roman" w:hAnsi="Times New Roman" w:eastAsia="仿宋_GB2312" w:cs="仿宋_GB2312"/>
          <w:b/>
          <w:bCs/>
          <w:color w:val="auto"/>
          <w:kern w:val="2"/>
          <w:sz w:val="32"/>
          <w:szCs w:val="32"/>
          <w:highlight w:val="none"/>
          <w:lang w:val="en-US" w:eastAsia="zh-CN" w:bidi="ar-SA"/>
        </w:rPr>
      </w:pPr>
    </w:p>
    <w:p>
      <w:pPr>
        <w:pStyle w:val="22"/>
        <w:rPr>
          <w:rFonts w:hint="eastAsia" w:ascii="Times New Roman" w:hAnsi="Times New Roman" w:eastAsia="仿宋_GB2312" w:cs="仿宋_GB2312"/>
          <w:b/>
          <w:bCs/>
          <w:color w:val="auto"/>
          <w:kern w:val="2"/>
          <w:sz w:val="32"/>
          <w:szCs w:val="32"/>
          <w:highlight w:val="none"/>
          <w:lang w:val="en-US" w:eastAsia="zh-CN" w:bidi="ar-SA"/>
        </w:rPr>
      </w:pPr>
    </w:p>
    <w:p>
      <w:pPr>
        <w:rPr>
          <w:rFonts w:hint="eastAsia" w:ascii="Times New Roman" w:hAnsi="Times New Roman" w:eastAsia="仿宋_GB2312" w:cs="仿宋_GB2312"/>
          <w:b/>
          <w:bCs/>
          <w:color w:val="auto"/>
          <w:kern w:val="2"/>
          <w:sz w:val="32"/>
          <w:szCs w:val="32"/>
          <w:highlight w:val="none"/>
          <w:lang w:val="en-US" w:eastAsia="zh-CN" w:bidi="ar-SA"/>
        </w:rPr>
      </w:pPr>
    </w:p>
    <w:p>
      <w:pPr>
        <w:pStyle w:val="22"/>
        <w:rPr>
          <w:rFonts w:hint="eastAsia" w:ascii="Times New Roman" w:hAnsi="Times New Roman" w:eastAsia="仿宋_GB2312" w:cs="仿宋_GB2312"/>
          <w:b/>
          <w:bCs/>
          <w:color w:val="auto"/>
          <w:kern w:val="2"/>
          <w:sz w:val="32"/>
          <w:szCs w:val="32"/>
          <w:highlight w:val="none"/>
          <w:lang w:val="en-US" w:eastAsia="zh-CN" w:bidi="ar-SA"/>
        </w:rPr>
      </w:pPr>
    </w:p>
    <w:p>
      <w:pPr>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8460"/>
      <w:bookmarkStart w:id="32" w:name="_Toc15377444"/>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2024年度一般公共预算财政拨款支出决算数为13148.34</w:t>
      </w:r>
      <w:r>
        <w:rPr>
          <w:rFonts w:hint="eastAsia"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88.5</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 支出决算为</w:t>
      </w:r>
      <w:r>
        <w:rPr>
          <w:rFonts w:hint="eastAsia" w:eastAsia="仿宋_GB2312" w:cs="仿宋_GB2312"/>
          <w:color w:val="auto"/>
          <w:kern w:val="2"/>
          <w:sz w:val="32"/>
          <w:szCs w:val="32"/>
          <w:highlight w:val="none"/>
          <w:lang w:val="en-US" w:eastAsia="zh-CN" w:bidi="ar-SA"/>
        </w:rPr>
        <w:t>193.41</w:t>
      </w:r>
      <w:r>
        <w:rPr>
          <w:rFonts w:hint="eastAsia" w:ascii="Times New Roman" w:hAnsi="Times New Roman" w:eastAsia="仿宋_GB2312" w:cs="仿宋_GB2312"/>
          <w:color w:val="auto"/>
          <w:kern w:val="2"/>
          <w:sz w:val="32"/>
          <w:szCs w:val="32"/>
          <w:highlight w:val="none"/>
          <w:lang w:val="en-US" w:eastAsia="zh-CN" w:bidi="ar-SA"/>
        </w:rPr>
        <w:t>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 支出决算为109.82万元，完成预算100%，决算数与预算数持平。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（类）抚恤（款）死亡抚恤（项）: 支出决算为50.37万元，完成预算100%，决算数与预算数持平。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（类）抚恤（款）其他优抚支出（项）: 支出决算为20.69万元，完成预算100%，决算数与预算数持平。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 支出决算为35.2万元，完成预算100%，决算数与预算数持平。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（类）行政事业单位医疗（款）行政单位医疗（项）:支出决算为15.72万元，完成预算100%，决算数与预算数持平。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（类）行政事业单位医疗（款）事业单位医疗（项）:支出决算为59.04万元，完成预算100%，决算数与预算数持平。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（类）行政事业单位医疗（款）公务员医疗补助（项）:支出决算为9.67万元，完成预算100%，决算数与预算数持平。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9.农林水支出（类）巩固脱贫攻坚成果衔接乡村振兴（款）其他巩固脱贫攻坚成果衔接乡村振兴支出（项）:支出决算为93.41万元，完成预算100%，决算数与预算数持平。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（类）公路水路运输（款）行政运行（项）：支出决算为509.95万元，完成预算100%，决算数与预算数持平。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（类）公路水路运输（款）一般行政管理事务（项）：支出决算数241.15万元，完成预算100%，决算数与预算数持平。</w:t>
      </w:r>
    </w:p>
    <w:p>
      <w:pPr>
        <w:pStyle w:val="6"/>
        <w:spacing w:before="93"/>
        <w:ind w:firstLine="640" w:firstLineChars="200"/>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12.交通运输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（类）公路水路运输（款）公路建设（项）：支出决算为1777万元，完成预算</w:t>
      </w:r>
      <w:r>
        <w:rPr>
          <w:rFonts w:hint="eastAsia" w:eastAsia="仿宋_GB2312" w:cs="仿宋_GB2312"/>
          <w:color w:val="auto"/>
          <w:kern w:val="2"/>
          <w:sz w:val="32"/>
          <w:szCs w:val="32"/>
          <w:highlight w:val="none"/>
          <w:lang w:val="en-US" w:eastAsia="zh-CN" w:bidi="ar-SA"/>
        </w:rPr>
        <w:t>94.12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kern w:val="0"/>
          <w:sz w:val="32"/>
          <w:szCs w:val="32"/>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（类）公路水路运输（款）公路养护（项）：支出决算数为2559.65万元，完成预算94.</w:t>
      </w:r>
      <w:r>
        <w:rPr>
          <w:rFonts w:hint="eastAsia" w:eastAsia="仿宋_GB2312" w:cs="仿宋_GB2312"/>
          <w:color w:val="auto"/>
          <w:kern w:val="2"/>
          <w:sz w:val="32"/>
          <w:szCs w:val="32"/>
          <w:highlight w:val="none"/>
          <w:lang w:val="en-US" w:eastAsia="zh-CN" w:bidi="ar-SA"/>
        </w:rPr>
        <w:t>54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Times New Roman"/>
          <w:b w:val="0"/>
          <w:bCs w:val="0"/>
          <w:kern w:val="0"/>
          <w:sz w:val="32"/>
          <w:szCs w:val="32"/>
          <w:highlight w:val="none"/>
          <w:lang w:val="en-US" w:eastAsia="zh-CN" w:bidi="ar-SA"/>
        </w:rPr>
        <w:t>决算数小于预算数的主要原因</w:t>
      </w:r>
      <w:r>
        <w:rPr>
          <w:rFonts w:hint="eastAsia" w:ascii="仿宋" w:hAnsi="仿宋" w:eastAsia="仿宋"/>
          <w:sz w:val="32"/>
          <w:szCs w:val="32"/>
          <w:highlight w:val="none"/>
        </w:rPr>
        <w:t>是</w:t>
      </w:r>
      <w:r>
        <w:rPr>
          <w:rFonts w:hint="eastAsia" w:ascii="仿宋" w:hAnsi="仿宋" w:eastAsia="仿宋"/>
          <w:sz w:val="32"/>
          <w:szCs w:val="32"/>
          <w:highlight w:val="none"/>
          <w:lang w:val="en-US" w:eastAsia="zh-CN"/>
        </w:rPr>
        <w:t>部分项目正在推进中，暂不具备支付条件</w:t>
      </w:r>
      <w:r>
        <w:rPr>
          <w:rFonts w:hint="eastAsia" w:ascii="仿宋" w:hAnsi="仿宋" w:eastAsia="仿宋"/>
          <w:sz w:val="32"/>
          <w:szCs w:val="32"/>
          <w:highlight w:val="none"/>
        </w:rPr>
        <w:t>。</w:t>
      </w:r>
    </w:p>
    <w:p>
      <w:pPr>
        <w:pStyle w:val="6"/>
        <w:spacing w:before="93" w:line="600" w:lineRule="exact"/>
        <w:ind w:firstLine="640" w:firstLineChars="20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14.交通运输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（类）公路水路运输（款）公路运输管理（项）：支出决算数为0.6万元，完成预算50%，</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ascii="仿宋" w:hAnsi="仿宋" w:eastAsia="仿宋"/>
          <w:sz w:val="32"/>
          <w:szCs w:val="32"/>
          <w:highlight w:val="none"/>
        </w:rPr>
        <w:t>。</w:t>
      </w:r>
    </w:p>
    <w:p>
      <w:pPr>
        <w:spacing w:line="600" w:lineRule="exact"/>
        <w:ind w:firstLine="640"/>
        <w:rPr>
          <w:rFonts w:hint="eastAsia" w:ascii="仿宋" w:hAnsi="仿宋" w:eastAsia="仿宋"/>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15.交通运输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（类）公路水路运输（款）其他公路水路运输支出（项）：支出决算为4631.88万元，完成预算</w:t>
      </w:r>
      <w:r>
        <w:rPr>
          <w:rFonts w:hint="eastAsia" w:eastAsia="仿宋_GB2312" w:cs="仿宋_GB2312"/>
          <w:color w:val="auto"/>
          <w:kern w:val="2"/>
          <w:sz w:val="32"/>
          <w:szCs w:val="32"/>
          <w:highlight w:val="none"/>
          <w:lang w:val="en-US" w:eastAsia="zh-CN" w:bidi="ar-SA"/>
        </w:rPr>
        <w:t>86.48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rPr>
        <w:t>决算数</w:t>
      </w:r>
      <w:r>
        <w:rPr>
          <w:rFonts w:hint="eastAsia" w:ascii="仿宋" w:hAnsi="仿宋" w:eastAsia="仿宋"/>
          <w:sz w:val="32"/>
          <w:szCs w:val="32"/>
          <w:highlight w:val="none"/>
          <w:lang w:val="en-US" w:eastAsia="zh-CN"/>
        </w:rPr>
        <w:t>小于</w:t>
      </w:r>
      <w:r>
        <w:rPr>
          <w:rFonts w:hint="eastAsia" w:ascii="仿宋" w:hAnsi="仿宋" w:eastAsia="仿宋"/>
          <w:sz w:val="32"/>
          <w:szCs w:val="32"/>
          <w:highlight w:val="none"/>
        </w:rPr>
        <w:t>预算数</w:t>
      </w:r>
      <w:r>
        <w:rPr>
          <w:rFonts w:hint="eastAsia" w:ascii="仿宋" w:hAnsi="仿宋" w:eastAsia="仿宋"/>
          <w:sz w:val="32"/>
          <w:szCs w:val="32"/>
          <w:highlight w:val="none"/>
          <w:lang w:val="en-US" w:eastAsia="zh-CN"/>
        </w:rPr>
        <w:t>的主要原因</w:t>
      </w:r>
      <w:r>
        <w:rPr>
          <w:rFonts w:hint="eastAsia" w:ascii="仿宋" w:hAnsi="仿宋" w:eastAsia="仿宋"/>
          <w:sz w:val="32"/>
          <w:szCs w:val="32"/>
          <w:highlight w:val="none"/>
        </w:rPr>
        <w:t>是</w:t>
      </w:r>
      <w:r>
        <w:rPr>
          <w:rFonts w:hint="eastAsia" w:ascii="仿宋" w:hAnsi="仿宋" w:eastAsia="仿宋"/>
          <w:sz w:val="32"/>
          <w:szCs w:val="32"/>
          <w:highlight w:val="none"/>
          <w:lang w:val="en-US" w:eastAsia="zh-CN"/>
        </w:rPr>
        <w:t>部分项目正在推进中，暂不具备支付条件</w:t>
      </w:r>
      <w:r>
        <w:rPr>
          <w:rFonts w:hint="eastAsia" w:ascii="仿宋" w:hAnsi="仿宋" w:eastAsia="仿宋"/>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（类）其他交通运输支出（款）公共交通运营补助（项）：支出决算为2374万元，完成预算</w:t>
      </w:r>
      <w:r>
        <w:rPr>
          <w:rFonts w:hint="eastAsia" w:eastAsia="仿宋_GB2312" w:cs="仿宋_GB2312"/>
          <w:color w:val="auto"/>
          <w:kern w:val="2"/>
          <w:sz w:val="32"/>
          <w:szCs w:val="32"/>
          <w:highlight w:val="none"/>
          <w:lang w:val="en-US" w:eastAsia="zh-CN" w:bidi="ar-SA"/>
        </w:rPr>
        <w:t>90.88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ascii="仿宋" w:hAnsi="仿宋" w:eastAsia="仿宋"/>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.交通运输（类）其他交通运输支出（款）其他交通运输支出（项）：支出决算为300.1万元，完成预算</w:t>
      </w:r>
      <w:r>
        <w:rPr>
          <w:rFonts w:hint="eastAsia" w:eastAsia="仿宋_GB2312" w:cs="仿宋_GB2312"/>
          <w:color w:val="auto"/>
          <w:kern w:val="2"/>
          <w:sz w:val="32"/>
          <w:szCs w:val="32"/>
          <w:highlight w:val="none"/>
          <w:lang w:val="en-US" w:eastAsia="zh-CN" w:bidi="ar-SA"/>
        </w:rPr>
        <w:t>38.14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.住房保障支出（类）住房改革支出（款）住房公积金（项）:支出决算为166.68万元，完成预算100%，决算数与预算数持平。</w:t>
      </w:r>
    </w:p>
    <w:p>
      <w:pPr>
        <w:tabs>
          <w:tab w:val="right" w:pos="8306"/>
        </w:tabs>
        <w:spacing w:line="600" w:lineRule="exact"/>
        <w:ind w:firstLine="640"/>
        <w:outlineLvl w:val="1"/>
        <w:rPr>
          <w:rStyle w:val="32"/>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4"/>
      <w:bookmarkEnd w:id="35"/>
      <w:r>
        <w:rPr>
          <w:rStyle w:val="32"/>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3302.14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2298.65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 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其他社会保障缴费、住房公积金、其他工资福利支出、抚恤金、生活补助、奖励金、其他对个人和家庭的补助支出等。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1003.49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物业管理费、差旅费、维修（护）费、会议费、培训费、公务接待费、劳务费、委托业务费、工会经费、福利费、公务用车运行维护费、其他交通费、其他商品和服务支出、办公设备购置等。</w:t>
      </w:r>
    </w:p>
    <w:p>
      <w:pPr>
        <w:spacing w:line="600" w:lineRule="exact"/>
        <w:ind w:firstLine="640"/>
        <w:outlineLvl w:val="1"/>
        <w:rPr>
          <w:rStyle w:val="32"/>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6"/>
      <w:bookmarkEnd w:id="3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87.22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21.61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19.86</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86.93</w:t>
      </w:r>
      <w:r>
        <w:rPr>
          <w:rFonts w:hint="eastAsia" w:ascii="仿宋_GB2312" w:hAnsi="仿宋_GB2312" w:eastAsia="仿宋_GB2312" w:cs="仿宋_GB2312"/>
          <w:color w:val="auto"/>
          <w:kern w:val="2"/>
          <w:sz w:val="32"/>
          <w:szCs w:val="32"/>
          <w:highlight w:val="none"/>
          <w:lang w:val="en-US" w:eastAsia="zh-CN" w:bidi="ar-SA"/>
        </w:rPr>
        <w:t>万元，占99.67%；公务接待费支出决算</w:t>
      </w:r>
      <w:r>
        <w:rPr>
          <w:rFonts w:hint="eastAsia" w:ascii="仿宋_GB2312" w:hAnsi="仿宋_GB2312" w:eastAsia="仿宋_GB2312" w:cs="仿宋_GB2312"/>
          <w:sz w:val="32"/>
          <w:szCs w:val="32"/>
        </w:rPr>
        <w:t>0.29</w:t>
      </w:r>
      <w:r>
        <w:rPr>
          <w:rFonts w:hint="eastAsia" w:ascii="仿宋_GB2312" w:hAnsi="仿宋_GB2312" w:eastAsia="仿宋_GB2312" w:cs="仿宋_GB2312"/>
          <w:color w:val="auto"/>
          <w:kern w:val="2"/>
          <w:sz w:val="32"/>
          <w:szCs w:val="32"/>
          <w:highlight w:val="none"/>
          <w:lang w:val="en-US" w:eastAsia="zh-CN" w:bidi="ar-SA"/>
        </w:rPr>
        <w:t>万元，占0.33%。具体情况如下：</w:t>
      </w:r>
    </w:p>
    <w:p>
      <w:pPr>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5408" behindDoc="0" locked="0" layoutInCell="1" allowOverlap="1">
            <wp:simplePos x="0" y="0"/>
            <wp:positionH relativeFrom="column">
              <wp:posOffset>58420</wp:posOffset>
            </wp:positionH>
            <wp:positionV relativeFrom="paragraph">
              <wp:posOffset>289560</wp:posOffset>
            </wp:positionV>
            <wp:extent cx="5168900" cy="4096385"/>
            <wp:effectExtent l="0" t="0" r="12700" b="18415"/>
            <wp:wrapNone/>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4"/>
                    <a:stretch>
                      <a:fillRect/>
                    </a:stretch>
                  </pic:blipFill>
                  <pic:spPr>
                    <a:xfrm>
                      <a:off x="0" y="0"/>
                      <a:ext cx="5168900" cy="4096385"/>
                    </a:xfrm>
                    <a:prstGeom prst="rect">
                      <a:avLst/>
                    </a:prstGeom>
                    <a:noFill/>
                    <a:ln>
                      <a:noFill/>
                    </a:ln>
                  </pic:spPr>
                </pic:pic>
              </a:graphicData>
            </a:graphic>
          </wp:anchor>
        </w:drawing>
      </w:r>
    </w:p>
    <w:p>
      <w:pPr>
        <w:pStyle w:val="22"/>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22"/>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22"/>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22"/>
        <w:rPr>
          <w:rFonts w:hint="eastAsia" w:ascii="仿宋_GB2312" w:hAnsi="仿宋_GB2312" w:eastAsia="仿宋_GB2312" w:cs="仿宋_GB2312"/>
          <w:color w:val="auto"/>
          <w:kern w:val="2"/>
          <w:sz w:val="32"/>
          <w:szCs w:val="32"/>
          <w:highlight w:val="none"/>
          <w:lang w:val="en-US" w:eastAsia="zh-CN" w:bidi="ar-SA"/>
        </w:rPr>
      </w:pPr>
    </w:p>
    <w:p>
      <w:pPr>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ascii="仿宋" w:hAnsi="仿宋" w:eastAsia="仿宋"/>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86.93万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21.35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19.72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sz w:val="32"/>
          <w:szCs w:val="32"/>
          <w:highlight w:val="none"/>
        </w:rPr>
        <w:t>主要原因是</w:t>
      </w:r>
      <w:r>
        <w:rPr>
          <w:rFonts w:ascii="仿宋_GB2312" w:hAnsi="仿宋_GB2312" w:eastAsia="仿宋_GB2312" w:cs="仿宋_GB2312"/>
          <w:color w:val="000000"/>
          <w:kern w:val="0"/>
          <w:sz w:val="31"/>
          <w:szCs w:val="31"/>
          <w:lang w:bidi="ar"/>
        </w:rPr>
        <w:t>认真贯彻落实党中央、国务院关于过紧日子的要求，厉行节约，从严控制</w:t>
      </w:r>
      <w:r>
        <w:rPr>
          <w:rFonts w:hint="eastAsia" w:ascii="仿宋" w:hAnsi="仿宋" w:eastAsia="仿宋" w:cs="仿宋"/>
          <w:sz w:val="32"/>
          <w:szCs w:val="32"/>
        </w:rPr>
        <w:t>“三公”</w:t>
      </w:r>
      <w:r>
        <w:rPr>
          <w:rFonts w:ascii="仿宋_GB2312" w:hAnsi="仿宋_GB2312" w:eastAsia="仿宋_GB2312" w:cs="仿宋_GB2312"/>
          <w:color w:val="000000"/>
          <w:kern w:val="0"/>
          <w:sz w:val="31"/>
          <w:szCs w:val="31"/>
          <w:lang w:bidi="ar"/>
        </w:rPr>
        <w:t>经费开支</w:t>
      </w:r>
      <w:r>
        <w:rPr>
          <w:rFonts w:hint="eastAsia" w:ascii="仿宋" w:hAnsi="仿宋" w:eastAsia="仿宋" w:cs="仿宋"/>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default"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辆、越野车</w:t>
      </w:r>
      <w:r>
        <w:rPr>
          <w:rFonts w:hint="default"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辆、</w:t>
      </w:r>
      <w:r>
        <w:rPr>
          <w:rFonts w:hint="eastAsia" w:ascii="仿宋" w:hAnsi="仿宋" w:eastAsia="仿宋" w:cs="仿宋"/>
          <w:sz w:val="32"/>
          <w:szCs w:val="32"/>
        </w:rPr>
        <w:t>小型客车</w:t>
      </w:r>
      <w:r>
        <w:rPr>
          <w:rFonts w:hint="default" w:ascii="仿宋" w:hAnsi="仿宋" w:eastAsia="仿宋" w:cs="仿宋"/>
          <w:sz w:val="32"/>
          <w:szCs w:val="32"/>
          <w:lang w:val="en-US"/>
        </w:rPr>
        <w:t>6</w:t>
      </w:r>
      <w:r>
        <w:rPr>
          <w:rFonts w:hint="default" w:ascii="仿宋" w:hAnsi="仿宋" w:eastAsia="仿宋" w:cs="仿宋"/>
          <w:sz w:val="32"/>
          <w:szCs w:val="32"/>
          <w:lang w:val="en-US" w:eastAsia="zh-CN"/>
        </w:rPr>
        <w:t>5</w:t>
      </w:r>
      <w:r>
        <w:rPr>
          <w:rFonts w:hint="eastAsia" w:ascii="仿宋" w:hAnsi="仿宋" w:eastAsia="仿宋" w:cs="仿宋"/>
          <w:sz w:val="32"/>
          <w:szCs w:val="32"/>
          <w:lang w:val="en-US" w:eastAsia="zh-CN"/>
        </w:rPr>
        <w:t>辆、</w:t>
      </w:r>
      <w:r>
        <w:rPr>
          <w:rFonts w:hint="eastAsia" w:ascii="Times New Roman" w:hAnsi="Times New Roman" w:eastAsia="仿宋_GB2312" w:cs="仿宋_GB2312"/>
          <w:color w:val="auto"/>
          <w:kern w:val="2"/>
          <w:sz w:val="32"/>
          <w:szCs w:val="32"/>
          <w:highlight w:val="none"/>
          <w:lang w:val="en-US" w:eastAsia="zh-CN" w:bidi="ar-SA"/>
        </w:rPr>
        <w:t>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lang w:val="en-US" w:eastAsia="zh-CN"/>
        </w:rPr>
        <w:t>其他车型17辆</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86.93</w:t>
      </w:r>
      <w:r>
        <w:rPr>
          <w:rFonts w:hint="eastAsia" w:ascii="Times New Roman" w:hAnsi="Times New Roman" w:eastAsia="仿宋_GB2312" w:cs="仿宋_GB2312"/>
          <w:color w:val="auto"/>
          <w:kern w:val="2"/>
          <w:sz w:val="32"/>
          <w:szCs w:val="32"/>
          <w:highlight w:val="none"/>
          <w:lang w:val="en-US" w:eastAsia="zh-CN" w:bidi="ar-SA"/>
        </w:rPr>
        <w:t>万元。主要用于全市交通运输市场监管，交通公路工程建设及养护管理，水上交通安全监管职责，监督、指导全市经营性道路运输源头安全、公路工程建设和交通企事业单位内部安全，以及完成市委市政府交的各项应急任务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0.29万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47.27</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sz w:val="32"/>
          <w:szCs w:val="32"/>
          <w:highlight w:val="none"/>
        </w:rPr>
        <w:t>主要原因是</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年公务接待批次、人次</w:t>
      </w:r>
      <w:r>
        <w:rPr>
          <w:rFonts w:hint="eastAsia" w:ascii="仿宋" w:hAnsi="仿宋" w:eastAsia="仿宋" w:cs="仿宋"/>
          <w:sz w:val="32"/>
          <w:szCs w:val="32"/>
          <w:lang w:eastAsia="zh-CN"/>
        </w:rPr>
        <w:t>减少</w:t>
      </w:r>
      <w:r>
        <w:rPr>
          <w:rFonts w:hint="eastAsia" w:ascii="仿宋" w:hAnsi="仿宋" w:eastAsia="仿宋" w:cs="仿宋"/>
          <w:sz w:val="32"/>
          <w:szCs w:val="32"/>
        </w:rPr>
        <w:t>。</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0.29</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1.乡村振兴农村物流迎接省级考核接待费0.12万元；2.乐山市交通局、财政局年终绩效考核午餐接待费0.06万元；3.普通国省干线公路路况检查接待费0.03万元；4.国道G245线路况检测评定用餐0.05万元；5.省公路设计院对S308、S429进行路况检测评定工作餐0.03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96610"/>
      <w:bookmarkStart w:id="41" w:name="_Toc15377218"/>
    </w:p>
    <w:p>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0"/>
      <w:bookmarkEnd w:id="41"/>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8512.03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1538.13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22.06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cs="仿宋"/>
          <w:sz w:val="32"/>
          <w:szCs w:val="32"/>
          <w:highlight w:val="none"/>
          <w:lang w:val="en-US" w:eastAsia="zh-CN"/>
        </w:rPr>
        <w:t>本年度</w:t>
      </w:r>
      <w:r>
        <w:rPr>
          <w:rFonts w:hint="eastAsia" w:ascii="Times New Roman" w:hAnsi="Times New Roman" w:eastAsia="仿宋_GB2312" w:cs="仿宋_GB2312"/>
          <w:color w:val="auto"/>
          <w:kern w:val="2"/>
          <w:sz w:val="32"/>
          <w:szCs w:val="32"/>
          <w:highlight w:val="none"/>
          <w:lang w:val="en-US" w:eastAsia="zh-CN" w:bidi="ar-SA"/>
        </w:rPr>
        <w:t>政府性基金预算</w:t>
      </w:r>
      <w:r>
        <w:rPr>
          <w:rFonts w:hint="eastAsia" w:eastAsia="仿宋_GB2312" w:cs="仿宋_GB2312"/>
          <w:color w:val="auto"/>
          <w:kern w:val="2"/>
          <w:sz w:val="32"/>
          <w:szCs w:val="32"/>
          <w:highlight w:val="none"/>
          <w:lang w:val="en-US" w:eastAsia="zh-CN" w:bidi="ar-SA"/>
        </w:rPr>
        <w:t>类</w:t>
      </w:r>
      <w:r>
        <w:rPr>
          <w:rFonts w:hint="eastAsia" w:ascii="仿宋" w:hAnsi="仿宋" w:eastAsia="仿宋" w:cs="仿宋"/>
          <w:sz w:val="32"/>
          <w:szCs w:val="32"/>
          <w:highlight w:val="none"/>
          <w:lang w:val="en-US" w:eastAsia="zh-CN"/>
        </w:rPr>
        <w:t>项目增加</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2" w:name="_Toc15377219"/>
      <w:bookmarkStart w:id="43"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4" w:name="_Toc15377221"/>
      <w:bookmarkStart w:id="45" w:name="_Toc15396612"/>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4"/>
      <w:bookmarkEnd w:id="4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峨眉山市交通运输局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179.2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81.9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84.17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b w:val="0"/>
          <w:bCs w:val="0"/>
          <w:sz w:val="32"/>
          <w:szCs w:val="32"/>
          <w:lang w:eastAsia="zh-CN"/>
        </w:rPr>
        <w:t>各类支出相应增加</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峨眉山市交通运输局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642.69</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125.</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71</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446.4</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540.58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84.11</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281.95</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43.87</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峨眉山市交通运输局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辆、执法执勤用车1辆、特种专业技术用车9辆、其他用车</w:t>
      </w:r>
      <w:r>
        <w:rPr>
          <w:rFonts w:hint="eastAsia" w:ascii="仿宋_GB2312" w:hAnsi="仿宋_GB2312" w:eastAsia="仿宋_GB2312" w:cs="仿宋_GB2312"/>
          <w:sz w:val="32"/>
          <w:szCs w:val="32"/>
        </w:rPr>
        <w:t>18</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hAnsi="仿宋" w:eastAsia="仿宋_GB2312"/>
          <w:sz w:val="32"/>
          <w:szCs w:val="32"/>
        </w:rPr>
        <w:t>全市交通运输市场监管，交通公路工程建设及养护管理，水上交通安全监管，监督、指导全市经营性道路运输源头安全、公路工程建设和交通企事业单位内部安全，以及完成市委市政府交的各项应急任务</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根据预算绩效管理要求，本单位在202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年度预算编制阶段，组织</w:t>
      </w:r>
      <w:r>
        <w:rPr>
          <w:rFonts w:hint="eastAsia" w:ascii="仿宋_GB2312" w:eastAsia="仿宋_GB2312"/>
          <w:sz w:val="32"/>
          <w:szCs w:val="32"/>
          <w:lang w:val="en-US" w:eastAsia="zh-CN"/>
        </w:rPr>
        <w:t>川桃路等三条公路日常养护服务项目、公交成本监审运营补贴、交通重点建设项目工程费用、高铁峨眉山站安保服务项目、</w:t>
      </w:r>
      <w:r>
        <w:rPr>
          <w:rFonts w:hint="eastAsia" w:ascii="仿宋_GB2312" w:eastAsia="仿宋_GB2312"/>
          <w:sz w:val="32"/>
          <w:szCs w:val="32"/>
        </w:rPr>
        <w:t>交通工程项目质量安全监督业务经费</w:t>
      </w:r>
      <w:r>
        <w:rPr>
          <w:rFonts w:hint="eastAsia" w:ascii="仿宋_GB2312" w:eastAsia="仿宋_GB2312"/>
          <w:sz w:val="32"/>
          <w:szCs w:val="32"/>
          <w:lang w:eastAsia="zh-CN"/>
        </w:rPr>
        <w:t>、</w:t>
      </w:r>
      <w:r>
        <w:rPr>
          <w:rFonts w:hint="eastAsia" w:ascii="仿宋" w:hAnsi="仿宋" w:eastAsia="仿宋" w:cs="仿宋"/>
          <w:sz w:val="32"/>
          <w:szCs w:val="32"/>
        </w:rPr>
        <w:t>对扫地车、洒水车运行费，公路建设项目工程费用，农村公路管理养护资金</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val="en-US" w:eastAsia="zh-CN"/>
        </w:rPr>
        <w:t>25</w:t>
      </w:r>
      <w:r>
        <w:rPr>
          <w:rFonts w:hint="eastAsia" w:ascii="仿宋_GB2312" w:eastAsia="仿宋_GB2312"/>
          <w:sz w:val="32"/>
          <w:szCs w:val="32"/>
          <w:highlight w:val="none"/>
        </w:rPr>
        <w:t>个项目开展了预算事前绩效评估，对</w:t>
      </w:r>
      <w:r>
        <w:rPr>
          <w:rFonts w:hint="eastAsia" w:ascii="仿宋_GB2312" w:eastAsia="仿宋_GB2312"/>
          <w:sz w:val="32"/>
          <w:szCs w:val="32"/>
          <w:highlight w:val="none"/>
          <w:lang w:val="en-US" w:eastAsia="zh-CN"/>
        </w:rPr>
        <w:t>37</w:t>
      </w:r>
      <w:r>
        <w:rPr>
          <w:rFonts w:hint="eastAsia" w:ascii="仿宋_GB2312" w:eastAsia="仿宋_GB2312"/>
          <w:sz w:val="32"/>
          <w:szCs w:val="32"/>
          <w:highlight w:val="none"/>
        </w:rPr>
        <w:t>个项目编制了绩效目标，预算执行过程中，选取</w:t>
      </w:r>
      <w:r>
        <w:rPr>
          <w:rFonts w:hint="eastAsia" w:ascii="仿宋_GB2312" w:eastAsia="仿宋_GB2312"/>
          <w:sz w:val="32"/>
          <w:szCs w:val="32"/>
          <w:highlight w:val="none"/>
          <w:lang w:val="en-US" w:eastAsia="zh-CN"/>
        </w:rPr>
        <w:t>37</w:t>
      </w:r>
      <w:r>
        <w:rPr>
          <w:rFonts w:hint="eastAsia" w:ascii="仿宋_GB2312" w:eastAsia="仿宋_GB2312"/>
          <w:sz w:val="32"/>
          <w:szCs w:val="32"/>
          <w:highlight w:val="none"/>
        </w:rPr>
        <w:t>个项目开展绩效监控，组织对</w:t>
      </w:r>
      <w:r>
        <w:rPr>
          <w:rFonts w:hint="eastAsia" w:ascii="仿宋_GB2312" w:eastAsia="仿宋_GB2312"/>
          <w:sz w:val="32"/>
          <w:szCs w:val="32"/>
          <w:highlight w:val="none"/>
          <w:lang w:val="en-US" w:eastAsia="zh-CN"/>
        </w:rPr>
        <w:t>37</w:t>
      </w:r>
      <w:r>
        <w:rPr>
          <w:rFonts w:hint="eastAsia" w:ascii="仿宋_GB2312" w:eastAsia="仿宋_GB2312"/>
          <w:sz w:val="32"/>
          <w:szCs w:val="32"/>
          <w:highlight w:val="none"/>
        </w:rPr>
        <w:t>个项目开展绩效自评，绩效自评表详见第四部分附件。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（类）行政事业单位养老支（款）机关事业单位基本养老保险缴费支出（项）：指机关事业单位实施养老保险制度由单位缴纳的基本养老保险费支出。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（类）行政事业单位养老支（款）机关事业单位职业年金缴费支出（项）:指机关事业单位实施养老保险制度由单位实际缴纳的职业年金支出</w:t>
      </w:r>
      <w:r>
        <w:rPr>
          <w:rFonts w:hint="eastAsia" w:eastAsia="仿宋_GB2312" w:cs="仿宋_GB2312"/>
          <w:color w:val="auto"/>
          <w:kern w:val="2"/>
          <w:sz w:val="32"/>
          <w:szCs w:val="32"/>
          <w:highlight w:val="none"/>
          <w:lang w:val="en-US" w:eastAsia="zh-CN" w:bidi="ar-SA"/>
        </w:rPr>
        <w:t>（含职业年金补记支出）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（类）抚恤（款）死亡抚恤（项）: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按规定用于烈士和牺牲、病故人员家属的一次性和定期抚恤金以及丧葬补助费</w:t>
      </w:r>
      <w:r>
        <w:rPr>
          <w:rFonts w:hint="eastAsia" w:eastAsia="仿宋_GB2312" w:cs="仿宋_GB2312"/>
          <w:color w:val="auto"/>
          <w:kern w:val="2"/>
          <w:sz w:val="32"/>
          <w:szCs w:val="32"/>
          <w:highlight w:val="none"/>
          <w:lang w:val="en-US" w:eastAsia="zh-CN" w:bidi="ar-SA"/>
        </w:rPr>
        <w:t>以及烈士褒扬金</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（类）抚恤（款）其他优抚支出（项）: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其他用于优抚方面的支出，</w:t>
      </w:r>
      <w:r>
        <w:rPr>
          <w:rFonts w:hint="eastAsia" w:ascii="仿宋_GB2312" w:hAnsi="仿宋_GB2312" w:eastAsia="仿宋_GB2312" w:cs="仿宋_GB2312"/>
          <w:sz w:val="32"/>
          <w:szCs w:val="32"/>
        </w:rPr>
        <w:t>包括向优抚对象发放的价格临时补贴、老烈士子女、老党员定期生活补助支出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（类）其他社会保障和就业支出（款）其他社会保障和就业支出（项）:指其他用于社会保障和就业方面的支出。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财政部门安排的行政单位（包括实行公务员管理的事业单位，下同）基本医疗保险缴费经费，未参加医疗保险的行政单位的公费医疗经费，按国家规定享受离退休人员、红军老战士待遇人员的医疗经费。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 xml:space="preserve">（类）行政事业单位医疗（款）事业单位医疗（项）: </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财政部门安排的事业单位基本医疗保险缴费经费，未参加医疗保险的事业单位的公费医疗经费，按国家规定享受离休人员待遇的医疗经费。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（类）行政事业单位医疗（款）公务员医疗补助（项）:</w:t>
      </w:r>
      <w:r>
        <w:rPr>
          <w:rFonts w:hint="eastAsia" w:ascii="仿宋_GB2312" w:hAnsi="仿宋_GB2312" w:eastAsia="仿宋_GB2312" w:cs="仿宋_GB2312"/>
          <w:sz w:val="32"/>
          <w:szCs w:val="32"/>
        </w:rPr>
        <w:t>指财政部门安排的公务员医疗补助经费</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城乡社区支出（类）国有土地使用权出让收入安排的支出（款）征地和拆迁补偿支出（项）：指新疆生产建设兵团和地方政府在征地和收购土地过程中支付的土地补偿费、安置补助费、地上附着和青苗补偿费、拆迁补偿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.城乡社区支出（类）国有土地使用权出让收入安排的支出（款）土地开发支出（项）：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新疆生产建设兵团和地方政府用于前期土地开发性支出以及与前期土地开发相关的费用等支出。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.城乡社区支出（类）国有土地使用权出让收入安排的支出（款）农村基础设施建设支出（项）：指土地出让收入用于农村供水保障、村庄公共设施建设和管护以及与农业农村直接相关的以工代赈等方面的支出。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.城乡社区支出（类）国有土地使用权出让收入安排的支出（款）其他国有土地使用权出让收入安排的支出（项）：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土地出让收入用于其他方面的支出。不包括市县级政府当年按规定用于土地出让收入向中央和省级政府缴纳的新增建设用地土地有偿使用费的支出。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.农林水支出（类）巩固脱贫攻坚成果衔接乡村振兴（款）其他巩固脱贫攻坚成果衔接乡村振兴支出（项）指其他用于巩固拓展脱贫攻坚成果同乡村振兴有效衔接方面的支出。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.交通运输支出（类）公路水路运输（款）行政运行（项）：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与公路、水路运输相关的行政单</w:t>
      </w:r>
      <w:r>
        <w:rPr>
          <w:rFonts w:hint="eastAsia" w:eastAsia="仿宋_GB2312" w:cs="仿宋_GB2312"/>
          <w:color w:val="auto"/>
          <w:kern w:val="2"/>
          <w:sz w:val="32"/>
          <w:szCs w:val="32"/>
          <w:highlight w:val="none"/>
          <w:lang w:val="en-US" w:eastAsia="zh-CN" w:bidi="ar-SA"/>
        </w:rPr>
        <w:t>位</w:t>
      </w:r>
      <w:r>
        <w:rPr>
          <w:rFonts w:hint="eastAsia" w:ascii="Times New Roman" w:hAnsi="Times New Roman" w:eastAsia="仿宋_GB2312" w:cs="仿宋_GB2312"/>
          <w:color w:val="auto"/>
          <w:kern w:val="2"/>
          <w:sz w:val="32"/>
          <w:szCs w:val="32"/>
          <w:highlight w:val="none"/>
          <w:lang w:val="en-US" w:eastAsia="zh-CN" w:bidi="ar-SA"/>
        </w:rPr>
        <w:t>（包括实行公务员管理的事业单位）的基本支出。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.交通运输支出（类）公路水路运输（款）一般行政管理事务（项）：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行政单位（包括实行公务员管理的事业单位）未单独设置项级科目的其他项目支出。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.交通运输支出（类）公路水路运输（款）公路建设（项）：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新建公路支出，公路改建支出，特大型桥梁建设支出，公路客货运站（场）建设支出。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.交通运输支出（类）公路水路运输（款）公路养护（项）：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公路养护支出。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.交通运输支出（类）公路水路运输（款）公路运输管理（项）：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公路运输管理支出和公路路政管理支出。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.交通运输支出（类）公路水路运输（款）其他公路水路运输支出（项）：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除上述项目以外其他用于公路水路运输方面的支出。</w:t>
      </w:r>
    </w:p>
    <w:p>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.交通运输支出（类）其他交通运输支出（款）公共交通运营补助（项）：</w:t>
      </w:r>
      <w:r>
        <w:rPr>
          <w:rFonts w:hint="eastAsia" w:eastAsia="仿宋_GB2312" w:cs="仿宋_GB2312"/>
          <w:color w:val="auto"/>
          <w:kern w:val="2"/>
          <w:sz w:val="32"/>
          <w:szCs w:val="32"/>
          <w:highlight w:val="none"/>
          <w:lang w:val="en-US" w:eastAsia="zh-CN" w:bidi="ar-SA"/>
        </w:rPr>
        <w:t>指对公共交通运输企业的补助支出。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.交通运输支出（类）其他交通运输支出（款）其他交通运输支出（项）：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其他交通运输支出中除对公共交通运营补助以外的其他支出。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.资源勘探工业信息等支出（类）超长期特别国债安排的支出（款）制造业（项）：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使用超长期特别国债收人安排的纺织、轻工、化工、医药、机械、冶炼、建材、交通运输设备、烟草、兵器、核工、航空、航天、船舶、电子及通讯设备等制造业支出。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.住房保障（类）住房改革支出（款）住房公积金（项）:指行政事业单位按人力资源和社会保障部、财政部规定的基本工资和津贴补贴以及规定比例为职工缴纳的住房公积金。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.其他支出（类）其他政府性基金及对应专项债务收入安排的支出（款）其他地方自行试点项目收益专项债券收入安排的支出（项）：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其他地方自行试点项目收益专项偿券收入安排的支出。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37</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spacing w:line="600" w:lineRule="exact"/>
        <w:jc w:val="center"/>
        <w:rPr>
          <w:rStyle w:val="31"/>
          <w:rFonts w:hint="eastAsia" w:ascii="Times New Roman" w:hAnsi="Times New Roman" w:eastAsia="黑体"/>
          <w:b w:val="0"/>
          <w:color w:val="auto"/>
          <w:highlight w:val="none"/>
          <w:lang w:eastAsia="zh-CN"/>
        </w:rPr>
      </w:pPr>
      <w:bookmarkStart w:id="51" w:name="_Toc15396614"/>
      <w:bookmarkStart w:id="52"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widowControl/>
        <w:spacing w:line="540" w:lineRule="exact"/>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峨眉山市交通运输局（</w:t>
      </w:r>
      <w:r>
        <w:rPr>
          <w:rFonts w:hint="eastAsia" w:ascii="宋体" w:hAnsi="宋体" w:eastAsia="宋体"/>
          <w:b/>
          <w:sz w:val="44"/>
          <w:szCs w:val="44"/>
          <w:shd w:val="clear" w:color="auto" w:fill="FFFFFF"/>
          <w:lang w:val="en-US" w:eastAsia="zh-CN"/>
        </w:rPr>
        <w:t>汇总</w:t>
      </w:r>
      <w:r>
        <w:rPr>
          <w:rFonts w:hint="eastAsia" w:ascii="宋体" w:hAnsi="宋体" w:eastAsia="宋体"/>
          <w:b/>
          <w:sz w:val="44"/>
          <w:szCs w:val="44"/>
          <w:shd w:val="clear" w:color="auto" w:fill="FFFFFF"/>
        </w:rPr>
        <w:t>）</w:t>
      </w:r>
    </w:p>
    <w:p>
      <w:pPr>
        <w:widowControl/>
        <w:spacing w:line="540" w:lineRule="exact"/>
        <w:jc w:val="center"/>
        <w:rPr>
          <w:rFonts w:hint="eastAsia" w:ascii="宋体" w:hAnsi="宋体" w:eastAsia="宋体"/>
          <w:b/>
          <w:sz w:val="44"/>
          <w:szCs w:val="44"/>
          <w:shd w:val="clear" w:color="auto" w:fill="FFFFFF"/>
        </w:rPr>
      </w:pPr>
      <w:r>
        <w:rPr>
          <w:rFonts w:ascii="宋体" w:hAnsi="宋体" w:eastAsia="宋体"/>
          <w:b/>
          <w:sz w:val="44"/>
          <w:szCs w:val="44"/>
          <w:shd w:val="clear" w:color="auto" w:fill="FFFFFF"/>
        </w:rPr>
        <w:t>202</w:t>
      </w:r>
      <w:r>
        <w:rPr>
          <w:rFonts w:hint="eastAsia" w:ascii="宋体" w:hAnsi="宋体" w:eastAsia="宋体"/>
          <w:b/>
          <w:sz w:val="44"/>
          <w:szCs w:val="44"/>
          <w:shd w:val="clear" w:color="auto" w:fill="FFFFFF"/>
          <w:lang w:val="en-US" w:eastAsia="zh-CN"/>
        </w:rPr>
        <w:t>4</w:t>
      </w:r>
      <w:r>
        <w:rPr>
          <w:rFonts w:hint="eastAsia" w:ascii="宋体" w:hAnsi="宋体" w:eastAsia="宋体"/>
          <w:b/>
          <w:sz w:val="44"/>
          <w:szCs w:val="44"/>
          <w:shd w:val="clear" w:color="auto" w:fill="FFFFFF"/>
        </w:rPr>
        <w:t>年部门整体支出绩效评价报告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widowControl/>
        <w:adjustRightInd w:val="0"/>
        <w:snapToGrid w:val="0"/>
        <w:spacing w:line="360" w:lineRule="auto"/>
        <w:ind w:firstLine="640" w:firstLineChars="200"/>
        <w:jc w:val="left"/>
        <w:rPr>
          <w:rFonts w:hint="default" w:ascii="黑体" w:hAnsi="宋体" w:eastAsia="黑体" w:cs="宋体"/>
          <w:color w:val="000000"/>
          <w:kern w:val="0"/>
          <w:sz w:val="32"/>
          <w:szCs w:val="32"/>
          <w:shd w:val="clear" w:color="auto" w:fill="FFFFFF"/>
          <w:lang w:val="en-US" w:eastAsia="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w:t>
      </w:r>
      <w:r>
        <w:rPr>
          <w:rFonts w:hint="eastAsia" w:ascii="黑体" w:hAnsi="宋体" w:eastAsia="黑体" w:cs="宋体"/>
          <w:color w:val="000000"/>
          <w:kern w:val="0"/>
          <w:sz w:val="32"/>
          <w:szCs w:val="32"/>
          <w:shd w:val="clear" w:color="auto" w:fill="FFFFFF"/>
          <w:lang w:val="en-US" w:eastAsia="zh-CN"/>
        </w:rPr>
        <w:t>基本情况</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（一）机构组成。</w:t>
      </w:r>
    </w:p>
    <w:p>
      <w:pPr>
        <w:spacing w:line="360" w:lineRule="auto"/>
        <w:ind w:firstLine="640" w:firstLineChars="200"/>
        <w:rPr>
          <w:rFonts w:ascii="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2024年峨眉山市交通运输局下属二级预算单位3个，其中参照公务员法管理的事业单位1个（峨眉山市铁路服务中心），其他事业单位2个（峨眉山市交通建设和运输中心、峨眉山市交通工程质量安全中心）。</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（二）机构职能。</w:t>
      </w:r>
    </w:p>
    <w:p>
      <w:pPr>
        <w:snapToGrid w:val="0"/>
        <w:spacing w:line="360" w:lineRule="auto"/>
        <w:ind w:firstLine="640" w:firstLineChars="200"/>
        <w:rPr>
          <w:rFonts w:hint="eastAsia" w:ascii="仿宋_GB2312" w:hAnsi="仿宋"/>
          <w:sz w:val="32"/>
          <w:szCs w:val="32"/>
        </w:rPr>
      </w:pPr>
      <w:r>
        <w:rPr>
          <w:rFonts w:hint="eastAsia" w:ascii="Times New Roman" w:hAnsi="Times New Roman" w:eastAsia="仿宋_GB2312" w:cs="仿宋_GB2312"/>
          <w:color w:val="auto"/>
          <w:kern w:val="2"/>
          <w:sz w:val="32"/>
          <w:szCs w:val="32"/>
          <w:highlight w:val="none"/>
          <w:lang w:val="en-US" w:eastAsia="zh-CN" w:bidi="ar-SA"/>
        </w:rPr>
        <w:t>峨眉山市交通运输局主要职能为贯彻执行国家有关交通运输行业方针、政策和法律、法规、规章，研究拟定全市交通运输行业的规范性文件和政策措施；负责本系统、本部门行政执法工作，落实行政执法责任制；指导交通行业有关体制改革工作。组织拟定全市运输业和物流业发展规划并组织实施。承担全市交通运输市场监管责任；承担交通建设市场的监管责任；承担水上交通安全监管职责；负责贯彻执行国家和省有关交通科技政策；监督、指导全市经营性道路运输源头安全、公路工程建设及养护和交通企事业单位内部安全，督促法人安全责任制的落实；负责编制交通行业预决算并监督执行；负责交通有关涉外工作；承担市人民政府交通战备、保护通信线路和大件运输管理及有关行政审批事项。</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（三）人员概况。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峨眉山市交通运输局局机关设办公室、规划股、运管股、安办、工程股（农建办）等股室。2024年末全系统在职人员共计117人，行政人员17，参照公务员法管理事业人员5人，机关事业工人1人，非参公事业人员93人,其他人员1人。年末遗属26人。</w:t>
      </w:r>
    </w:p>
    <w:p>
      <w:pPr>
        <w:widowControl/>
        <w:adjustRightInd w:val="0"/>
        <w:snapToGrid w:val="0"/>
        <w:spacing w:line="360" w:lineRule="auto"/>
        <w:ind w:firstLine="640" w:firstLineChars="200"/>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二、部门资金收支情况</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（一）收入情况。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2024年峨眉山市交通运输局本年预算收入合计54104.41万元，一般公共预算财政拨款收入44856.58万元，占82.91%；政府性基金预算财政拨款收入9247.83万元，占17.09%。</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（二）支出情况。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2024年峨眉山市交通运输局本年预算支出合计54104.51万元，其中：基本支3302.24万元（人员经费2298.65万元，公用经费1003.59万元），项目支出50802.27万元。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2024年峨眉山市交通运输局本年决算支出合计21660.37万元，基本支出3302.14万元（人员经费2298.65万元，公用经费1003.49万元），占15.25%；项目支出18358.23万元，占84.75%。</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w:t>
      </w:r>
      <w:r>
        <w:rPr>
          <w:rFonts w:hint="eastAsia" w:ascii="Times New Roman" w:hAnsi="Times New Roman" w:eastAsia="楷体_GB2312" w:cs="楷体_GB2312"/>
          <w:b/>
          <w:color w:val="auto"/>
          <w:sz w:val="32"/>
          <w:szCs w:val="32"/>
          <w:highlight w:val="none"/>
          <w:lang w:eastAsia="zh-CN"/>
        </w:rPr>
        <w:t>三</w:t>
      </w:r>
      <w:r>
        <w:rPr>
          <w:rFonts w:hint="eastAsia" w:ascii="Times New Roman" w:hAnsi="Times New Roman" w:eastAsia="楷体_GB2312" w:cs="楷体_GB2312"/>
          <w:b/>
          <w:color w:val="auto"/>
          <w:sz w:val="32"/>
          <w:szCs w:val="32"/>
          <w:highlight w:val="none"/>
        </w:rPr>
        <w:t>）</w:t>
      </w:r>
      <w:r>
        <w:rPr>
          <w:rFonts w:hint="eastAsia" w:ascii="Times New Roman" w:hAnsi="Times New Roman" w:eastAsia="楷体_GB2312" w:cs="楷体_GB2312"/>
          <w:b/>
          <w:color w:val="auto"/>
          <w:sz w:val="32"/>
          <w:szCs w:val="32"/>
          <w:highlight w:val="none"/>
          <w:lang w:val="en-US" w:eastAsia="zh-CN"/>
        </w:rPr>
        <w:t>结余分配和结转结余情况</w:t>
      </w:r>
      <w:r>
        <w:rPr>
          <w:rFonts w:hint="eastAsia" w:ascii="Times New Roman" w:hAnsi="Times New Roman" w:eastAsia="楷体_GB2312" w:cs="楷体_GB2312"/>
          <w:b/>
          <w:color w:val="auto"/>
          <w:sz w:val="32"/>
          <w:szCs w:val="32"/>
          <w:highlight w:val="none"/>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峨眉山市交通运输局2024年决算报表结转结余资金0.1万元，全部为非财政拨款基本支出结转结余资金。</w:t>
      </w:r>
    </w:p>
    <w:p>
      <w:pPr>
        <w:widowControl/>
        <w:adjustRightInd w:val="0"/>
        <w:snapToGrid w:val="0"/>
        <w:spacing w:line="360" w:lineRule="auto"/>
        <w:ind w:firstLine="640" w:firstLineChars="200"/>
        <w:jc w:val="left"/>
        <w:rPr>
          <w:rFonts w:hint="eastAsia" w:ascii="黑体" w:hAnsi="宋体" w:eastAsia="黑体" w:cs="宋体"/>
          <w:color w:val="000000"/>
          <w:kern w:val="0"/>
          <w:sz w:val="32"/>
          <w:szCs w:val="32"/>
          <w:shd w:val="clear" w:color="auto" w:fill="FFFFFF"/>
          <w:lang w:val="en-US" w:eastAsia="zh-CN"/>
        </w:rPr>
      </w:pPr>
      <w:r>
        <w:rPr>
          <w:rFonts w:hint="eastAsia" w:ascii="黑体" w:hAnsi="宋体" w:eastAsia="黑体" w:cs="宋体"/>
          <w:color w:val="000000"/>
          <w:kern w:val="0"/>
          <w:sz w:val="32"/>
          <w:szCs w:val="32"/>
          <w:shd w:val="clear" w:color="auto" w:fill="FFFFFF"/>
        </w:rPr>
        <w:t>三、部门预算绩效</w:t>
      </w:r>
      <w:r>
        <w:rPr>
          <w:rFonts w:hint="eastAsia" w:ascii="黑体" w:hAnsi="宋体" w:eastAsia="黑体" w:cs="宋体"/>
          <w:color w:val="000000"/>
          <w:kern w:val="0"/>
          <w:sz w:val="32"/>
          <w:szCs w:val="32"/>
          <w:shd w:val="clear" w:color="auto" w:fill="FFFFFF"/>
          <w:lang w:val="en-US" w:eastAsia="zh-CN"/>
        </w:rPr>
        <w:t>分析</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eastAsia="zh-CN"/>
        </w:rPr>
      </w:pPr>
      <w:bookmarkStart w:id="53" w:name="_Toc22511"/>
      <w:bookmarkStart w:id="54" w:name="_Toc20963"/>
      <w:r>
        <w:rPr>
          <w:rFonts w:hint="eastAsia" w:ascii="Times New Roman" w:hAnsi="Times New Roman" w:eastAsia="楷体_GB2312" w:cs="楷体_GB2312"/>
          <w:b/>
          <w:color w:val="auto"/>
          <w:sz w:val="32"/>
          <w:szCs w:val="32"/>
          <w:highlight w:val="none"/>
          <w:lang w:val="zh-CN" w:eastAsia="zh-CN"/>
        </w:rPr>
        <w:t>（一）部门预算</w:t>
      </w:r>
      <w:r>
        <w:rPr>
          <w:rFonts w:hint="eastAsia" w:ascii="Times New Roman" w:hAnsi="Times New Roman" w:eastAsia="楷体_GB2312" w:cs="楷体_GB2312"/>
          <w:b/>
          <w:color w:val="auto"/>
          <w:sz w:val="32"/>
          <w:szCs w:val="32"/>
          <w:highlight w:val="none"/>
          <w:lang w:val="en-US" w:eastAsia="zh-CN"/>
        </w:rPr>
        <w:t>总体</w:t>
      </w:r>
      <w:r>
        <w:rPr>
          <w:rFonts w:hint="eastAsia" w:ascii="Times New Roman" w:hAnsi="Times New Roman" w:eastAsia="楷体_GB2312" w:cs="楷体_GB2312"/>
          <w:b/>
          <w:color w:val="auto"/>
          <w:sz w:val="32"/>
          <w:szCs w:val="32"/>
          <w:highlight w:val="none"/>
          <w:lang w:val="zh-CN" w:eastAsia="zh-CN"/>
        </w:rPr>
        <w:t>绩效</w:t>
      </w:r>
      <w:bookmarkEnd w:id="53"/>
      <w:bookmarkEnd w:id="54"/>
      <w:r>
        <w:rPr>
          <w:rFonts w:hint="eastAsia" w:ascii="Times New Roman" w:hAnsi="Times New Roman" w:eastAsia="楷体_GB2312" w:cs="楷体_GB2312"/>
          <w:b/>
          <w:color w:val="auto"/>
          <w:sz w:val="32"/>
          <w:szCs w:val="32"/>
          <w:highlight w:val="none"/>
          <w:lang w:val="en-US" w:eastAsia="zh-CN"/>
        </w:rPr>
        <w:t>分析</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1.履职效能。</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建设。我局2024年交通项目固定资产投资目标任务为6.06亿元，截至12月底完成固定资产投资7.3479亿元.任务完成率100%。新入库旅游化改造项目2个，入库总投资为0.56亿元，分别为S308/Y005峨眉山市峨山街道至洪雅界段旅游化改造项目、X141峨洪路杨岗至洪雅界段旅游化改造项目，目前均在稳步推进前期工作。</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道路养护管理。一是着力推进农村路网建设。加快推进幸福美丽乡村路建设。建成道路33公里，超额完成省下达目标，完成投资3.1688亿元。二是优化农村公路管理。开展农村公路次差路整治，完成全市次差农村公路整治31.743公里，超额完成省下23.136公里整治任务，完成率137.2%。农村道路113公里养护全覆盖，及时派遣专业机构和人员指导帮助各乡镇（街道）开展涉路安全隐患整治，农村公路优良中等率持续不低于85%。三是全力推进国省干线路网管理。开展道路隐患排查整治，累计清理管养道路零星水毁塌方约2000余立方米，两次抢通川桃路山体塌方断道；持续开展公路“八清”行动和道路常态化扬尘防治，清除道路积尘和垃圾；扎实开展全市道路交通安全整治攻坚专项行动、九里片区扬尘治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运输、驾培、维修市场管理。解决群众各类诉求400余件，稳步推进全市巡游出租汽车运价调整改革，推进“阳光维修、放心消费”维修体系建设，积极宣传贯彻市委市政府“五经普”精神，走访、宣传指导客货运输企业“五经普”填报500余家次，圆满完成了我市交通运输领域第五次全国经济普查任务。二是加强水上运输管理，组织全市航运企业安全员、船员及管船员集中开展安全教育和法制培训，持续推进龙门沟停泊区升级改造、观音湖“平安渡运”智能化监管系统建设项目项目相关事宜。三是加强寄递物流监管。持续开展快递进村普查工作、快递进村、128个村网站照片及信息录入工作，村级寄递物流综合服务站录入覆盖率达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安全管理。一是组织召开安全工作相关会议30余次，结合省、市周调度会及时传达上级安全文件精神和事故通报；组织系统观看各类安全警示教育片，提高交通运输系统安全意识;开展现场消防实战演练2次，提升消防应急能力。二是加强交通在建项目安全检查。督促企业加强施工临时用电安全、警示标志标牌、高填深挖、高边坡作业、滑坡、沉降区域观测等，建立隐患台账，加强动态管理等工作，发现并整改安全隐患19个。三是强化交通项目质量监管。召开项目开工前监督交底会、质量问题约谈会、施工进度协调会等30余次；对负责质量监管的所有项目开展了综合检查、施工前期专项检查、汛期安全专项检查、安全专项检查等。四是加强铁路沿线安全环境综合治理。联合乡镇、护路办等部门对影响铁路运行段树木、竹子、轻漂浮物等进行全面治理，解决了铁路沿线安全隐患。</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2.预算管理。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单位在预算绩效管理工作领导小组的领导下，对绩效目标的合理性、覆盖率和绩效指标的明确性都有具体的研究和指导，保证了预算编制的科学性和合理性，绩效目标填报的完整性和可行性，绩效目标过程监控的规范性和长效性，绩效评价的客观性和公正性。结合新《预算法》有关预算管理的要求，坚持财务收支两条线的科学化管理方法，所有收入全部纳入部门预算、单位财务账目统一管理核算。所有支出遵循先有预算、后有支出的原则，有效杜绝了超预算或无预算安排支出。坚持“量入为出，量力而行”，确保收支平衡；按照中央八项规定和“六项禁令”的要求，严控“三公”经费及其他商品服务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3.财务管理。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是不断进行完善和修订财务管理制度，制定了《峨眉山市交通运输局财务管理制度》（峨交发〔2024〕48号），部门资金使用是否符合相关财务管理制度规定。二是加强支出管理。严格控制“三公”经费。公务接待严格执行招待费开支范围、开支标准的有关规定，严格接待规格和控制陪餐人数，“三公”经费较好地控制在预算范围之内。三是严格遵守报账程序。加强资金的使用管理，坚持经费开支报批审核一支笔。经费报销严格执行审批报销程序和报账手续，注重经费支出的必要性和有效性审核，没有必要的事项和成效不大事项尽量不开支，超预算、超标准、超范围、无政策依据的经费不予支出，有效保证了单位预算执行规范有序。</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4.资产管理。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局严格加强资产的管理，制定了《峨眉山市交通运输局政府采购管理内部控制管理制度》，明确资产具体责任人，完善固定资产档案，做好资产清查，严格执行资产购置、处置等手续，做好资产登记工作，做到账实相符，严禁出现资产未纳入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5.采购管理。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局始终严格执行政府采购促进中小企业发展相关管理办法，并制定了《峨眉山市交通运输局政府采购管理制度》，对适宜由中小企业提供的采购项目和采购包，预留采购份额专门面向中小企业采购，并在采购预算中单独列示，在采购目标的对象选择上倾向于中小企业，采购执行率达到100%。</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w:t>
      </w:r>
      <w:r>
        <w:rPr>
          <w:rFonts w:hint="eastAsia" w:ascii="Times New Roman" w:hAnsi="Times New Roman" w:eastAsia="楷体_GB2312" w:cs="楷体_GB2312"/>
          <w:b/>
          <w:color w:val="auto"/>
          <w:sz w:val="32"/>
          <w:szCs w:val="32"/>
          <w:highlight w:val="none"/>
          <w:lang w:val="en-US" w:eastAsia="zh-CN"/>
        </w:rPr>
        <w:t>二</w:t>
      </w:r>
      <w:r>
        <w:rPr>
          <w:rFonts w:hint="eastAsia" w:ascii="Times New Roman" w:hAnsi="Times New Roman" w:eastAsia="楷体_GB2312" w:cs="楷体_GB2312"/>
          <w:b/>
          <w:color w:val="auto"/>
          <w:sz w:val="32"/>
          <w:szCs w:val="32"/>
          <w:highlight w:val="none"/>
          <w:lang w:val="zh-CN" w:eastAsia="zh-CN"/>
        </w:rPr>
        <w:t>）部门预算</w:t>
      </w:r>
      <w:r>
        <w:rPr>
          <w:rFonts w:hint="eastAsia" w:ascii="Times New Roman" w:hAnsi="Times New Roman" w:eastAsia="楷体_GB2312" w:cs="楷体_GB2312"/>
          <w:b/>
          <w:color w:val="auto"/>
          <w:sz w:val="32"/>
          <w:szCs w:val="32"/>
          <w:highlight w:val="none"/>
          <w:lang w:val="en-US" w:eastAsia="zh-CN"/>
        </w:rPr>
        <w:t>项目</w:t>
      </w:r>
      <w:r>
        <w:rPr>
          <w:rFonts w:hint="eastAsia" w:ascii="Times New Roman" w:hAnsi="Times New Roman" w:eastAsia="楷体_GB2312" w:cs="楷体_GB2312"/>
          <w:b/>
          <w:color w:val="auto"/>
          <w:sz w:val="32"/>
          <w:szCs w:val="32"/>
          <w:highlight w:val="none"/>
          <w:lang w:val="zh-CN" w:eastAsia="zh-CN"/>
        </w:rPr>
        <w:t>绩效</w:t>
      </w:r>
      <w:r>
        <w:rPr>
          <w:rFonts w:hint="eastAsia" w:ascii="Times New Roman" w:hAnsi="Times New Roman" w:eastAsia="楷体_GB2312" w:cs="楷体_GB2312"/>
          <w:b/>
          <w:color w:val="auto"/>
          <w:sz w:val="32"/>
          <w:szCs w:val="32"/>
          <w:highlight w:val="none"/>
          <w:lang w:val="en-US" w:eastAsia="zh-CN"/>
        </w:rPr>
        <w:t>分析</w:t>
      </w:r>
    </w:p>
    <w:p>
      <w:pPr>
        <w:snapToGrid w:val="0"/>
        <w:spacing w:line="360" w:lineRule="auto"/>
        <w:ind w:firstLine="643" w:firstLineChars="200"/>
        <w:rPr>
          <w:rFonts w:hint="default" w:ascii="Times New Roman" w:hAnsi="Times New Roman" w:eastAsia="仿宋_GB2312" w:cs="仿宋_GB2312"/>
          <w:color w:val="auto"/>
          <w:kern w:val="2"/>
          <w:sz w:val="32"/>
          <w:szCs w:val="32"/>
          <w:highlight w:val="none"/>
          <w:lang w:val="en-US" w:eastAsia="zh-CN" w:bidi="ar-SA"/>
        </w:rPr>
      </w:pPr>
      <w:bookmarkStart w:id="55" w:name="_Toc15723"/>
      <w:r>
        <w:rPr>
          <w:rFonts w:hint="eastAsia" w:ascii="仿宋_GB2312" w:hAnsi="Times New Roman" w:cs="Times New Roman"/>
          <w:b/>
          <w:bCs/>
          <w:color w:val="auto"/>
          <w:sz w:val="32"/>
          <w:szCs w:val="32"/>
          <w:lang w:val="en-US" w:eastAsia="zh-CN"/>
        </w:rPr>
        <w:t>A、常年项目绩效分析。</w:t>
      </w:r>
      <w:r>
        <w:rPr>
          <w:rFonts w:hint="eastAsia" w:ascii="Times New Roman" w:hAnsi="Times New Roman" w:eastAsia="仿宋_GB2312" w:cs="仿宋_GB2312"/>
          <w:color w:val="auto"/>
          <w:kern w:val="2"/>
          <w:sz w:val="32"/>
          <w:szCs w:val="32"/>
          <w:highlight w:val="none"/>
          <w:lang w:val="en-US" w:eastAsia="zh-CN" w:bidi="ar-SA"/>
        </w:rPr>
        <w:t>该类项目总数49个涉及预算总金额12533.08万元，1-12月预算执行总体进度为100%，其中：预算结余率大于10%的项目共计0个。</w:t>
      </w:r>
    </w:p>
    <w:p>
      <w:pPr>
        <w:snapToGrid w:val="0"/>
        <w:spacing w:line="360" w:lineRule="auto"/>
        <w:ind w:firstLine="643" w:firstLineChars="200"/>
        <w:rPr>
          <w:rFonts w:hint="default" w:ascii="仿宋_GB2312" w:hAnsi="Times New Roman" w:cs="Times New Roman"/>
          <w:b/>
          <w:bCs/>
          <w:color w:val="auto"/>
          <w:sz w:val="32"/>
          <w:szCs w:val="32"/>
          <w:lang w:val="en-US" w:eastAsia="zh-CN"/>
        </w:rPr>
      </w:pPr>
      <w:r>
        <w:rPr>
          <w:rFonts w:hint="eastAsia" w:ascii="仿宋_GB2312" w:hAnsi="Times New Roman" w:cs="Times New Roman"/>
          <w:b/>
          <w:bCs/>
          <w:color w:val="auto"/>
          <w:sz w:val="32"/>
          <w:szCs w:val="32"/>
          <w:lang w:val="en-US" w:eastAsia="zh-CN"/>
        </w:rPr>
        <w:t>1、</w:t>
      </w:r>
      <w:bookmarkEnd w:id="55"/>
      <w:r>
        <w:rPr>
          <w:rFonts w:hint="eastAsia" w:ascii="仿宋_GB2312" w:hAnsi="Times New Roman" w:cs="Times New Roman"/>
          <w:b/>
          <w:bCs/>
          <w:color w:val="auto"/>
          <w:sz w:val="32"/>
          <w:szCs w:val="32"/>
          <w:lang w:val="en-US" w:eastAsia="zh-CN"/>
        </w:rPr>
        <w:t>项目决策。</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1.1决策程序</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该指标主要评价部门预算项目设立是否按规定履行评估论证、申报程序，该项指标分值4分。2024年我局常年部门预算项目设立始终严格按规定履行评估论证和申报程序。</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1.2目标设置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部门预算项目绩效目标与计划期内的任务量、预算安排的资金量匹配情况，绩效目标设置是否科学合理、规范完整、量化细化、预算匹配，该项指标分值4分。2024年我局常年部门预算项目绩效目标与计划期内的任务量、预算安排的资金量进行及时匹配，绩效目标设置科学合理、规范完整、量化细化。</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1.3项目入库</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w:t>
      </w:r>
      <w:r>
        <w:rPr>
          <w:rFonts w:hint="default" w:ascii="Times New Roman" w:hAnsi="Times New Roman" w:eastAsia="仿宋_GB2312" w:cs="仿宋_GB2312"/>
          <w:color w:val="auto"/>
          <w:kern w:val="2"/>
          <w:sz w:val="32"/>
          <w:szCs w:val="32"/>
          <w:highlight w:val="none"/>
          <w:lang w:val="en-US" w:eastAsia="zh-CN" w:bidi="ar-SA"/>
        </w:rPr>
        <w:t>部门预算项目是否在规定时间完成项目入库</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2024年我局常年部门预算项目均</w:t>
      </w:r>
      <w:r>
        <w:rPr>
          <w:rFonts w:hint="default" w:ascii="Times New Roman" w:hAnsi="Times New Roman" w:eastAsia="仿宋_GB2312" w:cs="仿宋_GB2312"/>
          <w:color w:val="auto"/>
          <w:kern w:val="2"/>
          <w:sz w:val="32"/>
          <w:szCs w:val="32"/>
          <w:highlight w:val="none"/>
          <w:lang w:val="en-US" w:eastAsia="zh-CN" w:bidi="ar-SA"/>
        </w:rPr>
        <w:t>在规定时间完成项目入库</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napToGrid w:val="0"/>
        <w:spacing w:line="360" w:lineRule="auto"/>
        <w:ind w:firstLine="643" w:firstLineChars="200"/>
        <w:rPr>
          <w:rFonts w:hint="default" w:ascii="仿宋_GB2312" w:hAnsi="Times New Roman" w:cs="Times New Roman"/>
          <w:b/>
          <w:bCs/>
          <w:color w:val="auto"/>
          <w:sz w:val="32"/>
          <w:szCs w:val="32"/>
          <w:lang w:val="en-US" w:eastAsia="zh-CN"/>
        </w:rPr>
      </w:pPr>
      <w:r>
        <w:rPr>
          <w:rFonts w:hint="eastAsia" w:ascii="仿宋_GB2312" w:hAnsi="Times New Roman" w:cs="Times New Roman"/>
          <w:b/>
          <w:bCs/>
          <w:color w:val="auto"/>
          <w:sz w:val="32"/>
          <w:szCs w:val="32"/>
          <w:lang w:val="en-US" w:eastAsia="zh-CN"/>
        </w:rPr>
        <w:t>2、项目执行。</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1.1执行同向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w:t>
      </w:r>
      <w:r>
        <w:rPr>
          <w:rFonts w:hint="default" w:ascii="Times New Roman" w:hAnsi="Times New Roman" w:eastAsia="仿宋_GB2312" w:cs="仿宋_GB2312"/>
          <w:color w:val="auto"/>
          <w:kern w:val="2"/>
          <w:sz w:val="32"/>
          <w:szCs w:val="32"/>
          <w:highlight w:val="none"/>
          <w:lang w:val="en-US" w:eastAsia="zh-CN" w:bidi="ar-SA"/>
        </w:rPr>
        <w:t>部门预算项目实际列支内容是否与绩效目标设置方向相符</w:t>
      </w:r>
      <w:r>
        <w:rPr>
          <w:rFonts w:hint="eastAsia" w:ascii="Times New Roman" w:hAnsi="Times New Roman" w:eastAsia="仿宋_GB2312" w:cs="仿宋_GB2312"/>
          <w:color w:val="auto"/>
          <w:kern w:val="2"/>
          <w:sz w:val="32"/>
          <w:szCs w:val="32"/>
          <w:highlight w:val="none"/>
          <w:lang w:val="en-US" w:eastAsia="zh-CN" w:bidi="ar-SA"/>
        </w:rPr>
        <w:t>。2024年我局常年部门预算项目</w:t>
      </w:r>
      <w:r>
        <w:rPr>
          <w:rFonts w:hint="default" w:ascii="Times New Roman" w:hAnsi="Times New Roman" w:eastAsia="仿宋_GB2312" w:cs="仿宋_GB2312"/>
          <w:color w:val="auto"/>
          <w:kern w:val="2"/>
          <w:sz w:val="32"/>
          <w:szCs w:val="32"/>
          <w:highlight w:val="none"/>
          <w:lang w:val="en-US" w:eastAsia="zh-CN" w:bidi="ar-SA"/>
        </w:rPr>
        <w:t>实际列支内容</w:t>
      </w:r>
      <w:r>
        <w:rPr>
          <w:rFonts w:hint="eastAsia" w:ascii="Times New Roman" w:hAnsi="Times New Roman" w:eastAsia="仿宋_GB2312" w:cs="仿宋_GB2312"/>
          <w:color w:val="auto"/>
          <w:kern w:val="2"/>
          <w:sz w:val="32"/>
          <w:szCs w:val="32"/>
          <w:highlight w:val="none"/>
          <w:lang w:val="en-US" w:eastAsia="zh-CN" w:bidi="ar-SA"/>
        </w:rPr>
        <w:t>均</w:t>
      </w:r>
      <w:r>
        <w:rPr>
          <w:rFonts w:hint="default" w:ascii="Times New Roman" w:hAnsi="Times New Roman" w:eastAsia="仿宋_GB2312" w:cs="仿宋_GB2312"/>
          <w:color w:val="auto"/>
          <w:kern w:val="2"/>
          <w:sz w:val="32"/>
          <w:szCs w:val="32"/>
          <w:highlight w:val="none"/>
          <w:lang w:val="en-US" w:eastAsia="zh-CN" w:bidi="ar-SA"/>
        </w:rPr>
        <w:t>与绩效目标设置方向相符</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1.2项目调整</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该指标主要评价部门预算项目是否采取对应调整措施。2024年我局常年部门预算项目均结合实际工作，及时采取了调整措施。</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1.3执行结果</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该指标主要评价部门预算项目的执行情况。2024年我局常年部门预算项目1-12月预算执行总体执行率为100%。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3、目标实现。</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1.1目标完成</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w:t>
      </w:r>
      <w:r>
        <w:rPr>
          <w:rFonts w:hint="default" w:ascii="Times New Roman" w:hAnsi="Times New Roman" w:eastAsia="仿宋_GB2312" w:cs="仿宋_GB2312"/>
          <w:color w:val="auto"/>
          <w:kern w:val="2"/>
          <w:sz w:val="32"/>
          <w:szCs w:val="32"/>
          <w:highlight w:val="none"/>
          <w:lang w:val="en-US" w:eastAsia="zh-CN" w:bidi="ar-SA"/>
        </w:rPr>
        <w:t>部门预算项目绩效目标数量指标完成情况</w:t>
      </w:r>
      <w:r>
        <w:rPr>
          <w:rFonts w:hint="eastAsia" w:ascii="Times New Roman" w:hAnsi="Times New Roman" w:eastAsia="仿宋_GB2312" w:cs="仿宋_GB2312"/>
          <w:color w:val="auto"/>
          <w:kern w:val="2"/>
          <w:sz w:val="32"/>
          <w:szCs w:val="32"/>
          <w:highlight w:val="none"/>
          <w:lang w:val="en-US" w:eastAsia="zh-CN" w:bidi="ar-SA"/>
        </w:rPr>
        <w:t>。2024年我局常年部门预算项目49个，均已全面完成。</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1.2目标偏离</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w:t>
      </w:r>
      <w:r>
        <w:rPr>
          <w:rFonts w:hint="default" w:ascii="Times New Roman" w:hAnsi="Times New Roman" w:eastAsia="仿宋_GB2312" w:cs="仿宋_GB2312"/>
          <w:color w:val="auto"/>
          <w:kern w:val="2"/>
          <w:sz w:val="32"/>
          <w:szCs w:val="32"/>
          <w:highlight w:val="none"/>
          <w:lang w:val="en-US" w:eastAsia="zh-CN" w:bidi="ar-SA"/>
        </w:rPr>
        <w:t>部门预算项目绩效目标数量指标实现程度与预期目标的偏离情况</w:t>
      </w:r>
      <w:r>
        <w:rPr>
          <w:rFonts w:hint="eastAsia" w:ascii="Times New Roman" w:hAnsi="Times New Roman" w:eastAsia="仿宋_GB2312" w:cs="仿宋_GB2312"/>
          <w:color w:val="auto"/>
          <w:kern w:val="2"/>
          <w:sz w:val="32"/>
          <w:szCs w:val="32"/>
          <w:highlight w:val="none"/>
          <w:lang w:val="en-US" w:eastAsia="zh-CN" w:bidi="ar-SA"/>
        </w:rPr>
        <w:t>。2024年我局常年部门预算项目均已实现</w:t>
      </w:r>
      <w:r>
        <w:rPr>
          <w:rFonts w:hint="default" w:ascii="Times New Roman" w:hAnsi="Times New Roman" w:eastAsia="仿宋_GB2312" w:cs="仿宋_GB2312"/>
          <w:color w:val="auto"/>
          <w:kern w:val="2"/>
          <w:sz w:val="32"/>
          <w:szCs w:val="32"/>
          <w:highlight w:val="none"/>
          <w:lang w:val="en-US" w:eastAsia="zh-CN" w:bidi="ar-SA"/>
        </w:rPr>
        <w:t>预期目标</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1.3实现效果</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w:t>
      </w:r>
      <w:r>
        <w:rPr>
          <w:rFonts w:hint="default" w:ascii="Times New Roman" w:hAnsi="Times New Roman" w:eastAsia="仿宋_GB2312" w:cs="仿宋_GB2312"/>
          <w:color w:val="auto"/>
          <w:kern w:val="2"/>
          <w:sz w:val="32"/>
          <w:szCs w:val="32"/>
          <w:highlight w:val="none"/>
          <w:lang w:val="en-US" w:eastAsia="zh-CN" w:bidi="ar-SA"/>
        </w:rPr>
        <w:t>部门预算项目绩效目标效益指标实施效果</w:t>
      </w:r>
      <w:r>
        <w:rPr>
          <w:rFonts w:hint="eastAsia" w:ascii="Times New Roman" w:hAnsi="Times New Roman" w:eastAsia="仿宋_GB2312" w:cs="仿宋_GB2312"/>
          <w:color w:val="auto"/>
          <w:kern w:val="2"/>
          <w:sz w:val="32"/>
          <w:szCs w:val="32"/>
          <w:highlight w:val="none"/>
          <w:lang w:val="en-US" w:eastAsia="zh-CN" w:bidi="ar-SA"/>
        </w:rPr>
        <w:t>。2024年我局49个常年项目的实施，圆满完成了对峨眉山市交通运输市场、交通建设市场、水上交通安全的监管，客货运市场稳定有序运行，交通基础设施硬环境提档升级，创造了良好的出行环境，促进了全市经济的快速发展。</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该项指标分值3分，评价得分3分。</w:t>
      </w:r>
    </w:p>
    <w:p>
      <w:pPr>
        <w:snapToGrid w:val="0"/>
        <w:spacing w:line="360" w:lineRule="auto"/>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Times New Roman" w:cs="Times New Roman"/>
          <w:b/>
          <w:bCs/>
          <w:color w:val="auto"/>
          <w:sz w:val="32"/>
          <w:szCs w:val="32"/>
          <w:lang w:val="en-US" w:eastAsia="zh-CN"/>
        </w:rPr>
        <w:t>B、阶段（含一次性）项目绩效分析。</w:t>
      </w:r>
      <w:r>
        <w:rPr>
          <w:rFonts w:hint="eastAsia" w:ascii="Times New Roman" w:hAnsi="Times New Roman" w:eastAsia="仿宋_GB2312" w:cs="仿宋_GB2312"/>
          <w:color w:val="auto"/>
          <w:kern w:val="2"/>
          <w:sz w:val="32"/>
          <w:szCs w:val="32"/>
          <w:highlight w:val="none"/>
          <w:lang w:val="en-US" w:eastAsia="zh-CN" w:bidi="ar-SA"/>
        </w:rPr>
        <w:t>该类项目总数41个涉及预算总金额9127.29万元，1-12月预算执行总体进度为100%，其中：预算结余率大于10%的项目共计7个。</w:t>
      </w:r>
    </w:p>
    <w:p>
      <w:pPr>
        <w:snapToGrid w:val="0"/>
        <w:spacing w:line="360" w:lineRule="auto"/>
        <w:ind w:firstLine="643" w:firstLineChars="200"/>
        <w:rPr>
          <w:rFonts w:hint="default" w:ascii="仿宋_GB2312" w:hAnsi="Times New Roman" w:cs="Times New Roman"/>
          <w:b/>
          <w:bCs/>
          <w:color w:val="auto"/>
          <w:sz w:val="32"/>
          <w:szCs w:val="32"/>
          <w:lang w:val="en-US" w:eastAsia="zh-CN"/>
        </w:rPr>
      </w:pPr>
      <w:r>
        <w:rPr>
          <w:rFonts w:hint="eastAsia" w:ascii="仿宋_GB2312" w:hAnsi="Times New Roman" w:cs="Times New Roman"/>
          <w:b/>
          <w:bCs/>
          <w:color w:val="auto"/>
          <w:sz w:val="32"/>
          <w:szCs w:val="32"/>
          <w:lang w:val="en-US" w:eastAsia="zh-CN"/>
        </w:rPr>
        <w:t>1、项目决策。</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1.1决策程序</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该指标主要评价阶段项目设立是否按规定履行评估论证、申报程序，该项指标分值4分。2024年我局对阶段项目设立始终严格按规定履行评估论证和申报程序。</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1.2目标设置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阶段项目绩效目标与计划期内的任务量、预算安排的资金量匹配情况，绩效目标设置是否科学合理、规范完整、量化细化、预算匹配，该项指标分值4分。2024年我局对阶段项目绩效目标与计划期内的任务量、预算安排的资金量进行及时匹配，绩效目标设置科学合理、规范完整、量化细化。</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1.3项目入库</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该指标主要评价阶段项目</w:t>
      </w:r>
      <w:r>
        <w:rPr>
          <w:rFonts w:hint="default" w:ascii="Times New Roman" w:hAnsi="Times New Roman" w:eastAsia="仿宋_GB2312" w:cs="仿宋_GB2312"/>
          <w:color w:val="auto"/>
          <w:kern w:val="2"/>
          <w:sz w:val="32"/>
          <w:szCs w:val="32"/>
          <w:highlight w:val="none"/>
          <w:lang w:val="en-US" w:eastAsia="zh-CN" w:bidi="ar-SA"/>
        </w:rPr>
        <w:t>是否在规定时间完成项目入库</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2024年我局对阶段项目均</w:t>
      </w:r>
      <w:r>
        <w:rPr>
          <w:rFonts w:hint="default" w:ascii="Times New Roman" w:hAnsi="Times New Roman" w:eastAsia="仿宋_GB2312" w:cs="仿宋_GB2312"/>
          <w:color w:val="auto"/>
          <w:kern w:val="2"/>
          <w:sz w:val="32"/>
          <w:szCs w:val="32"/>
          <w:highlight w:val="none"/>
          <w:lang w:val="en-US" w:eastAsia="zh-CN" w:bidi="ar-SA"/>
        </w:rPr>
        <w:t>在规定时间完成项目入库</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napToGrid w:val="0"/>
        <w:spacing w:line="360" w:lineRule="auto"/>
        <w:ind w:firstLine="643" w:firstLineChars="200"/>
        <w:rPr>
          <w:rFonts w:hint="default" w:ascii="仿宋_GB2312" w:hAnsi="Times New Roman" w:cs="Times New Roman"/>
          <w:b/>
          <w:bCs/>
          <w:color w:val="auto"/>
          <w:sz w:val="32"/>
          <w:szCs w:val="32"/>
          <w:lang w:val="en-US" w:eastAsia="zh-CN"/>
        </w:rPr>
      </w:pPr>
      <w:r>
        <w:rPr>
          <w:rFonts w:hint="eastAsia" w:ascii="仿宋_GB2312" w:hAnsi="Times New Roman" w:cs="Times New Roman"/>
          <w:b/>
          <w:bCs/>
          <w:color w:val="auto"/>
          <w:sz w:val="32"/>
          <w:szCs w:val="32"/>
          <w:lang w:val="en-US" w:eastAsia="zh-CN"/>
        </w:rPr>
        <w:t>2、项目执行。</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1.1执行同向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该指标主要评价阶段项目</w:t>
      </w:r>
      <w:r>
        <w:rPr>
          <w:rFonts w:hint="default" w:ascii="Times New Roman" w:hAnsi="Times New Roman" w:eastAsia="仿宋_GB2312" w:cs="仿宋_GB2312"/>
          <w:color w:val="auto"/>
          <w:kern w:val="2"/>
          <w:sz w:val="32"/>
          <w:szCs w:val="32"/>
          <w:highlight w:val="none"/>
          <w:lang w:val="en-US" w:eastAsia="zh-CN" w:bidi="ar-SA"/>
        </w:rPr>
        <w:t>实际列支内容是否与绩效目标设置方向相符</w:t>
      </w:r>
      <w:r>
        <w:rPr>
          <w:rFonts w:hint="eastAsia" w:ascii="Times New Roman" w:hAnsi="Times New Roman" w:eastAsia="仿宋_GB2312" w:cs="仿宋_GB2312"/>
          <w:color w:val="auto"/>
          <w:kern w:val="2"/>
          <w:sz w:val="32"/>
          <w:szCs w:val="32"/>
          <w:highlight w:val="none"/>
          <w:lang w:val="en-US" w:eastAsia="zh-CN" w:bidi="ar-SA"/>
        </w:rPr>
        <w:t>。2024年我局对阶段项目</w:t>
      </w:r>
      <w:r>
        <w:rPr>
          <w:rFonts w:hint="default" w:ascii="Times New Roman" w:hAnsi="Times New Roman" w:eastAsia="仿宋_GB2312" w:cs="仿宋_GB2312"/>
          <w:color w:val="auto"/>
          <w:kern w:val="2"/>
          <w:sz w:val="32"/>
          <w:szCs w:val="32"/>
          <w:highlight w:val="none"/>
          <w:lang w:val="en-US" w:eastAsia="zh-CN" w:bidi="ar-SA"/>
        </w:rPr>
        <w:t>实际列支内容</w:t>
      </w:r>
      <w:r>
        <w:rPr>
          <w:rFonts w:hint="eastAsia" w:ascii="Times New Roman" w:hAnsi="Times New Roman" w:eastAsia="仿宋_GB2312" w:cs="仿宋_GB2312"/>
          <w:color w:val="auto"/>
          <w:kern w:val="2"/>
          <w:sz w:val="32"/>
          <w:szCs w:val="32"/>
          <w:highlight w:val="none"/>
          <w:lang w:val="en-US" w:eastAsia="zh-CN" w:bidi="ar-SA"/>
        </w:rPr>
        <w:t>均</w:t>
      </w:r>
      <w:r>
        <w:rPr>
          <w:rFonts w:hint="default" w:ascii="Times New Roman" w:hAnsi="Times New Roman" w:eastAsia="仿宋_GB2312" w:cs="仿宋_GB2312"/>
          <w:color w:val="auto"/>
          <w:kern w:val="2"/>
          <w:sz w:val="32"/>
          <w:szCs w:val="32"/>
          <w:highlight w:val="none"/>
          <w:lang w:val="en-US" w:eastAsia="zh-CN" w:bidi="ar-SA"/>
        </w:rPr>
        <w:t>与绩效目标设置方向相符</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1.2项目调整</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该指标主要评价阶段项目是否采取对应调整措施。2024年我局对阶段项目均结合实际工作，及时采取了调整措施。</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1.3执行结果</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该指标主要评价阶段项目的执行情况。2024年我局对阶段项目1-12月预算执行总体执行率为100%。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napToGrid w:val="0"/>
        <w:spacing w:line="360" w:lineRule="auto"/>
        <w:ind w:firstLine="643" w:firstLineChars="200"/>
        <w:rPr>
          <w:rFonts w:hint="default" w:ascii="仿宋_GB2312" w:hAnsi="Times New Roman" w:cs="Times New Roman"/>
          <w:b/>
          <w:bCs/>
          <w:color w:val="auto"/>
          <w:sz w:val="32"/>
          <w:szCs w:val="32"/>
          <w:lang w:val="en-US" w:eastAsia="zh-CN"/>
        </w:rPr>
      </w:pPr>
      <w:r>
        <w:rPr>
          <w:rFonts w:hint="eastAsia" w:ascii="仿宋_GB2312" w:hAnsi="Times New Roman" w:cs="Times New Roman"/>
          <w:b/>
          <w:bCs/>
          <w:color w:val="auto"/>
          <w:sz w:val="32"/>
          <w:szCs w:val="32"/>
          <w:lang w:val="en-US" w:eastAsia="zh-CN"/>
        </w:rPr>
        <w:t>3、目标实现。</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1.1目标完成</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该指标主要评价阶段项目</w:t>
      </w:r>
      <w:r>
        <w:rPr>
          <w:rFonts w:hint="default" w:ascii="Times New Roman" w:hAnsi="Times New Roman" w:eastAsia="仿宋_GB2312" w:cs="仿宋_GB2312"/>
          <w:color w:val="auto"/>
          <w:kern w:val="2"/>
          <w:sz w:val="32"/>
          <w:szCs w:val="32"/>
          <w:highlight w:val="none"/>
          <w:lang w:val="en-US" w:eastAsia="zh-CN" w:bidi="ar-SA"/>
        </w:rPr>
        <w:t>绩效目标数量指标完成情况</w:t>
      </w:r>
      <w:r>
        <w:rPr>
          <w:rFonts w:hint="eastAsia" w:ascii="Times New Roman" w:hAnsi="Times New Roman" w:eastAsia="仿宋_GB2312" w:cs="仿宋_GB2312"/>
          <w:color w:val="auto"/>
          <w:kern w:val="2"/>
          <w:sz w:val="32"/>
          <w:szCs w:val="32"/>
          <w:highlight w:val="none"/>
          <w:lang w:val="en-US" w:eastAsia="zh-CN" w:bidi="ar-SA"/>
        </w:rPr>
        <w:t>。2024年我局阶段项目41个，执行完成34个。</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1.2目标偏离</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该指标主要评价阶段项目</w:t>
      </w:r>
      <w:r>
        <w:rPr>
          <w:rFonts w:hint="default" w:ascii="Times New Roman" w:hAnsi="Times New Roman" w:eastAsia="仿宋_GB2312" w:cs="仿宋_GB2312"/>
          <w:color w:val="auto"/>
          <w:kern w:val="2"/>
          <w:sz w:val="32"/>
          <w:szCs w:val="32"/>
          <w:highlight w:val="none"/>
          <w:lang w:val="en-US" w:eastAsia="zh-CN" w:bidi="ar-SA"/>
        </w:rPr>
        <w:t>绩效目标数量指标实现程度与预期目标的偏离情况</w:t>
      </w:r>
      <w:r>
        <w:rPr>
          <w:rFonts w:hint="eastAsia" w:ascii="Times New Roman" w:hAnsi="Times New Roman" w:eastAsia="仿宋_GB2312" w:cs="仿宋_GB2312"/>
          <w:color w:val="auto"/>
          <w:kern w:val="2"/>
          <w:sz w:val="32"/>
          <w:szCs w:val="32"/>
          <w:highlight w:val="none"/>
          <w:lang w:val="en-US" w:eastAsia="zh-CN" w:bidi="ar-SA"/>
        </w:rPr>
        <w:t>。2024年我局阶段项目基本实现</w:t>
      </w:r>
      <w:r>
        <w:rPr>
          <w:rFonts w:hint="default" w:ascii="Times New Roman" w:hAnsi="Times New Roman" w:eastAsia="仿宋_GB2312" w:cs="仿宋_GB2312"/>
          <w:color w:val="auto"/>
          <w:kern w:val="2"/>
          <w:sz w:val="32"/>
          <w:szCs w:val="32"/>
          <w:highlight w:val="none"/>
          <w:lang w:val="en-US" w:eastAsia="zh-CN" w:bidi="ar-SA"/>
        </w:rPr>
        <w:t>预期目标</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该项指标分值4分，评价得分4分。</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1.3实现效果</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该指标主要评价</w:t>
      </w:r>
      <w:r>
        <w:rPr>
          <w:rFonts w:hint="default" w:ascii="Times New Roman" w:hAnsi="Times New Roman" w:eastAsia="仿宋_GB2312" w:cs="仿宋_GB2312"/>
          <w:color w:val="auto"/>
          <w:kern w:val="2"/>
          <w:sz w:val="32"/>
          <w:szCs w:val="32"/>
          <w:highlight w:val="none"/>
          <w:lang w:val="en-US" w:eastAsia="zh-CN" w:bidi="ar-SA"/>
        </w:rPr>
        <w:t>部门部门预算项目绩效目标效益指标实施效果</w:t>
      </w:r>
      <w:r>
        <w:rPr>
          <w:rFonts w:hint="eastAsia" w:ascii="Times New Roman" w:hAnsi="Times New Roman" w:eastAsia="仿宋_GB2312" w:cs="仿宋_GB2312"/>
          <w:color w:val="auto"/>
          <w:kern w:val="2"/>
          <w:sz w:val="32"/>
          <w:szCs w:val="32"/>
          <w:highlight w:val="none"/>
          <w:lang w:val="en-US" w:eastAsia="zh-CN" w:bidi="ar-SA"/>
        </w:rPr>
        <w:t>。2024年我局41个阶段项目的实施，圆满完成了对峨眉山市交通运输市场、交通建设市场、水上交通安全的监管，客货运市场稳定有序运行，交通基础设施硬环境提档升级，创造了良好的出行环境，促进了全市经济的快速发展。</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该项指标分值3分，评价得分3分。</w:t>
      </w:r>
    </w:p>
    <w:p>
      <w:pPr>
        <w:snapToGrid w:val="0"/>
        <w:spacing w:line="360" w:lineRule="auto"/>
        <w:ind w:firstLine="643"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b/>
          <w:bCs/>
          <w:color w:val="auto"/>
          <w:sz w:val="32"/>
          <w:szCs w:val="32"/>
          <w:lang w:val="en-US" w:eastAsia="zh-CN"/>
        </w:rPr>
        <w:t>C、其中100万以上项目绩效分析。</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w:t>
      </w:r>
      <w:r>
        <w:rPr>
          <w:rFonts w:hint="default" w:ascii="Times New Roman" w:hAnsi="Times New Roman" w:eastAsia="仿宋_GB2312" w:cs="仿宋_GB2312"/>
          <w:color w:val="auto"/>
          <w:kern w:val="2"/>
          <w:sz w:val="32"/>
          <w:szCs w:val="32"/>
          <w:highlight w:val="none"/>
          <w:lang w:val="en-US" w:eastAsia="zh-CN" w:bidi="ar-SA"/>
        </w:rPr>
        <w:t>城市公交燃气补贴</w:t>
      </w:r>
      <w:r>
        <w:rPr>
          <w:rFonts w:hint="eastAsia" w:ascii="Times New Roman" w:hAnsi="Times New Roman" w:eastAsia="仿宋_GB2312" w:cs="仿宋_GB2312"/>
          <w:color w:val="auto"/>
          <w:kern w:val="2"/>
          <w:sz w:val="32"/>
          <w:szCs w:val="32"/>
          <w:highlight w:val="none"/>
          <w:lang w:val="en-US" w:eastAsia="zh-CN" w:bidi="ar-SA"/>
        </w:rPr>
        <w:t>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项目绩效目标：项目拟缓解峨眉山市公交企业运营压力，保障公交车辆正常运行，方便广大人民群众便捷畅通出行，促进全市经济快速发展，年初预算金额100万元，拟拨付企业数1家，成本控制在100万元以内。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实现情况：项目实际到达资金100万元，实际支付100万元，执行率为100%，拨付企业数为1家，成本控制在100万元以内。</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项目2：</w:t>
      </w:r>
      <w:r>
        <w:rPr>
          <w:rFonts w:hint="default" w:ascii="Times New Roman" w:hAnsi="Times New Roman" w:eastAsia="仿宋_GB2312" w:cs="仿宋_GB2312"/>
          <w:color w:val="auto"/>
          <w:kern w:val="2"/>
          <w:sz w:val="32"/>
          <w:szCs w:val="32"/>
          <w:highlight w:val="none"/>
          <w:lang w:val="en-US" w:eastAsia="zh-CN" w:bidi="ar-SA"/>
        </w:rPr>
        <w:t>交通重点建设项目工程费用</w:t>
      </w:r>
      <w:r>
        <w:rPr>
          <w:rFonts w:hint="eastAsia" w:ascii="Times New Roman" w:hAnsi="Times New Roman" w:eastAsia="仿宋_GB2312" w:cs="仿宋_GB2312"/>
          <w:color w:val="auto"/>
          <w:kern w:val="2"/>
          <w:sz w:val="32"/>
          <w:szCs w:val="32"/>
          <w:highlight w:val="none"/>
          <w:lang w:val="en-US" w:eastAsia="zh-CN" w:bidi="ar-SA"/>
        </w:rPr>
        <w:t>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峨眉山市政府投资项目施工企业经营压力，确保农民工工资支付工作得到保障，加快我市交通重点建设项目稳步推进，促进全市经济快速发展，预算批复金额5837万元，调整后预算金额38221.53万元，拟拨付企业数</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120家，成本控制在38221.53万元以内。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实现情况：项目实际到达资金38221.53万元，项目实际支付资金38110.53万元，执行率为99.71%，拨付企业数为156家，成本控制在38221.53万元内。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项目3：</w:t>
      </w:r>
      <w:r>
        <w:rPr>
          <w:rFonts w:hint="default" w:ascii="Times New Roman" w:hAnsi="Times New Roman" w:eastAsia="仿宋_GB2312" w:cs="仿宋_GB2312"/>
          <w:color w:val="auto"/>
          <w:kern w:val="2"/>
          <w:sz w:val="32"/>
          <w:szCs w:val="32"/>
          <w:highlight w:val="none"/>
          <w:lang w:val="en-US" w:eastAsia="zh-CN" w:bidi="ar-SA"/>
        </w:rPr>
        <w:t>公汽司IC卡刷卡优惠性政策补贴</w:t>
      </w:r>
      <w:r>
        <w:rPr>
          <w:rFonts w:hint="eastAsia" w:ascii="Times New Roman" w:hAnsi="Times New Roman" w:eastAsia="仿宋_GB2312" w:cs="仿宋_GB2312"/>
          <w:color w:val="auto"/>
          <w:kern w:val="2"/>
          <w:sz w:val="32"/>
          <w:szCs w:val="32"/>
          <w:highlight w:val="none"/>
          <w:lang w:val="en-US" w:eastAsia="zh-CN" w:bidi="ar-SA"/>
        </w:rPr>
        <w:t>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峨眉山市公交企业运营压力，保障公交车辆正常运行，方便广大人民群众便捷畅通出行，促进全市经济快速发展，预算批复金额570万元，调整后预算金额554.09万元，拟拨付企业数为1家，成本控制在554.09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实现情况：项目实际到达资金554.09万元，项目实际支付资金554.09万元，执行率为100%，拨付企业数为1家，成本控制在570万元内。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项目4：九珠客运中心搬迁租金及税费</w:t>
      </w:r>
      <w:r>
        <w:rPr>
          <w:rFonts w:hint="default" w:ascii="Times New Roman" w:hAnsi="Times New Roman" w:eastAsia="仿宋_GB2312" w:cs="仿宋_GB2312"/>
          <w:color w:val="auto"/>
          <w:kern w:val="2"/>
          <w:sz w:val="32"/>
          <w:szCs w:val="32"/>
          <w:highlight w:val="none"/>
          <w:lang w:val="en-US" w:eastAsia="zh-CN" w:bidi="ar-SA"/>
        </w:rPr>
        <w:t>项目</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相关客运企业运营压力，保障我市旅博会的举办，提高旅游城市知名度，促进全市旅游经济快速发展，预算批复金额123.48万元，调整后预算金额122.38万元，拟拨付企业数为1家，成本控制在122.38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实现情况：项目实际到达资金122.38万元，项目实际支付资金122.38万元，执行率为100%，拨付企业数为1家，成本控制在123.48万元内。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项目5：县乡村道养护及路长制考核经费项目：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加强我市农村公路养护工作，建立、健全农村公路养护管理机制，消除道路安全隐患，提高公路通行服务水平，确保客货运运输安全，促进全市乡村振兴，预算批复金额130万元，拟拨付单位数为14家，成本控制在130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实现情况：项目实际到达资金130万元，项目实际支付资金130万元，执行率为100%，拨付单位数为14家，成本控制在130万元内。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项目6：公路应急抢险保通经费项目：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项目绩效目标：加强我市公路应急保通工作，消除道路安全通行隐患，提高公路通行服务水平，确保客货运运输安全，促进全市经济振兴，预算批复金额201.04万元，拟拨付单位数为4家，成本控制在201.04万元。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实现情况：项目实际到达资金201.04万元，项目实际支付资金57.51万元，执行率为26.68%，拨付单位数为4家，成本控制在201.04万元内。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项目7：</w:t>
      </w:r>
      <w:r>
        <w:rPr>
          <w:rFonts w:hint="default" w:ascii="Times New Roman" w:hAnsi="Times New Roman" w:eastAsia="仿宋_GB2312" w:cs="仿宋_GB2312"/>
          <w:color w:val="auto"/>
          <w:kern w:val="2"/>
          <w:sz w:val="32"/>
          <w:szCs w:val="32"/>
          <w:highlight w:val="none"/>
          <w:lang w:val="en-US" w:eastAsia="zh-CN" w:bidi="ar-SA"/>
        </w:rPr>
        <w:t>乐峨大道等四条公路日常养护服务采购</w:t>
      </w:r>
      <w:r>
        <w:rPr>
          <w:rFonts w:hint="eastAsia" w:ascii="Times New Roman" w:hAnsi="Times New Roman" w:eastAsia="仿宋_GB2312" w:cs="仿宋_GB2312"/>
          <w:color w:val="auto"/>
          <w:kern w:val="2"/>
          <w:sz w:val="32"/>
          <w:szCs w:val="32"/>
          <w:highlight w:val="none"/>
          <w:lang w:val="en-US" w:eastAsia="zh-CN" w:bidi="ar-SA"/>
        </w:rPr>
        <w:t>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提高道路养护质量，消除道路安全隐患，提高公路通行服务水平，确保客货运安全运输，促进全市经济快速发展，确保我市公路建管养运工作长期稳定发展，预算批复金额205.1万元，调整后预算金额151.1万元，拟拨付单位数为1家，成本控制在151.1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实现情况：项目实际到达资金151.1万元，项目实际支付资金151.1万元，执行率为100%，拨付单位数为1家，成本控制在151.1万元内。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项目8：公路零星交安设施维修项目：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加强我市公路保通工作，消除道路安全隐患，提高公路通行服务水平，确保客货运运输安全，促进全市经济快速发展，预算批复金额150万元，调整后预算金额54.76万元，拟拨付单位数为1家，成本控制在54.76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实现情况：项目实际到达资金54.76万元，项目实际支付资金54.76万元，执行率为100%，拨付单位数为1家，成本控制在54.76万元内。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项目9：2021、2022年度中央财政农村客运补贴和城市交通发展奖励资金项目：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峨眉山市农村客运和水运及公交运营企业运营压力，确保我市农村客运和水运及公交正常运营，方便广大人民群众便捷畅通出行，促进全市经济快速发展，预算批复金额308.48万元，调整后预算金额300.1万元，拟拨付单位数为6家，成本控制在300.1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实现情况：项目实际到达资金300.1万元，项目实际支付资金300.1万元，执行率为100%，拨付单位数为6家，成本控制在300.1万元内。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项目10：2023年成品油税费改革转移支付农村公路养护资金项目：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项目绩效目标：加强我市农村公路养护工作，消除道路安全隐患，提高公路通行服务水平，确保客货运运输安全，促进全市乡村振兴，预算批复金额158.8万元，拟拨付单位数为14家，成本控制在300.1万元。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实现情况：项目实际到达资金300.1万元，项目实际支付资金300.1万元，执行率为100%，拨付单位数为14家，成本控制在300.1万元内。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项目11：2023年第二批省级交通专项资金（幸福美丽乡村路）项目：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加快推进我市幸福美丽乡村路建设，促进农村公路提档升级，降低道路通行安全隐患，改善人民群众出行环境，促进全市乡村振兴，预算批复金额4268万元，调整后预算金额940万元，拟拨付单位数为2家，成本控制在940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实现情况：项目实际到达资金940万元，项目实际支付资金940万元，执行率为100%，拨付单位数为2家，成本控制在940万元内。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项目12：公交成本监审运营补贴项目：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项目绩效目标：缓解峨眉山市公交运营企业运营压力，确保我市公交正常运营，方便广大人民群众便捷畅通出行，促进全市经济快速发展，预算批复金额2374万元，拟拨付单位数为1家，成本控制在2374万元。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实现情况：项目实际到达资金2374万元，项目实际支付资金2374万元，执行率为100%，拨付单位数为1家，成本控制在2374万元内。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项目13：川桃路等三条公路日常养护服务项目：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消除道路安全隐患，提高公路通行服务水平，促进经济快速发展，确保我市公路建管养运工作长期稳定可持续发展，预算批复金额159.89万元，调整后预算金额48万元，拟拨付单位数为1家，成本控制在48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实现情况：项目实际到达资金48万元，项目实际支付资金48万元，执行率为100%，拨付单位数为1家，成本控制在48万元内。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项目14：2023年度中央财政农村客运补贴和城市交通发展奖励资金项目：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峨眉山市农村客运和水运及公交运营企业运营压力，确保我市农村客运和水运及公交正常运营，方便广大人民群众便捷畅通出行，促进全市经济快速发展，预算批复金额519.86万元，拟拨付单位数为11家，成本控制在519.86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实现情况：项目实际到达资金519.86万元，项目实际支付资金519.86万元，执行率为100%，拨付单位数为10家，成本控制在519.86万元内。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项目15：2024年第一批省级交通专项资金项目：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峨眉山市农村客运和水运企业运营压力，确保我市农村客运正常运营，方便广大人民群众便捷畅通出行，促进全市经济快速发展，预算批复金额382.45万元，拟拨付单位数为3家，成本控制在382.45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实现情况：项目实际到达资金382.45万元，项目实际支付资金382.45万元，执行率为100%，拨付单位数为3家，成本控制在382.45万元内。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项目16：农村公路日常养护市级补助经费项目：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项目绩效目标：加强我市农村公路养护工作，消除道路安全隐患，提高公路通行服务水平，确保客货运运输安全，促进全市乡村振兴，预算批复金额93.41万元，拟拨付单位数为14家，成本控制在93.41万元。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实现情况：项目实际到达资金93.41万元，项目实际支付资金93.41万元，执行率为100%，拨付单位数为14家，成本控制在93.41万元内。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项目17：2024年超长期国债资金（大规模设备更新和消费品以旧换新方向）项目：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峨眉山市营运货车企业和公交运营企业运营压力，促进老旧营运货车和公交车辆更新换代，确保我市货运和公交正常运营，方便广大人民群众便捷畅通出行，促进全市经济快速发展，预算批复金额737万元，拟拨付单位数为7家，成本控制在737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实现情况：项目实际到达资金737万元，项目实际支付资金1.2万元，执行率为0.16%，拨付单位数为1家，成本控制在737万元内。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项目18：2024年省级交通专项资金项目：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峨眉山市农村客运和水运企业运营压力，确保我市农村客运正常运营，方便广大人民群众便捷畅通出行，促进全市经济快速发展，预算批复金额203.33万元，拟拨付单位数为7家，成本控制在203.33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实现情况：项目实际到达资金203.33万元，项目实际支付资金203.33万元，执行率为100%，拨付单位数为7家，成本控制在203.33万元内。</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项目19：2020-2023年度农村客运补贴和城市发展奖励清算资金项目：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目标：缓解峨眉山市农村客运和水运及公交运营企业运营压力，确保我市农村客运和水运及公交正常运营，方便广大人民群众便捷畅通出行，促进全市经济快速发展，预算批复金额205万元，拟拨付单位数为6家，成本控制在205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实现情况：项目实际到达资金205万元，项目实际支付资金205万元，执行率为100%，拨付单位数为6家，成本控制在205万元内。</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eastAsia="zh-CN"/>
        </w:rPr>
      </w:pPr>
      <w:bookmarkStart w:id="56" w:name="_Toc21184"/>
      <w:bookmarkStart w:id="57" w:name="_Toc7063"/>
      <w:r>
        <w:rPr>
          <w:rFonts w:hint="eastAsia" w:ascii="Times New Roman" w:hAnsi="Times New Roman" w:eastAsia="楷体_GB2312" w:cs="楷体_GB2312"/>
          <w:b/>
          <w:color w:val="auto"/>
          <w:sz w:val="32"/>
          <w:szCs w:val="32"/>
          <w:highlight w:val="none"/>
          <w:lang w:val="en-US" w:eastAsia="zh-CN"/>
        </w:rPr>
        <w:t>（三）</w:t>
      </w:r>
      <w:r>
        <w:rPr>
          <w:rFonts w:hint="eastAsia" w:ascii="Times New Roman" w:hAnsi="Times New Roman" w:eastAsia="楷体_GB2312" w:cs="楷体_GB2312"/>
          <w:b/>
          <w:color w:val="auto"/>
          <w:sz w:val="32"/>
          <w:szCs w:val="32"/>
          <w:highlight w:val="none"/>
          <w:lang w:val="zh-CN" w:eastAsia="zh-CN"/>
        </w:rPr>
        <w:t>绩效结果应用</w:t>
      </w:r>
      <w:bookmarkEnd w:id="56"/>
      <w:bookmarkEnd w:id="5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8" w:name="_Toc15348"/>
      <w:bookmarkStart w:id="59" w:name="_Toc23725"/>
      <w:r>
        <w:rPr>
          <w:rFonts w:hint="eastAsia" w:ascii="Times New Roman" w:hAnsi="Times New Roman" w:eastAsia="仿宋_GB2312" w:cs="仿宋_GB2312"/>
          <w:color w:val="auto"/>
          <w:kern w:val="2"/>
          <w:sz w:val="32"/>
          <w:szCs w:val="32"/>
          <w:highlight w:val="none"/>
          <w:lang w:val="en-US" w:eastAsia="zh-CN" w:bidi="ar-SA"/>
        </w:rPr>
        <w:t>1、内部应用</w:t>
      </w:r>
      <w:bookmarkEnd w:id="58"/>
      <w:bookmarkEnd w:id="5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峨眉山市交通运输局根据峨眉山市财政管理部门要求，建立了内部绩效考核制度和体系（峨眉山市交通运输局内控手册（试行本）），将内设机构和下属单位绩效自评纳入考核体系，建立了对内设机构和下属单位预算与绩效挂钩机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0" w:name="_Toc32451"/>
      <w:bookmarkStart w:id="61" w:name="_Toc21870"/>
      <w:r>
        <w:rPr>
          <w:rFonts w:hint="eastAsia" w:ascii="Times New Roman" w:hAnsi="Times New Roman" w:eastAsia="仿宋_GB2312" w:cs="仿宋_GB2312"/>
          <w:color w:val="auto"/>
          <w:kern w:val="2"/>
          <w:sz w:val="32"/>
          <w:szCs w:val="32"/>
          <w:highlight w:val="none"/>
          <w:lang w:val="en-US" w:eastAsia="zh-CN" w:bidi="ar-SA"/>
        </w:rPr>
        <w:t>2、信息公开</w:t>
      </w:r>
      <w:bookmarkEnd w:id="60"/>
      <w:bookmarkEnd w:id="6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峨眉山市交通运输局按照规定于2024年2月29日在峨眉山市人民政府门户网站公开2024年度部门预算情况，部门绩效自评表随同2023年决算情况于2024年12月6日进行了公开。</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2" w:name="_Toc7921"/>
      <w:bookmarkStart w:id="63" w:name="_Toc9346"/>
      <w:r>
        <w:rPr>
          <w:rFonts w:hint="eastAsia" w:ascii="Times New Roman" w:hAnsi="Times New Roman" w:eastAsia="仿宋_GB2312" w:cs="仿宋_GB2312"/>
          <w:color w:val="auto"/>
          <w:kern w:val="2"/>
          <w:sz w:val="32"/>
          <w:szCs w:val="32"/>
          <w:highlight w:val="none"/>
          <w:lang w:val="en-US" w:eastAsia="zh-CN" w:bidi="ar-SA"/>
        </w:rPr>
        <w:t>3、整改反馈</w:t>
      </w:r>
      <w:bookmarkEnd w:id="62"/>
      <w:bookmarkEnd w:id="6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2024年度无相关部门向峨眉山市交通运输局提出绩效管理问题和完善政策等。 </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lang w:val="en-US" w:eastAsia="zh-CN"/>
        </w:rPr>
      </w:pPr>
      <w:r>
        <w:rPr>
          <w:rFonts w:hint="eastAsia" w:ascii="Times New Roman" w:hAnsi="Times New Roman" w:eastAsia="楷体_GB2312" w:cs="楷体_GB2312"/>
          <w:b/>
          <w:color w:val="auto"/>
          <w:sz w:val="32"/>
          <w:szCs w:val="32"/>
          <w:highlight w:val="none"/>
          <w:lang w:val="en-US" w:eastAsia="zh-CN"/>
        </w:rPr>
        <w:t>四、评价结论及建议</w:t>
      </w:r>
    </w:p>
    <w:p>
      <w:pPr>
        <w:pStyle w:val="16"/>
        <w:widowControl/>
        <w:shd w:val="clear" w:color="auto" w:fill="FFFFFF"/>
        <w:spacing w:before="0" w:beforeAutospacing="0" w:after="0" w:afterAutospacing="0" w:line="360" w:lineRule="auto"/>
        <w:ind w:firstLine="640" w:firstLineChars="200"/>
        <w:rPr>
          <w:rFonts w:hint="eastAsia" w:ascii="宋体" w:hAnsi="宋体" w:eastAsia="宋体" w:cs="宋体"/>
          <w:color w:val="333333"/>
          <w:sz w:val="32"/>
          <w:szCs w:val="32"/>
        </w:rPr>
      </w:pPr>
      <w:r>
        <w:rPr>
          <w:rFonts w:ascii="楷体" w:hAnsi="楷体" w:eastAsia="楷体" w:cs="楷体"/>
          <w:color w:val="000000"/>
          <w:sz w:val="32"/>
          <w:szCs w:val="32"/>
          <w:shd w:val="clear" w:color="auto" w:fill="FFFFFF"/>
        </w:rPr>
        <w:t>（一）评价结论</w:t>
      </w:r>
    </w:p>
    <w:p>
      <w:pPr>
        <w:pStyle w:val="6"/>
        <w:spacing w:before="0" w:beforeAutospacing="0" w:after="0" w:afterAutospacing="0" w:line="360" w:lineRule="auto"/>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着量入为出的原则，合理使用财政资金，保人员支出，保重点工作急需的支出，2024年峨眉山市交通运输局部门整体支出绩效自评总得分为100分，结果显示绩效管理情况为优秀，达到了年初设定的各项绩效目标。所有资金使用严格按审批程序办理、操作规范，会计核算结果真实、准确，各项支出严格按照各项制度执行。</w:t>
      </w:r>
    </w:p>
    <w:p>
      <w:pPr>
        <w:pStyle w:val="16"/>
        <w:widowControl/>
        <w:shd w:val="clear" w:color="auto" w:fill="FFFFFF"/>
        <w:spacing w:before="0" w:beforeAutospacing="0" w:after="0" w:afterAutospacing="0" w:line="360" w:lineRule="auto"/>
        <w:ind w:firstLine="640" w:firstLineChars="200"/>
        <w:rPr>
          <w:rFonts w:hint="eastAsia" w:ascii="宋体" w:hAnsi="宋体" w:eastAsia="宋体" w:cs="宋体"/>
          <w:color w:val="333333"/>
          <w:sz w:val="32"/>
          <w:szCs w:val="32"/>
        </w:rPr>
      </w:pPr>
      <w:r>
        <w:rPr>
          <w:rFonts w:hint="eastAsia" w:ascii="楷体" w:hAnsi="楷体" w:eastAsia="楷体" w:cs="楷体"/>
          <w:color w:val="000000"/>
          <w:sz w:val="32"/>
          <w:szCs w:val="32"/>
          <w:shd w:val="clear" w:color="auto" w:fill="FFFFFF"/>
        </w:rPr>
        <w:t>（二）存在问题</w:t>
      </w:r>
    </w:p>
    <w:p>
      <w:pPr>
        <w:pStyle w:val="16"/>
        <w:widowControl/>
        <w:shd w:val="clear" w:color="auto" w:fill="FFFFFF"/>
        <w:spacing w:before="0" w:beforeAutospacing="0" w:after="0" w:afterAutospacing="0" w:line="360" w:lineRule="auto"/>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1.预算编制工作有待细化。预算编制还不够细化，预算编制的精准度还需要提高，预算执行力度还要进一步加强。</w:t>
      </w:r>
    </w:p>
    <w:p>
      <w:pPr>
        <w:pStyle w:val="16"/>
        <w:widowControl/>
        <w:shd w:val="clear" w:color="auto" w:fill="FFFFFF"/>
        <w:spacing w:before="0" w:beforeAutospacing="0" w:after="0" w:afterAutospacing="0" w:line="360" w:lineRule="auto"/>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2.因财政预算资金不能足额保险，导致项目建设资金不能严格按照财评结果及时支付，存在一定的履约风险。</w:t>
      </w:r>
    </w:p>
    <w:p>
      <w:pPr>
        <w:pStyle w:val="16"/>
        <w:widowControl/>
        <w:shd w:val="clear" w:color="auto" w:fill="FFFFFF"/>
        <w:spacing w:before="0" w:beforeAutospacing="0" w:after="0" w:afterAutospacing="0" w:line="360" w:lineRule="auto"/>
        <w:ind w:firstLine="640" w:firstLineChars="200"/>
        <w:rPr>
          <w:rFonts w:hint="eastAsia" w:ascii="宋体" w:hAnsi="宋体" w:eastAsia="宋体" w:cs="宋体"/>
          <w:color w:val="333333"/>
          <w:sz w:val="32"/>
          <w:szCs w:val="32"/>
        </w:rPr>
      </w:pPr>
      <w:r>
        <w:rPr>
          <w:rFonts w:hint="eastAsia" w:ascii="楷体" w:hAnsi="楷体" w:eastAsia="楷体" w:cs="楷体"/>
          <w:color w:val="000000"/>
          <w:sz w:val="32"/>
          <w:szCs w:val="32"/>
          <w:shd w:val="clear" w:color="auto" w:fill="FFFFFF"/>
        </w:rPr>
        <w:t>（三）改进建议</w:t>
      </w:r>
    </w:p>
    <w:p>
      <w:pPr>
        <w:pStyle w:val="16"/>
        <w:widowControl/>
        <w:shd w:val="clear" w:color="auto" w:fill="FFFFFF"/>
        <w:spacing w:before="0" w:beforeAutospacing="0" w:after="0" w:afterAutospacing="0" w:line="360" w:lineRule="auto"/>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1.优化预算编制，加强预算执行力。</w:t>
      </w:r>
    </w:p>
    <w:p>
      <w:pPr>
        <w:pStyle w:val="16"/>
        <w:widowControl/>
        <w:shd w:val="clear" w:color="auto" w:fill="FFFFFF"/>
        <w:spacing w:before="0" w:beforeAutospacing="0" w:after="0" w:afterAutospacing="0" w:line="360" w:lineRule="auto"/>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 加强项目开展和执行进度的跟踪，做好与市财政资金支付对接工作，</w:t>
      </w:r>
      <w:r>
        <w:rPr>
          <w:rFonts w:hint="eastAsia" w:ascii="Times New Roman" w:hAnsi="Times New Roman" w:eastAsia="仿宋_GB2312" w:cs="仿宋_GB2312"/>
          <w:color w:val="auto"/>
          <w:kern w:val="2"/>
          <w:sz w:val="32"/>
          <w:szCs w:val="32"/>
          <w:highlight w:val="none"/>
          <w:lang w:val="zh-CN" w:eastAsia="zh-CN" w:bidi="ar-SA"/>
        </w:rPr>
        <w:t>及时解决交通项目建设</w:t>
      </w:r>
      <w:r>
        <w:rPr>
          <w:rFonts w:hint="eastAsia" w:ascii="Times New Roman" w:hAnsi="Times New Roman" w:eastAsia="仿宋_GB2312" w:cs="仿宋_GB2312"/>
          <w:color w:val="auto"/>
          <w:kern w:val="2"/>
          <w:sz w:val="32"/>
          <w:szCs w:val="32"/>
          <w:highlight w:val="none"/>
          <w:lang w:val="en-US" w:eastAsia="zh-CN" w:bidi="ar-SA"/>
        </w:rPr>
        <w:t>中存在的困难</w:t>
      </w:r>
      <w:r>
        <w:rPr>
          <w:rFonts w:hint="eastAsia" w:ascii="Times New Roman" w:hAnsi="Times New Roman" w:eastAsia="仿宋_GB2312" w:cs="仿宋_GB2312"/>
          <w:color w:val="auto"/>
          <w:kern w:val="2"/>
          <w:sz w:val="32"/>
          <w:szCs w:val="32"/>
          <w:highlight w:val="none"/>
          <w:lang w:val="zh-CN" w:eastAsia="zh-CN" w:bidi="ar-SA"/>
        </w:rPr>
        <w:t>，为我市各项交通建设提供</w:t>
      </w:r>
      <w:r>
        <w:rPr>
          <w:rFonts w:hint="eastAsia" w:ascii="Times New Roman" w:hAnsi="Times New Roman" w:eastAsia="仿宋_GB2312" w:cs="仿宋_GB2312"/>
          <w:color w:val="auto"/>
          <w:kern w:val="2"/>
          <w:sz w:val="32"/>
          <w:szCs w:val="32"/>
          <w:highlight w:val="none"/>
          <w:lang w:val="en-US" w:eastAsia="zh-CN" w:bidi="ar-SA"/>
        </w:rPr>
        <w:t>强</w:t>
      </w:r>
      <w:r>
        <w:rPr>
          <w:rFonts w:hint="eastAsia" w:ascii="Times New Roman" w:hAnsi="Times New Roman" w:eastAsia="仿宋_GB2312" w:cs="仿宋_GB2312"/>
          <w:color w:val="auto"/>
          <w:kern w:val="2"/>
          <w:sz w:val="32"/>
          <w:szCs w:val="32"/>
          <w:highlight w:val="none"/>
          <w:lang w:val="zh-CN" w:eastAsia="zh-CN" w:bidi="ar-SA"/>
        </w:rPr>
        <w:t>有力</w:t>
      </w:r>
      <w:r>
        <w:rPr>
          <w:rFonts w:hint="eastAsia" w:ascii="Times New Roman" w:hAnsi="Times New Roman" w:eastAsia="仿宋_GB2312" w:cs="仿宋_GB2312"/>
          <w:color w:val="auto"/>
          <w:kern w:val="2"/>
          <w:sz w:val="32"/>
          <w:szCs w:val="32"/>
          <w:highlight w:val="none"/>
          <w:lang w:val="en-US" w:eastAsia="zh-CN" w:bidi="ar-SA"/>
        </w:rPr>
        <w:t>的</w:t>
      </w:r>
      <w:r>
        <w:rPr>
          <w:rFonts w:hint="eastAsia" w:ascii="Times New Roman" w:hAnsi="Times New Roman" w:eastAsia="仿宋_GB2312" w:cs="仿宋_GB2312"/>
          <w:color w:val="auto"/>
          <w:kern w:val="2"/>
          <w:sz w:val="32"/>
          <w:szCs w:val="32"/>
          <w:highlight w:val="none"/>
          <w:lang w:val="zh-CN" w:eastAsia="zh-CN" w:bidi="ar-SA"/>
        </w:rPr>
        <w:t>保障。</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b/>
          <w:bCs/>
          <w:kern w:val="2"/>
          <w:sz w:val="32"/>
          <w:szCs w:val="32"/>
          <w:u w:val="none"/>
          <w:lang w:val="zh-CN" w:eastAsia="zh-CN" w:bidi="ar"/>
        </w:rPr>
      </w:pPr>
      <w:r>
        <w:rPr>
          <w:rFonts w:hint="eastAsia" w:ascii="Times New Roman" w:hAnsi="Times New Roman" w:eastAsia="仿宋_GB2312" w:cs="Times New Roman"/>
          <w:b/>
          <w:bCs/>
          <w:kern w:val="2"/>
          <w:sz w:val="32"/>
          <w:szCs w:val="32"/>
          <w:u w:val="none"/>
          <w:lang w:val="zh-CN" w:eastAsia="zh-CN" w:bidi="ar"/>
        </w:rPr>
        <w:t>附表：</w:t>
      </w:r>
      <w:r>
        <w:rPr>
          <w:rFonts w:hint="eastAsia" w:ascii="Times New Roman" w:hAnsi="Times New Roman" w:eastAsia="仿宋_GB2312" w:cs="Times New Roman"/>
          <w:b/>
          <w:bCs/>
          <w:kern w:val="2"/>
          <w:sz w:val="32"/>
          <w:szCs w:val="32"/>
          <w:u w:val="none"/>
          <w:lang w:val="en-US" w:eastAsia="zh-CN" w:bidi="ar"/>
        </w:rPr>
        <w:t>部门预算项目支出绩效自评表（2024年度）</w:t>
      </w:r>
    </w:p>
    <w:p>
      <w:pPr>
        <w:rPr>
          <w:rFonts w:hint="eastAsia" w:ascii="Times New Roman" w:hAnsi="Times New Roman" w:eastAsia="黑体" w:cs="黑体"/>
          <w:color w:val="auto"/>
          <w:kern w:val="0"/>
          <w:sz w:val="32"/>
          <w:szCs w:val="32"/>
          <w:highlight w:val="none"/>
          <w:shd w:val="clear" w:color="auto" w:fill="FFFFFF"/>
          <w:lang w:val="zh-CN"/>
        </w:rPr>
      </w:pPr>
    </w:p>
    <w:tbl>
      <w:tblPr>
        <w:tblStyle w:val="1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1597"/>
        <w:gridCol w:w="1759"/>
        <w:gridCol w:w="1682"/>
        <w:gridCol w:w="1056"/>
        <w:gridCol w:w="1296"/>
        <w:gridCol w:w="1056"/>
        <w:gridCol w:w="1072"/>
        <w:gridCol w:w="1059"/>
        <w:gridCol w:w="1059"/>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51118122T000000331400-城市公交燃气补贴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对公汽司公交车辆燃气费用进行补贴，保障公交票价低廉惠民.</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按峨府议〔2010〕40号会议纪要，CNG销售价格调整后，城市公交运营成本增支部分，由市政府进行补贴，实行按月按实结算。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补贴公交车数量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公交运行通畅率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2022-2024年完成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保障群众低价出行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保障公交正常运行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缓解峨眉山市公交企业运营压力，保障公交车辆正常运行，方便广大人民群众便捷畅通出行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51118122T000000331860-九珠客运中心搬迁租金及税费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保障九珠客运站的搬迁，保证九珠客运站的正常运转</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峨眉山九珠客运中心是我市国有控股汽车客运企业，其原经营场地因2014年修建四川旅博会永久场馆被占用，经市政府协调临时搬迁至市二汽司城北客运站，其租金及税费由市财政支付。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123.48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123.48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支付企业数量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2022-2024年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促进我市客运经济发展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促进该项工作长期稳定发展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乘客满意度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123.48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缓解相关客运企业运营压力，保障我市旅博会的举办，提高旅游城市知名度，促进全市旅游经济快速发展。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51118122T000000331895-公汽司IC卡刷卡优惠性政策补贴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维持老年卡、军残免费、普通卡8折、学生卡2折优惠政策的延续，优惠保障公交运行正常、百姓出行方便。</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依据《乐山市人民政府关于优先发展城市公共交通的意见》乐府发〔2012〕4号文件精神，我市从2015年起实施老年IC卡免费乘坐，学生卡、普通卡实行2折和8折优惠，其优惠部分按实由市财政支付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554.09</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554.09</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刷卡次数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刷卡覆盖率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2022-2024年完成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保障群众低价出行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保障公交车正常运行调查率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乘客满意度调查率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缓解峨眉山市公交企业运营压力，保障公交车辆正常运行，方便广大人民群众便捷畅通出行，促进全市经济快速发展。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51118122T000000331916-交通重点建设项目工程费用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交通建设顺利实施。省道308线峨眉山市绥山镇太泉村至绥山镇大楠村道路工程；G245汪坝至和平桥、和平桥至观音桥中修；九沙路暴雨损毁恢复工程；峨眉山市川桃路交通加旅游（生态修复）工程；符溪-桂花桥-九里美丽乡村旅游产业道路；完善峨眉山市道路交通标志、标线项目；峨眉山市国省道部分交安设施完善项目；省道306线20.3-25.6KM道路两侧水渠增设安全护栏项目；2019年农村公路交安建设项目；2020年生命安全防护（村道交安）项目；连乐铁路项目资本金、青杨路、符双路、双普路等等。</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由我局及下属单位作为业主的政府投资类交通建设项目，包括G245大中修项目、新（改）建285公里农村公路、幸福美丽乡村路建设等250多个项目，含在建、完工、采购类工程、管线迁改、前期费用等。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5,837.00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38,221.53</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38,110.53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5,837.00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38,221.53</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38,110.53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质量验收达标率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2022年-2024年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周边经济带动效益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每年持续推进交通建设项目数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加大了各类交通项目建设力度，提升我市交通基础设施硬环境，为人民群众创造良好出行环境，促进全市经济快速发展。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51118122T000005470480-公路灾毁应急抢险保通经费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保障公路灾毁受损后得到抢修保通</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减少灾害对经济社会的影响，保障人民生命财产安全。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139.08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139.08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按期完成投资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新改建公路项目适应未来一定时期内交通需求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资金拨付力度还不够大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保障了公路灾毁受损后得到抢修保通，为人民群众创造良好出行环境，促进全市经济快速发展。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项目资金拨付力度还有待提高。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51118122T000007339209-机养中心预防性养护保通作业服务采购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通过对全市国省县道公路路面预防性养护修补、灌缝、绿化等作业项目的开展，有利于及时消除公路安全隐患，保障道路安全畅通，提升全市公路路况水平，延长公路使用寿命。</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消除道路安全隐患，提高公路通行服务水平，促进经济快速发展，确保我市公路建管养运工作长期稳定可持续发展。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公路水平状况综合评价PQI</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保畅通、促进经济建设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确保该项工作长期稳定推进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消除道路安全隐患，提高公路通行服务水平，促进经济快速发展，确保我市公路建管养运工作长期稳定可持续发展。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51118123T000009130525-乐峨大道等四条公路日常养护服务采购项目经费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峨大道等四条公路日常养护服务政府采购项目的实施，有利于进一步提升我市公路养护服务水平和通行保障能力，为人民群众提供舒适、快捷、安全的出行条件，促进我市经济快速发展，切实推动公路养护改革，逐步实现公路“管养分离”，实现养护管理专业化、养护作业标准化、养护服务市场化的总体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提高道路养护质量，消除道路安全隐患，提高公路通行服务水平，确保客货运安全运输，促进全市经济快速发展，确保我市公路建管养运工作长期稳定发展。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养护公里数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养护工作任务完成率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2023年-2025年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保畅通、促经济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消除道路安全隐患，提高公路通行服务水平，确保客货运安全运输，促进全市经济快速发展，确保我市公路建管养运工作长期稳定发展。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51118123T000009131666-公路零星交安设施维修项目经费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根据《关于公路交通零星交安设施维修服务项目有关事项的请示》（峨交【2022】36号），市财政年度专项经费为150万元，对全市零星受损交安设施及时进行恢复更新，确保道路交通行车安全。</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对全市零星受损交安设施及时进行恢复更新，确保道路交通行车安全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验收质量达标率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2023年-2025年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促进乡村经济发展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促进该项工作长期稳定发展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确保道路交通行车安全，消除道路安全隐患，提高公路通行服务水平。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51118123T000009444605-2021—2022年度中央财政农村客运补贴和城市交通发展奖励资金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用于发放2021—2022年度农村客运补贴和城市交通发展奖励，确保农村客运市场秩序的平稳运行，方便群众低价出行，促进乡村振兴。</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根据《峨眉山市2021、2022年度中央财政农村客运补贴和城市交通发展奖励资金实施方案(送审稿)》,市政府领导同意了该方案（市政府文件处理单号2023270）。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300.10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300.10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拨付企业数量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资金补贴达标率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保障群众低价出行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保障车辆正常运行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308.48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提升农村客运普遍服务能力，促进农村客运高质量发展和转型升级，维护出租车行业稳定，优先发展城市公共交通，落实节能减排任务，促进农村客运、出租车、城市公共交通等行业健康可持续和高质量发展。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51118123T000009521397-2023年成品油税费改革转移支付农村公路养护资金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通过该项目的实施，促进我市农村公路日常养护，消除农村公路通行隐患，提升农村公路交通安全出行水平，确保道路整洁畅通，改善人民群众出行环境，促进全市经济快速发展。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对我市我单位管养农村公路进行管养，保证群众出行安全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养护公里数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养护质量验收达标率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适应未来一定时期内交通需求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项目自评分为100分，通过日常养护，保障群众出行便捷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51118123T000009618617-大峨眉交旅融合先行示范区建设推进会经费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通过该项目会议的举办，认真落实交通强国和全域旅游战略，加快建设交通强省、文化旅游强省，对大峨眉交旅融合先行示范区建设工作进行系统部署，为推动全省交旅融合高质量发展提供示范样板。</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对该项目实施过程中产生的会议费、场地费、广告等费用进行据实报销。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参会人员数量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各项会议议程完成率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会议召开时间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对经济发展的促进作用是否明显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是否适应未来一定时期交通需求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适应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会议成本控制在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233761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233761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加快建设交通强省、文化旅游强省，对大峨眉交旅融合先行示范区建设工作进行系统部署，为推动全省交旅融合高质量发展提供示范样板。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51118123T000009697870-2023省第二批省级交通专项资金（幸福美丽乡村路）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通过该项目的实施，为我市幸福美丽乡村路建设提供强有力的资金保障，改善人民群众出行环境，消除农村公路通行安全隐患，促进乡村振兴，带动我市经济快速发展。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该项资金主要用于峨眉山市C09Y黄湾镇(万年村至仙山村段)幸福美丽乡村路、峨眉山市X149/Y009/Y010/X149/X148高桥镇高桥村至连峨村段美丽乡村路(峨眉山市高桥-罗目-沙溪美丽乡村旅游产业道路工程 )等10条幸福美丽乡村路建设。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4,268.00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4,268.00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公路建设里程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适应未来一定时期内交通需求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适应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4268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促进我市幸福美丽乡村路建设，改善人民群众出行环境，提升农村公路安全通行水平，促进全市乡村振兴。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51118124T000011445212-公交成本监审运营补贴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通过项目实施，可大大降低公交公司的运营成本，确保公交公司运转正常，降低人民群众出行成本，促进我市公交行业健康稳定发展。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对全市农村客运车辆进行专项补贴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公交车辆数量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车辆质量达标率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方便人民群众出行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确保公交公司运转正常，降低人民群众出行成本，促进我市公交行业健康稳定发展。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51118124T000011451297-川桃路等三条公路日常养护服务项目经费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通过该项目的实施，有利于川桃路等三条公路养护工作得到保障，进一步提高道路通行环境，降低道路通行安全隐患，方便人民群众出行，促进经济建设再上新台阶。</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川桃路等三条公路养护工作得到保障，进一步提高道路通行环境，降低道路通行安全隐患，方便人民群众出行，促进经济建设再上新台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159.89</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159.89</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养护公路数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43.314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养护质量检查得分率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优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促进该项工作长期稳定发展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项目自评分为100分，通过日常养护，绿化带整齐美观。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51118124T000011532138-2023年省级交通专项资金(客运电子客票补助)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支持道路客运电子客票改造</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提升旅客出行便捷性；优化流程。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支持道路客运电子客票改造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2024年内完成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新改建公路适应未来一定时期内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51118124T000011758887-高铁峨眉山站安保服务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通过该项目的实施，更好的维护好高铁站站场秩序，做好铁路运输与地方政府之间的协调，确保高铁站秩序运行正常，为广大旅客创造良好的旅游乘车环境，促进我市旅游经济向好发展。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确保高铁站秩序运行正常，为广大旅客创造良好的旅游乘车环境，促进我市旅游经济向好发展。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设施设备检查次数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站场秩序通畅率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2024年-2026年完成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对经济建设的促进作用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方便广大群众出行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建设绿色出行环境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适应未来一定时期内交通运输发展需要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确保高铁站秩序运行正常，为广大旅客创造良好的旅游乘车环境，促进我市旅游经济向好发展。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51118124T000011857339-2023年度中央财政农村客运补贴和城市发展奖励资金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用于发放2023年度农村客运补贴和城市交通发展奖励，确保农村客运市场秩序的平稳运行，方便群众低价出行，促进乡村振兴。</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根据《峨眉山市2021、2022年度中央财政农村客运补贴和城市交通发展奖励资金实施方案(送审稿)》,市政府领导同意了该方案（市政府文件处理单号2023270）。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519.86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519.86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拨付企业数量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资金补贴达标率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资金按时到位率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保障群众低价出行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保障车辆正常运行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519.68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提升农村客运普遍服务能力，促进农村客运高质量发展和转型升级，维护出租车行业稳定，优先发展城市公共交通，落实节能减排任务，促进农村客运、出租车、城市公共交通等行业健康可持续和高质量发展。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51118124T000011953205-2024年第一批省级交通专项资金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通过该项目的实施，实现建制村100%通客车，确保乡村群众行有所乘，提高乘客出行安全，推动农村客运健康稳定发展，有力巩固农村客运脱贫攻坚成果。</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消除农村公路通行安全隐患，促进乡村振兴，带动我市经济快速发展。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382.45</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382.45</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行政村通车数量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是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按期完成投资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新改建公路项目适应未来一定时期内交通需求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消除农村公路通行安全隐患，促进乡村振兴，带动我市经济快速发展。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51118125T000012170029-农村公路日常养护补助经费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建立、健全农村公路县乡村三级管理养护机制，农村公路列养率达到100%，消除道路安全隐患，提高公路通行服务水平，通行条件和路域环境基本改善，抗灾能力显著提高，促进全市乡村振兴。</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通过该项目的实施，公路日常养护，确保道路整洁、安全、畅通。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93.41</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93.41</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公路养护及时性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农村公路养护里程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路面使用技术PQI</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资金使用规范率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完成时间效率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提升道路交通安全率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对道路建设的促进作用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公路通行情况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通过该项目的实施，补充和保障国省干线公路日常养护资金，确保道路整洁、安全、畅通。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51118125T000012448570-2024年超长期特别国债资金（大规模设备更新和消费品以旧换新方向）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通过该项目实施，重点支持老旧营运货车报废更新、能源公交车及动力电池更新，有利于提升交通硬件设备更新，更好地服务于交通通行，满足人民群众出行需要，促进我市经济快速发展。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更好地服务于交通通行，满足人民群众出行需要，促进我市经济快速发展。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737.00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737.00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更新新能源公交车和报废货车数量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促进经济快速发展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适应未来一定时期内交通需求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适应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通过该项目实施，重点支持老旧营运货车报废更新、能源公交车及动力电池更新，有利于提升交通硬件设备更新，更好地服务于交通通行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51118125T000013083130-2024年省级交通专项资金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通过对全市农村客运车辆保险进行专项补贴，降低农村客运车辆业主经营成本，确保农村客运市场正常运行，满足广大人民群众出行需求，促进乡村振兴工作再上新台阶。</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确保农村客运市场正常运行，满足广大人民群众出行需求，促进乡村振兴工作再上新台阶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203.33</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203.33</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支持综合客运枢纽站1个、支持县级客运站1个、支持农村客运车辆主动安全智能防控系统1套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按期完成投资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基本公共服务水平、公路安全水平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新改建公路项目适应未来一定时期内交通需求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确保农村客运市场正常运行，满足广大人民群众出行需求，促进乡村振兴工作再上新台阶。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51118125T000013083232-2020-2023年度农村客运补贴和城市交通发展奖励清算资金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用于清算2020-2023年度农村客运补贴和城市交通发展奖励，确保农村客运市场秩序的平稳运行，方便群众低价出行，促进乡村振兴。</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确保农村客运市场秩序的平稳运行，方便群众低价出行，促进乡村振兴。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拨付企业数量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对新能源汽车运营的支持作用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对农村客运的促进作用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农村客运经营者和出租车司机满意度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资金拨付力度不够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确保农村客运市场秩序的平稳运行，方便群众低价出行，促进乡村振兴。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加大财政资金扶持力度，推动行业可持续发展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51118122T000000347446-高铁站工作运行经费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峨眉山市铁路服务中心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用于高铁站设施设备的维护采购，水电费、物业管理费、办公费以及各派驻站场部门的协调等工作经费，确保高铁站秩序运行正常，完成上级领导交办的各项应急工作任务。</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用于高铁站设施设备的维护采购，水电费、物业管理费、办公费以及各派驻站场部门的协调等工作经费。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0.34</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0.34</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设施设备检查次数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站场秩序畅通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方便广大群众出行需求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优良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倡导绿色出行，减少碳排放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确保高铁站长期稳定运行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加强高铁站场的管理维护，确保高铁站场秩序正常，方便广大人民群众便捷畅通出行，促进全市经济快速发展。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项目负责人：彭清</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51118122T000005648108-铁路服务中心建设项目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峨眉山市铁路服务中心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交通运输局的部署和安排，承担相应的交通建设活动，确保交通建设工作的正常开展。包括2019年农村公路交安建设项目、2020年生命安全防护（村道交安）项目、省道306线20.3KM至25.6KM道路两侧水渠增设安全护栏项目、调整区间测速路段标线实施标志标牌及道路标线项目、公路零星交安设施维修工作以、完善峨眉山市道路交通标志、标线项目以及市道路运输服务中心办公楼屋顶防水维修工程等。</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按照市交通运输局的部署和安排，承担相应的交通建设活动，确保交通建设工作的正常开展。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286.61</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286.61</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交通便捷改善程度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推进交通建设，促进地方经济发展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确保交通建设工作的正常开展。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项目负责人：彭清</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51118123T000008954779-高铁站运行经费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峨眉山市铁路服务中心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通过该项目的实施，更好的维护好高铁站站场秩序，做好铁路运输与地方政府之间的协调，确保高铁站秩序运行正常，为广大旅客创造良好的旅游乘车环境，促进我市旅游经济向好发展。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用于高铁站设施设备的维护采购，水电费、物业管理费、办公费以及各派驻站场部门的协调等工作经费。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231.42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231.42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设施设备检查次数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站场秩序通畅率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2023年-2027年完成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方便广大群众出行需求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确保高铁站长期稳定运行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加强高铁站场的管理维护，确保高铁站场秩序正常，方便广大人民群众便捷畅通出行，促进全市经济快速发展。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项目负责人：彭清</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51118122T000005189613-全市村组道路公路测试经费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峨眉山市交通工程质量安全中心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2023年全市村组道路水泥砼抗压、抗折、圆柱体霹雳试验、钢筋弯拉质量检测等。</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全市村组道路水泥砼抗压、抗折、钢筋弯拉质量检测等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在建工程水泥砼抗压、抗折试验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在建工程钢筋弯曲拉升试验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试验检测工程质量的保证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现场水泥砼抽样质量检查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确保试验样品的真实性，取样具有科学性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通过农村公路建设，给群众提供了就业岗位，促进产业发展，增加了收入。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农村公路建设使农民改善了生产生活条件，出行方便。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本项目自评总分为100分，通过本项目的实施，保障了道路质量，推动了周边经济发展，提升了群众出行便捷程度。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项目负责人：伍慧</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51118123T000009113664-交通工程项目质量安全监督业务经费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峨眉山市交通工程质量安全中心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承担交通建设项目服务保障工作，为交通建设项目工程质量安全提供技术技持，参与交通项目交竣工验收，工程质量与安全事故调查等具体事务性工作，出具质量与安全相关检测评估报告。龙池镇南山村至苦蒿坪美丽乡村路等监督项目，符溪丰收大桥及桥梁连接线工程等监督项目。</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承担交通建设项目服务保障工作，为交通建设项目工程质量安全提供技术技持，参与交通项目交竣工验收，工程质量与安全事故调查等具体事务性工作，出具质量与安全相关检测评估报告。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农村公路质量安全监督公里数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桥梁质量安全监督项目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加强对项目日常交通建项目服务保障工作。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执行进度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促进农村经济发展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改善农民生产生活条件。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本项目自评得分为100分，通过本项目的实施，推动全市农村公路工程质量和安全产生指标的提高，实现在建农村公路项目监管全覆盖，项目竣（交）工验收一次性合格率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项目负责人：伍慧</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51118122T000000353461-交通建设工程项目经费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按照上级文件要求，组织实施工程建设，确保质量，按时完成任务。</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严格审批支付资料，按照相关上级文件要求，合理规范使用资金，做到专款专用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4,230.51</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4,188.95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4,230.51</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4,188.95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拨付进度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周边经济带动效益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交通便捷程度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持续推进交通建设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沿线村民满意度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本项目自评总分为99分，通过本项目的实施，完成了部分交通建设项目的推进工作，保障了道路质量，推动了周边经济发展，提升了群众出行便捷程度。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项目负责人：任良俊</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51118122T000000354557-公路和运输安全工作经费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用于全市公路和运输安全工作，建立和培育统一、开放、竞争、有序的客货运市场，强化行业监管，提高行业服务质量，完善客货运市场准入和退出机制，确保道路运输安全稳定发展。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公路运输量统计调查专项经费，按照项目进度支付款项，确保道路运输安全稳定发展。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全年检查次数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确保公路和运输安全工作正常开展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确保公路运输市场安全畅通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安全生产，减少碳排放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促进行业可持续稳定发展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本项目自评分为95分。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加大财政资金扶持力度，推动行业可持续发展。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项目负责人：任良俊</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51118122T000000358116-扫地车、洒水车运行费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对路面进行洒水降尘和路面保洁，确保我市境内国省县乡道道路交安设施整洁醒目，有效治理道路扬尘。</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中心制定“养护管理办法”和“养护考核管理办法”规定，采取对国省县干线道路进行日常养护和洒水降尘，确保道路安全、畅通、整洁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67.59</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67.59</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保障道路整洁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维护沿线村民收入稳定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保持道路高效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环境保护成效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确障道路沿线生态环境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项目自评分为100分，公路养护及绿化维护达到预期效果，路面清洁、沿线设施清洁、绿化带整齐美观、确保道路畅通，减少路面粉尘。项目按照上班制度按时出勤作业进行，全面完成上级交给的任务。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51118122T000000358249-冰雪抢险经费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对冰雪天气路面结冰进行及时处置，确保道路安全畅通。</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通过购买劳务观察冰雪路段雪情及看护应急物资，购买融雪盐对结冰路段进行处置，确保车辆在冰雪天安全出行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处置道路结冰效果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保护沿线生态指标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保持道路安全畅通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效果良好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过往车辆驾驶员满意度良好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本项目自评总分为100分，通过本项目的实施，保障了车辆在结冰路段安全通行；预算编制科学，无结余资金。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51118122T000000358305-国省县乡道道路修补工程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认真组织实施预防性公路养护维护，保障国省县道路PQI值不下降，进行日常预防养护作业，参与防汛防冰雪灾抢险，确保道路安全畅通。</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及时对管养路段的坑凼进行养护维护，参与防汛防雪灾抢险等工作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30.78</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好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出行方便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提升我市形象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项目自评分为100分，通过日常养护，保障国省县道路质量不降低，使群众出行便捷。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51118122T000005359581-中央财政成品油税费改革转移支付资金（农村公路养护）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根据川财建[2021]0012号，下达2021年中央财政成品油税费改革转移支付资金（农村公路养护）</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对我市我单位管养农村公路进行管养，保证群众出行安全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农产品销售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出行方便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提升农村风貌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1915820.28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项目自评分为100分，通过日常养护，保障群众出行便捷。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51118123T000008893258-2023年交通建设项目经费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按照上级文件要求，组织实施峨眉山市川桃路交通加旅游（生态修复）工程、消除省道安全隐患及提升公路PQI值整治(中修和预防性养护) 工程(第二次) 、G245 线峨眉山市和平桥至观音桥中修工程、G245 线峨眉山市汪坝村至和平桥中修工程、国道G245峨眉山市高桥镇观音村至龙池镇杨柳村大修工程、峨眉山市国道G245高桥至龙池回头弯道整治工程建设，确保质量，按时完成。</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严格审批支付资料，按照相关上级文件要求，合理规范使用资金，做到专款专用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资金拨付进度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周边经济带动效益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交通便捷程度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持续推动交通建设情况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159147467.77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本项目自评总分为100分，通过本项目的实施，完成了部分交通建设项目的推进工作，保障了道路质量，推动了周边经济发展，提升了群众出行便捷程度。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51118122T000005359581-中央财政成品油税费改革转移支付资金（农村公路养护）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根据川财建[2021]0012号，下达2021年中央财政成品油税费改革转移支付资金（农村公路养护）</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对我市我单位管养农村公路进行管养，保证群众出行安全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农产品销售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出行方便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提升农村风貌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1915820.28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项目自评分为100分，通过日常养护，保障群众出行便捷。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项目负责人：廖一军</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51118124T000011871326-国省道大修工程交通管制经费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用于交通管制人员的工作餐费，饮水费、集装箱值班室租用费，广告牌制作费，办公及其他费用</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用于交通管制人员的工作餐费，饮水费、集装箱值班室租用费，广告牌制作费，办公及其他费用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安全事故发生率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出勤率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在2024年完成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带动周边经济发展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群众通行安全性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116960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项目自评分为100分，通过国省道大修工程交通管制，保障群众出行便捷。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项目负责人：任良俊</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51118125T000012188400-普通国省干线公路日常养护补助资金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峨眉山市交通建设和运输中心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通过该项目的实施，补充和保障国省干线公路日常养护资金，确保道路整洁、安全、畅通。</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通过该项目的实施，补充和保障国省干线公路日常养护资金，确保道路整洁、安全、畅通。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全省国省干线公路养护里程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路面使用技术PQI</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公路养护及时性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公路通行情况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保障通畅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保障通畅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资金保障投入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资金拨付力度不够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项目负责：廖一军</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财务负责人：彭玲</w:t>
            </w:r>
          </w:p>
        </w:tc>
      </w:tr>
    </w:tbl>
    <w:p>
      <w:pPr>
        <w:rPr>
          <w:rFonts w:hint="eastAsia" w:ascii="Times New Roman" w:hAnsi="Times New Roman" w:eastAsia="黑体" w:cs="黑体"/>
          <w:color w:val="auto"/>
          <w:kern w:val="0"/>
          <w:sz w:val="32"/>
          <w:szCs w:val="32"/>
          <w:highlight w:val="none"/>
          <w:shd w:val="clear" w:color="auto" w:fill="FFFFFF"/>
          <w:lang w:val="zh-CN"/>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2</w:t>
      </w:r>
    </w:p>
    <w:p>
      <w:pPr>
        <w:pStyle w:val="37"/>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峨眉山市交通运输局</w:t>
      </w: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2024年省级交通专项资金项目绩效</w:t>
      </w: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自评报告</w:t>
      </w:r>
    </w:p>
    <w:p>
      <w:pPr>
        <w:pStyle w:val="37"/>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1.项目设立原因及背景</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五”时期是我国全面建成小康社会、实现第一个百年奋斗目标之后，乘势而上开启全面建设社会主义现代化国家新征程、向第二个百年奋斗目标进军的第一个五年。交通运输是基础性、先导性、战略性行业，是服务经济、服务社会、服务工作的重要载体。加快交通强国建设，构建现代综合交通运输体系，是贯彻党的十九大精神的客观要求，是全面融入新发展格局、建设现代化新四川的重要支撑。</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进一步规范和加强我省交通运输事业发展专项资金管理，切实提高财政资金使用效益，推进交通强省建设，2022年12月，省财政厅会同省交通运输厅共同印发了《四川省省级交通专项资金管理办法》，对交通运输事业发展专项资金支持范围和分配方式、资金管理、绩效管理和监督管理提出了更加详实的要求。</w:t>
      </w:r>
    </w:p>
    <w:p>
      <w:pPr>
        <w:ind w:firstLine="800" w:firstLineChars="25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项目立项、资金申报的依据</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据《中共四川省委、四川省人民政府关于全面实施预算绩效管理的实施意见》（川委发【2019】8号）和《四川省财政厅、四川省交通运输厅关于印发四川省省级财政交通专项资金管理办法的通知》（川财建【2022】5号）</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项目主要内容（</w:t>
      </w:r>
      <w:r>
        <w:rPr>
          <w:rFonts w:hint="eastAsia" w:ascii="仿宋_GB2312" w:hAnsi="仿宋_GB2312" w:eastAsia="仿宋_GB2312" w:cs="仿宋_GB2312"/>
          <w:color w:val="auto"/>
          <w:sz w:val="32"/>
          <w:szCs w:val="32"/>
          <w:highlight w:val="none"/>
          <w:lang w:val="en-US" w:eastAsia="zh-CN"/>
        </w:rPr>
        <w:t>省级资金下达情况）</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（1）2024年5月，《2024年第一批省级交通专项资金》（川财建【2024】47号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市财政</w:t>
      </w:r>
      <w:r>
        <w:rPr>
          <w:rFonts w:hint="eastAsia" w:ascii="仿宋_GB2312" w:hAnsi="仿宋_GB2312" w:eastAsia="仿宋_GB2312" w:cs="仿宋_GB2312"/>
          <w:color w:val="auto"/>
          <w:sz w:val="32"/>
          <w:szCs w:val="32"/>
          <w:highlight w:val="none"/>
          <w:lang w:eastAsia="zh-CN"/>
        </w:rPr>
        <w:t>下达</w:t>
      </w:r>
      <w:r>
        <w:rPr>
          <w:rFonts w:hint="eastAsia" w:ascii="仿宋_GB2312" w:hAnsi="仿宋_GB2312" w:eastAsia="仿宋_GB2312" w:cs="仿宋_GB2312"/>
          <w:color w:val="auto"/>
          <w:sz w:val="32"/>
          <w:szCs w:val="32"/>
          <w:highlight w:val="none"/>
          <w:lang w:val="en-US" w:eastAsia="zh-CN"/>
        </w:rPr>
        <w:t>我市农村客运发展“以奖代补”基准奖补资金380.39万元，专项用于我市农村客运补贴。</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（2）2024年7月，《2024年第一批省级交通专项资金》（乐市财政建〔2024〕79号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市财政</w:t>
      </w:r>
      <w:r>
        <w:rPr>
          <w:rFonts w:hint="eastAsia" w:ascii="仿宋_GB2312" w:hAnsi="仿宋_GB2312" w:eastAsia="仿宋_GB2312" w:cs="仿宋_GB2312"/>
          <w:color w:val="auto"/>
          <w:sz w:val="32"/>
          <w:szCs w:val="32"/>
          <w:highlight w:val="none"/>
          <w:lang w:eastAsia="zh-CN"/>
        </w:rPr>
        <w:t>下达</w:t>
      </w:r>
      <w:r>
        <w:rPr>
          <w:rFonts w:hint="eastAsia" w:ascii="仿宋_GB2312" w:hAnsi="仿宋_GB2312" w:eastAsia="仿宋_GB2312" w:cs="仿宋_GB2312"/>
          <w:color w:val="auto"/>
          <w:sz w:val="32"/>
          <w:szCs w:val="32"/>
          <w:highlight w:val="none"/>
          <w:lang w:val="en-US" w:eastAsia="zh-CN"/>
        </w:rPr>
        <w:t>我市农村客运发展“以奖代补”资金-发展奖补资金2.058万元，专项用于我市农村客运车辆安装主动安全智能防控系统。</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（3）2024年12月，《2024年第四批省级交通专项资金》（川财建【2024】273号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市财政</w:t>
      </w:r>
      <w:r>
        <w:rPr>
          <w:rFonts w:hint="eastAsia" w:ascii="仿宋_GB2312" w:hAnsi="仿宋_GB2312" w:eastAsia="仿宋_GB2312" w:cs="仿宋_GB2312"/>
          <w:color w:val="auto"/>
          <w:sz w:val="32"/>
          <w:szCs w:val="32"/>
          <w:highlight w:val="none"/>
          <w:lang w:eastAsia="zh-CN"/>
        </w:rPr>
        <w:t>下达</w:t>
      </w:r>
      <w:r>
        <w:rPr>
          <w:rFonts w:hint="eastAsia" w:ascii="仿宋_GB2312" w:hAnsi="仿宋_GB2312" w:eastAsia="仿宋_GB2312" w:cs="仿宋_GB2312"/>
          <w:color w:val="auto"/>
          <w:sz w:val="32"/>
          <w:szCs w:val="32"/>
          <w:highlight w:val="none"/>
          <w:lang w:val="en-US" w:eastAsia="zh-CN"/>
        </w:rPr>
        <w:t>我市农村客运发展“以奖代补”基准奖补资金203.33万元，专项用于我市农村客运补贴。</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（4）2024年9月，《2024年第一批省级交通专项资金（公路灾毁应急抢险保通）》（乐市财政建【2024】144号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市财政</w:t>
      </w:r>
      <w:r>
        <w:rPr>
          <w:rFonts w:hint="eastAsia" w:ascii="仿宋_GB2312" w:hAnsi="仿宋_GB2312" w:eastAsia="仿宋_GB2312" w:cs="仿宋_GB2312"/>
          <w:color w:val="auto"/>
          <w:sz w:val="32"/>
          <w:szCs w:val="32"/>
          <w:highlight w:val="none"/>
          <w:lang w:eastAsia="zh-CN"/>
        </w:rPr>
        <w:t>下达</w:t>
      </w:r>
      <w:r>
        <w:rPr>
          <w:rFonts w:hint="eastAsia" w:ascii="仿宋_GB2312" w:hAnsi="仿宋_GB2312" w:eastAsia="仿宋_GB2312" w:cs="仿宋_GB2312"/>
          <w:color w:val="auto"/>
          <w:sz w:val="32"/>
          <w:szCs w:val="32"/>
          <w:highlight w:val="none"/>
          <w:lang w:val="en-US" w:eastAsia="zh-CN"/>
        </w:rPr>
        <w:t>公路灾毁应急抢险保通资金43.7万元，专项用于我市公路灾毁应急抢险保通。</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（5）《2024年第三批交通专项应急资金（第一、二批公路灾毁应急抢修保通）》（乐市财政建【2025】8号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专项用于我市公路灾毁应急抢修保通，该笔省补资金155.95万元指标暂未下达。</w:t>
      </w:r>
    </w:p>
    <w:p>
      <w:pPr>
        <w:ind w:firstLine="800" w:firstLineChars="25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eastAsia="zh-CN"/>
        </w:rPr>
        <w:t>主管部门职能</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峨眉山市交通运输局主要职能为贯彻执行国家有关交通运输行业方针、政策和法律、法规、规章，研究拟定全市交通运输行业的规范性文件和政策措施；负责本系统、本部门行政执法工作，落实行政执法责任制；指导交通行业有关体制改革工作。组织拟定全市运输业和物流业发展规划并组织实施。承担全市交通运输市场监管责任；承担交通建设市场的监管责任；承担水上交通安全监管职责；负责贯彻执行国家和省有关交通科技政策；监督、指导全市经营性道路运输源头安全、公路工程建设及养护和交通企事业单位内部安全，督促法人安全责任制的落实；负责编制交通行业预决算并监督执行；负责交通有关涉外工作；承担市人民政府交通战备、保护通信线路和大件运输管理及有关行政审批事项。</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pPr>
        <w:ind w:firstLine="800" w:firstLineChars="25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以高质量发展为主题，落实省委、省政府安排的重要工作，进一步提升公路建设与养护能力，完善综合交通运输体系建设，坚持抢抓机遇、坚持稳中求进，为建设富饶美丽幸福新四川当好先行。抓好行业安全源头管理，认真落实安全目标责任制管理和“党政同责、一岗双责、尽责减责、失责追责”，切实加强道路运输五大市场及水上交通行业监管和日常服务工作，不断提升服务质量。严格履行“三把关一监督”的安全管理职责，落实有力措施，确保汛期、冰雪天气下农村道路客运、水陆运输行业安全，确保全市道路运输行业安全高质量发展。</w:t>
      </w:r>
    </w:p>
    <w:p>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 2024年度省级交通专项资金共计785.428万元，其中用于全市农村客运专项补贴资金585.778万元；用于公路灾毁应急抢修保通资金43.7万元，其中155.95万元（目前暂未下达）。</w:t>
      </w:r>
    </w:p>
    <w:p>
      <w:pPr>
        <w:ind w:firstLine="800" w:firstLineChars="25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我市严格按照《四川省省级交通专项资金管理办法》对专项资金进行管理和分配，做到严格审批、及时上报、专款专用，没有滞留、截留、挤占和挪用的现象，充分发挥了专项资金的使用效益。</w:t>
      </w:r>
    </w:p>
    <w:p>
      <w:pPr>
        <w:keepNext w:val="0"/>
        <w:keepLines w:val="0"/>
        <w:pageBreakBefore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项目绩效目标设置。</w:t>
      </w:r>
    </w:p>
    <w:p>
      <w:pPr>
        <w:pStyle w:val="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1.总体绩效目标完成情况分析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2024年度省级交通专项资金实际下达资金629.478万元，资金共分4笔下达，累计完成支出629.478万元，总体执行率为100%。</w:t>
      </w:r>
    </w:p>
    <w:p>
      <w:pPr>
        <w:pStyle w:val="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2.绩效指标完成情况分析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（1）数量指标</w:t>
      </w:r>
    </w:p>
    <w:p>
      <w:pPr>
        <w:pStyle w:val="5"/>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2024年我市完成对141辆农村客运车辆的专项补贴工作。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（2）质量指标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按照《四川省财政厅四川省交通运输厅关于印发“十四五”省级财政资金支付农村客运发展“以奖代补”实施方案》（川财建【2022】406号）进行资金分配，下达预算的科目和项目执行，未出现截留、挤占、挪用或擅自调整等问题，符合绩效指标资金使用合规性目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（3）时效指标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2024年度省级交通专项资金实际下达资金629.478万元，累计完成支出629.478万元，总体执行率好。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经济效益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通过2024年农村客运车辆补贴项目的实施，农村客运正常运营得到保障，对经济发展的促进作用明显。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社会效益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通过2024年农村客运车辆补贴项目的实施，农村客运车辆公路行驶安全水平得到保障，客运交通服务水平明显提高。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生态效益指标</w:t>
      </w:r>
    </w:p>
    <w:p>
      <w:pPr>
        <w:pStyle w:val="5"/>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2024年农村客运车辆补贴项目，有效推动农村客运行业节能减排，进一步提升公共交通领域清洁能源化水平。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(7)</w:t>
      </w:r>
      <w:r>
        <w:rPr>
          <w:rFonts w:hint="eastAsia" w:ascii="仿宋_GB2312" w:hAnsi="仿宋_GB2312" w:eastAsia="仿宋_GB2312" w:cs="仿宋_GB2312"/>
          <w:color w:val="auto"/>
          <w:kern w:val="2"/>
          <w:sz w:val="32"/>
          <w:szCs w:val="32"/>
          <w:highlight w:val="none"/>
          <w:lang w:val="en-US" w:eastAsia="zh-CN" w:bidi="ar-SA"/>
        </w:rPr>
        <w:t>可持续影响指标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该项目坚持以人为本，持续推动农村客运行业高质量发展，适应未来一定时期内交通运输服务需求。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highlight w:val="none"/>
          <w:lang w:val="en-US" w:eastAsia="zh-CN" w:bidi="ar-SA"/>
        </w:rPr>
        <w:t>服务对象满意度指标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2024年农村客运车辆补贴项目旨在提高农村客运服务和安全保障能力，是服务群众的惠民工程，项目实施以来，未收到群众有关投诉，项目改善通行服务水平群众满意度大于80%。</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通过省级交通专项资金绩效自评要实现的目的是，找准省级交通专项资金项目执行中存在的问题，提出应对方案及措施，消除道路安全隐患，提高公路通行服务水平，确保我市农村客运运营正常，方便广大人民群众便捷畅通出行，促进全市经济快速发展。</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评价重点。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1.资金严格是否按照转移支付管理制度以及资金管理办法规定的范围和标准进行分配。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2.资金是否及时，资金是否拨付合规，是否严格按照国库集中支付制度有关规定支付资金，是否出现违规将资金从国库转入财政专户或支付到预算单位实有资金账户等问题。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3.资金使用是否规范，是否严格按照下达预算的科目和项目执行，专款专用，是否出现截留、挤占、挪用或擅自调整等问题。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4.是否严格按照财政事权和支出责任划分有关规定，足额安排资金履行本级支出责任，督促抓好交通运输发展工作，按要求开展绩效监控和绩效评价，提高预算执行效益。</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此次项目绩效自评主要是对2024年度省级下达我市交通专项资金进行自评，共计629.478万元省级专项资金</w:t>
      </w:r>
      <w:r>
        <w:rPr>
          <w:rFonts w:hint="eastAsia" w:ascii="仿宋_GB2312" w:hAnsi="仿宋_GB2312"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2"/>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根据项目情况和评价重点，此次项目绩效自评采用的是单位自评法。</w:t>
      </w:r>
    </w:p>
    <w:p>
      <w:pPr>
        <w:keepNext w:val="0"/>
        <w:keepLines w:val="0"/>
        <w:pageBreakBefore w:val="0"/>
        <w:widowControl w:val="0"/>
        <w:numPr>
          <w:ilvl w:val="0"/>
          <w:numId w:val="2"/>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成立了由局长任组长、局分管领导任副组长以及各科室负责人为成员的绩效评价工作小组，全面负责 2024年省级交通专项资金绩效评价工作的组织实施，绩效评价工作小组办公室设在局财务。</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bidi w:val="0"/>
        <w:ind w:firstLine="640" w:firstLineChars="200"/>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根据《2024年专项预算项目绩效评价指标自评表》，通用指标绩效分析设定绩效指标如下：</w:t>
      </w:r>
    </w:p>
    <w:tbl>
      <w:tblPr>
        <w:tblStyle w:val="17"/>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5"/>
        <w:gridCol w:w="1338"/>
        <w:gridCol w:w="4038"/>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31" w:type="pct"/>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一级指标</w:t>
            </w:r>
          </w:p>
        </w:tc>
        <w:tc>
          <w:tcPr>
            <w:tcW w:w="82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二级指标</w:t>
            </w: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三级指标</w:t>
            </w:r>
          </w:p>
        </w:tc>
        <w:tc>
          <w:tcPr>
            <w:tcW w:w="842"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指标分值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1" w:type="pct"/>
            <w:vMerge w:val="restart"/>
            <w:noWrap w:val="0"/>
            <w:tcMar>
              <w:top w:w="10" w:type="dxa"/>
              <w:left w:w="10" w:type="dxa"/>
              <w:right w:w="10" w:type="dxa"/>
            </w:tcMar>
            <w:vAlign w:val="center"/>
          </w:tcPr>
          <w:p>
            <w:pPr>
              <w:bidi w:val="0"/>
              <w:ind w:left="0" w:leftChars="0" w:firstLine="0" w:firstLineChars="0"/>
              <w:jc w:val="center"/>
              <w:rPr>
                <w:rFonts w:hint="eastAsia" w:ascii="Times New Roman" w:hAnsi="Times New Roman" w:eastAsia="仿宋_GB2312" w:cs="Times New Roman"/>
                <w:lang w:val="zh-CN" w:eastAsia="zh-CN"/>
              </w:rPr>
            </w:pPr>
            <w:r>
              <w:rPr>
                <w:rFonts w:hint="eastAsia" w:ascii="Times New Roman" w:hAnsi="Times New Roman" w:cs="Times New Roman"/>
                <w:lang w:val="en-US" w:eastAsia="zh-CN"/>
              </w:rPr>
              <w:t>通用指标</w:t>
            </w:r>
            <w:r>
              <w:rPr>
                <w:rFonts w:hint="eastAsia" w:ascii="Times New Roman" w:hAnsi="Times New Roman" w:cs="Times New Roman"/>
                <w:lang w:val="zh-CN"/>
              </w:rPr>
              <w:t>绩效</w:t>
            </w:r>
            <w:r>
              <w:rPr>
                <w:rFonts w:hint="eastAsia" w:ascii="Times New Roman" w:hAnsi="Times New Roman" w:cs="Times New Roman"/>
                <w:lang w:val="en-US" w:eastAsia="zh-CN"/>
              </w:rPr>
              <w:t>分析</w:t>
            </w:r>
          </w:p>
          <w:p>
            <w:pPr>
              <w:bidi w:val="0"/>
              <w:ind w:left="0" w:leftChars="0" w:firstLine="0" w:firstLineChars="0"/>
              <w:jc w:val="center"/>
              <w:rPr>
                <w:rFonts w:hint="eastAsia" w:ascii="Times New Roman" w:hAnsi="Times New Roman" w:cs="Times New Roman"/>
                <w:lang w:val="en-US" w:eastAsia="zh-CN"/>
              </w:rPr>
            </w:pPr>
          </w:p>
        </w:tc>
        <w:tc>
          <w:tcPr>
            <w:tcW w:w="827" w:type="pct"/>
            <w:vMerge w:val="restar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项目决策</w:t>
            </w: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决策程序</w:t>
            </w:r>
          </w:p>
        </w:tc>
        <w:tc>
          <w:tcPr>
            <w:tcW w:w="842" w:type="pc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1" w:type="pct"/>
            <w:vMerge w:val="continue"/>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827" w:type="pct"/>
            <w:vMerge w:val="continue"/>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规划论证</w:t>
            </w:r>
          </w:p>
        </w:tc>
        <w:tc>
          <w:tcPr>
            <w:tcW w:w="842" w:type="pc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1" w:type="pct"/>
            <w:vMerge w:val="continue"/>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827" w:type="pct"/>
            <w:vMerge w:val="continue"/>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资金投向</w:t>
            </w:r>
          </w:p>
        </w:tc>
        <w:tc>
          <w:tcPr>
            <w:tcW w:w="842" w:type="pc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1" w:type="pct"/>
            <w:vMerge w:val="continue"/>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827" w:type="pct"/>
            <w:vMerge w:val="restar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项目管理</w:t>
            </w: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制度办法</w:t>
            </w:r>
          </w:p>
        </w:tc>
        <w:tc>
          <w:tcPr>
            <w:tcW w:w="842"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31" w:type="pct"/>
            <w:vMerge w:val="continue"/>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827" w:type="pct"/>
            <w:vMerge w:val="continue"/>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分配管理</w:t>
            </w:r>
          </w:p>
        </w:tc>
        <w:tc>
          <w:tcPr>
            <w:tcW w:w="842" w:type="pc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31" w:type="pct"/>
            <w:vMerge w:val="continue"/>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bookmarkStart w:id="64" w:name="_Toc3213"/>
            <w:bookmarkStart w:id="65" w:name="_Toc6113"/>
            <w:bookmarkStart w:id="66" w:name="_Toc4322"/>
            <w:bookmarkStart w:id="67" w:name="_Toc6043"/>
          </w:p>
        </w:tc>
        <w:tc>
          <w:tcPr>
            <w:tcW w:w="827" w:type="pct"/>
            <w:vMerge w:val="continue"/>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绩效监管</w:t>
            </w:r>
          </w:p>
        </w:tc>
        <w:tc>
          <w:tcPr>
            <w:tcW w:w="842" w:type="pc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31" w:type="pct"/>
            <w:vMerge w:val="continue"/>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827" w:type="pct"/>
            <w:vMerge w:val="restar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项目实施</w:t>
            </w: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预算执行</w:t>
            </w:r>
          </w:p>
        </w:tc>
        <w:tc>
          <w:tcPr>
            <w:tcW w:w="842"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31" w:type="pct"/>
            <w:vMerge w:val="continue"/>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827" w:type="pct"/>
            <w:vMerge w:val="continue"/>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资金使用</w:t>
            </w:r>
          </w:p>
        </w:tc>
        <w:tc>
          <w:tcPr>
            <w:tcW w:w="842"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31" w:type="pct"/>
            <w:vMerge w:val="continue"/>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827" w:type="pct"/>
            <w:vMerge w:val="restar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项目结果</w:t>
            </w: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目标完成</w:t>
            </w:r>
          </w:p>
        </w:tc>
        <w:tc>
          <w:tcPr>
            <w:tcW w:w="842" w:type="pc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31" w:type="pct"/>
            <w:vMerge w:val="continue"/>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827" w:type="pct"/>
            <w:vMerge w:val="continue"/>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2497" w:type="pct"/>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cs="Times New Roman"/>
                <w:lang w:val="en-US" w:eastAsia="zh-CN"/>
              </w:rPr>
              <w:t>完成时效</w:t>
            </w:r>
          </w:p>
        </w:tc>
        <w:tc>
          <w:tcPr>
            <w:tcW w:w="842" w:type="pc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31" w:type="pct"/>
            <w:noWrap w:val="0"/>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bookmarkStart w:id="68" w:name="_Toc21176"/>
            <w:r>
              <w:rPr>
                <w:rFonts w:hint="eastAsia" w:ascii="Times New Roman" w:hAnsi="Times New Roman" w:cs="Times New Roman"/>
                <w:lang w:val="en-US" w:eastAsia="zh-CN"/>
              </w:rPr>
              <w:t>合计</w:t>
            </w:r>
          </w:p>
        </w:tc>
        <w:tc>
          <w:tcPr>
            <w:tcW w:w="82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2497" w:type="pct"/>
            <w:noWrap/>
            <w:tcMar>
              <w:top w:w="10" w:type="dxa"/>
              <w:left w:w="10" w:type="dxa"/>
              <w:right w:w="10" w:type="dxa"/>
            </w:tcMar>
            <w:vAlign w:val="center"/>
          </w:tcPr>
          <w:p>
            <w:pPr>
              <w:bidi w:val="0"/>
              <w:ind w:left="0" w:leftChars="0" w:firstLine="0" w:firstLineChars="0"/>
              <w:jc w:val="center"/>
              <w:rPr>
                <w:rFonts w:hint="eastAsia" w:ascii="Times New Roman" w:hAnsi="Times New Roman" w:cs="Times New Roman"/>
                <w:lang w:val="en-US" w:eastAsia="zh-CN"/>
              </w:rPr>
            </w:pPr>
          </w:p>
        </w:tc>
        <w:tc>
          <w:tcPr>
            <w:tcW w:w="842" w:type="pct"/>
            <w:noWrap/>
            <w:tcMar>
              <w:top w:w="10" w:type="dxa"/>
              <w:left w:w="10" w:type="dxa"/>
              <w:right w:w="10" w:type="dxa"/>
            </w:tcMar>
            <w:vAlign w:val="center"/>
          </w:tcPr>
          <w:p>
            <w:pPr>
              <w:bidi w:val="0"/>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54</w:t>
            </w:r>
          </w:p>
        </w:tc>
      </w:tr>
      <w:bookmarkEnd w:id="64"/>
      <w:bookmarkEnd w:id="65"/>
      <w:bookmarkEnd w:id="66"/>
      <w:bookmarkEnd w:id="67"/>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项目决策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1.1决策程序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该指标主要评价部门项目决策程序是否严密。该项指标分值6分。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根据《中共峨眉山市交通运输局议事决策规则（试行）》（峨交党组发〔2024〕1号）文件，该项目决策程序严密。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该项指标分值6分，评价得分6分。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1.2规划论证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该指标主要评价部门项目规划论证是否符合中省要求，项目绩效目标设置是否科学合理。该项指标分值6分。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根据峨眉山市交通运输局2024年部门预算相关资料，该项目规划论证符合中省要求，项目绩效目标设置科学合理。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该项指标分值6分，评价得分6分。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1.3资金投向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该指标主要评价部门项目资金是否与项目总体规划、相关行业事业发展相匹配，是否聚焦重大任务、重点领域、重点环节和重点项目。该项指标分值6分。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该项目资金与项目总体规划、交通行业事业发展相匹配，聚焦重大任务、重点领域、重点环节和重点项目。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该项指标分值6分，评价得分6分。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2、项目管理</w:t>
      </w:r>
      <w:bookmarkEnd w:id="6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2.1制度办法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该指标主要评价部门项目制度办法是否体系健全、要素完备。该项指标分值2分。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w:t>
      </w:r>
      <w:r>
        <w:rPr>
          <w:rFonts w:hint="default" w:ascii="仿宋_GB2312" w:hAnsi="仿宋_GB2312" w:eastAsia="仿宋_GB2312" w:cs="仿宋_GB2312"/>
          <w:color w:val="auto"/>
          <w:kern w:val="2"/>
          <w:sz w:val="32"/>
          <w:szCs w:val="32"/>
          <w:highlight w:val="none"/>
          <w:lang w:val="en-US" w:eastAsia="zh-CN" w:bidi="ar-SA"/>
        </w:rPr>
        <w:t>峨眉山市交通运输局内部控制制度</w:t>
      </w:r>
      <w:r>
        <w:rPr>
          <w:rFonts w:hint="eastAsia" w:ascii="仿宋_GB2312" w:hAnsi="仿宋_GB2312" w:eastAsia="仿宋_GB2312" w:cs="仿宋_GB2312"/>
          <w:color w:val="auto"/>
          <w:kern w:val="2"/>
          <w:sz w:val="32"/>
          <w:szCs w:val="32"/>
          <w:highlight w:val="none"/>
          <w:lang w:val="en-US" w:eastAsia="zh-CN" w:bidi="ar-SA"/>
        </w:rPr>
        <w:t>》和《中共峨眉山市交通运输局议事决策规则（试行）》（峨交党组发〔2024〕1号）制定，部门项目制度办法体系健全、要素完备。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该项指标分值2分，评价得分2分。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2.2分配管理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该指标主要评价部门项目资金分配因素选取、权重设置、区域分布，项目管理、审批是否符合管理要求。该项指标分值10分。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峨眉山市交通运输局2024年省级专项资金严格按照《四川省省级交通专项资金管理办法》执行，资金分配充分考虑交通行业事业发展需求，突出项目实施重点，按规定程序履行项目审批，资金分配依据充分，资金分配结果公平合理，决策程序符合管理要求，及时高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该项指标分值10分，评价得分10分。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2.3绩效监管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该指标主要评价部门项目管资金、项目、政策是否管绩效，项目绩效监管是否按要求开展，对下指导是否有力有效。该项指标分值6分。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根据峨眉山市交通运输局2024年部门预算一体化绩效模块资料反馈，该项目已按中省要求全面完成绩效目标、绩效评价等预算绩效管理工作。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该项指标分值6分，评价得分6分。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项目实施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3.1 预算执行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该指标主要评价部门项目资金财政拨付、单位执行和地方配套到位情况。该项指标分值6分。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截止目前，2024年度省级交通专项资金实际下达资金629.478万元，累计完成支出629.478万元，总体执行率为100%。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该项指标分值6分，评价得分6分。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资金使用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该指标主要评价部门项目资金使用拨付、项目实施是否符合规定。该项指标分值3分。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按照《四川省省级交通专项资金管理办法》使用项目资金、拨付是否符合国家财经法规、财务管理制度及有关专项资金管理制度办法规定和审批程序，是否存在超范围、超标准、超进度使用专项资金，是否存在资金损失浪费、长期沉淀、截留、挤占、挪用、虚列支出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该项指标分值3分，评价得分3分。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项目结果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4.1目标完成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该指标主要评价部门项目是否完成预期目标，实施结果是否与绩效目标相匹配，反映目标实现程度。该项指标分值6分。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该项指标分值6分，评价得分6分。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4.2完成时效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该指标主要评价部门项目实际完成时间与计划完成时间的比较。该项指标分值3分。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2024年度省级交通专项资金实际下达资金585.778万元，累计完成支出585.778万元，总体执行率为100%。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该项指标分值3分，评价得分3分。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楷体_GB2312" w:hAnsi="宋体" w:eastAsia="楷体_GB2312" w:cs="Times New Roman"/>
          <w:b/>
          <w:color w:val="auto"/>
          <w:sz w:val="32"/>
          <w:szCs w:val="32"/>
          <w:highlight w:val="none"/>
          <w:u w:val="none"/>
          <w:lang w:val="en-US" w:eastAsia="zh-CN"/>
        </w:rPr>
        <w:t>(</w:t>
      </w:r>
      <w:r>
        <w:rPr>
          <w:rFonts w:hint="eastAsia" w:ascii="楷体_GB2312" w:hAnsi="宋体" w:eastAsia="楷体_GB2312" w:cs="Times New Roman"/>
          <w:b/>
          <w:color w:val="auto"/>
          <w:sz w:val="32"/>
          <w:szCs w:val="32"/>
          <w:highlight w:val="none"/>
          <w:u w:val="none"/>
          <w:lang w:val="en-US" w:eastAsia="zh-CN"/>
        </w:rPr>
        <w:t>二）专用指标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1.产业发展。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提升农村客运普遍服务能力，减轻客运企业营运压力，维护农村客运行业稳定，促进农村客运行业健康可持续和高质量发展。通过项目的实施，适应未来一段时间交通发展需求，推动该项工作长期稳定可持续发展，促进全市经济快速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民生保障。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峨眉山市交通运输局省级交通专项资金在实施过程中，严格按照《四川省省级交通专项资金管理办法》进行分配和使用，通过项目的实施，全市农村公路通行服务水平显著提升，群众满意度达到95%以上，得到广大人民群众和社会的好评，取得了良好的社会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3.基础设施。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建成道路33公里，超额完成省下达目标，完成投资3.1688亿元，其中万金路、川零公路景区段和双福镇合江村至悦连村段3条幸福美丽乡村路顺利建成，双龙路预计年底完工，毛鸭路、黄湾镇（万年村至仙山村段）等幸福美丽乡村路正抓紧推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行政运转。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按照《四川省财政厅、四川交通运输厅关于印发四川省省级财政交通专项资金管理办法的通知》（川财建【2022】5号）文件要求，规范管理使用农村客运补助资金，保证资金使用公开、公正，并自觉接上级部门审计监督。建立健全单位内部控制和财务管理等相关制度，加强会计核算，强化资金管理，财务处理及时、会计核算规范，形成依制度议事、按制度办事、用制度规范行为的长效机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1.强化运输、驾培、维修市场管理。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解决群众各类诉求400余件，稳步推进全市巡游出租汽车运价调整改革，目前正准备上会审议；备案维修企业18家，督促维修企业建立电子健康档案15家，推进“阳光维修、放心消费”维修体系建设；积极宣传贯彻市委市政府“五经普”精神，走访、宣传指导客货运输企业“五经普”填报500余家次，圆满完成了我市交通运输领域第五次全国经济普查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2.加强水上运输管理。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全市航运企业安全员、船员及管船员集中开展安全教育和法制培训；赴广元、南充调研学习新能源客渡船使用管理经验；持续推进龙门沟停泊区升级改造、观音湖“平安渡运”智能化监管系统建设项目项目相关事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3.加强寄递物流监管。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持续开展快递进村普查工作、快递进村、128个村网站照片及信息录入工作，村级寄递物流综合服务站录入覆盖率达100%。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4.开展农村公路次差路整治。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完成全市次差农村公路整治31.743公里，超额完成省下23.136公里整治任务，完成率137.2%。农村道路113公里养护全覆盖，及时派遣专业机构和人员指导帮助各乡镇（街道）开展涉路安全隐患整治，农村公路优良中等率持续不低于85%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5.公路灾毁应急抢修保通。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完成G245线K733+064水毁恢复工程、S308川桃路K273+100山体塌方清理、S308线川桃路K275+700山体塌方清理、S308线零星塌方清理、G245线高桥至射箭坪零星塌方清理、S429线鞠沙路、九沙路零星塌方清理等公路灾毁应急抢修保通项目，共计排危清理山体塌方70000余立方米，及时消除道路安全隐患，保障人民群众出行安全。</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自评领导小组通过定量和定性分析，从项目决策、项目过程、项目产出、项目效益方面进行评价。经过计算，2024年度我局省级交通专项资金部门预算自评得分98分。</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lang w:val="en-US" w:eastAsia="zh-CN"/>
        </w:rPr>
      </w:pPr>
      <w:r>
        <w:rPr>
          <w:rFonts w:hint="eastAsia" w:ascii="黑体" w:hAnsi="宋体" w:eastAsia="黑体"/>
          <w:color w:val="auto"/>
          <w:sz w:val="32"/>
          <w:szCs w:val="32"/>
          <w:highlight w:val="none"/>
          <w:u w:val="none"/>
          <w:lang w:val="en-US" w:eastAsia="zh-CN"/>
        </w:rPr>
        <w:t>五、存在主要问题</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eastAsia="仿宋_GB2312" w:cs="Times New Roman"/>
          <w:color w:val="000000" w:themeColor="text1"/>
          <w:kern w:val="2"/>
          <w:position w:val="0"/>
          <w:sz w:val="32"/>
          <w:szCs w:val="28"/>
          <w:lang w:val="en-US" w:eastAsia="zh-CN" w:bidi="zh-CN"/>
          <w14:textFill>
            <w14:solidFill>
              <w14:schemeClr w14:val="tx1"/>
            </w14:solidFill>
          </w14:textFill>
        </w:rPr>
      </w:pPr>
      <w:r>
        <w:rPr>
          <w:rFonts w:hint="eastAsia" w:ascii="Times New Roman" w:eastAsia="仿宋_GB2312" w:cs="Times New Roman"/>
          <w:color w:val="000000" w:themeColor="text1"/>
          <w:kern w:val="2"/>
          <w:position w:val="0"/>
          <w:sz w:val="32"/>
          <w:szCs w:val="28"/>
          <w:lang w:val="en-US" w:eastAsia="zh-CN" w:bidi="zh-CN"/>
          <w14:textFill>
            <w14:solidFill>
              <w14:schemeClr w14:val="tx1"/>
            </w14:solidFill>
          </w14:textFill>
        </w:rPr>
        <w:t>无</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bookmarkStart w:id="69" w:name="_Hlk110546638"/>
      <w:r>
        <w:rPr>
          <w:rFonts w:hint="eastAsia" w:ascii="楷体_GB2312" w:hAnsi="宋体" w:eastAsia="楷体_GB2312" w:cs="Times New Roman"/>
          <w:b/>
          <w:color w:val="auto"/>
          <w:sz w:val="32"/>
          <w:szCs w:val="32"/>
          <w:highlight w:val="none"/>
          <w:u w:val="none"/>
          <w:lang w:val="en-US" w:eastAsia="zh-CN"/>
        </w:rPr>
        <w:t>（一）进一步强化预算绩效管理。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进一步健全绩效管理职责分工，厘清各部门、各单位职责分工，调动各方积极性，压实绩效管理责任，推进形成绩效管理从上到下、多部门“齐抓共管、协同作战”的良好局面。</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（二）进一步强化项目过程管理。</w:t>
      </w:r>
    </w:p>
    <w:p>
      <w:pPr>
        <w:numPr>
          <w:ilvl w:val="0"/>
          <w:numId w:val="0"/>
        </w:numPr>
        <w:ind w:firstLine="640" w:firstLineChars="200"/>
        <w:rPr>
          <w:rFonts w:hint="eastAsia" w:ascii="Times New Roman" w:hAnsi="Times New Roman" w:cs="Times New Roman"/>
          <w:color w:val="000000" w:themeColor="text1"/>
          <w:kern w:val="2"/>
          <w:sz w:val="32"/>
          <w:szCs w:val="28"/>
          <w:lang w:val="en-US" w:eastAsia="zh-CN" w:bidi="zh-CN"/>
          <w14:textFill>
            <w14:solidFill>
              <w14:schemeClr w14:val="tx1"/>
            </w14:solidFill>
          </w14:textFill>
        </w:rPr>
      </w:pPr>
      <w:r>
        <w:rPr>
          <w:rFonts w:hint="eastAsia" w:ascii="仿宋_GB2312" w:hAnsi="仿宋_GB2312" w:eastAsia="仿宋_GB2312" w:cs="仿宋_GB2312"/>
          <w:color w:val="auto"/>
          <w:kern w:val="2"/>
          <w:sz w:val="32"/>
          <w:szCs w:val="32"/>
          <w:highlight w:val="none"/>
          <w:lang w:val="en-US" w:eastAsia="zh-CN" w:bidi="ar-SA"/>
        </w:rPr>
        <w:t>加强对项目过程监管，厘清进度滞后原因，制定并落实整改措施。严格落实项目进度监控工作，推进常态化调度与现场督查相结合的工作机制。</w:t>
      </w:r>
      <w:r>
        <w:rPr>
          <w:rFonts w:hint="eastAsia" w:cs="Times New Roman"/>
          <w:color w:val="000000" w:themeColor="text1"/>
          <w:kern w:val="2"/>
          <w:sz w:val="32"/>
          <w:szCs w:val="28"/>
          <w:lang w:val="en-US" w:eastAsia="zh-CN" w:bidi="zh-CN"/>
          <w14:textFill>
            <w14:solidFill>
              <w14:schemeClr w14:val="tx1"/>
            </w14:solidFill>
          </w14:textFill>
        </w:rPr>
        <w:t xml:space="preserve">              </w:t>
      </w:r>
    </w:p>
    <w:bookmarkEnd w:id="69"/>
    <w:p>
      <w:pPr>
        <w:ind w:firstLine="4480" w:firstLineChars="1400"/>
        <w:rPr>
          <w:rFonts w:hint="eastAsia" w:cs="Times New Roman"/>
          <w:kern w:val="2"/>
          <w:sz w:val="32"/>
          <w:szCs w:val="24"/>
          <w:highlight w:val="none"/>
          <w:lang w:val="en-US" w:eastAsia="zh-CN" w:bidi="ar-SA"/>
        </w:rPr>
      </w:pPr>
    </w:p>
    <w:p>
      <w:pPr>
        <w:ind w:firstLine="4480" w:firstLineChars="1400"/>
        <w:rPr>
          <w:rFonts w:hint="eastAsia" w:cs="Times New Roman"/>
          <w:kern w:val="2"/>
          <w:sz w:val="32"/>
          <w:szCs w:val="24"/>
          <w:highlight w:val="none"/>
          <w:lang w:val="en-US" w:eastAsia="zh-CN" w:bidi="ar-SA"/>
        </w:rPr>
      </w:pPr>
    </w:p>
    <w:p>
      <w:pPr>
        <w:ind w:firstLine="4800" w:firstLineChars="1500"/>
        <w:rPr>
          <w:rFonts w:hint="eastAsia" w:cs="Times New Roman"/>
          <w:kern w:val="2"/>
          <w:sz w:val="32"/>
          <w:szCs w:val="24"/>
          <w:highlight w:val="none"/>
          <w:lang w:val="en-US" w:eastAsia="zh-CN" w:bidi="ar-SA"/>
        </w:rPr>
      </w:pPr>
    </w:p>
    <w:p>
      <w:pPr>
        <w:ind w:firstLine="4800" w:firstLineChars="1500"/>
        <w:rPr>
          <w:rFonts w:hint="eastAsia" w:cs="Times New Roman"/>
          <w:kern w:val="2"/>
          <w:sz w:val="32"/>
          <w:szCs w:val="24"/>
          <w:highlight w:val="none"/>
          <w:lang w:val="en-US" w:eastAsia="zh-CN" w:bidi="ar-SA"/>
        </w:rPr>
      </w:pPr>
    </w:p>
    <w:p>
      <w:pPr>
        <w:ind w:firstLine="4800" w:firstLineChars="1500"/>
        <w:rPr>
          <w:rFonts w:hint="eastAsia" w:cs="Times New Roman"/>
          <w:kern w:val="2"/>
          <w:sz w:val="32"/>
          <w:szCs w:val="24"/>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r>
        <w:rPr>
          <w:rFonts w:hint="eastAsia" w:ascii="黑体" w:hAnsi="黑体" w:eastAsia="黑体" w:cs="黑体"/>
          <w:b w:val="0"/>
          <w:bCs w:val="0"/>
          <w:color w:val="auto"/>
          <w:kern w:val="0"/>
          <w:sz w:val="32"/>
          <w:szCs w:val="32"/>
          <w:highlight w:val="none"/>
          <w:u w:val="none"/>
          <w:shd w:val="clear" w:color="auto" w:fill="FFFFFF"/>
          <w:lang w:val="en-US" w:eastAsia="zh-CN"/>
        </w:rPr>
        <w:t>1</w:t>
      </w:r>
    </w:p>
    <w:p>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方正小标宋_GBK" w:hAnsi="方正小标宋_GBK" w:eastAsia="方正小标宋_GBK" w:cs="方正小标宋_GBK"/>
          <w:b w:val="0"/>
          <w:bCs w:val="0"/>
          <w:color w:val="auto"/>
          <w:sz w:val="40"/>
          <w:szCs w:val="40"/>
          <w:highlight w:val="none"/>
          <w:u w:val="none"/>
          <w:lang w:val="en-US" w:eastAsia="zh-CN"/>
        </w:rPr>
      </w:pPr>
      <w:r>
        <w:rPr>
          <w:rFonts w:hint="eastAsia" w:ascii="方正小标宋_GBK" w:hAnsi="方正小标宋_GBK" w:eastAsia="方正小标宋_GBK" w:cs="方正小标宋_GBK"/>
          <w:b w:val="0"/>
          <w:bCs w:val="0"/>
          <w:color w:val="auto"/>
          <w:sz w:val="40"/>
          <w:szCs w:val="40"/>
          <w:highlight w:val="none"/>
          <w:u w:val="none"/>
          <w:lang w:val="en-US" w:eastAsia="zh-CN"/>
        </w:rPr>
        <w:t>项目资金分配涉及所有点位自评得分情况表</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序号</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 w:eastAsia="zh-CN"/>
              </w:rPr>
            </w:pPr>
            <w:r>
              <w:rPr>
                <w:rFonts w:hint="eastAsia" w:ascii="黑体" w:hAnsi="黑体" w:eastAsia="黑体" w:cs="黑体"/>
                <w:b w:val="0"/>
                <w:bCs w:val="0"/>
                <w:color w:val="auto"/>
                <w:sz w:val="24"/>
                <w:szCs w:val="24"/>
                <w:highlight w:val="none"/>
                <w:u w:val="none"/>
                <w:vertAlign w:val="baseline"/>
                <w:lang w:val="en-US" w:eastAsia="zh-CN"/>
              </w:rPr>
              <w:t>项目资金末端分配点位</w:t>
            </w: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 w:eastAsia="zh-CN"/>
              </w:rPr>
              <w:t>自评得分（百分制）</w:t>
            </w: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峨眉山市交通运输局</w:t>
            </w: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98</w:t>
            </w: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7</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8</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p>
        </w:tc>
        <w:tc>
          <w:tcPr>
            <w:tcW w:w="384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备注：1.项目资金末端分配点位包括市（州）本级、县（市、区）、省级部门下属单位及一次性单位等。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pPr>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br w:type="page"/>
      </w:r>
    </w:p>
    <w:tbl>
      <w:tblPr>
        <w:tblStyle w:val="1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2024年省级交通专项资金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《四川省财政厅、四川省交通运输厅关于印发四川省省级财政交通专项资金管理办法的通知》（川财建【2022】5号）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《中共四川省委、四川省人民政府关于全面实施预算绩效管理的实施意见》（川委发【2019】8号）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交通行业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符合交通发展需求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785.428万元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785.428万元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firstLine="480" w:firstLineChars="200"/>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加快农村客运建设，消除道路和水运安全隐患，提高公路通行服务水平，增强农村公路设施服务和安全保障能力，改善人民群众出行环境，适应未来一定时期内交通发展需求，促进全市乡村振兴。</w:t>
            </w:r>
          </w:p>
          <w:p>
            <w:pPr>
              <w:keepNext w:val="0"/>
              <w:keepLines w:val="0"/>
              <w:pageBreakBefore w:val="0"/>
              <w:kinsoku/>
              <w:wordWrap/>
              <w:overflowPunct/>
              <w:topLinePunct w:val="0"/>
              <w:autoSpaceDE/>
              <w:autoSpaceDN/>
              <w:bidi w:val="0"/>
              <w:adjustRightInd/>
              <w:snapToGrid/>
              <w:spacing w:line="300" w:lineRule="exact"/>
              <w:ind w:left="0" w:leftChars="0" w:firstLine="480" w:firstLineChars="200"/>
              <w:jc w:val="left"/>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支付农村客运发展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支付灾毁受损公路点数量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处</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资金使用合规性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是否</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其他</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完工项目验收合格率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按期完成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是否</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其他</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对经济发展的促进作用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是否明显</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其他</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公路安全水平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是否提升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其他</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经济成本</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成本控制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785.428万元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629.478万元</w:t>
            </w:r>
          </w:p>
        </w:tc>
      </w:tr>
    </w:tbl>
    <w:p>
      <w:pPr>
        <w:rPr>
          <w:rFonts w:hint="eastAsia" w:ascii="Times New Roman" w:hAnsi="Times New Roman" w:eastAsia="仿宋_GB2312" w:cs="Times New Roman"/>
          <w:kern w:val="2"/>
          <w:sz w:val="32"/>
          <w:szCs w:val="24"/>
          <w:highlight w:val="none"/>
          <w:lang w:val="en-US" w:eastAsia="zh-CN" w:bidi="ar-SA"/>
        </w:rPr>
      </w:pPr>
    </w:p>
    <w:p>
      <w:pPr>
        <w:rPr>
          <w:rFonts w:hint="eastAsia" w:ascii="Times New Roman" w:hAnsi="Times New Roman" w:eastAsia="仿宋_GB2312" w:cs="Times New Roman"/>
          <w:kern w:val="2"/>
          <w:sz w:val="32"/>
          <w:szCs w:val="2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0"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2"/>
      <w:bookmarkEnd w:id="70"/>
      <w:bookmarkStart w:id="71"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0"/>
      <w:r>
        <w:rPr>
          <w:rFonts w:hint="eastAsia" w:ascii="Times New Roman" w:hAnsi="Times New Roman" w:eastAsia="仿宋_GB2312" w:cs="仿宋_GB2312"/>
          <w:color w:val="auto"/>
          <w:sz w:val="32"/>
          <w:szCs w:val="32"/>
          <w:highlight w:val="none"/>
        </w:rPr>
        <w:t>二、收入决算表</w:t>
      </w:r>
      <w:bookmarkEnd w:id="7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1"/>
      <w:r>
        <w:rPr>
          <w:rFonts w:hint="eastAsia" w:ascii="Times New Roman" w:hAnsi="Times New Roman" w:eastAsia="仿宋_GB2312" w:cs="仿宋_GB2312"/>
          <w:color w:val="auto"/>
          <w:sz w:val="32"/>
          <w:szCs w:val="32"/>
          <w:highlight w:val="none"/>
        </w:rPr>
        <w:t>三、支出决算表</w:t>
      </w:r>
      <w:bookmarkEnd w:id="7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2"/>
      <w:r>
        <w:rPr>
          <w:rFonts w:hint="eastAsia" w:ascii="Times New Roman" w:hAnsi="Times New Roman" w:eastAsia="仿宋_GB2312" w:cs="仿宋_GB2312"/>
          <w:color w:val="auto"/>
          <w:sz w:val="32"/>
          <w:szCs w:val="32"/>
          <w:highlight w:val="none"/>
        </w:rPr>
        <w:t>四、财政拨款收入支出决算总表</w:t>
      </w:r>
      <w:bookmarkEnd w:id="7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3"/>
      <w:r>
        <w:rPr>
          <w:rFonts w:hint="eastAsia" w:ascii="Times New Roman" w:hAnsi="Times New Roman" w:eastAsia="仿宋_GB2312" w:cs="仿宋_GB2312"/>
          <w:color w:val="auto"/>
          <w:sz w:val="32"/>
          <w:szCs w:val="32"/>
          <w:highlight w:val="none"/>
        </w:rPr>
        <w:t>五、财政拨款支出决算明细表</w:t>
      </w:r>
      <w:bookmarkEnd w:id="75"/>
      <w:bookmarkStart w:id="76"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5"/>
      <w:r>
        <w:rPr>
          <w:rFonts w:hint="eastAsia" w:ascii="Times New Roman" w:hAnsi="Times New Roman" w:eastAsia="仿宋_GB2312" w:cs="仿宋_GB2312"/>
          <w:color w:val="auto"/>
          <w:sz w:val="32"/>
          <w:szCs w:val="32"/>
          <w:highlight w:val="none"/>
        </w:rPr>
        <w:t>七、一般公共预算财政拨款支出决算明细表</w:t>
      </w:r>
      <w:bookmarkEnd w:id="7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6"/>
      <w:r>
        <w:rPr>
          <w:rFonts w:hint="eastAsia" w:ascii="Times New Roman" w:hAnsi="Times New Roman" w:eastAsia="仿宋_GB2312" w:cs="仿宋_GB2312"/>
          <w:color w:val="auto"/>
          <w:sz w:val="32"/>
          <w:szCs w:val="32"/>
          <w:highlight w:val="none"/>
        </w:rPr>
        <w:t>八、一般公共预算财政拨款基本支出决算表</w:t>
      </w:r>
      <w:bookmarkEnd w:id="7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7"/>
      <w:r>
        <w:rPr>
          <w:rFonts w:hint="eastAsia" w:ascii="Times New Roman" w:hAnsi="Times New Roman" w:eastAsia="仿宋_GB2312" w:cs="仿宋_GB2312"/>
          <w:color w:val="auto"/>
          <w:sz w:val="32"/>
          <w:szCs w:val="32"/>
          <w:highlight w:val="none"/>
        </w:rPr>
        <w:t>九、一般公共预算财政拨款项目支出决算表</w:t>
      </w:r>
      <w:bookmarkEnd w:id="7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8"/>
      <w:r>
        <w:rPr>
          <w:rFonts w:hint="eastAsia" w:ascii="Times New Roman" w:hAnsi="Times New Roman" w:eastAsia="仿宋_GB2312" w:cs="仿宋_GB2312"/>
          <w:color w:val="auto"/>
          <w:sz w:val="32"/>
          <w:szCs w:val="32"/>
          <w:highlight w:val="none"/>
        </w:rPr>
        <w:t>十、</w:t>
      </w:r>
      <w:bookmarkEnd w:id="80"/>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9"/>
      <w:r>
        <w:rPr>
          <w:rFonts w:hint="eastAsia" w:ascii="Times New Roman" w:hAnsi="Times New Roman" w:eastAsia="仿宋_GB2312" w:cs="仿宋_GB2312"/>
          <w:color w:val="auto"/>
          <w:sz w:val="32"/>
          <w:szCs w:val="32"/>
          <w:highlight w:val="none"/>
        </w:rPr>
        <w:t>十一、</w:t>
      </w:r>
      <w:bookmarkEnd w:id="8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30"/>
      <w:r>
        <w:rPr>
          <w:rFonts w:hint="eastAsia" w:ascii="Times New Roman" w:hAnsi="Times New Roman" w:eastAsia="仿宋_GB2312" w:cs="仿宋_GB2312"/>
          <w:color w:val="auto"/>
          <w:sz w:val="32"/>
          <w:szCs w:val="32"/>
          <w:highlight w:val="none"/>
        </w:rPr>
        <w:t>十二、</w:t>
      </w:r>
      <w:bookmarkEnd w:id="82"/>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3" w:name="_Toc15396631"/>
      <w:r>
        <w:rPr>
          <w:rFonts w:hint="eastAsia" w:ascii="Times New Roman" w:hAnsi="Times New Roman" w:eastAsia="仿宋_GB2312" w:cs="仿宋_GB2312"/>
          <w:color w:val="auto"/>
          <w:sz w:val="32"/>
          <w:szCs w:val="32"/>
          <w:highlight w:val="none"/>
        </w:rPr>
        <w:t>十三、</w:t>
      </w:r>
      <w:bookmarkEnd w:id="83"/>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1F5F5"/>
    <w:multiLevelType w:val="singleLevel"/>
    <w:tmpl w:val="9CE1F5F5"/>
    <w:lvl w:ilvl="0" w:tentative="0">
      <w:start w:val="3"/>
      <w:numFmt w:val="chineseCounting"/>
      <w:suff w:val="nothing"/>
      <w:lvlText w:val="（%1）"/>
      <w:lvlJc w:val="left"/>
      <w:rPr>
        <w:rFonts w:hint="eastAsia"/>
      </w:rPr>
    </w:lvl>
  </w:abstractNum>
  <w:abstractNum w:abstractNumId="1">
    <w:nsid w:val="A16550CF"/>
    <w:multiLevelType w:val="singleLevel"/>
    <w:tmpl w:val="A16550C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M2U3ZDdmY2FmN2RkYTRiNjZhZTc1ZmI3MGNjMD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5AA4"/>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16D"/>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0562"/>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338"/>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07CF"/>
    <w:rsid w:val="00FA23E8"/>
    <w:rsid w:val="00FD3CC1"/>
    <w:rsid w:val="00FF1E02"/>
    <w:rsid w:val="00FF30B4"/>
    <w:rsid w:val="012A5EC2"/>
    <w:rsid w:val="015975B8"/>
    <w:rsid w:val="01B91D0C"/>
    <w:rsid w:val="021558A8"/>
    <w:rsid w:val="022644A3"/>
    <w:rsid w:val="02FEBE30"/>
    <w:rsid w:val="03C33C28"/>
    <w:rsid w:val="04644B57"/>
    <w:rsid w:val="04916F1E"/>
    <w:rsid w:val="04FB0AD5"/>
    <w:rsid w:val="05123C0E"/>
    <w:rsid w:val="061439B5"/>
    <w:rsid w:val="061E35DE"/>
    <w:rsid w:val="066E0107"/>
    <w:rsid w:val="0676641E"/>
    <w:rsid w:val="072D11D3"/>
    <w:rsid w:val="078828AD"/>
    <w:rsid w:val="07996F6E"/>
    <w:rsid w:val="07DFD8BA"/>
    <w:rsid w:val="08ED512C"/>
    <w:rsid w:val="09867E8F"/>
    <w:rsid w:val="0A110938"/>
    <w:rsid w:val="0A2032A3"/>
    <w:rsid w:val="0A5F07A6"/>
    <w:rsid w:val="0AD969D5"/>
    <w:rsid w:val="0B0264D2"/>
    <w:rsid w:val="0C460641"/>
    <w:rsid w:val="0C831895"/>
    <w:rsid w:val="0CA8290A"/>
    <w:rsid w:val="0CCC6D98"/>
    <w:rsid w:val="0D35B1ED"/>
    <w:rsid w:val="0E254B6B"/>
    <w:rsid w:val="0EC266A4"/>
    <w:rsid w:val="0EEC54CF"/>
    <w:rsid w:val="0EFA4347"/>
    <w:rsid w:val="0F57695A"/>
    <w:rsid w:val="0F98263C"/>
    <w:rsid w:val="0FC226D4"/>
    <w:rsid w:val="0FC30926"/>
    <w:rsid w:val="101860EC"/>
    <w:rsid w:val="101F47CC"/>
    <w:rsid w:val="103047D2"/>
    <w:rsid w:val="10536D90"/>
    <w:rsid w:val="10C055FF"/>
    <w:rsid w:val="11694EBD"/>
    <w:rsid w:val="11772AA4"/>
    <w:rsid w:val="117E6A3C"/>
    <w:rsid w:val="118107EC"/>
    <w:rsid w:val="11B61862"/>
    <w:rsid w:val="121333F5"/>
    <w:rsid w:val="12837A0B"/>
    <w:rsid w:val="12E24EE2"/>
    <w:rsid w:val="132C0590"/>
    <w:rsid w:val="13C62793"/>
    <w:rsid w:val="13D50BC4"/>
    <w:rsid w:val="143C4803"/>
    <w:rsid w:val="14B17F78"/>
    <w:rsid w:val="15844CA5"/>
    <w:rsid w:val="16023A61"/>
    <w:rsid w:val="165E0673"/>
    <w:rsid w:val="16B831D5"/>
    <w:rsid w:val="16BB723D"/>
    <w:rsid w:val="171C6B6E"/>
    <w:rsid w:val="178D35C8"/>
    <w:rsid w:val="1791222B"/>
    <w:rsid w:val="17E50567"/>
    <w:rsid w:val="186504BB"/>
    <w:rsid w:val="186C142F"/>
    <w:rsid w:val="19A445FC"/>
    <w:rsid w:val="19A74E14"/>
    <w:rsid w:val="1A116732"/>
    <w:rsid w:val="1A864F50"/>
    <w:rsid w:val="1B487F31"/>
    <w:rsid w:val="1BAA299A"/>
    <w:rsid w:val="1BC82E20"/>
    <w:rsid w:val="1BE8440E"/>
    <w:rsid w:val="1CDF602F"/>
    <w:rsid w:val="1D155CEE"/>
    <w:rsid w:val="1D1638FE"/>
    <w:rsid w:val="1D532BBD"/>
    <w:rsid w:val="1DC615E1"/>
    <w:rsid w:val="1E312DEB"/>
    <w:rsid w:val="1E740ACF"/>
    <w:rsid w:val="1E937A28"/>
    <w:rsid w:val="1FF35744"/>
    <w:rsid w:val="1FF6BC77"/>
    <w:rsid w:val="200C2FED"/>
    <w:rsid w:val="20541126"/>
    <w:rsid w:val="208539D6"/>
    <w:rsid w:val="20F63F8C"/>
    <w:rsid w:val="2186353C"/>
    <w:rsid w:val="22297C26"/>
    <w:rsid w:val="22B002C2"/>
    <w:rsid w:val="23860B96"/>
    <w:rsid w:val="23A2567F"/>
    <w:rsid w:val="24036245"/>
    <w:rsid w:val="240371BF"/>
    <w:rsid w:val="244F3473"/>
    <w:rsid w:val="24B959FC"/>
    <w:rsid w:val="24C97D99"/>
    <w:rsid w:val="25241284"/>
    <w:rsid w:val="25A718F0"/>
    <w:rsid w:val="25BB59F6"/>
    <w:rsid w:val="260638ED"/>
    <w:rsid w:val="260F557C"/>
    <w:rsid w:val="26970054"/>
    <w:rsid w:val="27250A98"/>
    <w:rsid w:val="278422F1"/>
    <w:rsid w:val="281408E2"/>
    <w:rsid w:val="288031A2"/>
    <w:rsid w:val="28995714"/>
    <w:rsid w:val="29561FDC"/>
    <w:rsid w:val="29FD04D3"/>
    <w:rsid w:val="2A225DF1"/>
    <w:rsid w:val="2A8E2A8B"/>
    <w:rsid w:val="2B231E21"/>
    <w:rsid w:val="2B2D4E9D"/>
    <w:rsid w:val="2B475F53"/>
    <w:rsid w:val="2BC52ED8"/>
    <w:rsid w:val="2BFF7BC6"/>
    <w:rsid w:val="2C1D1CDC"/>
    <w:rsid w:val="2C6E531E"/>
    <w:rsid w:val="2C8A61B5"/>
    <w:rsid w:val="2D986AF6"/>
    <w:rsid w:val="2DC86870"/>
    <w:rsid w:val="2DF04E50"/>
    <w:rsid w:val="2E586DFA"/>
    <w:rsid w:val="2E5A0250"/>
    <w:rsid w:val="2E976DAE"/>
    <w:rsid w:val="2EE25DFD"/>
    <w:rsid w:val="2F040D46"/>
    <w:rsid w:val="2F6B035B"/>
    <w:rsid w:val="2FAE5751"/>
    <w:rsid w:val="2FB1A395"/>
    <w:rsid w:val="2FB54E1D"/>
    <w:rsid w:val="2FD9A7D8"/>
    <w:rsid w:val="2FDBF714"/>
    <w:rsid w:val="30AB6865"/>
    <w:rsid w:val="3146681D"/>
    <w:rsid w:val="319F7F4E"/>
    <w:rsid w:val="31E22A36"/>
    <w:rsid w:val="31EF5153"/>
    <w:rsid w:val="32904240"/>
    <w:rsid w:val="32BD1EF1"/>
    <w:rsid w:val="3304709D"/>
    <w:rsid w:val="330C174A"/>
    <w:rsid w:val="337A0309"/>
    <w:rsid w:val="33A773CB"/>
    <w:rsid w:val="33A84FAF"/>
    <w:rsid w:val="349D6851"/>
    <w:rsid w:val="35BD7FD4"/>
    <w:rsid w:val="36883480"/>
    <w:rsid w:val="36AA5135"/>
    <w:rsid w:val="36BE0DA7"/>
    <w:rsid w:val="36CF2C75"/>
    <w:rsid w:val="376B6AA6"/>
    <w:rsid w:val="376D39B2"/>
    <w:rsid w:val="37955E55"/>
    <w:rsid w:val="37E16F03"/>
    <w:rsid w:val="37F53A3B"/>
    <w:rsid w:val="389B6C89"/>
    <w:rsid w:val="38D469F0"/>
    <w:rsid w:val="39131727"/>
    <w:rsid w:val="395835DE"/>
    <w:rsid w:val="39627CCD"/>
    <w:rsid w:val="397BAF1F"/>
    <w:rsid w:val="39C96289"/>
    <w:rsid w:val="39F13CF4"/>
    <w:rsid w:val="39F8348B"/>
    <w:rsid w:val="39FA6443"/>
    <w:rsid w:val="3A9B7C26"/>
    <w:rsid w:val="3AB79AF3"/>
    <w:rsid w:val="3AE834C0"/>
    <w:rsid w:val="3B7EF35A"/>
    <w:rsid w:val="3B9FDB6C"/>
    <w:rsid w:val="3BF5BC2F"/>
    <w:rsid w:val="3BF84C04"/>
    <w:rsid w:val="3C90253B"/>
    <w:rsid w:val="3CAF1F69"/>
    <w:rsid w:val="3CEBA265"/>
    <w:rsid w:val="3CF97B06"/>
    <w:rsid w:val="3D29776B"/>
    <w:rsid w:val="3D4445A5"/>
    <w:rsid w:val="3D98207C"/>
    <w:rsid w:val="3DA32AE2"/>
    <w:rsid w:val="3DD43631"/>
    <w:rsid w:val="3DEE7CF3"/>
    <w:rsid w:val="3E740A63"/>
    <w:rsid w:val="3E78745D"/>
    <w:rsid w:val="3E9F1D3A"/>
    <w:rsid w:val="3EE17838"/>
    <w:rsid w:val="3F55381A"/>
    <w:rsid w:val="3F7F7599"/>
    <w:rsid w:val="3FF4CAE0"/>
    <w:rsid w:val="3FF7B227"/>
    <w:rsid w:val="40AF442B"/>
    <w:rsid w:val="41060E53"/>
    <w:rsid w:val="41D7297A"/>
    <w:rsid w:val="42F223AD"/>
    <w:rsid w:val="42FE2185"/>
    <w:rsid w:val="4339622E"/>
    <w:rsid w:val="4359013C"/>
    <w:rsid w:val="436A4639"/>
    <w:rsid w:val="44C0425C"/>
    <w:rsid w:val="44D72F71"/>
    <w:rsid w:val="44E268DA"/>
    <w:rsid w:val="450D13D7"/>
    <w:rsid w:val="4513485D"/>
    <w:rsid w:val="452E12E9"/>
    <w:rsid w:val="45506656"/>
    <w:rsid w:val="45F66658"/>
    <w:rsid w:val="47AF2F63"/>
    <w:rsid w:val="47BA1E86"/>
    <w:rsid w:val="47F1470E"/>
    <w:rsid w:val="486A6C7A"/>
    <w:rsid w:val="48EC583F"/>
    <w:rsid w:val="491C0184"/>
    <w:rsid w:val="49362DF6"/>
    <w:rsid w:val="4A627F82"/>
    <w:rsid w:val="4B0E749A"/>
    <w:rsid w:val="4B2477C4"/>
    <w:rsid w:val="4B4F25DA"/>
    <w:rsid w:val="4B6D2F19"/>
    <w:rsid w:val="4BE068DB"/>
    <w:rsid w:val="4C941E16"/>
    <w:rsid w:val="4D577224"/>
    <w:rsid w:val="4DBF1CEB"/>
    <w:rsid w:val="4DD025FE"/>
    <w:rsid w:val="4DF0007C"/>
    <w:rsid w:val="4EAB630A"/>
    <w:rsid w:val="4ECE2238"/>
    <w:rsid w:val="4F135B85"/>
    <w:rsid w:val="4F473A81"/>
    <w:rsid w:val="4F833267"/>
    <w:rsid w:val="4FE9BD67"/>
    <w:rsid w:val="4FFB052F"/>
    <w:rsid w:val="508F56DF"/>
    <w:rsid w:val="51F6307F"/>
    <w:rsid w:val="53360094"/>
    <w:rsid w:val="537E6D0A"/>
    <w:rsid w:val="53F74C96"/>
    <w:rsid w:val="54370568"/>
    <w:rsid w:val="545F36D5"/>
    <w:rsid w:val="547075D6"/>
    <w:rsid w:val="54770964"/>
    <w:rsid w:val="55170BA8"/>
    <w:rsid w:val="553218C9"/>
    <w:rsid w:val="554271C4"/>
    <w:rsid w:val="5544679F"/>
    <w:rsid w:val="55933792"/>
    <w:rsid w:val="56497C85"/>
    <w:rsid w:val="567E1AA5"/>
    <w:rsid w:val="56CF0F08"/>
    <w:rsid w:val="56E47B74"/>
    <w:rsid w:val="57175D52"/>
    <w:rsid w:val="575431DF"/>
    <w:rsid w:val="57BD3DD4"/>
    <w:rsid w:val="5889335C"/>
    <w:rsid w:val="58ED7447"/>
    <w:rsid w:val="5ABA02F1"/>
    <w:rsid w:val="5AE21C8B"/>
    <w:rsid w:val="5AF92295"/>
    <w:rsid w:val="5B250254"/>
    <w:rsid w:val="5B8D4F11"/>
    <w:rsid w:val="5BDD79E6"/>
    <w:rsid w:val="5BF561CA"/>
    <w:rsid w:val="5BFF5DFC"/>
    <w:rsid w:val="5CB62246"/>
    <w:rsid w:val="5CD56B70"/>
    <w:rsid w:val="5CD71FC4"/>
    <w:rsid w:val="5D1F11B5"/>
    <w:rsid w:val="5D695134"/>
    <w:rsid w:val="5DAD189A"/>
    <w:rsid w:val="5DAE1B18"/>
    <w:rsid w:val="5DE7D9E5"/>
    <w:rsid w:val="5E08781A"/>
    <w:rsid w:val="5E5910D4"/>
    <w:rsid w:val="5E9C3124"/>
    <w:rsid w:val="5ECEC941"/>
    <w:rsid w:val="5F6B7317"/>
    <w:rsid w:val="5F7E0C38"/>
    <w:rsid w:val="5FA9395E"/>
    <w:rsid w:val="5FB52C88"/>
    <w:rsid w:val="5FBF9FF3"/>
    <w:rsid w:val="5FCD4E2C"/>
    <w:rsid w:val="5FEF394A"/>
    <w:rsid w:val="5FF67715"/>
    <w:rsid w:val="60C02FB1"/>
    <w:rsid w:val="626A286E"/>
    <w:rsid w:val="62BF3928"/>
    <w:rsid w:val="62D06BEC"/>
    <w:rsid w:val="62E47B0C"/>
    <w:rsid w:val="62F346EF"/>
    <w:rsid w:val="639E5E0F"/>
    <w:rsid w:val="63B3701E"/>
    <w:rsid w:val="63E409D7"/>
    <w:rsid w:val="6417428F"/>
    <w:rsid w:val="642977BD"/>
    <w:rsid w:val="64567C9F"/>
    <w:rsid w:val="645A5BAC"/>
    <w:rsid w:val="647F5392"/>
    <w:rsid w:val="65E66580"/>
    <w:rsid w:val="664B1D71"/>
    <w:rsid w:val="664B4E8E"/>
    <w:rsid w:val="665C5C0C"/>
    <w:rsid w:val="66A80D27"/>
    <w:rsid w:val="67277B67"/>
    <w:rsid w:val="67AA3209"/>
    <w:rsid w:val="68DD74D8"/>
    <w:rsid w:val="68E85E7D"/>
    <w:rsid w:val="69802BCC"/>
    <w:rsid w:val="698D0931"/>
    <w:rsid w:val="69EA7809"/>
    <w:rsid w:val="6A7FE5F3"/>
    <w:rsid w:val="6B053271"/>
    <w:rsid w:val="6B3A592D"/>
    <w:rsid w:val="6BA96010"/>
    <w:rsid w:val="6BAA11C7"/>
    <w:rsid w:val="6BDD78B3"/>
    <w:rsid w:val="6C0F0B2F"/>
    <w:rsid w:val="6C4A05C8"/>
    <w:rsid w:val="6C785344"/>
    <w:rsid w:val="6C8742B8"/>
    <w:rsid w:val="6CB86329"/>
    <w:rsid w:val="6D1E0A69"/>
    <w:rsid w:val="6DBF5E93"/>
    <w:rsid w:val="6DC522E8"/>
    <w:rsid w:val="6DE22E9A"/>
    <w:rsid w:val="6DFF077E"/>
    <w:rsid w:val="6E58315D"/>
    <w:rsid w:val="6E714EF0"/>
    <w:rsid w:val="6E7E3605"/>
    <w:rsid w:val="6E7FDCC7"/>
    <w:rsid w:val="6ED6A62E"/>
    <w:rsid w:val="6EE00B15"/>
    <w:rsid w:val="6F6E61FC"/>
    <w:rsid w:val="6F6FB3EB"/>
    <w:rsid w:val="6F8731EA"/>
    <w:rsid w:val="6F887A72"/>
    <w:rsid w:val="6FAD1286"/>
    <w:rsid w:val="6FCE6052"/>
    <w:rsid w:val="6FD57C00"/>
    <w:rsid w:val="6FEFFFD8"/>
    <w:rsid w:val="6FF5CC65"/>
    <w:rsid w:val="6FFB47EC"/>
    <w:rsid w:val="6FFF034A"/>
    <w:rsid w:val="70484440"/>
    <w:rsid w:val="70824E61"/>
    <w:rsid w:val="70A95EF1"/>
    <w:rsid w:val="712A28F1"/>
    <w:rsid w:val="715C0E4B"/>
    <w:rsid w:val="71992E7C"/>
    <w:rsid w:val="72233669"/>
    <w:rsid w:val="72734D90"/>
    <w:rsid w:val="73160E6D"/>
    <w:rsid w:val="7332FE48"/>
    <w:rsid w:val="739C3AEB"/>
    <w:rsid w:val="73AB61DA"/>
    <w:rsid w:val="73AD73D5"/>
    <w:rsid w:val="73B6EB34"/>
    <w:rsid w:val="73F834DE"/>
    <w:rsid w:val="73FA497D"/>
    <w:rsid w:val="740578E3"/>
    <w:rsid w:val="744731E5"/>
    <w:rsid w:val="746F4A04"/>
    <w:rsid w:val="74BBD01D"/>
    <w:rsid w:val="74ED5379"/>
    <w:rsid w:val="75B4336E"/>
    <w:rsid w:val="75DEEEC2"/>
    <w:rsid w:val="75E32345"/>
    <w:rsid w:val="762E7061"/>
    <w:rsid w:val="76E3355F"/>
    <w:rsid w:val="76F51E90"/>
    <w:rsid w:val="76FF5125"/>
    <w:rsid w:val="776F6FFA"/>
    <w:rsid w:val="778769C8"/>
    <w:rsid w:val="778C085F"/>
    <w:rsid w:val="778D7747"/>
    <w:rsid w:val="77A75DCA"/>
    <w:rsid w:val="77DC22F5"/>
    <w:rsid w:val="78384B6B"/>
    <w:rsid w:val="783E271A"/>
    <w:rsid w:val="78616DE9"/>
    <w:rsid w:val="78A07BDA"/>
    <w:rsid w:val="78B77083"/>
    <w:rsid w:val="78E875D7"/>
    <w:rsid w:val="79086DAD"/>
    <w:rsid w:val="79D7FD79"/>
    <w:rsid w:val="79EE5BA4"/>
    <w:rsid w:val="7A894339"/>
    <w:rsid w:val="7A97325F"/>
    <w:rsid w:val="7AD284E8"/>
    <w:rsid w:val="7AE94CF5"/>
    <w:rsid w:val="7AFF7572"/>
    <w:rsid w:val="7B1152D1"/>
    <w:rsid w:val="7B6C7DFB"/>
    <w:rsid w:val="7B93603A"/>
    <w:rsid w:val="7BB73BB8"/>
    <w:rsid w:val="7BBFBED0"/>
    <w:rsid w:val="7BC3E394"/>
    <w:rsid w:val="7BFE17E7"/>
    <w:rsid w:val="7C1F3737"/>
    <w:rsid w:val="7CBFC87B"/>
    <w:rsid w:val="7CD82B8E"/>
    <w:rsid w:val="7CFE0F48"/>
    <w:rsid w:val="7D20663D"/>
    <w:rsid w:val="7D272ABC"/>
    <w:rsid w:val="7D4A45B8"/>
    <w:rsid w:val="7D7EC23E"/>
    <w:rsid w:val="7DAE723E"/>
    <w:rsid w:val="7E8ADEBF"/>
    <w:rsid w:val="7EEF11D3"/>
    <w:rsid w:val="7EFE4840"/>
    <w:rsid w:val="7F0971A6"/>
    <w:rsid w:val="7F1D62E7"/>
    <w:rsid w:val="7F3F679B"/>
    <w:rsid w:val="7F4FC4EF"/>
    <w:rsid w:val="7F5E4D54"/>
    <w:rsid w:val="7F6E0135"/>
    <w:rsid w:val="7F79F205"/>
    <w:rsid w:val="7F987C86"/>
    <w:rsid w:val="7FA30C79"/>
    <w:rsid w:val="7FA79C44"/>
    <w:rsid w:val="7FAF8ABF"/>
    <w:rsid w:val="7FB0104A"/>
    <w:rsid w:val="7FB7269E"/>
    <w:rsid w:val="7FC71EF0"/>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autoRedefine/>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Body Text"/>
    <w:basedOn w:val="1"/>
    <w:next w:val="1"/>
    <w:link w:val="28"/>
    <w:autoRedefine/>
    <w:qFormat/>
    <w:uiPriority w:val="99"/>
    <w:pPr>
      <w:spacing w:beforeLines="30"/>
    </w:pPr>
    <w:rPr>
      <w:rFonts w:ascii="仿宋_GB2312" w:eastAsia="仿宋_GB2312"/>
      <w:kern w:val="0"/>
      <w:sz w:val="30"/>
    </w:rPr>
  </w:style>
  <w:style w:type="paragraph" w:styleId="7">
    <w:name w:val="Body Text Indent"/>
    <w:basedOn w:val="1"/>
    <w:next w:val="8"/>
    <w:autoRedefine/>
    <w:qFormat/>
    <w:uiPriority w:val="0"/>
    <w:pPr>
      <w:spacing w:after="120"/>
      <w:ind w:leftChars="200"/>
    </w:pPr>
    <w:rPr>
      <w:rFonts w:ascii="仿宋_GB2312"/>
      <w:szCs w:val="32"/>
    </w:rPr>
  </w:style>
  <w:style w:type="paragraph" w:styleId="8">
    <w:name w:val="Body Text First Indent 2"/>
    <w:basedOn w:val="7"/>
    <w:autoRedefine/>
    <w:unhideWhenUsed/>
    <w:qFormat/>
    <w:uiPriority w:val="99"/>
    <w:pPr>
      <w:ind w:firstLine="420" w:firstLineChars="200"/>
    </w:p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34"/>
    <w:autoRedefine/>
    <w:semiHidden/>
    <w:unhideWhenUsed/>
    <w:qFormat/>
    <w:uiPriority w:val="99"/>
    <w:rPr>
      <w:sz w:val="18"/>
      <w:szCs w:val="18"/>
    </w:rPr>
  </w:style>
  <w:style w:type="paragraph" w:styleId="11">
    <w:name w:val="footer"/>
    <w:basedOn w:val="1"/>
    <w:link w:val="26"/>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autoRedefine/>
    <w:semiHidden/>
    <w:qFormat/>
    <w:uiPriority w:val="0"/>
    <w:pPr>
      <w:snapToGrid w:val="0"/>
      <w:jc w:val="left"/>
    </w:pPr>
    <w:rPr>
      <w:sz w:val="18"/>
      <w:szCs w:val="18"/>
    </w:rPr>
  </w:style>
  <w:style w:type="paragraph" w:styleId="15">
    <w:name w:val="toc 2"/>
    <w:basedOn w:val="1"/>
    <w:next w:val="1"/>
    <w:autoRedefine/>
    <w:unhideWhenUsed/>
    <w:qFormat/>
    <w:uiPriority w:val="39"/>
    <w:pPr>
      <w:tabs>
        <w:tab w:val="right" w:leader="dot" w:pos="8296"/>
      </w:tabs>
      <w:ind w:left="420" w:leftChars="200"/>
    </w:pPr>
  </w:style>
  <w:style w:type="paragraph" w:styleId="1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99"/>
    <w:rPr>
      <w:b/>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autoRedefine/>
    <w:semiHidden/>
    <w:qFormat/>
    <w:uiPriority w:val="99"/>
    <w:rPr>
      <w:rFonts w:ascii="Times New Roman" w:hAnsi="Times New Roman"/>
      <w:sz w:val="18"/>
      <w:szCs w:val="18"/>
    </w:rPr>
  </w:style>
  <w:style w:type="character" w:customStyle="1" w:styleId="24">
    <w:name w:val="页眉 Char"/>
    <w:link w:val="12"/>
    <w:autoRedefine/>
    <w:semiHidden/>
    <w:qFormat/>
    <w:locked/>
    <w:uiPriority w:val="99"/>
    <w:rPr>
      <w:sz w:val="18"/>
    </w:rPr>
  </w:style>
  <w:style w:type="character" w:customStyle="1" w:styleId="25">
    <w:name w:val="Footer Char"/>
    <w:basedOn w:val="19"/>
    <w:autoRedefine/>
    <w:semiHidden/>
    <w:qFormat/>
    <w:uiPriority w:val="99"/>
    <w:rPr>
      <w:rFonts w:ascii="Times New Roman" w:hAnsi="Times New Roman"/>
      <w:sz w:val="18"/>
      <w:szCs w:val="18"/>
    </w:rPr>
  </w:style>
  <w:style w:type="character" w:customStyle="1" w:styleId="26">
    <w:name w:val="页脚 Char"/>
    <w:link w:val="11"/>
    <w:autoRedefine/>
    <w:qFormat/>
    <w:locked/>
    <w:uiPriority w:val="99"/>
    <w:rPr>
      <w:sz w:val="18"/>
    </w:rPr>
  </w:style>
  <w:style w:type="character" w:customStyle="1" w:styleId="27">
    <w:name w:val="Body Text Char"/>
    <w:basedOn w:val="19"/>
    <w:autoRedefine/>
    <w:semiHidden/>
    <w:qFormat/>
    <w:uiPriority w:val="99"/>
    <w:rPr>
      <w:rFonts w:ascii="Times New Roman" w:hAnsi="Times New Roman"/>
      <w:szCs w:val="24"/>
    </w:rPr>
  </w:style>
  <w:style w:type="character" w:customStyle="1" w:styleId="28">
    <w:name w:val="正文文本 Char"/>
    <w:link w:val="6"/>
    <w:autoRedefine/>
    <w:qFormat/>
    <w:locked/>
    <w:uiPriority w:val="99"/>
    <w:rPr>
      <w:rFonts w:ascii="仿宋_GB2312" w:hAnsi="Times New Roman" w:eastAsia="仿宋_GB2312"/>
      <w:sz w:val="24"/>
    </w:rPr>
  </w:style>
  <w:style w:type="paragraph" w:customStyle="1" w:styleId="29">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autoRedefine/>
    <w:qFormat/>
    <w:uiPriority w:val="34"/>
    <w:pPr>
      <w:ind w:firstLine="420" w:firstLineChars="200"/>
    </w:pPr>
  </w:style>
  <w:style w:type="character" w:customStyle="1" w:styleId="31">
    <w:name w:val="标题 1 Char"/>
    <w:basedOn w:val="19"/>
    <w:link w:val="2"/>
    <w:autoRedefine/>
    <w:qFormat/>
    <w:uiPriority w:val="9"/>
    <w:rPr>
      <w:rFonts w:ascii="Times New Roman" w:hAnsi="Times New Roman"/>
      <w:b/>
      <w:bCs/>
      <w:kern w:val="44"/>
      <w:sz w:val="44"/>
      <w:szCs w:val="44"/>
    </w:rPr>
  </w:style>
  <w:style w:type="character" w:customStyle="1" w:styleId="32">
    <w:name w:val="标题 2 Char"/>
    <w:basedOn w:val="19"/>
    <w:link w:val="3"/>
    <w:autoRedefine/>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autoRedefine/>
    <w:semiHidden/>
    <w:qFormat/>
    <w:uiPriority w:val="99"/>
    <w:rPr>
      <w:rFonts w:ascii="Times New Roman" w:hAnsi="Times New Roman"/>
      <w:kern w:val="2"/>
      <w:sz w:val="18"/>
      <w:szCs w:val="18"/>
    </w:rPr>
  </w:style>
  <w:style w:type="character" w:customStyle="1" w:styleId="35">
    <w:name w:val="标题 3 Char"/>
    <w:basedOn w:val="19"/>
    <w:link w:val="4"/>
    <w:autoRedefine/>
    <w:qFormat/>
    <w:uiPriority w:val="9"/>
    <w:rPr>
      <w:rFonts w:ascii="Times New Roman" w:hAnsi="Times New Roman"/>
      <w:b/>
      <w:bCs/>
      <w:kern w:val="2"/>
      <w:sz w:val="32"/>
      <w:szCs w:val="32"/>
    </w:rPr>
  </w:style>
  <w:style w:type="paragraph" w:customStyle="1" w:styleId="36">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autoRedefine/>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125</Pages>
  <Words>16199</Words>
  <Characters>17828</Characters>
  <Lines>61</Lines>
  <Paragraphs>17</Paragraphs>
  <TotalTime>7</TotalTime>
  <ScaleCrop>false</ScaleCrop>
  <LinksUpToDate>false</LinksUpToDate>
  <CharactersWithSpaces>17875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彭玲</cp:lastModifiedBy>
  <cp:lastPrinted>2025-08-06T17:34:00Z</cp:lastPrinted>
  <dcterms:modified xsi:type="dcterms:W3CDTF">2025-12-04T03:04:21Z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04787F2533EB45DC91BCDE4AB213247F</vt:lpwstr>
  </property>
  <property fmtid="{D5CDD505-2E9C-101B-9397-08002B2CF9AE}" pid="4" name="KSOTemplateDocerSaveRecord">
    <vt:lpwstr>eyJoZGlkIjoiNzRmMDM0Y2UxZDEzMTE5MDVmMzAxYjA2MzhiYTE1NGEiLCJ1c2VySWQiOiIzMjc1MTk4ODkifQ==</vt:lpwstr>
  </property>
</Properties>
</file>