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FC2CF">
      <w:pPr>
        <w:pStyle w:val="8"/>
        <w:spacing w:before="93"/>
        <w:rPr>
          <w:rFonts w:ascii="Times New Roman" w:eastAsia="方正小标宋简体"/>
          <w:kern w:val="2"/>
          <w:sz w:val="72"/>
          <w:szCs w:val="72"/>
        </w:rPr>
      </w:pPr>
      <w:bookmarkStart w:id="0" w:name="_Toc15377193"/>
      <w:bookmarkStart w:id="1" w:name="_Toc15378441"/>
      <w:bookmarkStart w:id="2" w:name="_Toc15396475"/>
      <w:bookmarkStart w:id="3" w:name="_Toc15306267"/>
      <w:bookmarkStart w:id="4" w:name="_Toc15396597"/>
      <w:bookmarkStart w:id="5" w:name="_Toc15377425"/>
    </w:p>
    <w:p w14:paraId="091E11BD">
      <w:pPr>
        <w:pStyle w:val="8"/>
        <w:spacing w:before="93"/>
        <w:rPr>
          <w:rFonts w:ascii="Times New Roman" w:eastAsia="方正小标宋简体"/>
          <w:kern w:val="2"/>
          <w:sz w:val="72"/>
          <w:szCs w:val="72"/>
        </w:rPr>
      </w:pPr>
    </w:p>
    <w:p w14:paraId="51EE6F1D">
      <w:pPr>
        <w:pStyle w:val="8"/>
        <w:spacing w:before="93"/>
        <w:rPr>
          <w:rFonts w:ascii="Times New Roman" w:eastAsia="方正小标宋简体"/>
          <w:kern w:val="2"/>
          <w:sz w:val="72"/>
          <w:szCs w:val="72"/>
        </w:rPr>
      </w:pPr>
    </w:p>
    <w:p w14:paraId="10315025">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ascii="方正小标宋简体" w:hAnsi="方正小标宋简体" w:eastAsia="方正小标宋简体" w:cs="方正小标宋简体"/>
          <w:sz w:val="72"/>
          <w:szCs w:val="72"/>
        </w:rPr>
        <w:t>4</w:t>
      </w:r>
      <w:r>
        <w:rPr>
          <w:rFonts w:hint="eastAsia" w:ascii="方正小标宋简体" w:hAnsi="方正小标宋简体" w:eastAsia="方正小标宋简体" w:cs="方正小标宋简体"/>
          <w:sz w:val="72"/>
          <w:szCs w:val="72"/>
        </w:rPr>
        <w:t>年度</w:t>
      </w:r>
    </w:p>
    <w:p w14:paraId="22FDFA21">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四川省峨眉山市博物馆</w:t>
      </w:r>
    </w:p>
    <w:p w14:paraId="7BE664EA">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p>
    <w:p w14:paraId="79E36B52">
      <w:pPr>
        <w:pStyle w:val="1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cols w:space="425" w:num="1"/>
          <w:docGrid w:type="lines" w:linePitch="312" w:charSpace="0"/>
        </w:sectPr>
      </w:pPr>
    </w:p>
    <w:bookmarkEnd w:id="0"/>
    <w:bookmarkEnd w:id="1"/>
    <w:bookmarkEnd w:id="2"/>
    <w:bookmarkEnd w:id="3"/>
    <w:bookmarkEnd w:id="4"/>
    <w:bookmarkEnd w:id="5"/>
    <w:p w14:paraId="1F85A86A">
      <w:pPr>
        <w:widowControl/>
        <w:jc w:val="center"/>
        <w:rPr>
          <w:rFonts w:eastAsia="黑体"/>
          <w:sz w:val="48"/>
          <w:szCs w:val="48"/>
        </w:rPr>
      </w:pPr>
      <w:r>
        <w:rPr>
          <w:rFonts w:hint="eastAsia" w:eastAsia="黑体"/>
          <w:sz w:val="48"/>
          <w:szCs w:val="48"/>
        </w:rPr>
        <w:t>目录</w:t>
      </w:r>
    </w:p>
    <w:p w14:paraId="7E9EABC6">
      <w:pPr>
        <w:widowControl/>
        <w:jc w:val="center"/>
        <w:rPr>
          <w:rFonts w:eastAsia="黑体" w:cstheme="minorBidi"/>
          <w:sz w:val="28"/>
          <w:szCs w:val="28"/>
        </w:rPr>
      </w:pPr>
    </w:p>
    <w:p w14:paraId="724854B5">
      <w:pPr>
        <w:pStyle w:val="13"/>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公开时间：202</w:t>
      </w:r>
      <w:r>
        <w:rPr>
          <w:rFonts w:ascii="Times New Roman" w:hAnsi="Times New Roman" w:eastAsia="仿宋_GB2312" w:cs="仿宋_GB2312"/>
          <w:sz w:val="32"/>
          <w:szCs w:val="32"/>
          <w:highlight w:val="none"/>
        </w:rPr>
        <w:t>5</w:t>
      </w:r>
      <w:r>
        <w:rPr>
          <w:rFonts w:hint="eastAsia" w:ascii="Times New Roman" w:hAnsi="Times New Roman" w:eastAsia="仿宋_GB2312" w:cs="仿宋_GB2312"/>
          <w:sz w:val="32"/>
          <w:szCs w:val="32"/>
          <w:highlight w:val="none"/>
        </w:rPr>
        <w:t>年</w:t>
      </w:r>
      <w:r>
        <w:rPr>
          <w:rFonts w:ascii="Times New Roman" w:hAnsi="Times New Roman" w:eastAsia="仿宋_GB2312" w:cs="仿宋_GB2312"/>
          <w:sz w:val="32"/>
          <w:szCs w:val="32"/>
          <w:highlight w:val="none"/>
        </w:rPr>
        <w:t>12</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rPr>
        <w:t>日</w:t>
      </w:r>
    </w:p>
    <w:p w14:paraId="46AFBC24"/>
    <w:p w14:paraId="5019F019">
      <w:pPr>
        <w:pStyle w:val="13"/>
        <w:adjustRightInd w:val="0"/>
        <w:snapToGrid w:val="0"/>
        <w:spacing w:before="0" w:line="560" w:lineRule="exact"/>
        <w:jc w:val="left"/>
        <w:rPr>
          <w:rFonts w:hint="eastAsia" w:ascii="仿宋_GB2312" w:hAnsi="仿宋_GB2312" w:eastAsia="黑体" w:cs="仿宋_GB2312"/>
          <w:sz w:val="24"/>
          <w:szCs w:val="24"/>
          <w:lang w:val="en-US" w:eastAsia="zh-CN"/>
        </w:rPr>
      </w:pPr>
      <w:r>
        <w:rPr>
          <w:rFonts w:hint="eastAsia" w:ascii="Times New Roman" w:hAnsi="Times New Roman" w:eastAsia="黑体" w:cs="黑体"/>
          <w:sz w:val="32"/>
          <w:szCs w:val="32"/>
        </w:rPr>
        <w:t>第一部分 单位概况</w:t>
      </w:r>
      <w:r>
        <w:rPr>
          <w:rFonts w:ascii="Times New Roman" w:hAnsi="Times New Roman" w:eastAsia="黑体" w:cs="黑体"/>
          <w:sz w:val="32"/>
          <w:szCs w:val="32"/>
        </w:rPr>
        <w:tab/>
      </w:r>
      <w:r>
        <w:rPr>
          <w:rFonts w:hint="eastAsia" w:ascii="Times New Roman" w:hAnsi="Times New Roman" w:eastAsia="黑体" w:cs="黑体"/>
          <w:sz w:val="32"/>
          <w:szCs w:val="32"/>
          <w:lang w:val="en-US" w:eastAsia="zh-CN"/>
        </w:rPr>
        <w:t>3</w:t>
      </w:r>
    </w:p>
    <w:p w14:paraId="1B43CEFC">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一、主要职责</w:t>
      </w:r>
      <w:r>
        <w:rPr>
          <w:rFonts w:eastAsia="仿宋_GB2312" w:cs="仿宋_GB2312"/>
          <w:sz w:val="32"/>
          <w:szCs w:val="32"/>
        </w:rPr>
        <w:tab/>
      </w:r>
      <w:r>
        <w:rPr>
          <w:rFonts w:hint="eastAsia" w:eastAsia="仿宋_GB2312" w:cs="仿宋_GB2312"/>
          <w:sz w:val="32"/>
          <w:szCs w:val="32"/>
          <w:lang w:val="en-US" w:eastAsia="zh-CN"/>
        </w:rPr>
        <w:t>3</w:t>
      </w:r>
    </w:p>
    <w:p w14:paraId="0248C236">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二、机构设置</w:t>
      </w:r>
      <w:r>
        <w:rPr>
          <w:rFonts w:eastAsia="仿宋_GB2312" w:cs="仿宋_GB2312"/>
          <w:sz w:val="32"/>
          <w:szCs w:val="32"/>
        </w:rPr>
        <w:tab/>
      </w:r>
      <w:r>
        <w:rPr>
          <w:rFonts w:hint="eastAsia" w:eastAsia="仿宋_GB2312" w:cs="仿宋_GB2312"/>
          <w:sz w:val="32"/>
          <w:szCs w:val="32"/>
          <w:lang w:val="en-US" w:eastAsia="zh-CN"/>
        </w:rPr>
        <w:t>3</w:t>
      </w:r>
    </w:p>
    <w:p w14:paraId="09752887">
      <w:pPr>
        <w:pStyle w:val="13"/>
        <w:adjustRightInd w:val="0"/>
        <w:snapToGrid w:val="0"/>
        <w:spacing w:before="0" w:line="560" w:lineRule="exact"/>
        <w:jc w:val="lef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2024年度单位决算情况说明</w:t>
      </w:r>
      <w:r>
        <w:rPr>
          <w:rFonts w:ascii="Times New Roman" w:hAnsi="Times New Roman" w:eastAsia="黑体" w:cs="黑体"/>
          <w:sz w:val="32"/>
          <w:szCs w:val="32"/>
        </w:rPr>
        <w:tab/>
      </w:r>
      <w:r>
        <w:rPr>
          <w:rFonts w:hint="eastAsia" w:ascii="Times New Roman" w:hAnsi="Times New Roman" w:eastAsia="黑体" w:cs="黑体"/>
          <w:sz w:val="32"/>
          <w:szCs w:val="32"/>
          <w:lang w:val="en-US" w:eastAsia="zh-CN"/>
        </w:rPr>
        <w:t>4</w:t>
      </w:r>
    </w:p>
    <w:p w14:paraId="6237D582">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一、收入支出决算总体情况说明</w:t>
      </w:r>
      <w:r>
        <w:rPr>
          <w:rFonts w:eastAsia="仿宋_GB2312" w:cs="仿宋_GB2312"/>
          <w:sz w:val="32"/>
          <w:szCs w:val="32"/>
        </w:rPr>
        <w:tab/>
      </w:r>
      <w:r>
        <w:rPr>
          <w:rFonts w:hint="eastAsia" w:eastAsia="仿宋_GB2312" w:cs="仿宋_GB2312"/>
          <w:sz w:val="32"/>
          <w:szCs w:val="32"/>
          <w:lang w:val="en-US" w:eastAsia="zh-CN"/>
        </w:rPr>
        <w:t>4</w:t>
      </w:r>
    </w:p>
    <w:p w14:paraId="60736EE3">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二、收入决算情况说明</w:t>
      </w:r>
      <w:r>
        <w:rPr>
          <w:rFonts w:eastAsia="仿宋_GB2312" w:cs="仿宋_GB2312"/>
          <w:sz w:val="32"/>
          <w:szCs w:val="32"/>
        </w:rPr>
        <w:tab/>
      </w:r>
      <w:r>
        <w:rPr>
          <w:rFonts w:hint="eastAsia" w:eastAsia="仿宋_GB2312" w:cs="仿宋_GB2312"/>
          <w:sz w:val="32"/>
          <w:szCs w:val="32"/>
          <w:lang w:val="en-US" w:eastAsia="zh-CN"/>
        </w:rPr>
        <w:t>4</w:t>
      </w:r>
    </w:p>
    <w:p w14:paraId="5DD067B6">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三、支出决算情况说明</w:t>
      </w:r>
      <w:r>
        <w:rPr>
          <w:rFonts w:eastAsia="仿宋_GB2312" w:cs="仿宋_GB2312"/>
          <w:sz w:val="32"/>
          <w:szCs w:val="32"/>
        </w:rPr>
        <w:tab/>
      </w:r>
      <w:r>
        <w:rPr>
          <w:rFonts w:hint="eastAsia" w:eastAsia="仿宋_GB2312" w:cs="仿宋_GB2312"/>
          <w:sz w:val="32"/>
          <w:szCs w:val="32"/>
          <w:lang w:val="en-US" w:eastAsia="zh-CN"/>
        </w:rPr>
        <w:t>5</w:t>
      </w:r>
    </w:p>
    <w:p w14:paraId="61119914">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四、财政拨款收入支出决算总体情况说明</w:t>
      </w:r>
      <w:r>
        <w:rPr>
          <w:rFonts w:eastAsia="仿宋_GB2312" w:cs="仿宋_GB2312"/>
          <w:sz w:val="32"/>
          <w:szCs w:val="32"/>
        </w:rPr>
        <w:tab/>
      </w:r>
      <w:r>
        <w:rPr>
          <w:rFonts w:hint="eastAsia" w:eastAsia="仿宋_GB2312" w:cs="仿宋_GB2312"/>
          <w:sz w:val="32"/>
          <w:szCs w:val="32"/>
          <w:lang w:val="en-US" w:eastAsia="zh-CN"/>
        </w:rPr>
        <w:t>6</w:t>
      </w:r>
    </w:p>
    <w:p w14:paraId="4F9E58FB">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eastAsia="仿宋_GB2312" w:cs="仿宋_GB2312"/>
          <w:sz w:val="32"/>
          <w:szCs w:val="32"/>
        </w:rPr>
        <w:tab/>
      </w:r>
      <w:r>
        <w:rPr>
          <w:rFonts w:hint="eastAsia" w:eastAsia="仿宋_GB2312" w:cs="仿宋_GB2312"/>
          <w:sz w:val="32"/>
          <w:szCs w:val="32"/>
          <w:lang w:val="en-US" w:eastAsia="zh-CN"/>
        </w:rPr>
        <w:t>7</w:t>
      </w:r>
    </w:p>
    <w:p w14:paraId="64071644">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eastAsia="仿宋_GB2312" w:cs="仿宋_GB2312"/>
          <w:sz w:val="32"/>
          <w:szCs w:val="32"/>
        </w:rPr>
        <w:tab/>
      </w:r>
      <w:r>
        <w:rPr>
          <w:rFonts w:hint="eastAsia" w:eastAsia="仿宋_GB2312" w:cs="仿宋_GB2312"/>
          <w:sz w:val="32"/>
          <w:szCs w:val="32"/>
          <w:lang w:val="en-US" w:eastAsia="zh-CN"/>
        </w:rPr>
        <w:t>10</w:t>
      </w:r>
    </w:p>
    <w:p w14:paraId="75C61A51">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eastAsia="仿宋_GB2312" w:cs="仿宋_GB2312"/>
          <w:sz w:val="32"/>
          <w:szCs w:val="32"/>
        </w:rPr>
        <w:tab/>
      </w:r>
      <w:r>
        <w:rPr>
          <w:rFonts w:hint="eastAsia" w:eastAsia="仿宋_GB2312" w:cs="仿宋_GB2312"/>
          <w:sz w:val="32"/>
          <w:szCs w:val="32"/>
          <w:lang w:val="en-US" w:eastAsia="zh-CN"/>
        </w:rPr>
        <w:t>11</w:t>
      </w:r>
    </w:p>
    <w:p w14:paraId="2296F409">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eastAsia="仿宋_GB2312" w:cs="仿宋_GB2312"/>
          <w:sz w:val="32"/>
          <w:szCs w:val="32"/>
        </w:rPr>
        <w:tab/>
      </w:r>
      <w:r>
        <w:rPr>
          <w:rFonts w:hint="eastAsia" w:eastAsia="仿宋_GB2312" w:cs="仿宋_GB2312"/>
          <w:sz w:val="32"/>
          <w:szCs w:val="32"/>
          <w:lang w:val="en-US" w:eastAsia="zh-CN"/>
        </w:rPr>
        <w:t>12</w:t>
      </w:r>
    </w:p>
    <w:p w14:paraId="1126AF5F">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eastAsia="仿宋_GB2312" w:cs="仿宋_GB2312"/>
          <w:sz w:val="32"/>
          <w:szCs w:val="32"/>
        </w:rPr>
        <w:tab/>
      </w:r>
      <w:r>
        <w:rPr>
          <w:rFonts w:hint="eastAsia" w:eastAsia="仿宋_GB2312" w:cs="仿宋_GB2312"/>
          <w:sz w:val="32"/>
          <w:szCs w:val="32"/>
          <w:lang w:val="en-US" w:eastAsia="zh-CN"/>
        </w:rPr>
        <w:t>12</w:t>
      </w:r>
    </w:p>
    <w:p w14:paraId="0DB3F2A6">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eastAsia="仿宋_GB2312" w:cs="仿宋_GB2312"/>
          <w:sz w:val="32"/>
          <w:szCs w:val="32"/>
        </w:rPr>
        <w:tab/>
      </w:r>
      <w:r>
        <w:rPr>
          <w:rFonts w:hint="eastAsia" w:eastAsia="仿宋_GB2312" w:cs="仿宋_GB2312"/>
          <w:sz w:val="32"/>
          <w:szCs w:val="32"/>
          <w:lang w:val="en-US" w:eastAsia="zh-CN"/>
        </w:rPr>
        <w:t>12</w:t>
      </w:r>
    </w:p>
    <w:p w14:paraId="3FE4098D">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ascii="Times New Roman" w:hAnsi="Times New Roman" w:eastAsia="黑体" w:cs="黑体"/>
          <w:sz w:val="32"/>
          <w:szCs w:val="32"/>
        </w:rPr>
        <w:tab/>
      </w:r>
      <w:r>
        <w:rPr>
          <w:rFonts w:hint="eastAsia" w:ascii="Times New Roman" w:hAnsi="Times New Roman" w:eastAsia="黑体" w:cs="黑体"/>
          <w:sz w:val="32"/>
          <w:szCs w:val="32"/>
          <w:lang w:val="en-US" w:eastAsia="zh-CN"/>
        </w:rPr>
        <w:t>14</w:t>
      </w:r>
    </w:p>
    <w:p w14:paraId="5B008835">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ascii="Times New Roman" w:hAnsi="Times New Roman" w:eastAsia="黑体" w:cs="黑体"/>
          <w:sz w:val="32"/>
          <w:szCs w:val="32"/>
        </w:rPr>
        <w:tab/>
      </w:r>
      <w:r>
        <w:rPr>
          <w:rFonts w:hint="eastAsia" w:ascii="Times New Roman" w:hAnsi="Times New Roman" w:eastAsia="黑体" w:cs="黑体"/>
          <w:sz w:val="32"/>
          <w:szCs w:val="32"/>
          <w:lang w:val="en-US" w:eastAsia="zh-CN"/>
        </w:rPr>
        <w:t>17</w:t>
      </w:r>
    </w:p>
    <w:p w14:paraId="5AA9412A">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ascii="Times New Roman" w:hAnsi="Times New Roman" w:eastAsia="黑体" w:cs="黑体"/>
          <w:sz w:val="32"/>
          <w:szCs w:val="32"/>
        </w:rPr>
        <w:tab/>
      </w:r>
      <w:r>
        <w:rPr>
          <w:rFonts w:hint="eastAsia" w:ascii="Times New Roman" w:hAnsi="Times New Roman" w:eastAsia="黑体" w:cs="黑体"/>
          <w:sz w:val="32"/>
          <w:szCs w:val="32"/>
          <w:lang w:val="en-US" w:eastAsia="zh-CN"/>
        </w:rPr>
        <w:t>22</w:t>
      </w:r>
    </w:p>
    <w:p w14:paraId="26F19AE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14:paraId="3D65B12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7C7CB54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2420E81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13A61C6F">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6E4399D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06EC717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395AA96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30ECA4F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0891087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73D206B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4A1FBA6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40647AF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56F41EC4">
      <w:pPr>
        <w:pStyle w:val="5"/>
        <w:jc w:val="center"/>
        <w:rPr>
          <w:rFonts w:hint="eastAsia" w:eastAsia="方正小标宋简体" w:cs="方正小标宋简体"/>
          <w:b w:val="0"/>
        </w:rPr>
      </w:pPr>
      <w:bookmarkStart w:id="6" w:name="_Toc15377196"/>
      <w:bookmarkStart w:id="7" w:name="_Toc15396599"/>
    </w:p>
    <w:p w14:paraId="02111656">
      <w:pPr>
        <w:rPr>
          <w:rFonts w:hint="eastAsia" w:eastAsia="方正小标宋简体" w:cs="方正小标宋简体"/>
          <w:b w:val="0"/>
        </w:rPr>
      </w:pPr>
    </w:p>
    <w:p w14:paraId="35C5EF41">
      <w:pPr>
        <w:pStyle w:val="2"/>
        <w:rPr>
          <w:rFonts w:hint="eastAsia" w:eastAsia="方正小标宋简体" w:cs="方正小标宋简体"/>
          <w:b w:val="0"/>
        </w:rPr>
      </w:pPr>
    </w:p>
    <w:p w14:paraId="10A9F8AD">
      <w:pPr>
        <w:pStyle w:val="3"/>
        <w:rPr>
          <w:rFonts w:hint="eastAsia" w:eastAsia="方正小标宋简体" w:cs="方正小标宋简体"/>
          <w:b w:val="0"/>
        </w:rPr>
      </w:pPr>
    </w:p>
    <w:p w14:paraId="1928C00E">
      <w:pPr>
        <w:pStyle w:val="3"/>
        <w:rPr>
          <w:rFonts w:hint="eastAsia" w:eastAsia="方正小标宋简体" w:cs="方正小标宋简体"/>
          <w:b w:val="0"/>
        </w:rPr>
      </w:pPr>
    </w:p>
    <w:p w14:paraId="482C4002">
      <w:pPr>
        <w:pStyle w:val="3"/>
        <w:rPr>
          <w:rFonts w:hint="eastAsia" w:eastAsia="方正小标宋简体" w:cs="方正小标宋简体"/>
          <w:b w:val="0"/>
        </w:rPr>
      </w:pPr>
    </w:p>
    <w:p w14:paraId="29BCCD5A">
      <w:pPr>
        <w:pStyle w:val="3"/>
        <w:rPr>
          <w:rFonts w:hint="eastAsia" w:eastAsia="方正小标宋简体" w:cs="方正小标宋简体"/>
          <w:b w:val="0"/>
        </w:rPr>
      </w:pPr>
    </w:p>
    <w:p w14:paraId="45B2C7AB">
      <w:pPr>
        <w:pStyle w:val="3"/>
        <w:rPr>
          <w:rFonts w:hint="eastAsia" w:eastAsia="方正小标宋简体" w:cs="方正小标宋简体"/>
          <w:b w:val="0"/>
        </w:rPr>
      </w:pPr>
    </w:p>
    <w:p w14:paraId="07CCF229">
      <w:pPr>
        <w:pStyle w:val="3"/>
        <w:rPr>
          <w:rFonts w:hint="eastAsia" w:eastAsia="方正小标宋简体" w:cs="方正小标宋简体"/>
          <w:b w:val="0"/>
        </w:rPr>
      </w:pPr>
    </w:p>
    <w:p w14:paraId="24087D06">
      <w:pPr>
        <w:pStyle w:val="3"/>
        <w:rPr>
          <w:rFonts w:hint="eastAsia" w:eastAsia="方正小标宋简体" w:cs="方正小标宋简体"/>
          <w:b w:val="0"/>
        </w:rPr>
      </w:pPr>
    </w:p>
    <w:p w14:paraId="44746F1C">
      <w:pPr>
        <w:pStyle w:val="3"/>
        <w:rPr>
          <w:rFonts w:hint="eastAsia" w:eastAsia="方正小标宋简体" w:cs="方正小标宋简体"/>
          <w:b w:val="0"/>
        </w:rPr>
      </w:pPr>
    </w:p>
    <w:p w14:paraId="36349337">
      <w:pPr>
        <w:pStyle w:val="3"/>
        <w:rPr>
          <w:rFonts w:hint="eastAsia" w:eastAsia="方正小标宋简体" w:cs="方正小标宋简体"/>
          <w:b w:val="0"/>
        </w:rPr>
      </w:pPr>
    </w:p>
    <w:p w14:paraId="12B5D614">
      <w:pPr>
        <w:pStyle w:val="3"/>
        <w:rPr>
          <w:rFonts w:hint="eastAsia" w:eastAsia="方正小标宋简体" w:cs="方正小标宋简体"/>
          <w:b w:val="0"/>
        </w:rPr>
      </w:pPr>
    </w:p>
    <w:p w14:paraId="4A60379A">
      <w:pPr>
        <w:pStyle w:val="3"/>
        <w:rPr>
          <w:rFonts w:hint="eastAsia" w:eastAsia="方正小标宋简体" w:cs="方正小标宋简体"/>
          <w:b w:val="0"/>
        </w:rPr>
      </w:pPr>
    </w:p>
    <w:p w14:paraId="7F3EA1BA">
      <w:pPr>
        <w:pStyle w:val="3"/>
        <w:rPr>
          <w:rFonts w:hint="eastAsia" w:eastAsia="方正小标宋简体" w:cs="方正小标宋简体"/>
          <w:b w:val="0"/>
        </w:rPr>
      </w:pPr>
    </w:p>
    <w:p w14:paraId="7FAEE6E6">
      <w:pPr>
        <w:pStyle w:val="3"/>
        <w:rPr>
          <w:rFonts w:hint="eastAsia" w:eastAsia="方正小标宋简体" w:cs="方正小标宋简体"/>
          <w:b w:val="0"/>
        </w:rPr>
      </w:pPr>
    </w:p>
    <w:p w14:paraId="4156479F">
      <w:pPr>
        <w:pStyle w:val="3"/>
        <w:rPr>
          <w:rFonts w:hint="eastAsia" w:eastAsia="方正小标宋简体" w:cs="方正小标宋简体"/>
          <w:b w:val="0"/>
        </w:rPr>
      </w:pPr>
    </w:p>
    <w:p w14:paraId="6D5EAFC6">
      <w:pPr>
        <w:pStyle w:val="5"/>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p>
    <w:p w14:paraId="1DFA7E4A">
      <w:pPr>
        <w:widowControl/>
        <w:jc w:val="left"/>
        <w:rPr>
          <w:rFonts w:eastAsia="黑体"/>
          <w:sz w:val="32"/>
          <w:szCs w:val="32"/>
        </w:rPr>
      </w:pPr>
    </w:p>
    <w:p w14:paraId="032D2CCD">
      <w:pPr>
        <w:pStyle w:val="6"/>
        <w:numPr>
          <w:ilvl w:val="0"/>
          <w:numId w:val="1"/>
        </w:numPr>
        <w:rPr>
          <w:rFonts w:ascii="Times New Roman" w:hAnsi="Times New Roman" w:eastAsia="黑体"/>
          <w:b w:val="0"/>
        </w:rPr>
      </w:pPr>
      <w:r>
        <w:rPr>
          <w:rFonts w:hint="eastAsia" w:ascii="Times New Roman" w:hAnsi="Times New Roman" w:eastAsia="黑体"/>
          <w:b w:val="0"/>
        </w:rPr>
        <w:t>主要职责</w:t>
      </w:r>
    </w:p>
    <w:p w14:paraId="351FC94D">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承担文物和博物馆公共服务体系建设相关事务性工作；承担全市文物普查、建档、宣传、征集、典藏、陈列、研究及修缮，维护等文物保护相关事务性工作。</w:t>
      </w:r>
    </w:p>
    <w:p w14:paraId="523C171D">
      <w:pPr>
        <w:pStyle w:val="6"/>
        <w:rPr>
          <w:rStyle w:val="29"/>
          <w:rFonts w:ascii="Times New Roman" w:hAnsi="Times New Roman"/>
          <w:b w:val="0"/>
          <w:bCs w:val="0"/>
        </w:rPr>
      </w:pPr>
      <w:bookmarkStart w:id="8" w:name="_Toc15377200"/>
      <w:bookmarkStart w:id="9" w:name="_Toc15396601"/>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8"/>
      <w:bookmarkEnd w:id="9"/>
    </w:p>
    <w:p w14:paraId="50E72325">
      <w:pPr>
        <w:ind w:firstLine="640" w:firstLineChars="200"/>
        <w:rPr>
          <w:rFonts w:ascii="仿宋" w:hAnsi="仿宋" w:eastAsia="仿宋"/>
          <w:sz w:val="32"/>
          <w:szCs w:val="32"/>
        </w:rPr>
      </w:pPr>
      <w:r>
        <w:rPr>
          <w:rFonts w:hint="eastAsia" w:ascii="仿宋" w:hAnsi="仿宋" w:eastAsia="仿宋"/>
          <w:sz w:val="32"/>
          <w:szCs w:val="32"/>
        </w:rPr>
        <w:t>机构情况，峨眉山市博物馆属于峨眉山市文化体育和旅游局部门下属的</w:t>
      </w:r>
      <w:r>
        <w:rPr>
          <w:rFonts w:hint="eastAsia" w:ascii="仿宋" w:hAnsi="仿宋" w:eastAsia="仿宋"/>
          <w:sz w:val="32"/>
          <w:szCs w:val="32"/>
          <w:lang w:eastAsia="zh-CN"/>
        </w:rPr>
        <w:t>一</w:t>
      </w:r>
      <w:r>
        <w:rPr>
          <w:rFonts w:hint="eastAsia" w:ascii="仿宋" w:hAnsi="仿宋" w:eastAsia="仿宋"/>
          <w:sz w:val="32"/>
          <w:szCs w:val="32"/>
        </w:rPr>
        <w:t>级预算单位，下设独立编制机构</w:t>
      </w:r>
      <w:r>
        <w:rPr>
          <w:rFonts w:hint="eastAsia" w:ascii="仿宋" w:hAnsi="仿宋" w:eastAsia="仿宋"/>
          <w:sz w:val="32"/>
          <w:szCs w:val="32"/>
          <w:lang w:val="en-US" w:eastAsia="zh-CN"/>
        </w:rPr>
        <w:t>1</w:t>
      </w:r>
      <w:r>
        <w:rPr>
          <w:rFonts w:hint="eastAsia" w:ascii="仿宋" w:hAnsi="仿宋" w:eastAsia="仿宋"/>
          <w:sz w:val="32"/>
          <w:szCs w:val="32"/>
        </w:rPr>
        <w:t>个，其中行政机构0个，参照公务员法管理的事业机构0个，其他事业机构0个。</w:t>
      </w:r>
    </w:p>
    <w:p w14:paraId="059F6EAA">
      <w:pPr>
        <w:pStyle w:val="2"/>
      </w:pPr>
    </w:p>
    <w:p w14:paraId="5C638A1B">
      <w:pPr>
        <w:ind w:firstLine="640" w:firstLineChars="200"/>
        <w:rPr>
          <w:rFonts w:ascii="仿宋_GB2312" w:hAnsi="仿宋" w:eastAsia="仿宋_GB2312"/>
          <w:sz w:val="32"/>
          <w:szCs w:val="32"/>
        </w:rPr>
      </w:pPr>
      <w:r>
        <w:rPr>
          <w:rFonts w:hint="eastAsia" w:ascii="仿宋_GB2312" w:hAnsi="仿宋" w:eastAsia="仿宋_GB2312"/>
          <w:sz w:val="32"/>
          <w:szCs w:val="32"/>
          <w:highlight w:val="none"/>
        </w:rPr>
        <w:t>人员情况，202</w:t>
      </w:r>
      <w:r>
        <w:rPr>
          <w:rFonts w:ascii="仿宋_GB2312" w:hAnsi="仿宋" w:eastAsia="仿宋_GB2312"/>
          <w:sz w:val="32"/>
          <w:szCs w:val="32"/>
          <w:highlight w:val="none"/>
        </w:rPr>
        <w:t>4</w:t>
      </w:r>
      <w:r>
        <w:rPr>
          <w:rFonts w:hint="eastAsia" w:ascii="仿宋_GB2312" w:hAnsi="仿宋" w:eastAsia="仿宋_GB2312"/>
          <w:sz w:val="32"/>
          <w:szCs w:val="32"/>
        </w:rPr>
        <w:t>年末单位事业编制</w:t>
      </w:r>
      <w:r>
        <w:rPr>
          <w:rFonts w:hint="eastAsia" w:ascii="仿宋_GB2312" w:hAnsi="仿宋" w:eastAsia="仿宋_GB2312"/>
          <w:sz w:val="32"/>
          <w:szCs w:val="32"/>
          <w:lang w:val="en-US" w:eastAsia="zh-CN"/>
        </w:rPr>
        <w:t>7</w:t>
      </w:r>
      <w:r>
        <w:rPr>
          <w:rFonts w:hint="eastAsia" w:ascii="仿宋_GB2312" w:hAnsi="仿宋" w:eastAsia="仿宋_GB2312"/>
          <w:sz w:val="32"/>
          <w:szCs w:val="32"/>
        </w:rPr>
        <w:t>人，实有在职人数</w:t>
      </w:r>
      <w:r>
        <w:rPr>
          <w:rFonts w:hint="eastAsia" w:ascii="仿宋_GB2312" w:hAnsi="仿宋" w:eastAsia="仿宋_GB2312"/>
          <w:sz w:val="32"/>
          <w:szCs w:val="32"/>
          <w:lang w:val="en-US" w:eastAsia="zh-CN"/>
        </w:rPr>
        <w:t>7</w:t>
      </w:r>
      <w:r>
        <w:rPr>
          <w:rFonts w:hint="eastAsia" w:ascii="仿宋_GB2312" w:hAnsi="仿宋" w:eastAsia="仿宋_GB2312"/>
          <w:sz w:val="32"/>
          <w:szCs w:val="32"/>
        </w:rPr>
        <w:t>人。</w:t>
      </w:r>
    </w:p>
    <w:p w14:paraId="5AAC7E4C">
      <w:pPr>
        <w:widowControl/>
        <w:jc w:val="left"/>
        <w:rPr>
          <w:rFonts w:ascii="仿宋_GB2312" w:eastAsia="仿宋_GB2312"/>
          <w:kern w:val="0"/>
          <w:sz w:val="32"/>
          <w:szCs w:val="32"/>
        </w:rPr>
      </w:pPr>
      <w:r>
        <w:rPr>
          <w:rFonts w:hint="eastAsia" w:ascii="仿宋_GB2312" w:eastAsia="仿宋_GB2312"/>
          <w:sz w:val="32"/>
          <w:szCs w:val="32"/>
        </w:rPr>
        <w:br w:type="page"/>
      </w:r>
    </w:p>
    <w:p w14:paraId="7A7D6BE6">
      <w:pPr>
        <w:pStyle w:val="5"/>
        <w:jc w:val="center"/>
        <w:rPr>
          <w:rFonts w:eastAsia="方正小标宋简体" w:cs="方正小标宋简体"/>
          <w:b w:val="0"/>
        </w:rPr>
      </w:pPr>
      <w:bookmarkStart w:id="10" w:name="_Toc15377204"/>
      <w:bookmarkStart w:id="11" w:name="_Toc15396602"/>
      <w:r>
        <w:rPr>
          <w:rFonts w:hint="eastAsia" w:eastAsia="方正小标宋简体" w:cs="方正小标宋简体"/>
          <w:b w:val="0"/>
        </w:rPr>
        <w:t>第二部分  2024年度单位决算情况说明</w:t>
      </w:r>
      <w:bookmarkEnd w:id="10"/>
      <w:bookmarkEnd w:id="11"/>
    </w:p>
    <w:p w14:paraId="2FD7A3AB"/>
    <w:p w14:paraId="6C2B89C1">
      <w:pPr>
        <w:pStyle w:val="27"/>
        <w:spacing w:line="600" w:lineRule="exact"/>
        <w:ind w:firstLine="640"/>
        <w:outlineLvl w:val="1"/>
        <w:rPr>
          <w:rStyle w:val="29"/>
          <w:rFonts w:ascii="Times New Roman" w:hAnsi="Times New Roman" w:eastAsia="黑体"/>
          <w:b w:val="0"/>
        </w:rPr>
      </w:pPr>
      <w:bookmarkStart w:id="12" w:name="_Toc15377205"/>
      <w:bookmarkStart w:id="13"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14:paraId="71B64303">
      <w:pPr>
        <w:pStyle w:val="27"/>
        <w:spacing w:line="600" w:lineRule="exact"/>
        <w:ind w:firstLine="640"/>
        <w:outlineLvl w:val="1"/>
        <w:rPr>
          <w:rFonts w:eastAsia="仿宋_GB2312" w:cs="仿宋_GB2312"/>
          <w:sz w:val="32"/>
          <w:szCs w:val="32"/>
          <w:highlight w:val="none"/>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176.3</w:t>
      </w:r>
      <w:r>
        <w:rPr>
          <w:rFonts w:hint="eastAsia" w:eastAsia="仿宋_GB2312" w:cs="仿宋_GB2312"/>
          <w:sz w:val="32"/>
          <w:szCs w:val="32"/>
        </w:rPr>
        <w:t>万元。与2023年度相比，收入、支出总计各增加</w:t>
      </w:r>
      <w:r>
        <w:rPr>
          <w:rFonts w:eastAsia="仿宋_GB2312" w:cs="仿宋_GB2312"/>
          <w:sz w:val="32"/>
          <w:szCs w:val="32"/>
        </w:rPr>
        <w:t>23.11</w:t>
      </w:r>
      <w:r>
        <w:rPr>
          <w:rFonts w:hint="eastAsia" w:eastAsia="仿宋_GB2312" w:cs="仿宋_GB2312"/>
          <w:sz w:val="32"/>
          <w:szCs w:val="32"/>
        </w:rPr>
        <w:t>万元，增长</w:t>
      </w:r>
      <w:r>
        <w:rPr>
          <w:rFonts w:eastAsia="仿宋_GB2312" w:cs="仿宋_GB2312"/>
          <w:sz w:val="32"/>
          <w:szCs w:val="32"/>
        </w:rPr>
        <w:t>15.09</w:t>
      </w:r>
      <w:r>
        <w:rPr>
          <w:rFonts w:hint="eastAsia" w:eastAsia="仿宋_GB2312" w:cs="仿宋_GB2312"/>
          <w:sz w:val="32"/>
          <w:szCs w:val="32"/>
        </w:rPr>
        <w:t>%。</w:t>
      </w:r>
      <w:r>
        <w:rPr>
          <w:rFonts w:hint="eastAsia" w:eastAsia="仿宋_GB2312" w:cs="仿宋_GB2312"/>
          <w:sz w:val="32"/>
          <w:szCs w:val="32"/>
          <w:highlight w:val="none"/>
        </w:rPr>
        <w:t>主要变动原因是</w:t>
      </w:r>
      <w:r>
        <w:rPr>
          <w:rFonts w:hint="eastAsia" w:eastAsia="仿宋_GB2312" w:cs="仿宋_GB2312"/>
          <w:sz w:val="32"/>
          <w:szCs w:val="32"/>
          <w:highlight w:val="none"/>
          <w:lang w:val="en-US" w:eastAsia="zh-CN"/>
        </w:rPr>
        <w:t>项目支出费用增加，其中文物保护经费7.93万元，大庙飞来殿消防工程款15.04万元。</w:t>
      </w:r>
    </w:p>
    <w:p w14:paraId="24A19ED0">
      <w:pPr>
        <w:pStyle w:val="27"/>
        <w:spacing w:line="600" w:lineRule="exact"/>
        <w:ind w:firstLine="640"/>
        <w:outlineLvl w:val="1"/>
        <w:rPr>
          <w:rFonts w:eastAsia="仿宋_GB2312" w:cs="仿宋_GB2312"/>
          <w:sz w:val="32"/>
          <w:szCs w:val="32"/>
        </w:rPr>
      </w:pPr>
      <w:r>
        <w:rPr>
          <w:rFonts w:eastAsia="仿宋_GB2312" w:cs="仿宋_GB2312"/>
          <w:sz w:val="32"/>
          <w:szCs w:val="32"/>
        </w:rPr>
        <w:drawing>
          <wp:anchor distT="0" distB="0" distL="114300" distR="114300" simplePos="0" relativeHeight="251662336" behindDoc="0" locked="0" layoutInCell="1" allowOverlap="1">
            <wp:simplePos x="0" y="0"/>
            <wp:positionH relativeFrom="column">
              <wp:posOffset>40640</wp:posOffset>
            </wp:positionH>
            <wp:positionV relativeFrom="paragraph">
              <wp:posOffset>113030</wp:posOffset>
            </wp:positionV>
            <wp:extent cx="5492115" cy="43688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91859" cy="4368551"/>
                    </a:xfrm>
                    <a:prstGeom prst="rect">
                      <a:avLst/>
                    </a:prstGeom>
                    <a:noFill/>
                  </pic:spPr>
                </pic:pic>
              </a:graphicData>
            </a:graphic>
          </wp:anchor>
        </w:drawing>
      </w:r>
    </w:p>
    <w:p w14:paraId="318520D1">
      <w:pPr>
        <w:pStyle w:val="27"/>
        <w:spacing w:line="600" w:lineRule="exact"/>
        <w:ind w:firstLine="640"/>
        <w:outlineLvl w:val="1"/>
        <w:rPr>
          <w:rFonts w:eastAsia="仿宋_GB2312" w:cs="仿宋_GB2312"/>
          <w:sz w:val="32"/>
          <w:szCs w:val="32"/>
        </w:rPr>
      </w:pPr>
    </w:p>
    <w:p w14:paraId="5D9102C6">
      <w:pPr>
        <w:pStyle w:val="27"/>
        <w:spacing w:line="600" w:lineRule="exact"/>
        <w:ind w:firstLine="640"/>
        <w:outlineLvl w:val="1"/>
        <w:rPr>
          <w:rFonts w:eastAsia="仿宋_GB2312" w:cs="仿宋_GB2312"/>
          <w:sz w:val="32"/>
          <w:szCs w:val="32"/>
        </w:rPr>
      </w:pPr>
    </w:p>
    <w:p w14:paraId="6028A980">
      <w:pPr>
        <w:pStyle w:val="27"/>
        <w:spacing w:line="600" w:lineRule="exact"/>
        <w:ind w:firstLine="640"/>
        <w:outlineLvl w:val="1"/>
        <w:rPr>
          <w:rFonts w:eastAsia="仿宋_GB2312" w:cs="仿宋_GB2312"/>
          <w:sz w:val="32"/>
          <w:szCs w:val="32"/>
        </w:rPr>
      </w:pPr>
    </w:p>
    <w:p w14:paraId="5BA28564">
      <w:pPr>
        <w:pStyle w:val="27"/>
        <w:spacing w:line="600" w:lineRule="exact"/>
        <w:ind w:firstLine="640"/>
        <w:outlineLvl w:val="1"/>
        <w:rPr>
          <w:rFonts w:eastAsia="仿宋_GB2312" w:cs="仿宋_GB2312"/>
          <w:sz w:val="32"/>
          <w:szCs w:val="32"/>
        </w:rPr>
      </w:pPr>
    </w:p>
    <w:p w14:paraId="3829982A">
      <w:pPr>
        <w:pStyle w:val="27"/>
        <w:spacing w:line="600" w:lineRule="exact"/>
        <w:ind w:firstLine="640"/>
        <w:outlineLvl w:val="1"/>
        <w:rPr>
          <w:rFonts w:eastAsia="仿宋_GB2312" w:cs="仿宋_GB2312"/>
          <w:sz w:val="32"/>
          <w:szCs w:val="32"/>
        </w:rPr>
      </w:pPr>
    </w:p>
    <w:p w14:paraId="3099D675">
      <w:pPr>
        <w:pStyle w:val="27"/>
        <w:spacing w:line="600" w:lineRule="exact"/>
        <w:ind w:firstLine="640"/>
        <w:outlineLvl w:val="1"/>
        <w:rPr>
          <w:rFonts w:eastAsia="仿宋_GB2312" w:cs="仿宋_GB2312"/>
          <w:sz w:val="32"/>
          <w:szCs w:val="32"/>
        </w:rPr>
      </w:pPr>
    </w:p>
    <w:p w14:paraId="1B619DDF">
      <w:pPr>
        <w:pStyle w:val="27"/>
        <w:spacing w:line="600" w:lineRule="exact"/>
        <w:ind w:firstLine="640"/>
        <w:outlineLvl w:val="1"/>
        <w:rPr>
          <w:rFonts w:eastAsia="仿宋_GB2312" w:cs="仿宋_GB2312"/>
          <w:sz w:val="32"/>
          <w:szCs w:val="32"/>
        </w:rPr>
      </w:pPr>
    </w:p>
    <w:p w14:paraId="542699E8">
      <w:pPr>
        <w:pStyle w:val="27"/>
        <w:spacing w:line="600" w:lineRule="exact"/>
        <w:ind w:firstLine="640"/>
        <w:outlineLvl w:val="1"/>
        <w:rPr>
          <w:rFonts w:eastAsia="仿宋_GB2312" w:cs="仿宋_GB2312"/>
          <w:sz w:val="32"/>
          <w:szCs w:val="32"/>
        </w:rPr>
      </w:pPr>
    </w:p>
    <w:p w14:paraId="0C79D076">
      <w:pPr>
        <w:pStyle w:val="27"/>
        <w:spacing w:line="600" w:lineRule="exact"/>
        <w:ind w:firstLine="640"/>
        <w:outlineLvl w:val="1"/>
        <w:rPr>
          <w:rFonts w:eastAsia="仿宋_GB2312" w:cs="仿宋_GB2312"/>
          <w:sz w:val="32"/>
          <w:szCs w:val="32"/>
        </w:rPr>
      </w:pPr>
    </w:p>
    <w:p w14:paraId="164118D7">
      <w:pPr>
        <w:pStyle w:val="27"/>
        <w:spacing w:line="600" w:lineRule="exact"/>
        <w:ind w:firstLine="640"/>
        <w:outlineLvl w:val="1"/>
        <w:rPr>
          <w:rFonts w:eastAsia="仿宋_GB2312" w:cs="仿宋_GB2312"/>
          <w:sz w:val="32"/>
          <w:szCs w:val="32"/>
        </w:rPr>
      </w:pPr>
    </w:p>
    <w:p w14:paraId="5E363405">
      <w:pPr>
        <w:pStyle w:val="27"/>
        <w:spacing w:line="600" w:lineRule="exact"/>
        <w:ind w:firstLine="640"/>
        <w:outlineLvl w:val="1"/>
        <w:rPr>
          <w:rFonts w:eastAsia="仿宋_GB2312" w:cs="仿宋_GB2312"/>
          <w:sz w:val="32"/>
          <w:szCs w:val="32"/>
        </w:rPr>
      </w:pPr>
    </w:p>
    <w:p w14:paraId="043D357B">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179AE532">
      <w:pPr>
        <w:ind w:firstLine="640" w:firstLineChars="200"/>
        <w:rPr>
          <w:rFonts w:eastAsia="仿宋_GB2312" w:cs="仿宋_GB2312"/>
          <w:sz w:val="32"/>
          <w:szCs w:val="32"/>
        </w:rPr>
      </w:pPr>
    </w:p>
    <w:p w14:paraId="2E088D35">
      <w:pPr>
        <w:pStyle w:val="27"/>
        <w:spacing w:line="600" w:lineRule="exact"/>
        <w:ind w:firstLine="640"/>
        <w:outlineLvl w:val="1"/>
        <w:rPr>
          <w:rFonts w:eastAsia="黑体"/>
          <w:sz w:val="32"/>
          <w:szCs w:val="32"/>
        </w:rPr>
      </w:pPr>
      <w:bookmarkStart w:id="14" w:name="_Toc15377206"/>
      <w:bookmarkStart w:id="15" w:name="_Toc15396604"/>
      <w:r>
        <w:rPr>
          <w:rFonts w:hint="eastAsia" w:eastAsia="黑体"/>
          <w:sz w:val="32"/>
          <w:szCs w:val="32"/>
        </w:rPr>
        <w:t>二、收入决算情况说明</w:t>
      </w:r>
      <w:bookmarkEnd w:id="14"/>
      <w:bookmarkEnd w:id="15"/>
    </w:p>
    <w:p w14:paraId="2BCF82A6">
      <w:pPr>
        <w:pStyle w:val="27"/>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2024年度本年收入合计176.3万元，其中：一般公共预算财政拨款收入161.26万元，占91.47%；政府性基金预算财政拨款收入15.04万元，占8.5</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%；国有资本经营预算财政拨款收入0万元，占0%；上级补助收入0万元，占0%；事业收入0万元，占0%；经营收入0万元，占0%；附属单位上缴收入0万元，占0%；其他收入0万元，占0%。</w:t>
      </w:r>
    </w:p>
    <w:p w14:paraId="569F94E9">
      <w:pPr>
        <w:pStyle w:val="27"/>
        <w:spacing w:line="600" w:lineRule="exact"/>
        <w:ind w:firstLine="643"/>
        <w:jc w:val="left"/>
        <w:outlineLvl w:val="1"/>
        <w:rPr>
          <w:rFonts w:eastAsia="仿宋_GB2312" w:cs="仿宋_GB2312"/>
          <w:b/>
          <w:bCs/>
          <w:sz w:val="32"/>
          <w:szCs w:val="32"/>
        </w:rPr>
      </w:pPr>
      <w:r>
        <w:rPr>
          <w:rFonts w:eastAsia="仿宋_GB2312" w:cs="仿宋_GB2312"/>
          <w:b/>
          <w:bCs/>
          <w:sz w:val="32"/>
          <w:szCs w:val="32"/>
        </w:rPr>
        <w:drawing>
          <wp:anchor distT="0" distB="0" distL="114300" distR="114300" simplePos="0" relativeHeight="251659264" behindDoc="0" locked="0" layoutInCell="1" allowOverlap="1">
            <wp:simplePos x="0" y="0"/>
            <wp:positionH relativeFrom="column">
              <wp:posOffset>635</wp:posOffset>
            </wp:positionH>
            <wp:positionV relativeFrom="paragraph">
              <wp:posOffset>177800</wp:posOffset>
            </wp:positionV>
            <wp:extent cx="5430520" cy="4438015"/>
            <wp:effectExtent l="0" t="0" r="0"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30520" cy="4438015"/>
                    </a:xfrm>
                    <a:prstGeom prst="rect">
                      <a:avLst/>
                    </a:prstGeom>
                    <a:noFill/>
                  </pic:spPr>
                </pic:pic>
              </a:graphicData>
            </a:graphic>
          </wp:anchor>
        </w:drawing>
      </w:r>
    </w:p>
    <w:p w14:paraId="736F4E1D">
      <w:pPr>
        <w:pStyle w:val="27"/>
        <w:spacing w:line="600" w:lineRule="exact"/>
        <w:ind w:firstLine="643"/>
        <w:jc w:val="left"/>
        <w:outlineLvl w:val="1"/>
        <w:rPr>
          <w:rFonts w:eastAsia="仿宋_GB2312" w:cs="仿宋_GB2312"/>
          <w:b/>
          <w:bCs/>
          <w:sz w:val="32"/>
          <w:szCs w:val="32"/>
        </w:rPr>
      </w:pPr>
    </w:p>
    <w:p w14:paraId="62ACD08C">
      <w:pPr>
        <w:pStyle w:val="27"/>
        <w:spacing w:line="600" w:lineRule="exact"/>
        <w:ind w:firstLine="643"/>
        <w:jc w:val="left"/>
        <w:outlineLvl w:val="1"/>
        <w:rPr>
          <w:rFonts w:eastAsia="仿宋_GB2312" w:cs="仿宋_GB2312"/>
          <w:b/>
          <w:bCs/>
          <w:sz w:val="32"/>
          <w:szCs w:val="32"/>
        </w:rPr>
      </w:pPr>
    </w:p>
    <w:p w14:paraId="71686247">
      <w:pPr>
        <w:pStyle w:val="27"/>
        <w:spacing w:line="600" w:lineRule="exact"/>
        <w:ind w:firstLine="643"/>
        <w:jc w:val="left"/>
        <w:outlineLvl w:val="1"/>
        <w:rPr>
          <w:rFonts w:eastAsia="仿宋_GB2312" w:cs="仿宋_GB2312"/>
          <w:b/>
          <w:bCs/>
          <w:sz w:val="32"/>
          <w:szCs w:val="32"/>
        </w:rPr>
      </w:pPr>
    </w:p>
    <w:p w14:paraId="47F3A1E1">
      <w:pPr>
        <w:pStyle w:val="27"/>
        <w:spacing w:line="600" w:lineRule="exact"/>
        <w:ind w:firstLine="643"/>
        <w:jc w:val="left"/>
        <w:outlineLvl w:val="1"/>
        <w:rPr>
          <w:rFonts w:eastAsia="仿宋_GB2312" w:cs="仿宋_GB2312"/>
          <w:b/>
          <w:bCs/>
          <w:sz w:val="32"/>
          <w:szCs w:val="32"/>
        </w:rPr>
      </w:pPr>
    </w:p>
    <w:p w14:paraId="296D92BB">
      <w:pPr>
        <w:pStyle w:val="27"/>
        <w:spacing w:line="600" w:lineRule="exact"/>
        <w:ind w:firstLine="643"/>
        <w:jc w:val="left"/>
        <w:outlineLvl w:val="1"/>
        <w:rPr>
          <w:rFonts w:eastAsia="仿宋_GB2312" w:cs="仿宋_GB2312"/>
          <w:b/>
          <w:bCs/>
          <w:sz w:val="32"/>
          <w:szCs w:val="32"/>
        </w:rPr>
      </w:pPr>
    </w:p>
    <w:p w14:paraId="361D8B44">
      <w:pPr>
        <w:pStyle w:val="27"/>
        <w:spacing w:line="600" w:lineRule="exact"/>
        <w:ind w:firstLine="643"/>
        <w:jc w:val="left"/>
        <w:outlineLvl w:val="1"/>
        <w:rPr>
          <w:rFonts w:eastAsia="仿宋_GB2312" w:cs="仿宋_GB2312"/>
          <w:b/>
          <w:bCs/>
          <w:sz w:val="32"/>
          <w:szCs w:val="32"/>
        </w:rPr>
      </w:pPr>
    </w:p>
    <w:p w14:paraId="76282E73">
      <w:pPr>
        <w:pStyle w:val="27"/>
        <w:spacing w:line="600" w:lineRule="exact"/>
        <w:ind w:firstLine="643"/>
        <w:jc w:val="left"/>
        <w:outlineLvl w:val="1"/>
        <w:rPr>
          <w:rFonts w:eastAsia="仿宋_GB2312" w:cs="仿宋_GB2312"/>
          <w:b/>
          <w:bCs/>
          <w:sz w:val="32"/>
          <w:szCs w:val="32"/>
        </w:rPr>
      </w:pPr>
    </w:p>
    <w:p w14:paraId="63BFDA15">
      <w:pPr>
        <w:pStyle w:val="27"/>
        <w:spacing w:line="600" w:lineRule="exact"/>
        <w:ind w:firstLine="643"/>
        <w:jc w:val="left"/>
        <w:outlineLvl w:val="1"/>
        <w:rPr>
          <w:rFonts w:eastAsia="仿宋_GB2312" w:cs="仿宋_GB2312"/>
          <w:b/>
          <w:bCs/>
          <w:sz w:val="32"/>
          <w:szCs w:val="32"/>
        </w:rPr>
      </w:pPr>
    </w:p>
    <w:p w14:paraId="47B4A906">
      <w:pPr>
        <w:pStyle w:val="27"/>
        <w:spacing w:line="600" w:lineRule="exact"/>
        <w:ind w:firstLine="643"/>
        <w:jc w:val="left"/>
        <w:outlineLvl w:val="1"/>
        <w:rPr>
          <w:rFonts w:eastAsia="仿宋_GB2312" w:cs="仿宋_GB2312"/>
          <w:b/>
          <w:bCs/>
          <w:sz w:val="32"/>
          <w:szCs w:val="32"/>
        </w:rPr>
      </w:pPr>
    </w:p>
    <w:p w14:paraId="04884266">
      <w:pPr>
        <w:pStyle w:val="27"/>
        <w:spacing w:line="600" w:lineRule="exact"/>
        <w:ind w:firstLine="643"/>
        <w:jc w:val="left"/>
        <w:outlineLvl w:val="1"/>
        <w:rPr>
          <w:rFonts w:eastAsia="仿宋_GB2312" w:cs="仿宋_GB2312"/>
          <w:b/>
          <w:bCs/>
          <w:sz w:val="32"/>
          <w:szCs w:val="32"/>
        </w:rPr>
      </w:pPr>
    </w:p>
    <w:p w14:paraId="703A666C">
      <w:pPr>
        <w:pStyle w:val="27"/>
        <w:spacing w:line="600" w:lineRule="exact"/>
        <w:ind w:firstLine="643"/>
        <w:jc w:val="left"/>
        <w:outlineLvl w:val="1"/>
        <w:rPr>
          <w:rFonts w:eastAsia="仿宋_GB2312" w:cs="仿宋_GB2312"/>
          <w:b/>
          <w:bCs/>
          <w:sz w:val="32"/>
          <w:szCs w:val="32"/>
        </w:rPr>
      </w:pPr>
    </w:p>
    <w:p w14:paraId="1805A7FF">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104E5A4E">
      <w:pPr>
        <w:ind w:firstLine="800" w:firstLineChars="250"/>
        <w:rPr>
          <w:rFonts w:eastAsia="仿宋_GB2312" w:cs="仿宋_GB2312"/>
          <w:sz w:val="32"/>
          <w:szCs w:val="32"/>
        </w:rPr>
      </w:pPr>
    </w:p>
    <w:p w14:paraId="133D3A87">
      <w:pPr>
        <w:pStyle w:val="27"/>
        <w:spacing w:line="600" w:lineRule="exact"/>
        <w:ind w:firstLine="640"/>
        <w:outlineLvl w:val="1"/>
        <w:rPr>
          <w:rStyle w:val="29"/>
          <w:rFonts w:ascii="Times New Roman" w:hAnsi="Times New Roman" w:eastAsia="黑体"/>
          <w:b w:val="0"/>
        </w:rPr>
      </w:pPr>
      <w:bookmarkStart w:id="16" w:name="_Toc15377207"/>
      <w:bookmarkStart w:id="17" w:name="_Toc15396605"/>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14:paraId="594E4A4A">
      <w:pPr>
        <w:pStyle w:val="27"/>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2024年度本年支出合计176.3万元，其中：基本支出</w:t>
      </w:r>
      <w:r>
        <w:rPr>
          <w:rFonts w:ascii="仿宋_GB2312" w:hAnsi="仿宋_GB2312" w:eastAsia="仿宋_GB2312" w:cs="仿宋_GB2312"/>
          <w:sz w:val="32"/>
          <w:szCs w:val="32"/>
        </w:rPr>
        <w:t>139.92</w:t>
      </w:r>
      <w:r>
        <w:rPr>
          <w:rFonts w:hint="eastAsia" w:ascii="仿宋_GB2312" w:hAnsi="仿宋_GB2312" w:eastAsia="仿宋_GB2312" w:cs="仿宋_GB2312"/>
          <w:sz w:val="32"/>
          <w:szCs w:val="32"/>
        </w:rPr>
        <w:t>万元，占79.36%；项目支出36.3</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万元，占20.6</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%；上缴上级支出0万元，占0%；经营支出0万元，占0%；对附属单位补助支出0万元，占0%。</w:t>
      </w:r>
    </w:p>
    <w:p w14:paraId="78B70702">
      <w:pPr>
        <w:pStyle w:val="27"/>
        <w:spacing w:line="600" w:lineRule="exact"/>
        <w:ind w:firstLine="640"/>
        <w:jc w:val="left"/>
        <w:outlineLvl w:val="1"/>
        <w:rPr>
          <w:rFonts w:eastAsia="仿宋_GB2312" w:cs="仿宋_GB2312"/>
          <w:b/>
          <w:bCs/>
          <w:sz w:val="32"/>
          <w:szCs w:val="32"/>
        </w:rPr>
      </w:pPr>
      <w:r>
        <w:rPr>
          <w:rFonts w:eastAsia="仿宋_GB2312" w:cs="仿宋_GB2312"/>
          <w:sz w:val="32"/>
          <w:szCs w:val="32"/>
        </w:rPr>
        <w:drawing>
          <wp:anchor distT="0" distB="0" distL="114300" distR="114300" simplePos="0" relativeHeight="251660288" behindDoc="0" locked="0" layoutInCell="1" allowOverlap="1">
            <wp:simplePos x="0" y="0"/>
            <wp:positionH relativeFrom="column">
              <wp:posOffset>1270</wp:posOffset>
            </wp:positionH>
            <wp:positionV relativeFrom="paragraph">
              <wp:posOffset>198120</wp:posOffset>
            </wp:positionV>
            <wp:extent cx="5311775" cy="4536440"/>
            <wp:effectExtent l="0" t="0" r="381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11471" cy="4536238"/>
                    </a:xfrm>
                    <a:prstGeom prst="rect">
                      <a:avLst/>
                    </a:prstGeom>
                    <a:noFill/>
                  </pic:spPr>
                </pic:pic>
              </a:graphicData>
            </a:graphic>
          </wp:anchor>
        </w:drawing>
      </w:r>
    </w:p>
    <w:p w14:paraId="28E1566D">
      <w:pPr>
        <w:pStyle w:val="27"/>
        <w:spacing w:line="600" w:lineRule="exact"/>
        <w:ind w:firstLine="643"/>
        <w:jc w:val="left"/>
        <w:outlineLvl w:val="1"/>
        <w:rPr>
          <w:rFonts w:eastAsia="仿宋_GB2312" w:cs="仿宋_GB2312"/>
          <w:b/>
          <w:bCs/>
          <w:sz w:val="32"/>
          <w:szCs w:val="32"/>
        </w:rPr>
      </w:pPr>
    </w:p>
    <w:p w14:paraId="58AB67A5">
      <w:pPr>
        <w:pStyle w:val="27"/>
        <w:spacing w:line="600" w:lineRule="exact"/>
        <w:ind w:firstLine="643"/>
        <w:jc w:val="left"/>
        <w:outlineLvl w:val="1"/>
        <w:rPr>
          <w:rFonts w:eastAsia="仿宋_GB2312" w:cs="仿宋_GB2312"/>
          <w:b/>
          <w:bCs/>
          <w:sz w:val="32"/>
          <w:szCs w:val="32"/>
        </w:rPr>
      </w:pPr>
    </w:p>
    <w:p w14:paraId="20F7D68E">
      <w:pPr>
        <w:pStyle w:val="27"/>
        <w:spacing w:line="600" w:lineRule="exact"/>
        <w:ind w:firstLine="643"/>
        <w:jc w:val="left"/>
        <w:outlineLvl w:val="1"/>
        <w:rPr>
          <w:rFonts w:eastAsia="仿宋_GB2312" w:cs="仿宋_GB2312"/>
          <w:b/>
          <w:bCs/>
          <w:sz w:val="32"/>
          <w:szCs w:val="32"/>
        </w:rPr>
      </w:pPr>
    </w:p>
    <w:p w14:paraId="141BD7B8">
      <w:pPr>
        <w:pStyle w:val="27"/>
        <w:spacing w:line="600" w:lineRule="exact"/>
        <w:ind w:firstLine="643"/>
        <w:jc w:val="left"/>
        <w:outlineLvl w:val="1"/>
        <w:rPr>
          <w:rFonts w:eastAsia="仿宋_GB2312" w:cs="仿宋_GB2312"/>
          <w:b/>
          <w:bCs/>
          <w:sz w:val="32"/>
          <w:szCs w:val="32"/>
        </w:rPr>
      </w:pPr>
    </w:p>
    <w:p w14:paraId="3D00F340">
      <w:pPr>
        <w:pStyle w:val="27"/>
        <w:spacing w:line="600" w:lineRule="exact"/>
        <w:ind w:firstLine="643"/>
        <w:jc w:val="left"/>
        <w:outlineLvl w:val="1"/>
        <w:rPr>
          <w:rFonts w:eastAsia="仿宋_GB2312" w:cs="仿宋_GB2312"/>
          <w:b/>
          <w:bCs/>
          <w:sz w:val="32"/>
          <w:szCs w:val="32"/>
        </w:rPr>
      </w:pPr>
    </w:p>
    <w:p w14:paraId="35F3D150">
      <w:pPr>
        <w:pStyle w:val="27"/>
        <w:spacing w:line="600" w:lineRule="exact"/>
        <w:ind w:firstLine="643"/>
        <w:jc w:val="left"/>
        <w:outlineLvl w:val="1"/>
        <w:rPr>
          <w:rFonts w:eastAsia="仿宋_GB2312" w:cs="仿宋_GB2312"/>
          <w:b/>
          <w:bCs/>
          <w:sz w:val="32"/>
          <w:szCs w:val="32"/>
        </w:rPr>
      </w:pPr>
    </w:p>
    <w:p w14:paraId="7537608C">
      <w:pPr>
        <w:pStyle w:val="27"/>
        <w:spacing w:line="600" w:lineRule="exact"/>
        <w:ind w:firstLine="643"/>
        <w:jc w:val="left"/>
        <w:outlineLvl w:val="1"/>
        <w:rPr>
          <w:rFonts w:eastAsia="仿宋_GB2312" w:cs="仿宋_GB2312"/>
          <w:b/>
          <w:bCs/>
          <w:sz w:val="32"/>
          <w:szCs w:val="32"/>
        </w:rPr>
      </w:pPr>
    </w:p>
    <w:p w14:paraId="3BBE0893">
      <w:pPr>
        <w:pStyle w:val="27"/>
        <w:spacing w:line="600" w:lineRule="exact"/>
        <w:ind w:firstLine="643"/>
        <w:jc w:val="left"/>
        <w:outlineLvl w:val="1"/>
        <w:rPr>
          <w:rFonts w:eastAsia="仿宋_GB2312" w:cs="仿宋_GB2312"/>
          <w:b/>
          <w:bCs/>
          <w:sz w:val="32"/>
          <w:szCs w:val="32"/>
        </w:rPr>
      </w:pPr>
    </w:p>
    <w:p w14:paraId="5DAAEF06">
      <w:pPr>
        <w:pStyle w:val="27"/>
        <w:spacing w:line="600" w:lineRule="exact"/>
        <w:ind w:firstLine="643"/>
        <w:jc w:val="left"/>
        <w:outlineLvl w:val="1"/>
        <w:rPr>
          <w:rFonts w:eastAsia="仿宋_GB2312" w:cs="仿宋_GB2312"/>
          <w:b/>
          <w:bCs/>
          <w:sz w:val="32"/>
          <w:szCs w:val="32"/>
        </w:rPr>
      </w:pPr>
    </w:p>
    <w:p w14:paraId="794B566F">
      <w:pPr>
        <w:pStyle w:val="27"/>
        <w:spacing w:line="600" w:lineRule="exact"/>
        <w:ind w:firstLine="643"/>
        <w:jc w:val="left"/>
        <w:outlineLvl w:val="1"/>
        <w:rPr>
          <w:rFonts w:eastAsia="仿宋_GB2312" w:cs="仿宋_GB2312"/>
          <w:b/>
          <w:bCs/>
          <w:sz w:val="32"/>
          <w:szCs w:val="32"/>
        </w:rPr>
      </w:pPr>
    </w:p>
    <w:p w14:paraId="54215472">
      <w:pPr>
        <w:pStyle w:val="27"/>
        <w:spacing w:line="600" w:lineRule="exact"/>
        <w:ind w:firstLine="643"/>
        <w:jc w:val="left"/>
        <w:outlineLvl w:val="1"/>
        <w:rPr>
          <w:rFonts w:eastAsia="仿宋_GB2312" w:cs="仿宋_GB2312"/>
          <w:b/>
          <w:bCs/>
          <w:sz w:val="32"/>
          <w:szCs w:val="32"/>
        </w:rPr>
      </w:pPr>
    </w:p>
    <w:p w14:paraId="20A5213F">
      <w:pPr>
        <w:pStyle w:val="27"/>
        <w:spacing w:line="600" w:lineRule="exact"/>
        <w:ind w:firstLine="640"/>
        <w:jc w:val="left"/>
        <w:outlineLvl w:val="1"/>
        <w:rPr>
          <w:rFonts w:eastAsia="仿宋_GB2312" w:cs="仿宋_GB2312"/>
          <w:sz w:val="32"/>
          <w:szCs w:val="32"/>
        </w:rPr>
      </w:pPr>
    </w:p>
    <w:p w14:paraId="5B4E4DB4">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1E1B8FAE">
      <w:pPr>
        <w:ind w:firstLine="800" w:firstLineChars="250"/>
        <w:rPr>
          <w:rFonts w:eastAsia="仿宋_GB2312" w:cs="仿宋_GB2312"/>
          <w:sz w:val="32"/>
          <w:szCs w:val="32"/>
        </w:rPr>
      </w:pPr>
    </w:p>
    <w:p w14:paraId="06630A7E">
      <w:pPr>
        <w:spacing w:line="600" w:lineRule="exact"/>
        <w:ind w:firstLine="640" w:firstLineChars="200"/>
        <w:outlineLvl w:val="1"/>
        <w:rPr>
          <w:rStyle w:val="29"/>
          <w:rFonts w:ascii="Times New Roman" w:hAnsi="Times New Roman" w:eastAsia="黑体"/>
          <w:b w:val="0"/>
        </w:rPr>
      </w:pPr>
      <w:bookmarkStart w:id="18" w:name="_Toc15396606"/>
      <w:bookmarkStart w:id="19"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14:paraId="29C15470">
      <w:pPr>
        <w:pStyle w:val="27"/>
        <w:spacing w:line="600" w:lineRule="exact"/>
        <w:ind w:firstLine="640"/>
        <w:outlineLvl w:val="1"/>
        <w:rPr>
          <w:rFonts w:eastAsia="仿宋_GB2312" w:cs="仿宋_GB2312"/>
          <w:sz w:val="32"/>
          <w:szCs w:val="32"/>
          <w:highlight w:val="none"/>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176.3</w:t>
      </w:r>
      <w:r>
        <w:rPr>
          <w:rFonts w:hint="eastAsia" w:eastAsia="仿宋_GB2312" w:cs="仿宋_GB2312"/>
          <w:sz w:val="32"/>
          <w:szCs w:val="32"/>
        </w:rPr>
        <w:t>万元。与2023年度相比，财政拨款收入总计、支出总计各增加</w:t>
      </w:r>
      <w:r>
        <w:rPr>
          <w:rFonts w:eastAsia="仿宋_GB2312" w:cs="仿宋_GB2312"/>
          <w:sz w:val="32"/>
          <w:szCs w:val="32"/>
        </w:rPr>
        <w:t>23.11</w:t>
      </w:r>
      <w:r>
        <w:rPr>
          <w:rFonts w:hint="eastAsia" w:eastAsia="仿宋_GB2312" w:cs="仿宋_GB2312"/>
          <w:sz w:val="32"/>
          <w:szCs w:val="32"/>
        </w:rPr>
        <w:t>万元，增长</w:t>
      </w:r>
      <w:r>
        <w:rPr>
          <w:rFonts w:eastAsia="仿宋_GB2312" w:cs="仿宋_GB2312"/>
          <w:sz w:val="32"/>
          <w:szCs w:val="32"/>
        </w:rPr>
        <w:t>15.09</w:t>
      </w:r>
      <w:r>
        <w:rPr>
          <w:rFonts w:hint="eastAsia" w:eastAsia="仿宋_GB2312" w:cs="仿宋_GB2312"/>
          <w:sz w:val="32"/>
          <w:szCs w:val="32"/>
        </w:rPr>
        <w:t>%。</w:t>
      </w:r>
      <w:r>
        <w:rPr>
          <w:rFonts w:hint="eastAsia" w:eastAsia="仿宋_GB2312" w:cs="仿宋_GB2312"/>
          <w:sz w:val="32"/>
          <w:szCs w:val="32"/>
          <w:highlight w:val="none"/>
        </w:rPr>
        <w:t>主要变动原因是</w:t>
      </w:r>
      <w:r>
        <w:rPr>
          <w:rFonts w:hint="eastAsia" w:eastAsia="仿宋_GB2312" w:cs="仿宋_GB2312"/>
          <w:sz w:val="32"/>
          <w:szCs w:val="32"/>
          <w:highlight w:val="none"/>
          <w:lang w:val="en-US" w:eastAsia="zh-CN"/>
        </w:rPr>
        <w:t>财政拨款增加，其中文物保护经费拨款7.93万元，大庙飞来殿消防工程拨款15.04万元。</w:t>
      </w:r>
    </w:p>
    <w:p w14:paraId="37640CE1">
      <w:pPr>
        <w:spacing w:line="600" w:lineRule="exact"/>
        <w:ind w:firstLine="640"/>
        <w:rPr>
          <w:rFonts w:eastAsia="仿宋_GB2312" w:cs="仿宋_GB2312"/>
          <w:sz w:val="32"/>
          <w:szCs w:val="32"/>
        </w:rPr>
      </w:pPr>
    </w:p>
    <w:p w14:paraId="754C3341">
      <w:pPr>
        <w:pStyle w:val="2"/>
      </w:pPr>
    </w:p>
    <w:p w14:paraId="71002EB5">
      <w:pPr>
        <w:pStyle w:val="3"/>
        <w:ind w:left="420"/>
      </w:pPr>
    </w:p>
    <w:p w14:paraId="73739767">
      <w:pPr>
        <w:pStyle w:val="3"/>
        <w:ind w:left="420"/>
      </w:pPr>
    </w:p>
    <w:p w14:paraId="486DD452">
      <w:pPr>
        <w:pStyle w:val="3"/>
        <w:ind w:left="420"/>
      </w:pPr>
    </w:p>
    <w:p w14:paraId="546DEBC9">
      <w:pPr>
        <w:pStyle w:val="2"/>
      </w:pPr>
    </w:p>
    <w:p w14:paraId="2C6C0330">
      <w:pPr>
        <w:pStyle w:val="3"/>
        <w:ind w:left="420"/>
      </w:pPr>
      <w:r>
        <w:drawing>
          <wp:anchor distT="0" distB="0" distL="114300" distR="114300" simplePos="0" relativeHeight="251661312" behindDoc="0" locked="0" layoutInCell="1" allowOverlap="1">
            <wp:simplePos x="0" y="0"/>
            <wp:positionH relativeFrom="column">
              <wp:posOffset>1905</wp:posOffset>
            </wp:positionH>
            <wp:positionV relativeFrom="paragraph">
              <wp:posOffset>0</wp:posOffset>
            </wp:positionV>
            <wp:extent cx="5521325" cy="4639310"/>
            <wp:effectExtent l="0" t="0" r="3175"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545525" cy="4659334"/>
                    </a:xfrm>
                    <a:prstGeom prst="rect">
                      <a:avLst/>
                    </a:prstGeom>
                    <a:noFill/>
                  </pic:spPr>
                </pic:pic>
              </a:graphicData>
            </a:graphic>
          </wp:anchor>
        </w:drawing>
      </w:r>
    </w:p>
    <w:p w14:paraId="105DE90B">
      <w:pPr>
        <w:pStyle w:val="3"/>
        <w:ind w:left="420"/>
      </w:pPr>
    </w:p>
    <w:p w14:paraId="36AFEFFD">
      <w:pPr>
        <w:pStyle w:val="3"/>
        <w:ind w:left="420"/>
      </w:pPr>
    </w:p>
    <w:p w14:paraId="58530ECC">
      <w:pPr>
        <w:pStyle w:val="3"/>
        <w:ind w:left="420"/>
      </w:pPr>
    </w:p>
    <w:p w14:paraId="186C464D">
      <w:pPr>
        <w:pStyle w:val="3"/>
        <w:ind w:left="420"/>
      </w:pPr>
    </w:p>
    <w:p w14:paraId="60A0A61A">
      <w:pPr>
        <w:pStyle w:val="3"/>
        <w:ind w:left="420"/>
      </w:pPr>
    </w:p>
    <w:p w14:paraId="3756A591">
      <w:pPr>
        <w:pStyle w:val="3"/>
        <w:ind w:left="420"/>
      </w:pPr>
    </w:p>
    <w:p w14:paraId="08560C4D">
      <w:pPr>
        <w:pStyle w:val="3"/>
        <w:ind w:left="420"/>
      </w:pPr>
    </w:p>
    <w:p w14:paraId="25F98A25">
      <w:pPr>
        <w:pStyle w:val="3"/>
        <w:ind w:left="420"/>
      </w:pPr>
    </w:p>
    <w:p w14:paraId="09731A8B">
      <w:pPr>
        <w:pStyle w:val="3"/>
        <w:ind w:left="420"/>
      </w:pPr>
    </w:p>
    <w:p w14:paraId="542CC2F5">
      <w:pPr>
        <w:pStyle w:val="3"/>
        <w:ind w:left="420"/>
      </w:pPr>
    </w:p>
    <w:p w14:paraId="5C075ACE">
      <w:pPr>
        <w:pStyle w:val="3"/>
        <w:ind w:left="420"/>
      </w:pPr>
    </w:p>
    <w:p w14:paraId="5308898A">
      <w:pPr>
        <w:pStyle w:val="3"/>
        <w:ind w:left="420"/>
      </w:pPr>
    </w:p>
    <w:p w14:paraId="18FBF07F">
      <w:pPr>
        <w:pStyle w:val="3"/>
        <w:ind w:left="420"/>
      </w:pPr>
    </w:p>
    <w:p w14:paraId="208E4F5D">
      <w:pPr>
        <w:pStyle w:val="3"/>
        <w:ind w:left="420"/>
      </w:pPr>
    </w:p>
    <w:p w14:paraId="43498AF0">
      <w:pPr>
        <w:pStyle w:val="3"/>
        <w:ind w:left="420"/>
      </w:pPr>
    </w:p>
    <w:p w14:paraId="4DC4AB3A">
      <w:pPr>
        <w:pStyle w:val="3"/>
        <w:ind w:left="420"/>
      </w:pPr>
    </w:p>
    <w:p w14:paraId="0208CFD9">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14:paraId="67AAFE3E">
      <w:pPr>
        <w:spacing w:line="600" w:lineRule="exact"/>
        <w:ind w:firstLine="640"/>
        <w:rPr>
          <w:rFonts w:eastAsia="仿宋_GB2312" w:cs="仿宋_GB2312"/>
          <w:sz w:val="32"/>
          <w:szCs w:val="32"/>
        </w:rPr>
      </w:pPr>
    </w:p>
    <w:p w14:paraId="70C5CCD9">
      <w:pPr>
        <w:spacing w:line="600" w:lineRule="exact"/>
        <w:ind w:firstLine="640" w:firstLineChars="200"/>
        <w:outlineLvl w:val="1"/>
        <w:rPr>
          <w:rStyle w:val="29"/>
          <w:rFonts w:ascii="Times New Roman" w:hAnsi="Times New Roman" w:eastAsia="黑体"/>
          <w:b w:val="0"/>
        </w:rPr>
      </w:pPr>
      <w:bookmarkStart w:id="20" w:name="_Toc15396607"/>
      <w:bookmarkStart w:id="21" w:name="_Toc15377209"/>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14:paraId="78FAC3DD">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14:paraId="0A87EF7B">
      <w:pPr>
        <w:pStyle w:val="27"/>
        <w:spacing w:line="600" w:lineRule="exact"/>
        <w:ind w:firstLine="640"/>
        <w:outlineLvl w:val="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2024年度一般公共预算财政拨款支出161.26万元，占本年支出合计的91.47%。与2023年度相比，一般公共预算财政拨款支出增加</w:t>
      </w:r>
      <w:r>
        <w:rPr>
          <w:rFonts w:ascii="仿宋_GB2312" w:hAnsi="仿宋_GB2312" w:eastAsia="仿宋_GB2312" w:cs="仿宋_GB2312"/>
          <w:sz w:val="32"/>
          <w:szCs w:val="32"/>
        </w:rPr>
        <w:t>8.07</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5.27</w:t>
      </w:r>
      <w:r>
        <w:rPr>
          <w:rFonts w:hint="eastAsia" w:ascii="仿宋_GB2312" w:hAnsi="仿宋_GB2312" w:eastAsia="仿宋_GB2312" w:cs="仿宋_GB2312"/>
          <w:sz w:val="32"/>
          <w:szCs w:val="32"/>
        </w:rPr>
        <w:t>%。</w:t>
      </w:r>
      <w:r>
        <w:rPr>
          <w:rFonts w:hint="eastAsia" w:eastAsia="仿宋_GB2312" w:cs="仿宋_GB2312"/>
          <w:sz w:val="32"/>
          <w:szCs w:val="32"/>
          <w:highlight w:val="none"/>
        </w:rPr>
        <w:t>主要变动原因是</w:t>
      </w:r>
      <w:r>
        <w:rPr>
          <w:rFonts w:hint="eastAsia" w:eastAsia="仿宋_GB2312" w:cs="仿宋_GB2312"/>
          <w:sz w:val="32"/>
          <w:szCs w:val="32"/>
          <w:highlight w:val="none"/>
          <w:lang w:val="en-US" w:eastAsia="zh-CN"/>
        </w:rPr>
        <w:t>文物保护经费拨款增加7.93万元。</w:t>
      </w:r>
    </w:p>
    <w:p w14:paraId="3C72C11D">
      <w:pPr>
        <w:pStyle w:val="2"/>
      </w:pPr>
    </w:p>
    <w:p w14:paraId="7E8DF9DF">
      <w:pPr>
        <w:pStyle w:val="3"/>
        <w:ind w:left="420"/>
      </w:pPr>
    </w:p>
    <w:p w14:paraId="04FCB067">
      <w:pPr>
        <w:pStyle w:val="3"/>
        <w:ind w:left="420"/>
      </w:pPr>
      <w:r>
        <w:drawing>
          <wp:anchor distT="0" distB="0" distL="114300" distR="114300" simplePos="0" relativeHeight="251666432" behindDoc="0" locked="0" layoutInCell="1" allowOverlap="1">
            <wp:simplePos x="0" y="0"/>
            <wp:positionH relativeFrom="column">
              <wp:posOffset>192405</wp:posOffset>
            </wp:positionH>
            <wp:positionV relativeFrom="paragraph">
              <wp:posOffset>11430</wp:posOffset>
            </wp:positionV>
            <wp:extent cx="5179695" cy="4351655"/>
            <wp:effectExtent l="0" t="0" r="254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79467" cy="4351738"/>
                    </a:xfrm>
                    <a:prstGeom prst="rect">
                      <a:avLst/>
                    </a:prstGeom>
                    <a:noFill/>
                  </pic:spPr>
                </pic:pic>
              </a:graphicData>
            </a:graphic>
          </wp:anchor>
        </w:drawing>
      </w:r>
    </w:p>
    <w:p w14:paraId="014827AA">
      <w:pPr>
        <w:pStyle w:val="3"/>
        <w:ind w:left="420"/>
      </w:pPr>
    </w:p>
    <w:p w14:paraId="69791A48">
      <w:pPr>
        <w:pStyle w:val="3"/>
        <w:ind w:left="420"/>
      </w:pPr>
    </w:p>
    <w:p w14:paraId="631E676A">
      <w:pPr>
        <w:pStyle w:val="3"/>
        <w:ind w:left="420"/>
      </w:pPr>
    </w:p>
    <w:p w14:paraId="59B861EB">
      <w:pPr>
        <w:pStyle w:val="3"/>
        <w:ind w:left="420"/>
      </w:pPr>
    </w:p>
    <w:p w14:paraId="786C0E0D">
      <w:pPr>
        <w:pStyle w:val="3"/>
        <w:ind w:left="420"/>
      </w:pPr>
    </w:p>
    <w:p w14:paraId="548EB01F">
      <w:pPr>
        <w:pStyle w:val="3"/>
        <w:ind w:left="420"/>
      </w:pPr>
    </w:p>
    <w:p w14:paraId="13086805">
      <w:pPr>
        <w:pStyle w:val="3"/>
        <w:ind w:left="420"/>
      </w:pPr>
    </w:p>
    <w:p w14:paraId="449BB77B">
      <w:pPr>
        <w:pStyle w:val="3"/>
        <w:ind w:left="420"/>
      </w:pPr>
    </w:p>
    <w:p w14:paraId="65EA0B73">
      <w:pPr>
        <w:pStyle w:val="3"/>
        <w:ind w:left="420"/>
      </w:pPr>
    </w:p>
    <w:p w14:paraId="056FA5C4">
      <w:pPr>
        <w:pStyle w:val="3"/>
        <w:ind w:left="420"/>
      </w:pPr>
    </w:p>
    <w:p w14:paraId="4E2F7238">
      <w:pPr>
        <w:pStyle w:val="3"/>
        <w:ind w:left="420"/>
      </w:pPr>
    </w:p>
    <w:p w14:paraId="1C7DEF1C">
      <w:pPr>
        <w:pStyle w:val="3"/>
        <w:ind w:left="420"/>
      </w:pPr>
    </w:p>
    <w:p w14:paraId="4B32EDDE">
      <w:pPr>
        <w:pStyle w:val="3"/>
        <w:ind w:left="420"/>
      </w:pPr>
    </w:p>
    <w:p w14:paraId="77FCB71A">
      <w:pPr>
        <w:pStyle w:val="3"/>
        <w:ind w:left="420"/>
      </w:pPr>
    </w:p>
    <w:p w14:paraId="66AD1961">
      <w:pPr>
        <w:pStyle w:val="3"/>
        <w:ind w:left="420"/>
      </w:pPr>
    </w:p>
    <w:p w14:paraId="682903DD">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14:paraId="3B794453">
      <w:pPr>
        <w:spacing w:line="600" w:lineRule="exact"/>
        <w:ind w:firstLine="640"/>
        <w:rPr>
          <w:rFonts w:eastAsia="仿宋_GB2312" w:cs="仿宋_GB2312"/>
          <w:sz w:val="32"/>
          <w:szCs w:val="32"/>
        </w:rPr>
      </w:pPr>
    </w:p>
    <w:p w14:paraId="52819138">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14:paraId="0E92AB7C">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161.26万元</w:t>
      </w:r>
      <w:r>
        <w:rPr>
          <w:rFonts w:hint="eastAsia" w:eastAsia="仿宋_GB2312" w:cs="仿宋_GB2312"/>
          <w:sz w:val="32"/>
          <w:szCs w:val="32"/>
        </w:rPr>
        <w:t>，主要用于以下方面：一般公共服务支出</w:t>
      </w:r>
      <w:r>
        <w:rPr>
          <w:rFonts w:eastAsia="仿宋_GB2312" w:cs="仿宋_GB2312"/>
          <w:sz w:val="32"/>
          <w:szCs w:val="32"/>
        </w:rPr>
        <w:t>0</w:t>
      </w:r>
      <w:r>
        <w:rPr>
          <w:rFonts w:hint="eastAsia" w:eastAsia="仿宋_GB2312" w:cs="仿宋_GB2312"/>
          <w:sz w:val="32"/>
          <w:szCs w:val="32"/>
        </w:rPr>
        <w:t>万元，占</w:t>
      </w:r>
      <w:r>
        <w:rPr>
          <w:rFonts w:eastAsia="仿宋_GB2312" w:cs="仿宋_GB2312"/>
          <w:sz w:val="32"/>
          <w:szCs w:val="32"/>
        </w:rPr>
        <w:t>0</w:t>
      </w:r>
      <w:r>
        <w:rPr>
          <w:rFonts w:hint="eastAsia" w:eastAsia="仿宋_GB2312" w:cs="仿宋_GB2312"/>
          <w:sz w:val="32"/>
          <w:szCs w:val="32"/>
        </w:rPr>
        <w:t>%；教育支出</w:t>
      </w:r>
      <w:r>
        <w:rPr>
          <w:rFonts w:eastAsia="仿宋_GB2312" w:cs="仿宋_GB2312"/>
          <w:sz w:val="32"/>
          <w:szCs w:val="32"/>
        </w:rPr>
        <w:t>0</w:t>
      </w:r>
      <w:r>
        <w:rPr>
          <w:rFonts w:hint="eastAsia" w:eastAsia="仿宋_GB2312" w:cs="仿宋_GB2312"/>
          <w:sz w:val="32"/>
          <w:szCs w:val="32"/>
        </w:rPr>
        <w:t>万元，占</w:t>
      </w:r>
      <w:r>
        <w:rPr>
          <w:rFonts w:eastAsia="仿宋_GB2312" w:cs="仿宋_GB2312"/>
          <w:sz w:val="32"/>
          <w:szCs w:val="32"/>
        </w:rPr>
        <w:t>0</w:t>
      </w:r>
      <w:r>
        <w:rPr>
          <w:rFonts w:hint="eastAsia" w:eastAsia="仿宋_GB2312" w:cs="仿宋_GB2312"/>
          <w:sz w:val="32"/>
          <w:szCs w:val="32"/>
        </w:rPr>
        <w:t>%；科学技术支出</w:t>
      </w:r>
      <w:r>
        <w:rPr>
          <w:rFonts w:eastAsia="仿宋_GB2312" w:cs="仿宋_GB2312"/>
          <w:sz w:val="32"/>
          <w:szCs w:val="32"/>
        </w:rPr>
        <w:t>0</w:t>
      </w:r>
      <w:r>
        <w:rPr>
          <w:rFonts w:hint="eastAsia" w:eastAsia="仿宋_GB2312" w:cs="仿宋_GB2312"/>
          <w:sz w:val="32"/>
          <w:szCs w:val="32"/>
        </w:rPr>
        <w:t>万元，占</w:t>
      </w:r>
      <w:r>
        <w:rPr>
          <w:rFonts w:eastAsia="仿宋_GB2312" w:cs="仿宋_GB2312"/>
          <w:sz w:val="32"/>
          <w:szCs w:val="32"/>
        </w:rPr>
        <w:t>0</w:t>
      </w:r>
      <w:r>
        <w:rPr>
          <w:rFonts w:hint="eastAsia" w:eastAsia="仿宋_GB2312" w:cs="仿宋_GB2312"/>
          <w:sz w:val="32"/>
          <w:szCs w:val="32"/>
        </w:rPr>
        <w:t>%；文化旅游体育与传媒支出</w:t>
      </w:r>
      <w:r>
        <w:rPr>
          <w:rFonts w:eastAsia="仿宋_GB2312" w:cs="仿宋_GB2312"/>
          <w:sz w:val="32"/>
          <w:szCs w:val="32"/>
        </w:rPr>
        <w:t>126.96</w:t>
      </w:r>
      <w:r>
        <w:rPr>
          <w:rFonts w:hint="eastAsia" w:eastAsia="仿宋_GB2312" w:cs="仿宋_GB2312"/>
          <w:sz w:val="32"/>
          <w:szCs w:val="32"/>
        </w:rPr>
        <w:t>万元，占</w:t>
      </w:r>
      <w:r>
        <w:rPr>
          <w:rFonts w:eastAsia="仿宋_GB2312" w:cs="仿宋_GB2312"/>
          <w:sz w:val="32"/>
          <w:szCs w:val="32"/>
        </w:rPr>
        <w:t>78.73</w:t>
      </w:r>
      <w:r>
        <w:rPr>
          <w:rFonts w:hint="eastAsia" w:eastAsia="仿宋_GB2312" w:cs="仿宋_GB2312"/>
          <w:sz w:val="32"/>
          <w:szCs w:val="32"/>
        </w:rPr>
        <w:t>%；社会保障和就业支出</w:t>
      </w:r>
      <w:r>
        <w:rPr>
          <w:rFonts w:eastAsia="仿宋_GB2312" w:cs="仿宋_GB2312"/>
          <w:sz w:val="32"/>
          <w:szCs w:val="32"/>
        </w:rPr>
        <w:t>19.91</w:t>
      </w:r>
      <w:r>
        <w:rPr>
          <w:rFonts w:hint="eastAsia" w:eastAsia="仿宋_GB2312" w:cs="仿宋_GB2312"/>
          <w:sz w:val="32"/>
          <w:szCs w:val="32"/>
        </w:rPr>
        <w:t>万元，占</w:t>
      </w:r>
      <w:r>
        <w:rPr>
          <w:rFonts w:eastAsia="仿宋_GB2312" w:cs="仿宋_GB2312"/>
          <w:sz w:val="32"/>
          <w:szCs w:val="32"/>
        </w:rPr>
        <w:t>12.35</w:t>
      </w:r>
      <w:r>
        <w:rPr>
          <w:rFonts w:hint="eastAsia" w:eastAsia="仿宋_GB2312" w:cs="仿宋_GB2312"/>
          <w:sz w:val="32"/>
          <w:szCs w:val="32"/>
        </w:rPr>
        <w:t>%；卫生健康支出</w:t>
      </w:r>
      <w:r>
        <w:rPr>
          <w:rFonts w:eastAsia="仿宋_GB2312" w:cs="仿宋_GB2312"/>
          <w:sz w:val="32"/>
          <w:szCs w:val="32"/>
        </w:rPr>
        <w:t>3.65</w:t>
      </w:r>
      <w:r>
        <w:rPr>
          <w:rFonts w:hint="eastAsia" w:eastAsia="仿宋_GB2312" w:cs="仿宋_GB2312"/>
          <w:sz w:val="32"/>
          <w:szCs w:val="32"/>
        </w:rPr>
        <w:t>万元，占</w:t>
      </w:r>
      <w:r>
        <w:rPr>
          <w:rFonts w:eastAsia="仿宋_GB2312" w:cs="仿宋_GB2312"/>
          <w:sz w:val="32"/>
          <w:szCs w:val="32"/>
        </w:rPr>
        <w:t>2.26</w:t>
      </w:r>
      <w:r>
        <w:rPr>
          <w:rFonts w:hint="eastAsia" w:eastAsia="仿宋_GB2312" w:cs="仿宋_GB2312"/>
          <w:sz w:val="32"/>
          <w:szCs w:val="32"/>
        </w:rPr>
        <w:t>%；住房保障支出</w:t>
      </w:r>
      <w:r>
        <w:rPr>
          <w:rFonts w:eastAsia="仿宋_GB2312" w:cs="仿宋_GB2312"/>
          <w:sz w:val="32"/>
          <w:szCs w:val="32"/>
        </w:rPr>
        <w:t>10.74</w:t>
      </w:r>
      <w:r>
        <w:rPr>
          <w:rFonts w:hint="eastAsia" w:eastAsia="仿宋_GB2312" w:cs="仿宋_GB2312"/>
          <w:sz w:val="32"/>
          <w:szCs w:val="32"/>
        </w:rPr>
        <w:t>万元，占</w:t>
      </w:r>
      <w:r>
        <w:rPr>
          <w:rFonts w:eastAsia="仿宋_GB2312" w:cs="仿宋_GB2312"/>
          <w:sz w:val="32"/>
          <w:szCs w:val="32"/>
        </w:rPr>
        <w:t>6.66</w:t>
      </w:r>
      <w:r>
        <w:rPr>
          <w:rFonts w:hint="eastAsia" w:eastAsia="仿宋_GB2312" w:cs="仿宋_GB2312"/>
          <w:sz w:val="32"/>
          <w:szCs w:val="32"/>
        </w:rPr>
        <w:t>%。</w:t>
      </w:r>
    </w:p>
    <w:p w14:paraId="751AA72A">
      <w:pPr>
        <w:pStyle w:val="2"/>
      </w:pPr>
    </w:p>
    <w:p w14:paraId="3360BD5E">
      <w:pPr>
        <w:pStyle w:val="2"/>
      </w:pPr>
      <w:r>
        <w:drawing>
          <wp:anchor distT="0" distB="0" distL="114300" distR="114300" simplePos="0" relativeHeight="251667456" behindDoc="0" locked="0" layoutInCell="1" allowOverlap="1">
            <wp:simplePos x="0" y="0"/>
            <wp:positionH relativeFrom="column">
              <wp:posOffset>8890</wp:posOffset>
            </wp:positionH>
            <wp:positionV relativeFrom="paragraph">
              <wp:posOffset>11430</wp:posOffset>
            </wp:positionV>
            <wp:extent cx="5546725" cy="465201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546672" cy="4652148"/>
                    </a:xfrm>
                    <a:prstGeom prst="rect">
                      <a:avLst/>
                    </a:prstGeom>
                    <a:noFill/>
                  </pic:spPr>
                </pic:pic>
              </a:graphicData>
            </a:graphic>
          </wp:anchor>
        </w:drawing>
      </w:r>
    </w:p>
    <w:p w14:paraId="196B6831">
      <w:pPr>
        <w:pStyle w:val="3"/>
        <w:ind w:left="420"/>
      </w:pPr>
    </w:p>
    <w:p w14:paraId="07523959">
      <w:pPr>
        <w:pStyle w:val="2"/>
      </w:pPr>
    </w:p>
    <w:p w14:paraId="19BF7100">
      <w:pPr>
        <w:pStyle w:val="3"/>
        <w:ind w:left="420"/>
      </w:pPr>
    </w:p>
    <w:p w14:paraId="79BC761A">
      <w:pPr>
        <w:pStyle w:val="3"/>
        <w:ind w:left="420"/>
      </w:pPr>
    </w:p>
    <w:p w14:paraId="6771863D">
      <w:pPr>
        <w:pStyle w:val="3"/>
        <w:ind w:left="420"/>
      </w:pPr>
    </w:p>
    <w:p w14:paraId="004E125A">
      <w:pPr>
        <w:pStyle w:val="3"/>
        <w:ind w:left="420"/>
      </w:pPr>
    </w:p>
    <w:p w14:paraId="16810040">
      <w:pPr>
        <w:pStyle w:val="3"/>
        <w:ind w:left="420"/>
      </w:pPr>
    </w:p>
    <w:p w14:paraId="184243EC">
      <w:pPr>
        <w:pStyle w:val="3"/>
        <w:ind w:left="420"/>
      </w:pPr>
    </w:p>
    <w:p w14:paraId="05705454">
      <w:pPr>
        <w:pStyle w:val="3"/>
        <w:ind w:left="420"/>
      </w:pPr>
    </w:p>
    <w:p w14:paraId="69E12BAA">
      <w:pPr>
        <w:pStyle w:val="3"/>
        <w:ind w:left="420"/>
      </w:pPr>
    </w:p>
    <w:p w14:paraId="02ED7990">
      <w:pPr>
        <w:pStyle w:val="3"/>
        <w:ind w:left="420"/>
      </w:pPr>
    </w:p>
    <w:p w14:paraId="3FF865EE">
      <w:pPr>
        <w:pStyle w:val="3"/>
        <w:ind w:left="420"/>
      </w:pPr>
    </w:p>
    <w:p w14:paraId="65822CDF">
      <w:pPr>
        <w:pStyle w:val="3"/>
        <w:ind w:left="420"/>
      </w:pPr>
    </w:p>
    <w:p w14:paraId="6596B0B4">
      <w:pPr>
        <w:pStyle w:val="3"/>
        <w:ind w:left="420"/>
      </w:pPr>
    </w:p>
    <w:p w14:paraId="2CF424E2">
      <w:pPr>
        <w:pStyle w:val="3"/>
        <w:ind w:left="420"/>
      </w:pPr>
    </w:p>
    <w:p w14:paraId="19590F79">
      <w:pPr>
        <w:pStyle w:val="3"/>
        <w:ind w:left="420"/>
      </w:pPr>
    </w:p>
    <w:p w14:paraId="369AE86A">
      <w:pPr>
        <w:pStyle w:val="3"/>
        <w:ind w:left="420"/>
      </w:pPr>
    </w:p>
    <w:p w14:paraId="46C27986">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775F230B">
      <w:pPr>
        <w:spacing w:line="600" w:lineRule="exact"/>
        <w:ind w:firstLine="640"/>
        <w:rPr>
          <w:rFonts w:eastAsia="仿宋_GB2312" w:cs="仿宋_GB2312"/>
          <w:sz w:val="32"/>
          <w:szCs w:val="32"/>
        </w:rPr>
      </w:pPr>
    </w:p>
    <w:p w14:paraId="1E8DEA00">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14:paraId="048AC32D">
      <w:pPr>
        <w:spacing w:line="600" w:lineRule="exact"/>
        <w:ind w:firstLine="640"/>
        <w:rPr>
          <w:rFonts w:eastAsia="仿宋_GB2312" w:cs="仿宋_GB2312"/>
          <w:sz w:val="32"/>
          <w:szCs w:val="32"/>
        </w:rPr>
      </w:pPr>
      <w:bookmarkStart w:id="25" w:name="_Toc15377213"/>
      <w:bookmarkStart w:id="26" w:name="_Toc15378460"/>
      <w:bookmarkStart w:id="27"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161.26万元，</w:t>
      </w:r>
      <w:r>
        <w:rPr>
          <w:rFonts w:hint="eastAsia" w:eastAsia="仿宋_GB2312" w:cs="仿宋_GB2312"/>
          <w:sz w:val="32"/>
          <w:szCs w:val="32"/>
        </w:rPr>
        <w:t>完成预算</w:t>
      </w:r>
      <w:r>
        <w:rPr>
          <w:rFonts w:eastAsia="仿宋_GB2312" w:cs="仿宋_GB2312"/>
          <w:sz w:val="32"/>
          <w:szCs w:val="32"/>
        </w:rPr>
        <w:t>100</w:t>
      </w:r>
      <w:r>
        <w:rPr>
          <w:rFonts w:hint="eastAsia" w:eastAsia="仿宋_GB2312" w:cs="仿宋_GB2312"/>
          <w:sz w:val="32"/>
          <w:szCs w:val="32"/>
        </w:rPr>
        <w:t>%。其中：</w:t>
      </w:r>
      <w:bookmarkEnd w:id="25"/>
      <w:bookmarkEnd w:id="26"/>
      <w:bookmarkEnd w:id="27"/>
    </w:p>
    <w:p w14:paraId="765D0A73">
      <w:pPr>
        <w:spacing w:line="600" w:lineRule="exact"/>
        <w:ind w:firstLine="640"/>
        <w:rPr>
          <w:rFonts w:eastAsia="仿宋_GB2312" w:cs="仿宋_GB2312"/>
          <w:sz w:val="32"/>
          <w:szCs w:val="32"/>
        </w:rPr>
      </w:pPr>
      <w:r>
        <w:rPr>
          <w:rFonts w:hint="eastAsia" w:eastAsia="仿宋_GB2312" w:cs="仿宋_GB2312"/>
          <w:sz w:val="32"/>
          <w:szCs w:val="32"/>
        </w:rPr>
        <w:t>1.文化旅游体育与传媒支出（类）文物（款）其他文物支出（项）: 支出决算为</w:t>
      </w:r>
      <w:r>
        <w:rPr>
          <w:rFonts w:eastAsia="仿宋_GB2312" w:cs="仿宋_GB2312"/>
          <w:sz w:val="32"/>
          <w:szCs w:val="32"/>
        </w:rPr>
        <w:t>126.96</w:t>
      </w:r>
      <w:r>
        <w:rPr>
          <w:rFonts w:hint="eastAsia" w:eastAsia="仿宋_GB2312" w:cs="仿宋_GB2312"/>
          <w:sz w:val="32"/>
          <w:szCs w:val="32"/>
        </w:rPr>
        <w:t>万元，完成预算100%，决算数与预算数持平。</w:t>
      </w:r>
    </w:p>
    <w:p w14:paraId="33864B2F">
      <w:pPr>
        <w:spacing w:line="600" w:lineRule="exact"/>
        <w:ind w:firstLine="640"/>
        <w:rPr>
          <w:rFonts w:eastAsia="仿宋_GB2312" w:cs="仿宋_GB2312"/>
          <w:sz w:val="32"/>
          <w:szCs w:val="32"/>
        </w:rPr>
      </w:pPr>
      <w:r>
        <w:rPr>
          <w:rFonts w:hint="eastAsia" w:eastAsia="仿宋_GB2312" w:cs="仿宋_GB2312"/>
          <w:sz w:val="32"/>
          <w:szCs w:val="32"/>
        </w:rPr>
        <w:t>2.社会保障和就业支出（类）行政事业单位养老支出（款）机关事业单位基本养老保险缴费支出（项）: 支出决算为</w:t>
      </w:r>
      <w:r>
        <w:rPr>
          <w:rFonts w:eastAsia="仿宋_GB2312" w:cs="仿宋_GB2312"/>
          <w:sz w:val="32"/>
          <w:szCs w:val="32"/>
        </w:rPr>
        <w:t>12.45</w:t>
      </w:r>
      <w:r>
        <w:rPr>
          <w:rFonts w:hint="eastAsia" w:eastAsia="仿宋_GB2312" w:cs="仿宋_GB2312"/>
          <w:sz w:val="32"/>
          <w:szCs w:val="32"/>
        </w:rPr>
        <w:t>万元，完成预算100%，决算数与预算数持平。</w:t>
      </w:r>
    </w:p>
    <w:p w14:paraId="2ECCC347">
      <w:pPr>
        <w:spacing w:line="600" w:lineRule="exact"/>
        <w:ind w:firstLine="640"/>
        <w:rPr>
          <w:rFonts w:eastAsia="仿宋_GB2312" w:cs="仿宋_GB2312"/>
          <w:sz w:val="32"/>
          <w:szCs w:val="32"/>
        </w:rPr>
      </w:pPr>
      <w:r>
        <w:rPr>
          <w:rFonts w:hint="eastAsia" w:eastAsia="仿宋_GB2312" w:cs="仿宋_GB2312"/>
          <w:sz w:val="32"/>
          <w:szCs w:val="32"/>
        </w:rPr>
        <w:t>3.社会保障和就业支出（类）行政事业单位养老支出（款）机关事业单位职业年金缴费支出（项）: 支出决算为</w:t>
      </w:r>
      <w:r>
        <w:rPr>
          <w:rFonts w:eastAsia="仿宋_GB2312" w:cs="仿宋_GB2312"/>
          <w:sz w:val="32"/>
          <w:szCs w:val="32"/>
        </w:rPr>
        <w:t>6.26</w:t>
      </w:r>
      <w:r>
        <w:rPr>
          <w:rFonts w:hint="eastAsia" w:eastAsia="仿宋_GB2312" w:cs="仿宋_GB2312"/>
          <w:sz w:val="32"/>
          <w:szCs w:val="32"/>
        </w:rPr>
        <w:t>万元，完成预算100%，决算数与预算数持平。</w:t>
      </w:r>
    </w:p>
    <w:p w14:paraId="1EC8DA85">
      <w:pPr>
        <w:spacing w:line="600" w:lineRule="exact"/>
        <w:ind w:firstLine="640"/>
        <w:rPr>
          <w:rFonts w:eastAsia="仿宋_GB2312" w:cs="仿宋_GB2312"/>
          <w:sz w:val="32"/>
          <w:szCs w:val="32"/>
        </w:rPr>
      </w:pPr>
      <w:r>
        <w:rPr>
          <w:rFonts w:hint="eastAsia" w:eastAsia="仿宋_GB2312" w:cs="仿宋_GB2312"/>
          <w:sz w:val="32"/>
          <w:szCs w:val="32"/>
        </w:rPr>
        <w:t>4.社会保障和就业支出（类）其他社会保障和就业支出（款）其他社会保障和就业支出（项）: 支出决算为</w:t>
      </w:r>
      <w:r>
        <w:rPr>
          <w:rFonts w:eastAsia="仿宋_GB2312" w:cs="仿宋_GB2312"/>
          <w:sz w:val="32"/>
          <w:szCs w:val="32"/>
        </w:rPr>
        <w:t>1.2</w:t>
      </w:r>
      <w:r>
        <w:rPr>
          <w:rFonts w:hint="eastAsia" w:eastAsia="仿宋_GB2312" w:cs="仿宋_GB2312"/>
          <w:sz w:val="32"/>
          <w:szCs w:val="32"/>
        </w:rPr>
        <w:t>万元，完成预算100%，决算数与预算数持平。</w:t>
      </w:r>
    </w:p>
    <w:p w14:paraId="10A5E775">
      <w:pPr>
        <w:spacing w:line="600" w:lineRule="exact"/>
        <w:ind w:firstLine="640"/>
        <w:rPr>
          <w:rFonts w:eastAsia="仿宋_GB2312" w:cs="仿宋_GB2312"/>
          <w:sz w:val="32"/>
          <w:szCs w:val="32"/>
        </w:rPr>
      </w:pPr>
      <w:r>
        <w:rPr>
          <w:rFonts w:hint="eastAsia" w:eastAsia="仿宋_GB2312" w:cs="仿宋_GB2312"/>
          <w:sz w:val="32"/>
          <w:szCs w:val="32"/>
        </w:rPr>
        <w:t>5.卫生健康支出（类）行政事业单位医疗（款）事业单位医疗（项）:支出决算为</w:t>
      </w:r>
      <w:r>
        <w:rPr>
          <w:rFonts w:eastAsia="仿宋_GB2312" w:cs="仿宋_GB2312"/>
          <w:sz w:val="32"/>
          <w:szCs w:val="32"/>
        </w:rPr>
        <w:t>3.65</w:t>
      </w:r>
      <w:r>
        <w:rPr>
          <w:rFonts w:hint="eastAsia" w:eastAsia="仿宋_GB2312" w:cs="仿宋_GB2312"/>
          <w:sz w:val="32"/>
          <w:szCs w:val="32"/>
        </w:rPr>
        <w:t>万元，完成预算数100%，决算数与预算数持平。</w:t>
      </w:r>
    </w:p>
    <w:p w14:paraId="772E92C1">
      <w:pPr>
        <w:spacing w:line="600" w:lineRule="exact"/>
        <w:ind w:firstLine="640"/>
        <w:rPr>
          <w:rFonts w:eastAsia="仿宋_GB2312" w:cs="仿宋_GB2312"/>
          <w:sz w:val="32"/>
          <w:szCs w:val="32"/>
        </w:rPr>
      </w:pPr>
      <w:r>
        <w:rPr>
          <w:rFonts w:hint="eastAsia" w:eastAsia="仿宋_GB2312" w:cs="仿宋_GB2312"/>
          <w:sz w:val="32"/>
          <w:szCs w:val="32"/>
        </w:rPr>
        <w:t>6.住房保障支出（类）住房改革支出（款）住房公积金（项）:支出决算为</w:t>
      </w:r>
      <w:r>
        <w:rPr>
          <w:rFonts w:eastAsia="仿宋_GB2312" w:cs="仿宋_GB2312"/>
          <w:sz w:val="32"/>
          <w:szCs w:val="32"/>
        </w:rPr>
        <w:t>10.74</w:t>
      </w:r>
      <w:r>
        <w:rPr>
          <w:rFonts w:hint="eastAsia" w:eastAsia="仿宋_GB2312" w:cs="仿宋_GB2312"/>
          <w:sz w:val="32"/>
          <w:szCs w:val="32"/>
        </w:rPr>
        <w:t>万元，完成预算100%，决算数与预算数持平。</w:t>
      </w:r>
    </w:p>
    <w:p w14:paraId="375FD13A">
      <w:pPr>
        <w:tabs>
          <w:tab w:val="right" w:pos="8306"/>
        </w:tabs>
        <w:spacing w:line="600" w:lineRule="exact"/>
        <w:ind w:firstLine="640"/>
        <w:outlineLvl w:val="1"/>
        <w:rPr>
          <w:rStyle w:val="29"/>
          <w:rFonts w:ascii="Times New Roman" w:hAnsi="Times New Roman"/>
        </w:rPr>
      </w:pPr>
      <w:bookmarkStart w:id="28" w:name="_Toc15377214"/>
      <w:bookmarkStart w:id="29"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14:paraId="161CEF51">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139.9</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464101A4">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126.25万</w:t>
      </w:r>
      <w:r>
        <w:rPr>
          <w:rFonts w:hint="eastAsia" w:eastAsia="仿宋_GB2312" w:cs="仿宋_GB2312"/>
          <w:sz w:val="32"/>
          <w:szCs w:val="32"/>
        </w:rPr>
        <w:t>元，主要包括：基本工资、津贴补贴、绩效工资、机关事业单位基本养老保险缴费、职业年金缴费、  职工基本医疗保险缴费、其他社会保障缴费、住房公积金、其他工资福利支出、生活补助、、奖励金。</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13.67万</w:t>
      </w:r>
      <w:r>
        <w:rPr>
          <w:rFonts w:hint="eastAsia" w:eastAsia="仿宋_GB2312" w:cs="仿宋_GB2312"/>
          <w:sz w:val="32"/>
          <w:szCs w:val="32"/>
        </w:rPr>
        <w:t>元，主要包括：办公费、水费、电费、邮电费、差旅费、委托业务费、工会经费、其他商品和服务支出。</w:t>
      </w:r>
    </w:p>
    <w:p w14:paraId="340488CB">
      <w:pPr>
        <w:spacing w:line="600" w:lineRule="exact"/>
        <w:ind w:firstLine="640"/>
        <w:outlineLvl w:val="1"/>
        <w:rPr>
          <w:rStyle w:val="29"/>
          <w:rFonts w:ascii="Times New Roman" w:hAnsi="Times New Roman" w:eastAsia="黑体"/>
          <w:b w:val="0"/>
        </w:rPr>
      </w:pPr>
      <w:bookmarkStart w:id="30" w:name="_Toc15396609"/>
      <w:bookmarkStart w:id="31"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14:paraId="49EAC169">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14:paraId="21230690">
      <w:pPr>
        <w:spacing w:line="600" w:lineRule="exact"/>
        <w:ind w:firstLine="640"/>
        <w:rPr>
          <w:rFonts w:ascii="仿宋_GB2312" w:eastAsia="仿宋_GB2312" w:cs="仿宋_GB2312"/>
          <w:sz w:val="32"/>
          <w:szCs w:val="32"/>
        </w:rPr>
      </w:pPr>
      <w:r>
        <w:rPr>
          <w:rFonts w:hint="eastAsia" w:ascii="仿宋_GB2312"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0万元，完成预算0%，</w:t>
      </w:r>
      <w:r>
        <w:rPr>
          <w:rFonts w:hint="eastAsia" w:ascii="仿宋_GB2312" w:eastAsia="仿宋_GB2312" w:cs="仿宋_GB2312"/>
          <w:sz w:val="32"/>
          <w:szCs w:val="32"/>
        </w:rPr>
        <w:t>较上年度增加0万元，增长0%。</w:t>
      </w:r>
      <w:r>
        <w:rPr>
          <w:rFonts w:hint="eastAsia" w:ascii="仿宋_GB2312" w:hAnsi="仿宋" w:eastAsia="仿宋_GB2312"/>
          <w:sz w:val="32"/>
          <w:szCs w:val="32"/>
        </w:rPr>
        <w:t>决算数与预算数持平。</w:t>
      </w:r>
    </w:p>
    <w:p w14:paraId="0F8A4129">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14:paraId="6F08B297">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%；公务用车购置及运行维护费支出决算0万元，占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%；公务接待费支出决算0万元，占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%。具体情况如下：</w:t>
      </w:r>
    </w:p>
    <w:p w14:paraId="73E64BDB">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w:t>
      </w:r>
      <w:r>
        <w:rPr>
          <w:rFonts w:eastAsia="仿宋_GB2312" w:cs="仿宋_GB2312"/>
          <w:b/>
          <w:bCs/>
          <w:sz w:val="32"/>
          <w:szCs w:val="32"/>
        </w:rPr>
        <w:t>0</w:t>
      </w:r>
      <w:r>
        <w:rPr>
          <w:rFonts w:hint="eastAsia" w:eastAsia="仿宋_GB2312" w:cs="仿宋_GB2312"/>
          <w:b/>
          <w:bCs/>
          <w:sz w:val="32"/>
          <w:szCs w:val="32"/>
        </w:rPr>
        <w:t>万元，完成预算</w:t>
      </w:r>
      <w:r>
        <w:rPr>
          <w:rFonts w:eastAsia="仿宋_GB2312" w:cs="仿宋_GB2312"/>
          <w:b/>
          <w:bCs/>
          <w:sz w:val="32"/>
          <w:szCs w:val="32"/>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。因公出国（境）支出决算比2023年增加</w:t>
      </w:r>
      <w:r>
        <w:rPr>
          <w:rFonts w:eastAsia="仿宋_GB2312" w:cs="仿宋_GB2312"/>
          <w:sz w:val="32"/>
          <w:szCs w:val="32"/>
        </w:rPr>
        <w:t>0</w:t>
      </w:r>
      <w:r>
        <w:rPr>
          <w:rFonts w:hint="eastAsia" w:eastAsia="仿宋_GB2312" w:cs="仿宋_GB2312"/>
          <w:sz w:val="32"/>
          <w:szCs w:val="32"/>
        </w:rPr>
        <w:t>万元，增长</w:t>
      </w:r>
      <w:r>
        <w:rPr>
          <w:rFonts w:eastAsia="仿宋_GB2312" w:cs="仿宋_GB2312"/>
          <w:sz w:val="32"/>
          <w:szCs w:val="32"/>
        </w:rPr>
        <w:t>0</w:t>
      </w:r>
      <w:r>
        <w:rPr>
          <w:rFonts w:hint="eastAsia" w:eastAsia="仿宋_GB2312" w:cs="仿宋_GB2312"/>
          <w:sz w:val="32"/>
          <w:szCs w:val="32"/>
        </w:rPr>
        <w:t>%。</w:t>
      </w:r>
    </w:p>
    <w:p w14:paraId="3600BDD4">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w:t>
      </w:r>
      <w:r>
        <w:rPr>
          <w:rFonts w:eastAsia="仿宋_GB2312" w:cs="仿宋_GB2312"/>
          <w:b/>
          <w:bCs/>
          <w:sz w:val="32"/>
          <w:szCs w:val="32"/>
        </w:rPr>
        <w:t>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公务用车购置及运行维护费支出决算比2023年度增加</w:t>
      </w:r>
      <w:r>
        <w:rPr>
          <w:rFonts w:eastAsia="仿宋_GB2312" w:cs="仿宋_GB2312"/>
          <w:sz w:val="32"/>
          <w:szCs w:val="32"/>
        </w:rPr>
        <w:t>0</w:t>
      </w:r>
      <w:r>
        <w:rPr>
          <w:rFonts w:hint="eastAsia" w:eastAsia="仿宋_GB2312" w:cs="仿宋_GB2312"/>
          <w:sz w:val="32"/>
          <w:szCs w:val="32"/>
        </w:rPr>
        <w:t>万元，增长</w:t>
      </w:r>
      <w:r>
        <w:rPr>
          <w:rFonts w:eastAsia="仿宋_GB2312" w:cs="仿宋_GB2312"/>
          <w:sz w:val="32"/>
          <w:szCs w:val="32"/>
        </w:rPr>
        <w:t>0</w:t>
      </w:r>
      <w:r>
        <w:rPr>
          <w:rFonts w:hint="eastAsia" w:eastAsia="仿宋_GB2312" w:cs="仿宋_GB2312"/>
          <w:sz w:val="32"/>
          <w:szCs w:val="32"/>
        </w:rPr>
        <w:t>%。</w:t>
      </w:r>
    </w:p>
    <w:p w14:paraId="1B470E71">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w:t>
      </w:r>
      <w:r>
        <w:rPr>
          <w:rFonts w:eastAsia="仿宋_GB2312" w:cs="仿宋_GB2312"/>
          <w:sz w:val="32"/>
          <w:szCs w:val="32"/>
        </w:rPr>
        <w:t>0</w:t>
      </w:r>
      <w:r>
        <w:rPr>
          <w:rFonts w:hint="eastAsia" w:eastAsia="仿宋_GB2312" w:cs="仿宋_GB2312"/>
          <w:sz w:val="32"/>
          <w:szCs w:val="32"/>
        </w:rPr>
        <w:t>辆，其中：轿车</w:t>
      </w:r>
      <w:r>
        <w:rPr>
          <w:rFonts w:eastAsia="仿宋_GB2312" w:cs="仿宋_GB2312"/>
          <w:sz w:val="32"/>
          <w:szCs w:val="32"/>
        </w:rPr>
        <w:t>0</w:t>
      </w:r>
      <w:r>
        <w:rPr>
          <w:rFonts w:hint="eastAsia" w:eastAsia="仿宋_GB2312" w:cs="仿宋_GB2312"/>
          <w:sz w:val="32"/>
          <w:szCs w:val="32"/>
        </w:rPr>
        <w:t>辆、金额</w:t>
      </w:r>
      <w:r>
        <w:rPr>
          <w:rFonts w:eastAsia="仿宋_GB2312" w:cs="仿宋_GB2312"/>
          <w:sz w:val="32"/>
          <w:szCs w:val="32"/>
        </w:rPr>
        <w:t>0</w:t>
      </w:r>
      <w:r>
        <w:rPr>
          <w:rFonts w:hint="eastAsia" w:eastAsia="仿宋_GB2312" w:cs="仿宋_GB2312"/>
          <w:sz w:val="32"/>
          <w:szCs w:val="32"/>
        </w:rPr>
        <w:t>万元，越野车</w:t>
      </w:r>
      <w:r>
        <w:rPr>
          <w:rFonts w:eastAsia="仿宋_GB2312" w:cs="仿宋_GB2312"/>
          <w:sz w:val="32"/>
          <w:szCs w:val="32"/>
        </w:rPr>
        <w:t>0</w:t>
      </w:r>
      <w:r>
        <w:rPr>
          <w:rFonts w:hint="eastAsia" w:eastAsia="仿宋_GB2312" w:cs="仿宋_GB2312"/>
          <w:sz w:val="32"/>
          <w:szCs w:val="32"/>
        </w:rPr>
        <w:t>辆、金额</w:t>
      </w:r>
      <w:r>
        <w:rPr>
          <w:rFonts w:eastAsia="仿宋_GB2312" w:cs="仿宋_GB2312"/>
          <w:sz w:val="32"/>
          <w:szCs w:val="32"/>
        </w:rPr>
        <w:t>0</w:t>
      </w:r>
      <w:r>
        <w:rPr>
          <w:rFonts w:hint="eastAsia" w:eastAsia="仿宋_GB2312" w:cs="仿宋_GB2312"/>
          <w:sz w:val="32"/>
          <w:szCs w:val="32"/>
        </w:rPr>
        <w:t>万元，载客汽车</w:t>
      </w:r>
      <w:r>
        <w:rPr>
          <w:rFonts w:eastAsia="仿宋_GB2312" w:cs="仿宋_GB2312"/>
          <w:sz w:val="32"/>
          <w:szCs w:val="32"/>
        </w:rPr>
        <w:t>0</w:t>
      </w:r>
      <w:r>
        <w:rPr>
          <w:rFonts w:hint="eastAsia" w:eastAsia="仿宋_GB2312" w:cs="仿宋_GB2312"/>
          <w:sz w:val="32"/>
          <w:szCs w:val="32"/>
        </w:rPr>
        <w:t>辆、金额</w:t>
      </w:r>
      <w:r>
        <w:rPr>
          <w:rFonts w:eastAsia="仿宋_GB2312" w:cs="仿宋_GB2312"/>
          <w:sz w:val="32"/>
          <w:szCs w:val="32"/>
        </w:rPr>
        <w:t>0</w:t>
      </w:r>
      <w:r>
        <w:rPr>
          <w:rFonts w:hint="eastAsia" w:eastAsia="仿宋_GB2312" w:cs="仿宋_GB2312"/>
          <w:sz w:val="32"/>
          <w:szCs w:val="32"/>
        </w:rPr>
        <w:t>万元。截至2024年12月31日，单位共有公务用车</w:t>
      </w:r>
      <w:r>
        <w:rPr>
          <w:rFonts w:eastAsia="仿宋_GB2312" w:cs="仿宋_GB2312"/>
          <w:sz w:val="32"/>
          <w:szCs w:val="32"/>
        </w:rPr>
        <w:t>0</w:t>
      </w:r>
      <w:r>
        <w:rPr>
          <w:rFonts w:hint="eastAsia" w:eastAsia="仿宋_GB2312" w:cs="仿宋_GB2312"/>
          <w:sz w:val="32"/>
          <w:szCs w:val="32"/>
        </w:rPr>
        <w:t>辆，其中：轿车</w:t>
      </w:r>
      <w:r>
        <w:rPr>
          <w:rFonts w:eastAsia="仿宋_GB2312" w:cs="仿宋_GB2312"/>
          <w:sz w:val="32"/>
          <w:szCs w:val="32"/>
        </w:rPr>
        <w:t>0</w:t>
      </w:r>
      <w:r>
        <w:rPr>
          <w:rFonts w:hint="eastAsia" w:eastAsia="仿宋_GB2312" w:cs="仿宋_GB2312"/>
          <w:sz w:val="32"/>
          <w:szCs w:val="32"/>
        </w:rPr>
        <w:t>辆、越野车</w:t>
      </w:r>
      <w:r>
        <w:rPr>
          <w:rFonts w:eastAsia="仿宋_GB2312" w:cs="仿宋_GB2312"/>
          <w:sz w:val="32"/>
          <w:szCs w:val="32"/>
        </w:rPr>
        <w:t>0</w:t>
      </w:r>
      <w:r>
        <w:rPr>
          <w:rFonts w:hint="eastAsia" w:eastAsia="仿宋_GB2312" w:cs="仿宋_GB2312"/>
          <w:sz w:val="32"/>
          <w:szCs w:val="32"/>
        </w:rPr>
        <w:t>辆、载客汽车</w:t>
      </w:r>
      <w:r>
        <w:rPr>
          <w:rFonts w:eastAsia="仿宋_GB2312" w:cs="仿宋_GB2312"/>
          <w:sz w:val="32"/>
          <w:szCs w:val="32"/>
        </w:rPr>
        <w:t>0</w:t>
      </w:r>
      <w:r>
        <w:rPr>
          <w:rFonts w:hint="eastAsia" w:eastAsia="仿宋_GB2312" w:cs="仿宋_GB2312"/>
          <w:sz w:val="32"/>
          <w:szCs w:val="32"/>
        </w:rPr>
        <w:t>辆。</w:t>
      </w:r>
    </w:p>
    <w:p w14:paraId="455286D8">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18DBBCA0">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w:t>
      </w:r>
      <w:r>
        <w:rPr>
          <w:rFonts w:eastAsia="仿宋_GB2312" w:cs="仿宋_GB2312"/>
          <w:b/>
          <w:bCs/>
          <w:sz w:val="32"/>
          <w:szCs w:val="32"/>
        </w:rPr>
        <w:t>0</w:t>
      </w:r>
      <w:r>
        <w:rPr>
          <w:rFonts w:hint="eastAsia" w:eastAsia="仿宋_GB2312" w:cs="仿宋_GB2312"/>
          <w:b/>
          <w:bCs/>
          <w:sz w:val="32"/>
          <w:szCs w:val="32"/>
        </w:rPr>
        <w:t>%。</w:t>
      </w:r>
      <w:r>
        <w:rPr>
          <w:rFonts w:hint="eastAsia" w:eastAsia="仿宋_GB2312" w:cs="仿宋_GB2312"/>
          <w:sz w:val="32"/>
          <w:szCs w:val="32"/>
        </w:rPr>
        <w:t>公务接待费支出决算比2023年度增加</w:t>
      </w:r>
      <w:r>
        <w:rPr>
          <w:rFonts w:eastAsia="仿宋_GB2312" w:cs="仿宋_GB2312"/>
          <w:sz w:val="32"/>
          <w:szCs w:val="32"/>
        </w:rPr>
        <w:t>0</w:t>
      </w:r>
      <w:r>
        <w:rPr>
          <w:rFonts w:hint="eastAsia" w:eastAsia="仿宋_GB2312" w:cs="仿宋_GB2312"/>
          <w:sz w:val="32"/>
          <w:szCs w:val="32"/>
        </w:rPr>
        <w:t>万元，增长</w:t>
      </w:r>
      <w:r>
        <w:rPr>
          <w:rFonts w:eastAsia="仿宋_GB2312" w:cs="仿宋_GB2312"/>
          <w:sz w:val="32"/>
          <w:szCs w:val="32"/>
        </w:rPr>
        <w:t>0</w:t>
      </w:r>
      <w:r>
        <w:rPr>
          <w:rFonts w:hint="eastAsia" w:eastAsia="仿宋_GB2312" w:cs="仿宋_GB2312"/>
          <w:sz w:val="32"/>
          <w:szCs w:val="32"/>
        </w:rPr>
        <w:t>%。</w:t>
      </w:r>
    </w:p>
    <w:p w14:paraId="38C9A648">
      <w:pPr>
        <w:spacing w:line="600" w:lineRule="exact"/>
        <w:ind w:firstLine="640"/>
        <w:rPr>
          <w:rFonts w:eastAsia="仿宋_GB2312" w:cs="仿宋_GB2312"/>
          <w:sz w:val="32"/>
          <w:szCs w:val="32"/>
        </w:rPr>
      </w:pPr>
      <w:r>
        <w:rPr>
          <w:rFonts w:hint="eastAsia" w:eastAsia="仿宋_GB2312" w:cs="仿宋_GB2312"/>
          <w:sz w:val="32"/>
          <w:szCs w:val="32"/>
        </w:rPr>
        <w:t>其中：</w:t>
      </w:r>
    </w:p>
    <w:p w14:paraId="5BC1BC35">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元。国内公务接</w:t>
      </w:r>
      <w:r>
        <w:rPr>
          <w:rFonts w:hint="eastAsia" w:ascii="仿宋_GB2312" w:hAnsi="仿宋_GB2312" w:eastAsia="仿宋_GB2312" w:cs="仿宋_GB2312"/>
          <w:sz w:val="32"/>
          <w:szCs w:val="32"/>
        </w:rPr>
        <w:t>待0批次，0</w:t>
      </w:r>
      <w:r>
        <w:rPr>
          <w:rFonts w:hint="eastAsia" w:eastAsia="仿宋_GB2312" w:cs="仿宋_GB2312"/>
          <w:sz w:val="32"/>
          <w:szCs w:val="32"/>
        </w:rPr>
        <w:t>人次（不包括陪同人员），共计支出</w:t>
      </w:r>
      <w:r>
        <w:rPr>
          <w:rFonts w:eastAsia="仿宋_GB2312" w:cs="仿宋_GB2312"/>
          <w:sz w:val="32"/>
          <w:szCs w:val="32"/>
        </w:rPr>
        <w:t>0</w:t>
      </w:r>
      <w:r>
        <w:rPr>
          <w:rFonts w:hint="eastAsia" w:eastAsia="仿宋_GB2312" w:cs="仿宋_GB2312"/>
          <w:sz w:val="32"/>
          <w:szCs w:val="32"/>
        </w:rPr>
        <w:t>万元。</w:t>
      </w:r>
    </w:p>
    <w:p w14:paraId="26CB527B">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w:t>
      </w:r>
      <w:r>
        <w:rPr>
          <w:rFonts w:hint="eastAsia" w:eastAsia="仿宋_GB2312" w:cs="仿宋_GB2312"/>
          <w:sz w:val="32"/>
          <w:szCs w:val="32"/>
        </w:rPr>
        <w:t>元。</w:t>
      </w:r>
      <w:bookmarkStart w:id="34" w:name="_Toc15396610"/>
      <w:bookmarkStart w:id="35" w:name="_Toc15377218"/>
    </w:p>
    <w:p w14:paraId="33AADAF8">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14:paraId="5F7B1C36">
      <w:pPr>
        <w:pStyle w:val="27"/>
        <w:spacing w:line="600" w:lineRule="exact"/>
        <w:ind w:firstLine="640"/>
        <w:outlineLvl w:val="1"/>
        <w:rPr>
          <w:rFonts w:hint="eastAsia" w:eastAsia="仿宋_GB2312" w:cs="仿宋_GB2312"/>
          <w:sz w:val="32"/>
          <w:szCs w:val="32"/>
          <w:highlight w:val="none"/>
        </w:rPr>
      </w:pPr>
      <w:r>
        <w:rPr>
          <w:rFonts w:hint="eastAsia" w:ascii="仿宋_GB2312" w:hAnsi="仿宋_GB2312" w:eastAsia="仿宋_GB2312" w:cs="仿宋_GB2312"/>
          <w:sz w:val="32"/>
          <w:szCs w:val="32"/>
        </w:rPr>
        <w:t>2024年度政府性基金预算财政拨款支出15.04万元，占本年支出合计的8.5</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。与2023年度相比，政府性基金预算财政拨款支出增加</w:t>
      </w:r>
      <w:r>
        <w:rPr>
          <w:rFonts w:eastAsia="仿宋_GB2312" w:cs="仿宋_GB2312"/>
          <w:sz w:val="32"/>
          <w:szCs w:val="32"/>
        </w:rPr>
        <w:t>15.04</w:t>
      </w:r>
      <w:r>
        <w:rPr>
          <w:rFonts w:hint="eastAsia" w:eastAsia="仿宋_GB2312" w:cs="仿宋_GB2312"/>
          <w:sz w:val="32"/>
          <w:szCs w:val="32"/>
        </w:rPr>
        <w:t>万元，增长</w:t>
      </w:r>
      <w:r>
        <w:rPr>
          <w:rFonts w:eastAsia="仿宋_GB2312" w:cs="仿宋_GB2312"/>
          <w:sz w:val="32"/>
          <w:szCs w:val="32"/>
        </w:rPr>
        <w:t>100</w:t>
      </w:r>
      <w:r>
        <w:rPr>
          <w:rFonts w:hint="eastAsia" w:eastAsia="仿宋_GB2312" w:cs="仿宋_GB2312"/>
          <w:sz w:val="32"/>
          <w:szCs w:val="32"/>
        </w:rPr>
        <w:t>%。</w:t>
      </w:r>
      <w:r>
        <w:rPr>
          <w:rFonts w:hint="eastAsia" w:eastAsia="仿宋_GB2312" w:cs="仿宋_GB2312"/>
          <w:sz w:val="32"/>
          <w:szCs w:val="32"/>
          <w:highlight w:val="none"/>
        </w:rPr>
        <w:t>主要变动原因是政府性基金预算财政拨款</w:t>
      </w:r>
      <w:r>
        <w:rPr>
          <w:rFonts w:hint="eastAsia" w:eastAsia="仿宋_GB2312" w:cs="仿宋_GB2312"/>
          <w:sz w:val="32"/>
          <w:szCs w:val="32"/>
          <w:highlight w:val="none"/>
          <w:lang w:val="en-US" w:eastAsia="zh-CN"/>
        </w:rPr>
        <w:t>15.04万元，用于大庙飞来殿消防工程。</w:t>
      </w:r>
    </w:p>
    <w:p w14:paraId="3289D71A">
      <w:pPr>
        <w:spacing w:line="600" w:lineRule="exact"/>
        <w:ind w:left="630"/>
        <w:outlineLvl w:val="1"/>
        <w:rPr>
          <w:rStyle w:val="29"/>
          <w:rFonts w:ascii="Times New Roman" w:hAnsi="Times New Roman" w:eastAsia="黑体"/>
          <w:b w:val="0"/>
        </w:rPr>
      </w:pPr>
      <w:bookmarkStart w:id="36" w:name="_Toc15396611"/>
      <w:bookmarkStart w:id="37" w:name="_Toc15377219"/>
      <w:r>
        <w:rPr>
          <w:rStyle w:val="29"/>
          <w:rFonts w:hint="eastAsia" w:ascii="Times New Roman" w:hAnsi="Times New Roman" w:eastAsia="黑体"/>
          <w:b w:val="0"/>
        </w:rPr>
        <w:t>九、国有资本经营预算支出决算情况说明</w:t>
      </w:r>
      <w:bookmarkEnd w:id="36"/>
      <w:bookmarkEnd w:id="37"/>
    </w:p>
    <w:p w14:paraId="670DC891">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w:t>
      </w:r>
      <w:r>
        <w:rPr>
          <w:rFonts w:eastAsia="仿宋_GB2312" w:cs="仿宋_GB2312"/>
          <w:sz w:val="32"/>
          <w:szCs w:val="32"/>
        </w:rPr>
        <w:t>0</w:t>
      </w:r>
      <w:r>
        <w:rPr>
          <w:rFonts w:hint="eastAsia" w:eastAsia="仿宋_GB2312" w:cs="仿宋_GB2312"/>
          <w:sz w:val="32"/>
          <w:szCs w:val="32"/>
        </w:rPr>
        <w:t>万元，增长</w:t>
      </w:r>
      <w:r>
        <w:rPr>
          <w:rFonts w:eastAsia="仿宋_GB2312" w:cs="仿宋_GB2312"/>
          <w:sz w:val="32"/>
          <w:szCs w:val="32"/>
        </w:rPr>
        <w:t>0</w:t>
      </w:r>
      <w:r>
        <w:rPr>
          <w:rFonts w:hint="eastAsia" w:eastAsia="仿宋_GB2312" w:cs="仿宋_GB2312"/>
          <w:sz w:val="32"/>
          <w:szCs w:val="32"/>
        </w:rPr>
        <w:t>%。</w:t>
      </w:r>
    </w:p>
    <w:p w14:paraId="71DEDE0A">
      <w:pPr>
        <w:spacing w:line="600" w:lineRule="exact"/>
        <w:ind w:left="630"/>
        <w:outlineLvl w:val="1"/>
        <w:rPr>
          <w:rStyle w:val="29"/>
          <w:rFonts w:ascii="Times New Roman" w:hAnsi="Times New Roman" w:eastAsia="黑体"/>
          <w:b w:val="0"/>
        </w:rPr>
      </w:pPr>
      <w:bookmarkStart w:id="38" w:name="_Toc15377221"/>
      <w:bookmarkStart w:id="39" w:name="_Toc15396612"/>
      <w:r>
        <w:rPr>
          <w:rStyle w:val="29"/>
          <w:rFonts w:hint="eastAsia" w:ascii="Times New Roman" w:hAnsi="Times New Roman" w:eastAsia="黑体"/>
          <w:b w:val="0"/>
        </w:rPr>
        <w:t>十、其他重要事项的情况说明</w:t>
      </w:r>
      <w:bookmarkEnd w:id="38"/>
      <w:bookmarkEnd w:id="39"/>
    </w:p>
    <w:p w14:paraId="3FCAAA1A">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14:paraId="642CD1FF">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，峨眉山市博物馆机关运行经费支出0万</w:t>
      </w:r>
      <w:r>
        <w:rPr>
          <w:rFonts w:hint="eastAsia" w:eastAsia="仿宋_GB2312" w:cs="仿宋_GB2312"/>
          <w:sz w:val="32"/>
          <w:szCs w:val="32"/>
        </w:rPr>
        <w:t>元，与2023年度决算数持平。</w:t>
      </w:r>
    </w:p>
    <w:p w14:paraId="02EA4C85">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14:paraId="1DE27131">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峨眉山市博物馆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69E66C45">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14:paraId="3CB7185C">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截至2024年12月31日，峨眉山市博物馆共有车辆0辆，其中：主要负责人用车0辆、机要通信用车0辆、应急保障用车0辆、其他用车0辆。单价100万元（含）以上设备（不含车辆）0台（套）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4E520FE4">
      <w:pPr>
        <w:spacing w:line="600" w:lineRule="exact"/>
        <w:ind w:firstLine="643" w:firstLineChars="200"/>
        <w:outlineLvl w:val="2"/>
        <w:rPr>
          <w:rFonts w:eastAsia="楷体_GB2312" w:cs="楷体_GB2312"/>
          <w:b/>
          <w:sz w:val="32"/>
          <w:szCs w:val="32"/>
          <w:highlight w:val="none"/>
        </w:rPr>
      </w:pPr>
      <w:r>
        <w:rPr>
          <w:rFonts w:hint="eastAsia" w:eastAsia="楷体_GB2312" w:cs="楷体_GB2312"/>
          <w:b/>
          <w:sz w:val="32"/>
          <w:szCs w:val="32"/>
          <w:highlight w:val="none"/>
        </w:rPr>
        <w:t>（四）预算绩效管理情况</w:t>
      </w:r>
    </w:p>
    <w:p w14:paraId="194A9E14">
      <w:pPr>
        <w:spacing w:line="600" w:lineRule="exact"/>
        <w:ind w:firstLine="640" w:firstLineChars="200"/>
        <w:rPr>
          <w:rFonts w:hint="eastAsia" w:ascii="仿宋_GB2312" w:eastAsia="仿宋_GB2312"/>
          <w:sz w:val="32"/>
          <w:szCs w:val="32"/>
        </w:rPr>
      </w:pPr>
      <w:r>
        <w:rPr>
          <w:rFonts w:hint="eastAsia" w:eastAsia="仿宋_GB2312" w:cs="仿宋_GB2312"/>
          <w:sz w:val="32"/>
          <w:szCs w:val="32"/>
        </w:rPr>
        <w:t>根据</w:t>
      </w:r>
      <w:r>
        <w:rPr>
          <w:rFonts w:hint="eastAsia" w:ascii="仿宋_GB2312" w:eastAsia="仿宋_GB2312"/>
          <w:sz w:val="32"/>
          <w:szCs w:val="32"/>
        </w:rPr>
        <w:t>预算绩效管理要求，本单位在2024年度预算编制阶段，组织对</w:t>
      </w:r>
      <w:r>
        <w:rPr>
          <w:rFonts w:hint="eastAsia" w:ascii="仿宋_GB2312" w:hAnsi="Times New Roman" w:eastAsia="仿宋_GB2312" w:cs="Times New Roman"/>
          <w:kern w:val="2"/>
          <w:sz w:val="32"/>
          <w:szCs w:val="32"/>
          <w:lang w:val="en-US" w:eastAsia="zh-CN" w:bidi="ar-SA"/>
        </w:rPr>
        <w:t>飞来殿安保、文物保护费、大庙飞来殿消防工程</w:t>
      </w:r>
      <w:r>
        <w:rPr>
          <w:rFonts w:hint="eastAsia" w:ascii="仿宋_GB2312" w:eastAsia="仿宋_GB2312"/>
          <w:sz w:val="32"/>
          <w:szCs w:val="32"/>
        </w:rPr>
        <w:t>项目等</w:t>
      </w:r>
      <w:r>
        <w:rPr>
          <w:rFonts w:hint="eastAsia" w:ascii="仿宋_GB2312" w:eastAsia="仿宋_GB2312"/>
          <w:sz w:val="32"/>
          <w:szCs w:val="32"/>
          <w:lang w:val="en-US" w:eastAsia="zh-CN"/>
        </w:rPr>
        <w:t>3</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3</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3</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3</w:t>
      </w:r>
      <w:r>
        <w:rPr>
          <w:rFonts w:hint="eastAsia" w:ascii="仿宋_GB2312" w:eastAsia="仿宋_GB2312"/>
          <w:sz w:val="32"/>
          <w:szCs w:val="32"/>
        </w:rPr>
        <w:t>个项目开展绩效自评，绩效自评表详见第四部分附件。</w:t>
      </w:r>
    </w:p>
    <w:p w14:paraId="16C51D37">
      <w:pPr>
        <w:spacing w:line="600" w:lineRule="exact"/>
        <w:ind w:firstLine="640"/>
        <w:rPr>
          <w:rFonts w:hint="eastAsia" w:ascii="仿宋_GB2312" w:hAnsi="Times New Roman" w:eastAsia="仿宋_GB2312" w:cs="Times New Roman"/>
          <w:kern w:val="2"/>
          <w:sz w:val="32"/>
          <w:szCs w:val="32"/>
          <w:lang w:val="en-US" w:eastAsia="zh-CN" w:bidi="ar-SA"/>
        </w:rPr>
      </w:pPr>
    </w:p>
    <w:p w14:paraId="7F737016">
      <w:pPr>
        <w:spacing w:line="600" w:lineRule="exact"/>
        <w:ind w:firstLine="640"/>
        <w:rPr>
          <w:rFonts w:hint="eastAsia" w:ascii="仿宋_GB2312" w:hAnsi="Times New Roman" w:eastAsia="仿宋_GB2312" w:cs="Times New Roman"/>
          <w:kern w:val="2"/>
          <w:sz w:val="32"/>
          <w:szCs w:val="32"/>
          <w:lang w:val="en-US" w:eastAsia="zh-CN" w:bidi="ar-SA"/>
        </w:rPr>
      </w:pPr>
    </w:p>
    <w:p w14:paraId="17073456">
      <w:pPr>
        <w:pStyle w:val="2"/>
      </w:pPr>
    </w:p>
    <w:p w14:paraId="0FBB22D2">
      <w:pPr>
        <w:pStyle w:val="3"/>
      </w:pPr>
    </w:p>
    <w:p w14:paraId="761AADFA">
      <w:pPr>
        <w:pStyle w:val="3"/>
      </w:pPr>
    </w:p>
    <w:p w14:paraId="570FFCC8">
      <w:pPr>
        <w:pStyle w:val="3"/>
      </w:pPr>
    </w:p>
    <w:p w14:paraId="7AA8D07D">
      <w:pPr>
        <w:pStyle w:val="3"/>
      </w:pPr>
    </w:p>
    <w:p w14:paraId="5D3973FB">
      <w:pPr>
        <w:pStyle w:val="3"/>
      </w:pPr>
    </w:p>
    <w:p w14:paraId="46C3CC80">
      <w:pPr>
        <w:spacing w:line="600" w:lineRule="exact"/>
        <w:jc w:val="center"/>
        <w:outlineLvl w:val="0"/>
        <w:rPr>
          <w:rFonts w:hint="eastAsia" w:eastAsia="黑体"/>
          <w:sz w:val="44"/>
          <w:szCs w:val="44"/>
        </w:rPr>
      </w:pPr>
      <w:bookmarkStart w:id="43" w:name="_Toc15396613"/>
      <w:bookmarkStart w:id="44" w:name="_Toc15377225"/>
    </w:p>
    <w:p w14:paraId="6C26233F">
      <w:pPr>
        <w:spacing w:line="600" w:lineRule="exact"/>
        <w:jc w:val="center"/>
        <w:outlineLvl w:val="0"/>
        <w:rPr>
          <w:rFonts w:eastAsia="黑体"/>
          <w:sz w:val="44"/>
          <w:szCs w:val="44"/>
        </w:rPr>
      </w:pPr>
      <w:r>
        <w:rPr>
          <w:rFonts w:hint="eastAsia" w:eastAsia="黑体"/>
          <w:sz w:val="44"/>
          <w:szCs w:val="44"/>
        </w:rPr>
        <w:t>第三部分  名词解释</w:t>
      </w:r>
      <w:bookmarkEnd w:id="43"/>
      <w:bookmarkEnd w:id="44"/>
    </w:p>
    <w:p w14:paraId="7FC06F75">
      <w:pPr>
        <w:spacing w:line="600" w:lineRule="exact"/>
        <w:jc w:val="left"/>
        <w:rPr>
          <w:b/>
          <w:sz w:val="44"/>
          <w:szCs w:val="44"/>
        </w:rPr>
      </w:pPr>
    </w:p>
    <w:p w14:paraId="78E143D5">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1BA13121">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14:paraId="33170B4A">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298CE998">
      <w:pPr>
        <w:spacing w:line="600" w:lineRule="exact"/>
        <w:ind w:firstLine="640"/>
        <w:rPr>
          <w:rFonts w:eastAsia="仿宋_GB2312" w:cs="仿宋_GB2312"/>
          <w:sz w:val="32"/>
          <w:szCs w:val="32"/>
        </w:rPr>
      </w:pPr>
      <w:r>
        <w:rPr>
          <w:rFonts w:hint="eastAsia" w:eastAsia="仿宋_GB2312" w:cs="仿宋_GB2312"/>
          <w:sz w:val="32"/>
          <w:szCs w:val="32"/>
        </w:rPr>
        <w:t xml:space="preserve">4.其他收入：指单位取得的除上述收入以外的各项收入。 </w:t>
      </w:r>
    </w:p>
    <w:p w14:paraId="02AB5A13">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016736E4">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1AFE88D5">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6F8CCF7E">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4F052443">
      <w:pPr>
        <w:spacing w:line="600" w:lineRule="exact"/>
        <w:ind w:firstLine="640"/>
        <w:rPr>
          <w:rFonts w:eastAsia="仿宋_GB2312" w:cs="仿宋_GB2312"/>
          <w:sz w:val="32"/>
          <w:szCs w:val="32"/>
        </w:rPr>
      </w:pPr>
      <w:r>
        <w:rPr>
          <w:rFonts w:eastAsia="仿宋_GB2312" w:cs="仿宋_GB2312"/>
          <w:sz w:val="32"/>
          <w:szCs w:val="32"/>
        </w:rPr>
        <w:t>9.</w:t>
      </w:r>
      <w:r>
        <w:rPr>
          <w:rFonts w:hint="eastAsia" w:eastAsia="仿宋_GB2312" w:cs="仿宋_GB2312"/>
          <w:sz w:val="32"/>
          <w:szCs w:val="32"/>
        </w:rPr>
        <w:t>文化旅游体育与传媒（类）文物（款）其他文物支出（项）: 指其他用于文物方面的支出。</w:t>
      </w:r>
    </w:p>
    <w:p w14:paraId="53FCA461">
      <w:pPr>
        <w:spacing w:line="600" w:lineRule="exact"/>
        <w:ind w:firstLine="640"/>
        <w:rPr>
          <w:rFonts w:eastAsia="仿宋_GB2312" w:cs="仿宋_GB2312"/>
          <w:sz w:val="32"/>
          <w:szCs w:val="32"/>
        </w:rPr>
      </w:pPr>
      <w:r>
        <w:rPr>
          <w:rFonts w:eastAsia="仿宋_GB2312" w:cs="仿宋_GB2312"/>
          <w:sz w:val="32"/>
          <w:szCs w:val="32"/>
        </w:rPr>
        <w:t>10.</w:t>
      </w:r>
      <w:r>
        <w:rPr>
          <w:rFonts w:hint="eastAsia" w:eastAsia="仿宋_GB2312" w:cs="仿宋_GB2312"/>
          <w:sz w:val="32"/>
          <w:szCs w:val="32"/>
        </w:rPr>
        <w:t>社会保障和就业支出（类）行政事业单位养老支出（款）机关事业单位基本养老保险缴费支出（项）：指机关事业单位实施养老保险制度由单位缴纳的基本养老保险费支出。</w:t>
      </w:r>
    </w:p>
    <w:p w14:paraId="29E9677E">
      <w:pPr>
        <w:spacing w:line="600" w:lineRule="exact"/>
        <w:ind w:firstLine="640"/>
        <w:rPr>
          <w:rFonts w:eastAsia="仿宋_GB2312" w:cs="仿宋_GB2312"/>
          <w:sz w:val="32"/>
          <w:szCs w:val="32"/>
        </w:rPr>
      </w:pPr>
      <w:r>
        <w:rPr>
          <w:rFonts w:eastAsia="仿宋_GB2312" w:cs="仿宋_GB2312"/>
          <w:sz w:val="32"/>
          <w:szCs w:val="32"/>
        </w:rPr>
        <w:t>11.</w:t>
      </w:r>
      <w:r>
        <w:rPr>
          <w:rFonts w:hint="eastAsia" w:eastAsia="仿宋_GB2312" w:cs="仿宋_GB2312"/>
          <w:sz w:val="32"/>
          <w:szCs w:val="32"/>
        </w:rPr>
        <w:t>社会保障和就业支出（类）行政事业单位养老支出（款）机关事业单位职业年金缴费支出（项）:指机关事业单位实施养老保险制度由单位实际缴纳的职业年金支出（含职业年金补记支出）。</w:t>
      </w:r>
    </w:p>
    <w:p w14:paraId="44CCAD1F">
      <w:pPr>
        <w:spacing w:line="600" w:lineRule="exact"/>
        <w:ind w:firstLine="640"/>
        <w:rPr>
          <w:rFonts w:eastAsia="仿宋_GB2312" w:cs="仿宋_GB2312"/>
          <w:sz w:val="32"/>
          <w:szCs w:val="32"/>
        </w:rPr>
      </w:pPr>
      <w:r>
        <w:rPr>
          <w:rFonts w:eastAsia="仿宋_GB2312" w:cs="仿宋_GB2312"/>
          <w:sz w:val="32"/>
          <w:szCs w:val="32"/>
        </w:rPr>
        <w:t>12.</w:t>
      </w:r>
      <w:r>
        <w:rPr>
          <w:rFonts w:hint="eastAsia" w:eastAsia="仿宋_GB2312" w:cs="仿宋_GB2312"/>
          <w:sz w:val="32"/>
          <w:szCs w:val="32"/>
        </w:rPr>
        <w:t>社会保障和就业支出（类）其他社会保障和就业支出（款）其他社会保障和就业支出（项）：指其他用于社会保障和就业方面的支出。</w:t>
      </w:r>
    </w:p>
    <w:p w14:paraId="578D45C8">
      <w:pPr>
        <w:spacing w:line="600" w:lineRule="exact"/>
        <w:ind w:firstLine="640"/>
        <w:rPr>
          <w:rFonts w:eastAsia="仿宋_GB2312" w:cs="仿宋_GB2312"/>
          <w:sz w:val="32"/>
          <w:szCs w:val="32"/>
        </w:rPr>
      </w:pPr>
      <w:r>
        <w:rPr>
          <w:rFonts w:eastAsia="仿宋_GB2312" w:cs="仿宋_GB2312"/>
          <w:sz w:val="32"/>
          <w:szCs w:val="32"/>
        </w:rPr>
        <w:t>13.</w:t>
      </w:r>
      <w:r>
        <w:rPr>
          <w:rFonts w:hint="eastAsia" w:eastAsia="仿宋_GB2312" w:cs="仿宋_GB2312"/>
          <w:sz w:val="32"/>
          <w:szCs w:val="32"/>
        </w:rPr>
        <w:t>卫生健康支出（类）行政事业单位医疗（款）事业单位医疗（项）:指财政部门安排的行政单位（包括实行公务员管理的事业单位）基本医疗保险缴费经费，未参加医疗保险的行政单位的公费医疗经费，按国家规定享受离退休人员、红军老战士待遇人员的医疗经费。</w:t>
      </w:r>
    </w:p>
    <w:p w14:paraId="35575244">
      <w:pPr>
        <w:spacing w:line="600" w:lineRule="exact"/>
        <w:ind w:firstLine="640"/>
        <w:rPr>
          <w:rFonts w:eastAsia="仿宋_GB2312" w:cs="仿宋_GB2312"/>
          <w:sz w:val="32"/>
          <w:szCs w:val="32"/>
        </w:rPr>
      </w:pPr>
      <w:r>
        <w:rPr>
          <w:rFonts w:eastAsia="仿宋_GB2312" w:cs="仿宋_GB2312"/>
          <w:sz w:val="32"/>
          <w:szCs w:val="32"/>
        </w:rPr>
        <w:t>14.</w:t>
      </w:r>
      <w:r>
        <w:rPr>
          <w:rFonts w:hint="eastAsia" w:eastAsia="仿宋_GB2312" w:cs="仿宋_GB2312"/>
          <w:sz w:val="32"/>
          <w:szCs w:val="32"/>
        </w:rPr>
        <w:t>住房保障支出（类）住房改革支出（款）住房公积金（项）:是指反映行政事业单位按人力资源和社会保障部、财政部规定的基本工资和津贴补贴以及规定比例为职工缴纳的住房公积金。</w:t>
      </w:r>
    </w:p>
    <w:p w14:paraId="44C85800">
      <w:pPr>
        <w:spacing w:line="600" w:lineRule="exact"/>
        <w:ind w:firstLine="640"/>
        <w:rPr>
          <w:rFonts w:eastAsia="仿宋_GB2312" w:cs="仿宋_GB2312"/>
          <w:sz w:val="32"/>
          <w:szCs w:val="32"/>
        </w:rPr>
      </w:pPr>
      <w:r>
        <w:rPr>
          <w:rFonts w:eastAsia="仿宋_GB2312" w:cs="仿宋_GB2312"/>
          <w:sz w:val="32"/>
          <w:szCs w:val="32"/>
        </w:rPr>
        <w:t>15</w:t>
      </w:r>
      <w:r>
        <w:rPr>
          <w:rFonts w:hint="eastAsia" w:eastAsia="仿宋_GB2312" w:cs="仿宋_GB2312"/>
          <w:sz w:val="32"/>
          <w:szCs w:val="32"/>
        </w:rPr>
        <w:t>.基本支出：指为保障机构正常运转、完成日常工作任务而发生的人员支出和公用支出。</w:t>
      </w:r>
    </w:p>
    <w:p w14:paraId="211968B3">
      <w:pPr>
        <w:spacing w:line="600" w:lineRule="exact"/>
        <w:ind w:firstLine="640"/>
        <w:rPr>
          <w:rFonts w:eastAsia="仿宋_GB2312" w:cs="仿宋_GB2312"/>
          <w:sz w:val="32"/>
          <w:szCs w:val="32"/>
        </w:rPr>
      </w:pPr>
      <w:r>
        <w:rPr>
          <w:rFonts w:eastAsia="仿宋_GB2312" w:cs="仿宋_GB2312"/>
          <w:sz w:val="32"/>
          <w:szCs w:val="32"/>
        </w:rPr>
        <w:t>16</w:t>
      </w:r>
      <w:r>
        <w:rPr>
          <w:rFonts w:hint="eastAsia" w:eastAsia="仿宋_GB2312" w:cs="仿宋_GB2312"/>
          <w:sz w:val="32"/>
          <w:szCs w:val="32"/>
        </w:rPr>
        <w:t xml:space="preserve">.项目支出：指在基本支出之外为完成特定行政任务和事业发展目标所发生的支出。 </w:t>
      </w:r>
    </w:p>
    <w:p w14:paraId="0F81DAF5">
      <w:pPr>
        <w:spacing w:line="600" w:lineRule="exact"/>
        <w:ind w:firstLine="640"/>
        <w:rPr>
          <w:rFonts w:eastAsia="仿宋_GB2312" w:cs="仿宋_GB2312"/>
          <w:sz w:val="32"/>
          <w:szCs w:val="32"/>
        </w:rPr>
      </w:pPr>
      <w:r>
        <w:rPr>
          <w:rFonts w:eastAsia="仿宋_GB2312" w:cs="仿宋_GB2312"/>
          <w:sz w:val="32"/>
          <w:szCs w:val="32"/>
        </w:rPr>
        <w:t>17</w:t>
      </w:r>
      <w:r>
        <w:rPr>
          <w:rFonts w:hint="eastAsia" w:eastAsia="仿宋_GB2312" w:cs="仿宋_GB2312"/>
          <w:sz w:val="32"/>
          <w:szCs w:val="32"/>
        </w:rPr>
        <w:t>.经营支出：指事业单位在专业业务活动及其辅助活动之外开展非独立核算经营活动发生的支出。</w:t>
      </w:r>
    </w:p>
    <w:p w14:paraId="0CA22496">
      <w:pPr>
        <w:spacing w:line="600" w:lineRule="exact"/>
        <w:ind w:firstLine="640"/>
        <w:rPr>
          <w:rFonts w:eastAsia="仿宋_GB2312" w:cs="仿宋_GB2312"/>
          <w:sz w:val="32"/>
          <w:szCs w:val="32"/>
        </w:rPr>
      </w:pPr>
      <w:r>
        <w:rPr>
          <w:rFonts w:eastAsia="仿宋_GB2312" w:cs="仿宋_GB2312"/>
          <w:sz w:val="32"/>
          <w:szCs w:val="32"/>
        </w:rPr>
        <w:t>18</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5552712">
      <w:pPr>
        <w:spacing w:line="600" w:lineRule="exact"/>
        <w:ind w:firstLine="640"/>
        <w:rPr>
          <w:rFonts w:hint="eastAsia" w:eastAsia="仿宋_GB2312" w:cs="仿宋_GB2312"/>
          <w:sz w:val="32"/>
          <w:szCs w:val="32"/>
        </w:rPr>
      </w:pPr>
      <w:r>
        <w:rPr>
          <w:rFonts w:eastAsia="仿宋_GB2312" w:cs="仿宋_GB2312"/>
          <w:sz w:val="32"/>
          <w:szCs w:val="32"/>
        </w:rPr>
        <w:t>19</w:t>
      </w: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45" w:name="_Toc15396614"/>
      <w:bookmarkStart w:id="46" w:name="_Toc15377226"/>
    </w:p>
    <w:p w14:paraId="08F92B12">
      <w:pPr>
        <w:pStyle w:val="2"/>
        <w:rPr>
          <w:rFonts w:hint="eastAsia" w:eastAsia="仿宋_GB2312" w:cs="仿宋_GB2312"/>
          <w:sz w:val="32"/>
          <w:szCs w:val="32"/>
        </w:rPr>
      </w:pPr>
    </w:p>
    <w:p w14:paraId="346A96AA">
      <w:pPr>
        <w:pStyle w:val="3"/>
        <w:rPr>
          <w:rFonts w:hint="eastAsia" w:eastAsia="仿宋_GB2312" w:cs="仿宋_GB2312"/>
          <w:sz w:val="32"/>
          <w:szCs w:val="32"/>
        </w:rPr>
      </w:pPr>
    </w:p>
    <w:p w14:paraId="5EF37426">
      <w:pPr>
        <w:pStyle w:val="3"/>
        <w:rPr>
          <w:rFonts w:hint="eastAsia" w:eastAsia="仿宋_GB2312" w:cs="仿宋_GB2312"/>
          <w:sz w:val="32"/>
          <w:szCs w:val="32"/>
        </w:rPr>
      </w:pPr>
    </w:p>
    <w:p w14:paraId="579333B8">
      <w:pPr>
        <w:pStyle w:val="3"/>
        <w:rPr>
          <w:rFonts w:hint="eastAsia" w:eastAsia="仿宋_GB2312" w:cs="仿宋_GB2312"/>
          <w:sz w:val="32"/>
          <w:szCs w:val="32"/>
        </w:rPr>
      </w:pPr>
    </w:p>
    <w:p w14:paraId="124286B7">
      <w:pPr>
        <w:pStyle w:val="3"/>
        <w:rPr>
          <w:rFonts w:hint="eastAsia" w:eastAsia="仿宋_GB2312" w:cs="仿宋_GB2312"/>
          <w:sz w:val="32"/>
          <w:szCs w:val="32"/>
        </w:rPr>
      </w:pPr>
    </w:p>
    <w:p w14:paraId="420AF373">
      <w:pPr>
        <w:pStyle w:val="3"/>
        <w:rPr>
          <w:rFonts w:hint="eastAsia" w:eastAsia="仿宋_GB2312" w:cs="仿宋_GB2312"/>
          <w:sz w:val="32"/>
          <w:szCs w:val="32"/>
        </w:rPr>
      </w:pPr>
    </w:p>
    <w:p w14:paraId="2381D644">
      <w:pPr>
        <w:pStyle w:val="3"/>
        <w:rPr>
          <w:rFonts w:hint="eastAsia" w:eastAsia="仿宋_GB2312" w:cs="仿宋_GB2312"/>
          <w:sz w:val="32"/>
          <w:szCs w:val="32"/>
        </w:rPr>
      </w:pPr>
    </w:p>
    <w:p w14:paraId="29396B9C">
      <w:pPr>
        <w:pStyle w:val="3"/>
        <w:rPr>
          <w:rFonts w:hint="eastAsia" w:eastAsia="仿宋_GB2312" w:cs="仿宋_GB2312"/>
          <w:sz w:val="32"/>
          <w:szCs w:val="32"/>
        </w:rPr>
      </w:pPr>
    </w:p>
    <w:p w14:paraId="5A89D43C">
      <w:pPr>
        <w:spacing w:line="600" w:lineRule="exact"/>
        <w:jc w:val="center"/>
        <w:rPr>
          <w:rStyle w:val="28"/>
          <w:rFonts w:eastAsia="黑体"/>
          <w:b w:val="0"/>
          <w:highlight w:val="none"/>
        </w:rPr>
      </w:pPr>
      <w:bookmarkStart w:id="61" w:name="_GoBack"/>
      <w:r>
        <w:rPr>
          <w:rFonts w:hint="eastAsia" w:eastAsia="黑体"/>
          <w:sz w:val="44"/>
          <w:szCs w:val="44"/>
          <w:highlight w:val="none"/>
        </w:rPr>
        <w:t>第四部分  附件</w:t>
      </w:r>
      <w:bookmarkEnd w:id="45"/>
    </w:p>
    <w:bookmarkEnd w:id="61"/>
    <w:p w14:paraId="3815C987">
      <w:pPr>
        <w:pStyle w:val="2"/>
      </w:pP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3"/>
        <w:gridCol w:w="798"/>
        <w:gridCol w:w="856"/>
        <w:gridCol w:w="1260"/>
        <w:gridCol w:w="484"/>
        <w:gridCol w:w="770"/>
        <w:gridCol w:w="891"/>
        <w:gridCol w:w="1060"/>
        <w:gridCol w:w="551"/>
        <w:gridCol w:w="551"/>
        <w:gridCol w:w="528"/>
      </w:tblGrid>
      <w:tr w14:paraId="7C99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48850D">
            <w:pPr>
              <w:keepNext w:val="0"/>
              <w:keepLines w:val="0"/>
              <w:widowControl/>
              <w:suppressLineNumbers w:val="0"/>
              <w:snapToGrid w:val="0"/>
              <w:jc w:val="center"/>
              <w:textAlignment w:val="center"/>
              <w:rPr>
                <w:rFonts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部门预算项目支出绩效自评表（2024年度）</w:t>
            </w:r>
          </w:p>
        </w:tc>
      </w:tr>
      <w:tr w14:paraId="76B7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D4B1A">
            <w:pPr>
              <w:keepNext w:val="0"/>
              <w:keepLines w:val="0"/>
              <w:widowControl/>
              <w:suppressLineNumbers w:val="0"/>
              <w:snapToGrid w:val="0"/>
              <w:jc w:val="left"/>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项目名称</w:t>
            </w:r>
          </w:p>
        </w:tc>
        <w:tc>
          <w:tcPr>
            <w:tcW w:w="407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691823">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51118122T000000347375-飞来殿安保</w:t>
            </w:r>
          </w:p>
        </w:tc>
      </w:tr>
      <w:tr w14:paraId="1D46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7B168">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主管部门</w:t>
            </w:r>
          </w:p>
        </w:tc>
        <w:tc>
          <w:tcPr>
            <w:tcW w:w="25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9D6A0">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文化体育和旅游局</w:t>
            </w:r>
          </w:p>
        </w:tc>
        <w:tc>
          <w:tcPr>
            <w:tcW w:w="620" w:type="pct"/>
            <w:tcBorders>
              <w:top w:val="nil"/>
              <w:left w:val="nil"/>
              <w:bottom w:val="nil"/>
              <w:right w:val="nil"/>
            </w:tcBorders>
            <w:shd w:val="clear" w:color="auto" w:fill="auto"/>
            <w:vAlign w:val="center"/>
          </w:tcPr>
          <w:p w14:paraId="0026F4A5">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实施单位 （盖章）</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013C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峨眉山市博物馆</w:t>
            </w:r>
          </w:p>
        </w:tc>
      </w:tr>
      <w:tr w14:paraId="442A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336CB">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项目基本情况</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44374">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1.项目年度目标完成情况</w:t>
            </w:r>
          </w:p>
        </w:tc>
        <w:tc>
          <w:tcPr>
            <w:tcW w:w="25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4617E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项目年度目标</w:t>
            </w:r>
          </w:p>
        </w:tc>
        <w:tc>
          <w:tcPr>
            <w:tcW w:w="15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5474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年度目标完成情况</w:t>
            </w:r>
          </w:p>
        </w:tc>
      </w:tr>
      <w:tr w14:paraId="248A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E42EE">
            <w:pPr>
              <w:snapToGrid w:val="0"/>
              <w:rPr>
                <w:rFonts w:hint="eastAsia" w:ascii="仿宋_GB2312" w:hAnsi="宋体" w:eastAsia="仿宋_GB2312" w:cs="仿宋_GB2312"/>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F6D32">
            <w:pPr>
              <w:snapToGrid w:val="0"/>
              <w:rPr>
                <w:rFonts w:hint="eastAsia" w:ascii="仿宋_GB2312" w:hAnsi="宋体" w:eastAsia="仿宋_GB2312" w:cs="仿宋_GB2312"/>
                <w:i w:val="0"/>
                <w:iCs w:val="0"/>
                <w:color w:val="000000"/>
                <w:sz w:val="22"/>
                <w:szCs w:val="22"/>
                <w:u w:val="none"/>
              </w:rPr>
            </w:pPr>
          </w:p>
        </w:tc>
        <w:tc>
          <w:tcPr>
            <w:tcW w:w="25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C117C7">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全国重点文物保护单位大庙飞来殿安保人员全年24小时值守。</w:t>
            </w:r>
          </w:p>
        </w:tc>
        <w:tc>
          <w:tcPr>
            <w:tcW w:w="15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116206">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完成全年值守工作。</w:t>
            </w:r>
          </w:p>
        </w:tc>
      </w:tr>
      <w:tr w14:paraId="465E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ACF9A">
            <w:pPr>
              <w:snapToGrid w:val="0"/>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DA8B">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2.项目实施内容及过程概述</w:t>
            </w:r>
          </w:p>
        </w:tc>
        <w:tc>
          <w:tcPr>
            <w:tcW w:w="407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424D68">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聘请人员对大庙飞来殿进行值守。</w:t>
            </w:r>
          </w:p>
        </w:tc>
      </w:tr>
      <w:tr w14:paraId="0DED0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00EA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预算执行情况（10分）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090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年度预算数（万元）</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6CF6">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年初预算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C88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调整后预算数</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8715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预算执行数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459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预算执行率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98B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权重</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AAE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B09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原因</w:t>
            </w:r>
          </w:p>
        </w:tc>
      </w:tr>
      <w:tr w14:paraId="34D1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1F2BF">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F1A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总额</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CE6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904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11.52</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AC75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FC4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6D8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828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BCC62">
            <w:pPr>
              <w:snapToGrid w:val="0"/>
              <w:rPr>
                <w:rFonts w:hint="eastAsia" w:ascii="仿宋_GB2312" w:hAnsi="宋体" w:eastAsia="仿宋_GB2312" w:cs="仿宋_GB2312"/>
                <w:i/>
                <w:iCs/>
                <w:color w:val="000000"/>
                <w:sz w:val="22"/>
                <w:szCs w:val="22"/>
                <w:u w:val="none"/>
              </w:rPr>
            </w:pPr>
          </w:p>
        </w:tc>
      </w:tr>
      <w:tr w14:paraId="66F1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2EC1A">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CDB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其中：财政资金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560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672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11.52</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00FF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CBC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735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458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E817">
            <w:pPr>
              <w:snapToGrid w:val="0"/>
              <w:rPr>
                <w:rFonts w:hint="eastAsia" w:ascii="仿宋_GB2312" w:hAnsi="宋体" w:eastAsia="仿宋_GB2312" w:cs="仿宋_GB2312"/>
                <w:i/>
                <w:iCs/>
                <w:color w:val="000000"/>
                <w:sz w:val="22"/>
                <w:szCs w:val="22"/>
                <w:u w:val="none"/>
              </w:rPr>
            </w:pPr>
          </w:p>
        </w:tc>
      </w:tr>
      <w:tr w14:paraId="391F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339EB">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36B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财政专户管理资金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C86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26A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67D2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B314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F74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4FA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2312">
            <w:pPr>
              <w:snapToGrid w:val="0"/>
              <w:rPr>
                <w:rFonts w:hint="eastAsia" w:ascii="仿宋_GB2312" w:hAnsi="宋体" w:eastAsia="仿宋_GB2312" w:cs="仿宋_GB2312"/>
                <w:i/>
                <w:iCs/>
                <w:color w:val="000000"/>
                <w:sz w:val="22"/>
                <w:szCs w:val="22"/>
                <w:u w:val="none"/>
              </w:rPr>
            </w:pPr>
          </w:p>
        </w:tc>
      </w:tr>
      <w:tr w14:paraId="5D92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B57BD">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927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33D1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603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37F76">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9F5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31C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43F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473BF">
            <w:pPr>
              <w:snapToGrid w:val="0"/>
              <w:rPr>
                <w:rFonts w:hint="eastAsia" w:ascii="仿宋_GB2312" w:hAnsi="宋体" w:eastAsia="仿宋_GB2312" w:cs="仿宋_GB2312"/>
                <w:i/>
                <w:iCs/>
                <w:color w:val="000000"/>
                <w:sz w:val="22"/>
                <w:szCs w:val="22"/>
                <w:u w:val="none"/>
              </w:rPr>
            </w:pPr>
          </w:p>
        </w:tc>
      </w:tr>
      <w:tr w14:paraId="7BBEF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05074">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ED7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393F">
            <w:pPr>
              <w:snapToGrid w:val="0"/>
              <w:jc w:val="center"/>
              <w:rPr>
                <w:rFonts w:hint="eastAsia" w:ascii="仿宋_GB2312" w:hAnsi="宋体" w:eastAsia="仿宋_GB2312" w:cs="仿宋_GB2312"/>
                <w:i/>
                <w:iCs/>
                <w:color w:val="000000"/>
                <w:sz w:val="22"/>
                <w:szCs w:val="22"/>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8768">
            <w:pPr>
              <w:snapToGrid w:val="0"/>
              <w:jc w:val="center"/>
              <w:rPr>
                <w:rFonts w:hint="eastAsia" w:ascii="仿宋_GB2312" w:hAnsi="宋体" w:eastAsia="仿宋_GB2312" w:cs="仿宋_GB2312"/>
                <w:i/>
                <w:iCs/>
                <w:color w:val="000000"/>
                <w:sz w:val="22"/>
                <w:szCs w:val="22"/>
                <w:u w:val="none"/>
              </w:rPr>
            </w:pP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7AE7D">
            <w:pPr>
              <w:snapToGrid w:val="0"/>
              <w:jc w:val="center"/>
              <w:rPr>
                <w:rFonts w:hint="eastAsia" w:ascii="仿宋_GB2312" w:hAnsi="宋体" w:eastAsia="仿宋_GB2312" w:cs="仿宋_GB2312"/>
                <w:i/>
                <w:iCs/>
                <w:color w:val="000000"/>
                <w:sz w:val="22"/>
                <w:szCs w:val="22"/>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426AE">
            <w:pPr>
              <w:snapToGrid w:val="0"/>
              <w:jc w:val="center"/>
              <w:rPr>
                <w:rFonts w:hint="eastAsia" w:ascii="仿宋_GB2312" w:hAnsi="宋体" w:eastAsia="仿宋_GB2312" w:cs="仿宋_GB2312"/>
                <w:i/>
                <w:iCs/>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5298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8E3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D21FB">
            <w:pPr>
              <w:snapToGrid w:val="0"/>
              <w:rPr>
                <w:rFonts w:hint="eastAsia" w:ascii="仿宋_GB2312" w:hAnsi="宋体" w:eastAsia="仿宋_GB2312" w:cs="仿宋_GB2312"/>
                <w:i/>
                <w:iCs/>
                <w:color w:val="000000"/>
                <w:sz w:val="22"/>
                <w:szCs w:val="22"/>
                <w:u w:val="none"/>
              </w:rPr>
            </w:pPr>
          </w:p>
        </w:tc>
      </w:tr>
      <w:tr w14:paraId="3EA2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73E9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绩效指标（90分）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372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C75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1846">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三级指标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7BA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指标性质</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A0F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指标值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0CF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度量单位</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1FA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完成值</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353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权重</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535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07B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未完成原因分析</w:t>
            </w:r>
          </w:p>
        </w:tc>
      </w:tr>
      <w:tr w14:paraId="487D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D249E">
            <w:pPr>
              <w:snapToGrid w:val="0"/>
              <w:jc w:val="center"/>
              <w:rPr>
                <w:rFonts w:hint="eastAsia" w:ascii="仿宋_GB2312" w:hAnsi="宋体" w:eastAsia="仿宋_GB2312" w:cs="仿宋_GB2312"/>
                <w:i w:val="0"/>
                <w:iCs w:val="0"/>
                <w:color w:val="000000"/>
                <w:sz w:val="22"/>
                <w:szCs w:val="22"/>
                <w:u w:val="none"/>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3DA8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产出指标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8B22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961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飞来殿安保人数</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6DC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210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8EC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6A8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92C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5B1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A83B">
            <w:pPr>
              <w:snapToGrid w:val="0"/>
              <w:jc w:val="center"/>
              <w:rPr>
                <w:rFonts w:hint="eastAsia" w:ascii="仿宋_GB2312" w:hAnsi="宋体" w:eastAsia="仿宋_GB2312" w:cs="仿宋_GB2312"/>
                <w:i/>
                <w:iCs/>
                <w:color w:val="000000"/>
                <w:sz w:val="22"/>
                <w:szCs w:val="22"/>
                <w:u w:val="none"/>
              </w:rPr>
            </w:pPr>
          </w:p>
        </w:tc>
      </w:tr>
      <w:tr w14:paraId="44AD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0A8CE">
            <w:pPr>
              <w:snapToGrid w:val="0"/>
              <w:jc w:val="center"/>
              <w:rPr>
                <w:rFonts w:hint="eastAsia" w:ascii="仿宋_GB2312" w:hAnsi="宋体" w:eastAsia="仿宋_GB2312" w:cs="仿宋_GB2312"/>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00E00">
            <w:pPr>
              <w:snapToGrid w:val="0"/>
              <w:jc w:val="center"/>
              <w:rPr>
                <w:rFonts w:hint="eastAsia" w:ascii="仿宋_GB2312" w:hAnsi="宋体" w:eastAsia="仿宋_GB2312" w:cs="仿宋_GB2312"/>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B20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质量指标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5794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飞来殿安全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372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B5E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E1B6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8D6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77E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AF9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C27F">
            <w:pPr>
              <w:snapToGrid w:val="0"/>
              <w:jc w:val="center"/>
              <w:rPr>
                <w:rFonts w:hint="eastAsia" w:ascii="仿宋_GB2312" w:hAnsi="宋体" w:eastAsia="仿宋_GB2312" w:cs="仿宋_GB2312"/>
                <w:i/>
                <w:iCs/>
                <w:color w:val="000000"/>
                <w:sz w:val="22"/>
                <w:szCs w:val="22"/>
                <w:u w:val="none"/>
              </w:rPr>
            </w:pPr>
          </w:p>
        </w:tc>
      </w:tr>
      <w:tr w14:paraId="5E9D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0F7D">
            <w:pPr>
              <w:snapToGrid w:val="0"/>
              <w:jc w:val="center"/>
              <w:rPr>
                <w:rFonts w:hint="eastAsia" w:ascii="仿宋_GB2312" w:hAnsi="宋体" w:eastAsia="仿宋_GB2312" w:cs="仿宋_GB2312"/>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C06C0">
            <w:pPr>
              <w:snapToGrid w:val="0"/>
              <w:jc w:val="center"/>
              <w:rPr>
                <w:rFonts w:hint="eastAsia" w:ascii="仿宋_GB2312" w:hAnsi="宋体" w:eastAsia="仿宋_GB2312" w:cs="仿宋_GB2312"/>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14B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时效指标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783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2022年飞来殿安保值守</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2F1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127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047E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9A0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19E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7AE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0A70">
            <w:pPr>
              <w:snapToGrid w:val="0"/>
              <w:jc w:val="center"/>
              <w:rPr>
                <w:rFonts w:hint="eastAsia" w:ascii="仿宋_GB2312" w:hAnsi="宋体" w:eastAsia="仿宋_GB2312" w:cs="仿宋_GB2312"/>
                <w:i/>
                <w:iCs/>
                <w:color w:val="000000"/>
                <w:sz w:val="22"/>
                <w:szCs w:val="22"/>
                <w:u w:val="none"/>
              </w:rPr>
            </w:pPr>
          </w:p>
        </w:tc>
      </w:tr>
      <w:tr w14:paraId="5737D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117AC">
            <w:pPr>
              <w:snapToGrid w:val="0"/>
              <w:jc w:val="center"/>
              <w:rPr>
                <w:rFonts w:hint="eastAsia" w:ascii="仿宋_GB2312" w:hAnsi="宋体" w:eastAsia="仿宋_GB2312" w:cs="仿宋_GB2312"/>
                <w:i w:val="0"/>
                <w:iCs w:val="0"/>
                <w:color w:val="000000"/>
                <w:sz w:val="22"/>
                <w:szCs w:val="22"/>
                <w:u w:val="none"/>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0CB5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效益指标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C3D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社会效益指标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948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飞来殿安全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A726">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1D2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7D8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BF7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101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D4D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2C69">
            <w:pPr>
              <w:snapToGrid w:val="0"/>
              <w:jc w:val="center"/>
              <w:rPr>
                <w:rFonts w:hint="eastAsia" w:ascii="仿宋_GB2312" w:hAnsi="宋体" w:eastAsia="仿宋_GB2312" w:cs="仿宋_GB2312"/>
                <w:i/>
                <w:iCs/>
                <w:color w:val="000000"/>
                <w:sz w:val="22"/>
                <w:szCs w:val="22"/>
                <w:u w:val="none"/>
              </w:rPr>
            </w:pPr>
          </w:p>
        </w:tc>
      </w:tr>
      <w:tr w14:paraId="26E6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E0D66">
            <w:pPr>
              <w:snapToGrid w:val="0"/>
              <w:jc w:val="center"/>
              <w:rPr>
                <w:rFonts w:hint="eastAsia" w:ascii="仿宋_GB2312" w:hAnsi="宋体" w:eastAsia="仿宋_GB2312" w:cs="仿宋_GB2312"/>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A0C28">
            <w:pPr>
              <w:snapToGrid w:val="0"/>
              <w:jc w:val="center"/>
              <w:rPr>
                <w:rFonts w:hint="eastAsia" w:ascii="仿宋_GB2312" w:hAnsi="宋体" w:eastAsia="仿宋_GB2312" w:cs="仿宋_GB2312"/>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B76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可持续影响指标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C02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增强全民文物保护意识</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BDF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371E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0B0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BD9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613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9D7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3445">
            <w:pPr>
              <w:snapToGrid w:val="0"/>
              <w:jc w:val="center"/>
              <w:rPr>
                <w:rFonts w:hint="eastAsia" w:ascii="仿宋_GB2312" w:hAnsi="宋体" w:eastAsia="仿宋_GB2312" w:cs="仿宋_GB2312"/>
                <w:i/>
                <w:iCs/>
                <w:color w:val="000000"/>
                <w:sz w:val="22"/>
                <w:szCs w:val="22"/>
                <w:u w:val="none"/>
              </w:rPr>
            </w:pPr>
          </w:p>
        </w:tc>
      </w:tr>
      <w:tr w14:paraId="5B23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35C58">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063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满意度指标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2E46">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服务对象满意度指标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475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完成安保协议内容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05D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F93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F25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DEA6">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292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335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F2A7">
            <w:pPr>
              <w:snapToGrid w:val="0"/>
              <w:jc w:val="center"/>
              <w:rPr>
                <w:rFonts w:hint="eastAsia" w:ascii="仿宋_GB2312" w:hAnsi="宋体" w:eastAsia="仿宋_GB2312" w:cs="仿宋_GB2312"/>
                <w:i/>
                <w:iCs/>
                <w:color w:val="000000"/>
                <w:sz w:val="22"/>
                <w:szCs w:val="22"/>
                <w:u w:val="none"/>
              </w:rPr>
            </w:pPr>
          </w:p>
        </w:tc>
      </w:tr>
      <w:tr w14:paraId="0C73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6F1F7">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252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成本指标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888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经济成本指标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AB8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预算内开展飞来殿安保工作</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A97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2D6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11.52</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6BF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万元</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FDE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11.52</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653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430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7553E">
            <w:pPr>
              <w:snapToGrid w:val="0"/>
              <w:jc w:val="center"/>
              <w:rPr>
                <w:rFonts w:hint="eastAsia" w:ascii="仿宋_GB2312" w:hAnsi="宋体" w:eastAsia="仿宋_GB2312" w:cs="仿宋_GB2312"/>
                <w:i/>
                <w:iCs/>
                <w:color w:val="000000"/>
                <w:sz w:val="22"/>
                <w:szCs w:val="22"/>
                <w:u w:val="none"/>
              </w:rPr>
            </w:pPr>
          </w:p>
        </w:tc>
      </w:tr>
      <w:tr w14:paraId="3BD4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934CA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925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176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AD2E">
            <w:pPr>
              <w:snapToGrid w:val="0"/>
              <w:rPr>
                <w:rFonts w:hint="eastAsia" w:ascii="仿宋_GB2312" w:hAnsi="宋体" w:eastAsia="仿宋_GB2312" w:cs="仿宋_GB2312"/>
                <w:i w:val="0"/>
                <w:iCs w:val="0"/>
                <w:color w:val="000000"/>
                <w:sz w:val="22"/>
                <w:szCs w:val="22"/>
                <w:u w:val="none"/>
              </w:rPr>
            </w:pPr>
          </w:p>
        </w:tc>
      </w:tr>
      <w:tr w14:paraId="0B40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75F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评价结论</w:t>
            </w:r>
          </w:p>
        </w:tc>
        <w:tc>
          <w:tcPr>
            <w:tcW w:w="45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BE0969">
            <w:pPr>
              <w:keepNext w:val="0"/>
              <w:keepLines w:val="0"/>
              <w:widowControl/>
              <w:suppressLineNumbers w:val="0"/>
              <w:snapToGrid w:val="0"/>
              <w:jc w:val="left"/>
              <w:textAlignment w:val="center"/>
              <w:rPr>
                <w:rFonts w:hint="eastAsia" w:ascii="仿宋_GB2312" w:hAnsi="宋体" w:eastAsia="仿宋_GB2312" w:cs="仿宋_GB2312"/>
                <w:i/>
                <w:iCs/>
                <w:color w:val="000000"/>
                <w:sz w:val="22"/>
                <w:szCs w:val="22"/>
                <w:u w:val="none"/>
              </w:rPr>
            </w:pPr>
            <w:r>
              <w:rPr>
                <w:rFonts w:hint="eastAsia" w:ascii="仿宋_GB2312" w:hAnsi="宋体" w:eastAsia="仿宋_GB2312" w:cs="仿宋_GB2312"/>
                <w:i/>
                <w:iCs/>
                <w:color w:val="000000"/>
                <w:kern w:val="0"/>
                <w:sz w:val="22"/>
                <w:szCs w:val="22"/>
                <w:u w:val="none"/>
                <w:lang w:val="en-US" w:eastAsia="zh-CN" w:bidi="ar"/>
              </w:rPr>
              <w:t>完成项目执行目标。</w:t>
            </w:r>
          </w:p>
        </w:tc>
      </w:tr>
      <w:tr w14:paraId="53E3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DD5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存在问题</w:t>
            </w:r>
          </w:p>
        </w:tc>
        <w:tc>
          <w:tcPr>
            <w:tcW w:w="45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4BC1F1">
            <w:pPr>
              <w:keepNext w:val="0"/>
              <w:keepLines w:val="0"/>
              <w:widowControl/>
              <w:suppressLineNumbers w:val="0"/>
              <w:snapToGrid w:val="0"/>
              <w:jc w:val="left"/>
              <w:textAlignment w:val="center"/>
              <w:rPr>
                <w:rFonts w:hint="eastAsia" w:ascii="仿宋_GB2312" w:hAnsi="宋体" w:eastAsia="仿宋_GB2312" w:cs="仿宋_GB2312"/>
                <w:i/>
                <w:iCs/>
                <w:color w:val="000000"/>
                <w:sz w:val="22"/>
                <w:szCs w:val="22"/>
                <w:u w:val="none"/>
              </w:rPr>
            </w:pPr>
            <w:r>
              <w:rPr>
                <w:rFonts w:hint="eastAsia" w:ascii="仿宋_GB2312" w:hAnsi="宋体" w:eastAsia="仿宋_GB2312" w:cs="仿宋_GB2312"/>
                <w:i/>
                <w:iCs/>
                <w:color w:val="000000"/>
                <w:kern w:val="0"/>
                <w:sz w:val="22"/>
                <w:szCs w:val="22"/>
                <w:u w:val="none"/>
                <w:lang w:val="en-US" w:eastAsia="zh-CN" w:bidi="ar"/>
              </w:rPr>
              <w:t>无。</w:t>
            </w:r>
          </w:p>
        </w:tc>
      </w:tr>
      <w:tr w14:paraId="7249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7FF6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改进措施</w:t>
            </w:r>
          </w:p>
        </w:tc>
        <w:tc>
          <w:tcPr>
            <w:tcW w:w="45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45B554">
            <w:pPr>
              <w:keepNext w:val="0"/>
              <w:keepLines w:val="0"/>
              <w:widowControl/>
              <w:suppressLineNumbers w:val="0"/>
              <w:snapToGrid w:val="0"/>
              <w:jc w:val="left"/>
              <w:textAlignment w:val="center"/>
              <w:rPr>
                <w:rFonts w:hint="eastAsia" w:ascii="仿宋_GB2312" w:hAnsi="宋体" w:eastAsia="仿宋_GB2312" w:cs="仿宋_GB2312"/>
                <w:i/>
                <w:iCs/>
                <w:color w:val="000000"/>
                <w:sz w:val="22"/>
                <w:szCs w:val="22"/>
                <w:u w:val="none"/>
              </w:rPr>
            </w:pPr>
            <w:r>
              <w:rPr>
                <w:rFonts w:hint="eastAsia" w:ascii="仿宋_GB2312" w:hAnsi="宋体" w:eastAsia="仿宋_GB2312" w:cs="仿宋_GB2312"/>
                <w:i/>
                <w:iCs/>
                <w:color w:val="000000"/>
                <w:kern w:val="0"/>
                <w:sz w:val="22"/>
                <w:szCs w:val="22"/>
                <w:u w:val="none"/>
                <w:lang w:val="en-US" w:eastAsia="zh-CN" w:bidi="ar"/>
              </w:rPr>
              <w:t>无。</w:t>
            </w:r>
          </w:p>
        </w:tc>
      </w:tr>
      <w:tr w14:paraId="1B84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31D3B">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项目负责人：代成刚</w:t>
            </w:r>
          </w:p>
        </w:tc>
        <w:tc>
          <w:tcPr>
            <w:tcW w:w="255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8DC6E9">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财务负责人：罗琴</w:t>
            </w:r>
          </w:p>
        </w:tc>
      </w:tr>
      <w:tr w14:paraId="1E91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tcBorders>
              <w:top w:val="nil"/>
              <w:left w:val="nil"/>
              <w:bottom w:val="nil"/>
              <w:right w:val="nil"/>
            </w:tcBorders>
            <w:shd w:val="clear" w:color="auto" w:fill="auto"/>
            <w:vAlign w:val="center"/>
          </w:tcPr>
          <w:p w14:paraId="536962FD">
            <w:pPr>
              <w:snapToGrid w:val="0"/>
              <w:rPr>
                <w:rFonts w:hint="eastAsia" w:ascii="仿宋_GB2312" w:hAnsi="宋体" w:eastAsia="仿宋_GB2312" w:cs="仿宋_GB2312"/>
                <w:i w:val="0"/>
                <w:iCs w:val="0"/>
                <w:color w:val="000000"/>
                <w:sz w:val="22"/>
                <w:szCs w:val="22"/>
                <w:u w:val="none"/>
              </w:rPr>
            </w:pPr>
          </w:p>
        </w:tc>
        <w:tc>
          <w:tcPr>
            <w:tcW w:w="468" w:type="pct"/>
            <w:tcBorders>
              <w:top w:val="nil"/>
              <w:left w:val="nil"/>
              <w:bottom w:val="nil"/>
              <w:right w:val="nil"/>
            </w:tcBorders>
            <w:shd w:val="clear" w:color="auto" w:fill="auto"/>
            <w:vAlign w:val="center"/>
          </w:tcPr>
          <w:p w14:paraId="3AADED7D">
            <w:pPr>
              <w:snapToGrid w:val="0"/>
              <w:rPr>
                <w:rFonts w:hint="eastAsia" w:ascii="仿宋_GB2312" w:hAnsi="宋体" w:eastAsia="仿宋_GB2312" w:cs="仿宋_GB2312"/>
                <w:i w:val="0"/>
                <w:iCs w:val="0"/>
                <w:color w:val="000000"/>
                <w:sz w:val="22"/>
                <w:szCs w:val="22"/>
                <w:u w:val="none"/>
              </w:rPr>
            </w:pPr>
          </w:p>
        </w:tc>
        <w:tc>
          <w:tcPr>
            <w:tcW w:w="502" w:type="pct"/>
            <w:tcBorders>
              <w:top w:val="nil"/>
              <w:left w:val="nil"/>
              <w:bottom w:val="nil"/>
              <w:right w:val="nil"/>
            </w:tcBorders>
            <w:shd w:val="clear" w:color="auto" w:fill="auto"/>
            <w:vAlign w:val="center"/>
          </w:tcPr>
          <w:p w14:paraId="0C366D98">
            <w:pPr>
              <w:snapToGrid w:val="0"/>
              <w:rPr>
                <w:rFonts w:hint="eastAsia" w:ascii="仿宋_GB2312" w:hAnsi="宋体" w:eastAsia="仿宋_GB2312" w:cs="仿宋_GB2312"/>
                <w:i w:val="0"/>
                <w:iCs w:val="0"/>
                <w:color w:val="000000"/>
                <w:sz w:val="22"/>
                <w:szCs w:val="22"/>
                <w:u w:val="none"/>
              </w:rPr>
            </w:pPr>
          </w:p>
          <w:p w14:paraId="1D242A36">
            <w:pPr>
              <w:snapToGrid w:val="0"/>
              <w:rPr>
                <w:rFonts w:hint="eastAsia" w:ascii="仿宋_GB2312" w:hAnsi="宋体" w:eastAsia="仿宋_GB2312" w:cs="仿宋_GB2312"/>
                <w:i w:val="0"/>
                <w:iCs w:val="0"/>
                <w:color w:val="000000"/>
                <w:sz w:val="22"/>
                <w:szCs w:val="22"/>
                <w:u w:val="none"/>
              </w:rPr>
            </w:pPr>
          </w:p>
          <w:p w14:paraId="669EF210">
            <w:pPr>
              <w:snapToGrid w:val="0"/>
              <w:rPr>
                <w:rFonts w:hint="eastAsia" w:ascii="仿宋_GB2312" w:hAnsi="宋体" w:eastAsia="仿宋_GB2312" w:cs="仿宋_GB2312"/>
                <w:i w:val="0"/>
                <w:iCs w:val="0"/>
                <w:color w:val="000000"/>
                <w:sz w:val="22"/>
                <w:szCs w:val="22"/>
                <w:u w:val="none"/>
              </w:rPr>
            </w:pPr>
          </w:p>
        </w:tc>
        <w:tc>
          <w:tcPr>
            <w:tcW w:w="739" w:type="pct"/>
            <w:tcBorders>
              <w:top w:val="nil"/>
              <w:left w:val="nil"/>
              <w:bottom w:val="nil"/>
              <w:right w:val="nil"/>
            </w:tcBorders>
            <w:shd w:val="clear" w:color="auto" w:fill="auto"/>
            <w:vAlign w:val="center"/>
          </w:tcPr>
          <w:p w14:paraId="6AA291BA">
            <w:pPr>
              <w:snapToGrid w:val="0"/>
              <w:rPr>
                <w:rFonts w:hint="eastAsia" w:ascii="仿宋_GB2312" w:hAnsi="宋体" w:eastAsia="仿宋_GB2312" w:cs="仿宋_GB2312"/>
                <w:i w:val="0"/>
                <w:iCs w:val="0"/>
                <w:color w:val="000000"/>
                <w:sz w:val="22"/>
                <w:szCs w:val="22"/>
                <w:u w:val="none"/>
              </w:rPr>
            </w:pPr>
          </w:p>
        </w:tc>
        <w:tc>
          <w:tcPr>
            <w:tcW w:w="282" w:type="pct"/>
            <w:tcBorders>
              <w:top w:val="nil"/>
              <w:left w:val="nil"/>
              <w:bottom w:val="nil"/>
              <w:right w:val="nil"/>
            </w:tcBorders>
            <w:shd w:val="clear" w:color="auto" w:fill="auto"/>
            <w:vAlign w:val="center"/>
          </w:tcPr>
          <w:p w14:paraId="1AADC0C6">
            <w:pPr>
              <w:snapToGrid w:val="0"/>
              <w:rPr>
                <w:rFonts w:hint="eastAsia" w:ascii="仿宋_GB2312" w:hAnsi="宋体" w:eastAsia="仿宋_GB2312" w:cs="仿宋_GB2312"/>
                <w:i w:val="0"/>
                <w:iCs w:val="0"/>
                <w:color w:val="000000"/>
                <w:sz w:val="22"/>
                <w:szCs w:val="22"/>
                <w:u w:val="none"/>
              </w:rPr>
            </w:pPr>
          </w:p>
        </w:tc>
        <w:tc>
          <w:tcPr>
            <w:tcW w:w="452" w:type="pct"/>
            <w:tcBorders>
              <w:top w:val="nil"/>
              <w:left w:val="nil"/>
              <w:bottom w:val="nil"/>
              <w:right w:val="nil"/>
            </w:tcBorders>
            <w:shd w:val="clear" w:color="auto" w:fill="auto"/>
            <w:vAlign w:val="center"/>
          </w:tcPr>
          <w:p w14:paraId="06F838F6">
            <w:pPr>
              <w:snapToGrid w:val="0"/>
              <w:rPr>
                <w:rFonts w:hint="eastAsia" w:ascii="仿宋_GB2312" w:hAnsi="宋体" w:eastAsia="仿宋_GB2312" w:cs="仿宋_GB2312"/>
                <w:i w:val="0"/>
                <w:iCs w:val="0"/>
                <w:color w:val="000000"/>
                <w:sz w:val="22"/>
                <w:szCs w:val="22"/>
                <w:u w:val="none"/>
              </w:rPr>
            </w:pPr>
          </w:p>
        </w:tc>
        <w:tc>
          <w:tcPr>
            <w:tcW w:w="522" w:type="pct"/>
            <w:tcBorders>
              <w:top w:val="nil"/>
              <w:left w:val="nil"/>
              <w:bottom w:val="nil"/>
              <w:right w:val="nil"/>
            </w:tcBorders>
            <w:shd w:val="clear" w:color="auto" w:fill="auto"/>
            <w:vAlign w:val="center"/>
          </w:tcPr>
          <w:p w14:paraId="1D433063">
            <w:pPr>
              <w:snapToGrid w:val="0"/>
              <w:rPr>
                <w:rFonts w:hint="eastAsia" w:ascii="仿宋_GB2312" w:hAnsi="宋体" w:eastAsia="仿宋_GB2312" w:cs="仿宋_GB2312"/>
                <w:i w:val="0"/>
                <w:iCs w:val="0"/>
                <w:color w:val="000000"/>
                <w:sz w:val="22"/>
                <w:szCs w:val="22"/>
                <w:u w:val="none"/>
              </w:rPr>
            </w:pPr>
          </w:p>
        </w:tc>
        <w:tc>
          <w:tcPr>
            <w:tcW w:w="620" w:type="pct"/>
            <w:tcBorders>
              <w:top w:val="nil"/>
              <w:left w:val="nil"/>
              <w:bottom w:val="nil"/>
              <w:right w:val="nil"/>
            </w:tcBorders>
            <w:shd w:val="clear" w:color="auto" w:fill="auto"/>
            <w:vAlign w:val="center"/>
          </w:tcPr>
          <w:p w14:paraId="37C30304">
            <w:pPr>
              <w:snapToGrid w:val="0"/>
              <w:rPr>
                <w:rFonts w:hint="eastAsia" w:ascii="仿宋_GB2312" w:hAnsi="宋体" w:eastAsia="仿宋_GB2312" w:cs="仿宋_GB2312"/>
                <w:i w:val="0"/>
                <w:iCs w:val="0"/>
                <w:color w:val="000000"/>
                <w:sz w:val="22"/>
                <w:szCs w:val="22"/>
                <w:u w:val="none"/>
              </w:rPr>
            </w:pPr>
          </w:p>
        </w:tc>
        <w:tc>
          <w:tcPr>
            <w:tcW w:w="323" w:type="pct"/>
            <w:tcBorders>
              <w:top w:val="nil"/>
              <w:left w:val="nil"/>
              <w:bottom w:val="nil"/>
              <w:right w:val="nil"/>
            </w:tcBorders>
            <w:shd w:val="clear" w:color="auto" w:fill="auto"/>
            <w:vAlign w:val="center"/>
          </w:tcPr>
          <w:p w14:paraId="7E0F4B00">
            <w:pPr>
              <w:snapToGrid w:val="0"/>
              <w:rPr>
                <w:rFonts w:hint="eastAsia" w:ascii="仿宋_GB2312" w:hAnsi="宋体" w:eastAsia="仿宋_GB2312" w:cs="仿宋_GB2312"/>
                <w:i w:val="0"/>
                <w:iCs w:val="0"/>
                <w:color w:val="000000"/>
                <w:sz w:val="22"/>
                <w:szCs w:val="22"/>
                <w:u w:val="none"/>
              </w:rPr>
            </w:pPr>
          </w:p>
        </w:tc>
        <w:tc>
          <w:tcPr>
            <w:tcW w:w="323" w:type="pct"/>
            <w:tcBorders>
              <w:top w:val="nil"/>
              <w:left w:val="nil"/>
              <w:bottom w:val="nil"/>
              <w:right w:val="nil"/>
            </w:tcBorders>
            <w:shd w:val="clear" w:color="auto" w:fill="auto"/>
            <w:vAlign w:val="center"/>
          </w:tcPr>
          <w:p w14:paraId="7B87E922">
            <w:pPr>
              <w:snapToGrid w:val="0"/>
              <w:jc w:val="center"/>
              <w:rPr>
                <w:rFonts w:hint="eastAsia" w:ascii="仿宋_GB2312" w:hAnsi="宋体" w:eastAsia="仿宋_GB2312" w:cs="仿宋_GB2312"/>
                <w:i w:val="0"/>
                <w:iCs w:val="0"/>
                <w:color w:val="000000"/>
                <w:sz w:val="22"/>
                <w:szCs w:val="22"/>
                <w:u w:val="none"/>
              </w:rPr>
            </w:pPr>
          </w:p>
        </w:tc>
        <w:tc>
          <w:tcPr>
            <w:tcW w:w="308" w:type="pct"/>
            <w:tcBorders>
              <w:top w:val="nil"/>
              <w:left w:val="nil"/>
              <w:bottom w:val="nil"/>
              <w:right w:val="nil"/>
            </w:tcBorders>
            <w:shd w:val="clear" w:color="auto" w:fill="auto"/>
            <w:vAlign w:val="center"/>
          </w:tcPr>
          <w:p w14:paraId="1D54599F">
            <w:pPr>
              <w:snapToGrid w:val="0"/>
              <w:rPr>
                <w:rFonts w:hint="eastAsia" w:ascii="仿宋_GB2312" w:hAnsi="宋体" w:eastAsia="仿宋_GB2312" w:cs="仿宋_GB2312"/>
                <w:i w:val="0"/>
                <w:iCs w:val="0"/>
                <w:color w:val="000000"/>
                <w:sz w:val="22"/>
                <w:szCs w:val="22"/>
                <w:u w:val="none"/>
              </w:rPr>
            </w:pPr>
          </w:p>
        </w:tc>
      </w:tr>
      <w:tr w14:paraId="6733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77D923">
            <w:pPr>
              <w:keepNext w:val="0"/>
              <w:keepLines w:val="0"/>
              <w:widowControl/>
              <w:suppressLineNumbers w:val="0"/>
              <w:snapToGrid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部门预算项目支出绩效自评表（2024年度）</w:t>
            </w:r>
          </w:p>
        </w:tc>
      </w:tr>
      <w:tr w14:paraId="5613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33658">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项目名称</w:t>
            </w:r>
          </w:p>
        </w:tc>
        <w:tc>
          <w:tcPr>
            <w:tcW w:w="407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1FD5B7">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51118122T000000391847-文物保护费</w:t>
            </w:r>
          </w:p>
        </w:tc>
      </w:tr>
      <w:tr w14:paraId="4D7F1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0347F">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主管部门</w:t>
            </w:r>
          </w:p>
        </w:tc>
        <w:tc>
          <w:tcPr>
            <w:tcW w:w="25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FC108">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文化体育和旅游局</w:t>
            </w:r>
          </w:p>
        </w:tc>
        <w:tc>
          <w:tcPr>
            <w:tcW w:w="620" w:type="pct"/>
            <w:tcBorders>
              <w:top w:val="nil"/>
              <w:left w:val="nil"/>
              <w:bottom w:val="nil"/>
              <w:right w:val="nil"/>
            </w:tcBorders>
            <w:shd w:val="clear" w:color="auto" w:fill="auto"/>
            <w:vAlign w:val="center"/>
          </w:tcPr>
          <w:p w14:paraId="33D77D2D">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实施单位 （盖章）</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6857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峨眉山市博物馆</w:t>
            </w:r>
          </w:p>
        </w:tc>
      </w:tr>
      <w:tr w14:paraId="3A70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05B31">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项目基本情况</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08AEB">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1.项目年度目标完成情况</w:t>
            </w:r>
          </w:p>
        </w:tc>
        <w:tc>
          <w:tcPr>
            <w:tcW w:w="25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C7E5A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项目年度目标</w:t>
            </w:r>
          </w:p>
        </w:tc>
        <w:tc>
          <w:tcPr>
            <w:tcW w:w="15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F98C3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年度目标完成情况</w:t>
            </w:r>
          </w:p>
        </w:tc>
      </w:tr>
      <w:tr w14:paraId="19A5F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C3863">
            <w:pPr>
              <w:snapToGrid w:val="0"/>
              <w:rPr>
                <w:rFonts w:hint="eastAsia" w:ascii="仿宋_GB2312" w:hAnsi="宋体" w:eastAsia="仿宋_GB2312" w:cs="仿宋_GB2312"/>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4A519">
            <w:pPr>
              <w:snapToGrid w:val="0"/>
              <w:rPr>
                <w:rFonts w:hint="eastAsia" w:ascii="仿宋_GB2312" w:hAnsi="宋体" w:eastAsia="仿宋_GB2312" w:cs="仿宋_GB2312"/>
                <w:i w:val="0"/>
                <w:iCs w:val="0"/>
                <w:color w:val="000000"/>
                <w:sz w:val="22"/>
                <w:szCs w:val="22"/>
                <w:u w:val="none"/>
              </w:rPr>
            </w:pPr>
          </w:p>
        </w:tc>
        <w:tc>
          <w:tcPr>
            <w:tcW w:w="25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D2FE8">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加强文物保护，保证文物保护资金的有效合理使用，确保全市文物安全。</w:t>
            </w:r>
          </w:p>
        </w:tc>
        <w:tc>
          <w:tcPr>
            <w:tcW w:w="15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B13868">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完成本年度保护与利用目标。</w:t>
            </w:r>
          </w:p>
        </w:tc>
      </w:tr>
      <w:tr w14:paraId="738B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B901">
            <w:pPr>
              <w:snapToGrid w:val="0"/>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A3F1">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2.项目实施内容及过程概述</w:t>
            </w:r>
          </w:p>
        </w:tc>
        <w:tc>
          <w:tcPr>
            <w:tcW w:w="407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A5FD46">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进行文物保护与日常维护。</w:t>
            </w:r>
          </w:p>
        </w:tc>
      </w:tr>
      <w:tr w14:paraId="0F431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7CB8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预算执行情况（10分）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53F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年度预算数（万元）</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09A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年初预算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FBC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调整后预算数</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CDA4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预算执行数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81F4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预算执行率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A851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权重</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7A5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474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原因</w:t>
            </w:r>
          </w:p>
        </w:tc>
      </w:tr>
      <w:tr w14:paraId="67B0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44184">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EB2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总额</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97F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7F1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9.82</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633E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818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ED8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818E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3F4FD">
            <w:pPr>
              <w:snapToGrid w:val="0"/>
              <w:rPr>
                <w:rFonts w:hint="eastAsia" w:ascii="仿宋_GB2312" w:hAnsi="宋体" w:eastAsia="仿宋_GB2312" w:cs="仿宋_GB2312"/>
                <w:i/>
                <w:iCs/>
                <w:color w:val="000000"/>
                <w:sz w:val="22"/>
                <w:szCs w:val="22"/>
                <w:u w:val="none"/>
              </w:rPr>
            </w:pPr>
          </w:p>
        </w:tc>
      </w:tr>
      <w:tr w14:paraId="77B1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48D67">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6D26">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其中：财政资金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AD17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D3F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9.82</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B5B2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9.82</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85B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FBF2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C1C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58A51">
            <w:pPr>
              <w:snapToGrid w:val="0"/>
              <w:rPr>
                <w:rFonts w:hint="eastAsia" w:ascii="仿宋_GB2312" w:hAnsi="宋体" w:eastAsia="仿宋_GB2312" w:cs="仿宋_GB2312"/>
                <w:i/>
                <w:iCs/>
                <w:color w:val="000000"/>
                <w:sz w:val="22"/>
                <w:szCs w:val="22"/>
                <w:u w:val="none"/>
              </w:rPr>
            </w:pPr>
          </w:p>
        </w:tc>
      </w:tr>
      <w:tr w14:paraId="32CE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4EA4C">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0DF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财政专户管理资金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FB6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1A02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B69E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F28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5C0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A9E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29144">
            <w:pPr>
              <w:snapToGrid w:val="0"/>
              <w:rPr>
                <w:rFonts w:hint="eastAsia" w:ascii="仿宋_GB2312" w:hAnsi="宋体" w:eastAsia="仿宋_GB2312" w:cs="仿宋_GB2312"/>
                <w:i/>
                <w:iCs/>
                <w:color w:val="000000"/>
                <w:sz w:val="22"/>
                <w:szCs w:val="22"/>
                <w:u w:val="none"/>
              </w:rPr>
            </w:pPr>
          </w:p>
        </w:tc>
      </w:tr>
      <w:tr w14:paraId="3072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03150">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E1A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9F6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1353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AA02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750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121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0A6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F435B">
            <w:pPr>
              <w:snapToGrid w:val="0"/>
              <w:rPr>
                <w:rFonts w:hint="eastAsia" w:ascii="仿宋_GB2312" w:hAnsi="宋体" w:eastAsia="仿宋_GB2312" w:cs="仿宋_GB2312"/>
                <w:i/>
                <w:iCs/>
                <w:color w:val="000000"/>
                <w:sz w:val="22"/>
                <w:szCs w:val="22"/>
                <w:u w:val="none"/>
              </w:rPr>
            </w:pPr>
          </w:p>
        </w:tc>
      </w:tr>
      <w:tr w14:paraId="6093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20F12">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EB2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D502">
            <w:pPr>
              <w:snapToGrid w:val="0"/>
              <w:jc w:val="center"/>
              <w:rPr>
                <w:rFonts w:hint="eastAsia" w:ascii="仿宋_GB2312" w:hAnsi="宋体" w:eastAsia="仿宋_GB2312" w:cs="仿宋_GB2312"/>
                <w:i/>
                <w:iCs/>
                <w:color w:val="000000"/>
                <w:sz w:val="22"/>
                <w:szCs w:val="22"/>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4026">
            <w:pPr>
              <w:snapToGrid w:val="0"/>
              <w:jc w:val="center"/>
              <w:rPr>
                <w:rFonts w:hint="eastAsia" w:ascii="仿宋_GB2312" w:hAnsi="宋体" w:eastAsia="仿宋_GB2312" w:cs="仿宋_GB2312"/>
                <w:i/>
                <w:iCs/>
                <w:color w:val="000000"/>
                <w:sz w:val="22"/>
                <w:szCs w:val="22"/>
                <w:u w:val="none"/>
              </w:rPr>
            </w:pP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2AEEF">
            <w:pPr>
              <w:snapToGrid w:val="0"/>
              <w:jc w:val="center"/>
              <w:rPr>
                <w:rFonts w:hint="eastAsia" w:ascii="仿宋_GB2312" w:hAnsi="宋体" w:eastAsia="仿宋_GB2312" w:cs="仿宋_GB2312"/>
                <w:i/>
                <w:iCs/>
                <w:color w:val="000000"/>
                <w:sz w:val="22"/>
                <w:szCs w:val="22"/>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8A34">
            <w:pPr>
              <w:snapToGrid w:val="0"/>
              <w:jc w:val="center"/>
              <w:rPr>
                <w:rFonts w:hint="eastAsia" w:ascii="仿宋_GB2312" w:hAnsi="宋体" w:eastAsia="仿宋_GB2312" w:cs="仿宋_GB2312"/>
                <w:i/>
                <w:iCs/>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B4E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003F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0DBBB">
            <w:pPr>
              <w:snapToGrid w:val="0"/>
              <w:rPr>
                <w:rFonts w:hint="eastAsia" w:ascii="仿宋_GB2312" w:hAnsi="宋体" w:eastAsia="仿宋_GB2312" w:cs="仿宋_GB2312"/>
                <w:i/>
                <w:iCs/>
                <w:color w:val="000000"/>
                <w:sz w:val="22"/>
                <w:szCs w:val="22"/>
                <w:u w:val="none"/>
              </w:rPr>
            </w:pPr>
          </w:p>
        </w:tc>
      </w:tr>
      <w:tr w14:paraId="33966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1AD8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绩效指标（90分）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D91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3656">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1FB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三级指标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46C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指标性质</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25B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指标值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367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度量单位</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0CEE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完成值</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4CA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权重</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ADE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BA7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未完成原因分析</w:t>
            </w:r>
          </w:p>
        </w:tc>
      </w:tr>
      <w:tr w14:paraId="44D2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69D5E">
            <w:pPr>
              <w:snapToGrid w:val="0"/>
              <w:jc w:val="center"/>
              <w:rPr>
                <w:rFonts w:hint="eastAsia" w:ascii="仿宋_GB2312" w:hAnsi="宋体" w:eastAsia="仿宋_GB2312" w:cs="仿宋_GB2312"/>
                <w:i w:val="0"/>
                <w:iCs w:val="0"/>
                <w:color w:val="000000"/>
                <w:sz w:val="22"/>
                <w:szCs w:val="22"/>
                <w:u w:val="none"/>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2DA76">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产出指标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D55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4CF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文物保护单位（点）的专项检查和日常巡查次数</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614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2D6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48FC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天/月</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347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90B1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001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33CA">
            <w:pPr>
              <w:snapToGrid w:val="0"/>
              <w:jc w:val="center"/>
              <w:rPr>
                <w:rFonts w:hint="eastAsia" w:ascii="仿宋_GB2312" w:hAnsi="宋体" w:eastAsia="仿宋_GB2312" w:cs="仿宋_GB2312"/>
                <w:i/>
                <w:iCs/>
                <w:color w:val="000000"/>
                <w:sz w:val="22"/>
                <w:szCs w:val="22"/>
                <w:u w:val="none"/>
              </w:rPr>
            </w:pPr>
          </w:p>
        </w:tc>
      </w:tr>
      <w:tr w14:paraId="2B0F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E2EB0">
            <w:pPr>
              <w:snapToGrid w:val="0"/>
              <w:jc w:val="center"/>
              <w:rPr>
                <w:rFonts w:hint="eastAsia" w:ascii="仿宋_GB2312" w:hAnsi="宋体" w:eastAsia="仿宋_GB2312" w:cs="仿宋_GB2312"/>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B62F1">
            <w:pPr>
              <w:snapToGrid w:val="0"/>
              <w:jc w:val="center"/>
              <w:rPr>
                <w:rFonts w:hint="eastAsia" w:ascii="仿宋_GB2312" w:hAnsi="宋体" w:eastAsia="仿宋_GB2312" w:cs="仿宋_GB2312"/>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C18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质量指标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33B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文物库房监控和看护，无人为安全责任事故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E64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7D6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73C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9A1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527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472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E285">
            <w:pPr>
              <w:snapToGrid w:val="0"/>
              <w:jc w:val="center"/>
              <w:rPr>
                <w:rFonts w:hint="eastAsia" w:ascii="仿宋_GB2312" w:hAnsi="宋体" w:eastAsia="仿宋_GB2312" w:cs="仿宋_GB2312"/>
                <w:i/>
                <w:iCs/>
                <w:color w:val="000000"/>
                <w:sz w:val="22"/>
                <w:szCs w:val="22"/>
                <w:u w:val="none"/>
              </w:rPr>
            </w:pPr>
          </w:p>
        </w:tc>
      </w:tr>
      <w:tr w14:paraId="3BB8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1BC52">
            <w:pPr>
              <w:snapToGrid w:val="0"/>
              <w:jc w:val="center"/>
              <w:rPr>
                <w:rFonts w:hint="eastAsia" w:ascii="仿宋_GB2312" w:hAnsi="宋体" w:eastAsia="仿宋_GB2312" w:cs="仿宋_GB2312"/>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00E1E">
            <w:pPr>
              <w:snapToGrid w:val="0"/>
              <w:jc w:val="center"/>
              <w:rPr>
                <w:rFonts w:hint="eastAsia" w:ascii="仿宋_GB2312" w:hAnsi="宋体" w:eastAsia="仿宋_GB2312" w:cs="仿宋_GB2312"/>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C8A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时效指标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819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12月31日前完成当年计划标志牌的制作安装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2F6E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定性</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F79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良好</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820BF">
            <w:pPr>
              <w:snapToGrid w:val="0"/>
              <w:jc w:val="center"/>
              <w:rPr>
                <w:rFonts w:hint="eastAsia" w:ascii="仿宋_GB2312" w:hAnsi="宋体" w:eastAsia="仿宋_GB2312" w:cs="仿宋_GB2312"/>
                <w:i w:val="0"/>
                <w:iCs w:val="0"/>
                <w:color w:val="000000"/>
                <w:sz w:val="22"/>
                <w:szCs w:val="22"/>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22E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良好</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9D8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736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E478">
            <w:pPr>
              <w:snapToGrid w:val="0"/>
              <w:jc w:val="center"/>
              <w:rPr>
                <w:rFonts w:hint="eastAsia" w:ascii="仿宋_GB2312" w:hAnsi="宋体" w:eastAsia="仿宋_GB2312" w:cs="仿宋_GB2312"/>
                <w:i/>
                <w:iCs/>
                <w:color w:val="000000"/>
                <w:sz w:val="22"/>
                <w:szCs w:val="22"/>
                <w:u w:val="none"/>
              </w:rPr>
            </w:pPr>
          </w:p>
        </w:tc>
      </w:tr>
      <w:tr w14:paraId="5F24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5371B">
            <w:pPr>
              <w:snapToGrid w:val="0"/>
              <w:jc w:val="center"/>
              <w:rPr>
                <w:rFonts w:hint="eastAsia" w:ascii="仿宋_GB2312" w:hAnsi="宋体" w:eastAsia="仿宋_GB2312" w:cs="仿宋_GB2312"/>
                <w:i w:val="0"/>
                <w:iCs w:val="0"/>
                <w:color w:val="000000"/>
                <w:sz w:val="22"/>
                <w:szCs w:val="22"/>
                <w:u w:val="none"/>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48EB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效益指标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80A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社会效益指标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30C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飞来殿消防实施设备正常运行，确保飞来殿安全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F27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F78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2B9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F73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D83C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69B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68CA">
            <w:pPr>
              <w:snapToGrid w:val="0"/>
              <w:jc w:val="center"/>
              <w:rPr>
                <w:rFonts w:hint="eastAsia" w:ascii="仿宋_GB2312" w:hAnsi="宋体" w:eastAsia="仿宋_GB2312" w:cs="仿宋_GB2312"/>
                <w:i/>
                <w:iCs/>
                <w:color w:val="000000"/>
                <w:sz w:val="22"/>
                <w:szCs w:val="22"/>
                <w:u w:val="none"/>
              </w:rPr>
            </w:pPr>
          </w:p>
        </w:tc>
      </w:tr>
      <w:tr w14:paraId="6067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15CC8">
            <w:pPr>
              <w:snapToGrid w:val="0"/>
              <w:jc w:val="center"/>
              <w:rPr>
                <w:rFonts w:hint="eastAsia" w:ascii="仿宋_GB2312" w:hAnsi="宋体" w:eastAsia="仿宋_GB2312" w:cs="仿宋_GB2312"/>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ABF2A">
            <w:pPr>
              <w:snapToGrid w:val="0"/>
              <w:jc w:val="center"/>
              <w:rPr>
                <w:rFonts w:hint="eastAsia" w:ascii="仿宋_GB2312" w:hAnsi="宋体" w:eastAsia="仿宋_GB2312" w:cs="仿宋_GB2312"/>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E24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可持续影响指标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3586">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文物库房监控出现问题及时整改率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145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637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CC4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F1E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494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794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4FCB">
            <w:pPr>
              <w:snapToGrid w:val="0"/>
              <w:jc w:val="center"/>
              <w:rPr>
                <w:rFonts w:hint="eastAsia" w:ascii="仿宋_GB2312" w:hAnsi="宋体" w:eastAsia="仿宋_GB2312" w:cs="仿宋_GB2312"/>
                <w:i/>
                <w:iCs/>
                <w:color w:val="000000"/>
                <w:sz w:val="22"/>
                <w:szCs w:val="22"/>
                <w:u w:val="none"/>
              </w:rPr>
            </w:pPr>
          </w:p>
        </w:tc>
      </w:tr>
      <w:tr w14:paraId="7CE9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39608">
            <w:pPr>
              <w:snapToGrid w:val="0"/>
              <w:jc w:val="center"/>
              <w:rPr>
                <w:rFonts w:hint="eastAsia" w:ascii="仿宋_GB2312" w:hAnsi="宋体" w:eastAsia="仿宋_GB2312" w:cs="仿宋_GB2312"/>
                <w:i w:val="0"/>
                <w:iCs w:val="0"/>
                <w:color w:val="000000"/>
                <w:sz w:val="22"/>
                <w:szCs w:val="22"/>
                <w:u w:val="none"/>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0C41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满意度指标</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73A6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服务对象满意度指标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AE9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文保所对文物库房监控服务情况满意度</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DAF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A91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251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52D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0B6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338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4079">
            <w:pPr>
              <w:snapToGrid w:val="0"/>
              <w:jc w:val="center"/>
              <w:rPr>
                <w:rFonts w:hint="eastAsia" w:ascii="仿宋_GB2312" w:hAnsi="宋体" w:eastAsia="仿宋_GB2312" w:cs="仿宋_GB2312"/>
                <w:i/>
                <w:iCs/>
                <w:color w:val="000000"/>
                <w:sz w:val="22"/>
                <w:szCs w:val="22"/>
                <w:u w:val="none"/>
              </w:rPr>
            </w:pPr>
          </w:p>
        </w:tc>
      </w:tr>
      <w:tr w14:paraId="6770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77E99">
            <w:pPr>
              <w:snapToGrid w:val="0"/>
              <w:jc w:val="center"/>
              <w:rPr>
                <w:rFonts w:hint="eastAsia" w:ascii="仿宋_GB2312" w:hAnsi="宋体" w:eastAsia="仿宋_GB2312" w:cs="仿宋_GB2312"/>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ED541">
            <w:pPr>
              <w:snapToGrid w:val="0"/>
              <w:jc w:val="center"/>
              <w:rPr>
                <w:rFonts w:hint="eastAsia" w:ascii="仿宋_GB2312" w:hAnsi="宋体" w:eastAsia="仿宋_GB2312" w:cs="仿宋_GB2312"/>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A27FB">
            <w:pPr>
              <w:snapToGrid w:val="0"/>
              <w:jc w:val="center"/>
              <w:rPr>
                <w:rFonts w:hint="eastAsia" w:ascii="仿宋_GB2312" w:hAnsi="宋体" w:eastAsia="仿宋_GB2312" w:cs="仿宋_GB2312"/>
                <w:i w:val="0"/>
                <w:iCs w:val="0"/>
                <w:color w:val="000000"/>
                <w:sz w:val="22"/>
                <w:szCs w:val="22"/>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1A36">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文保所对文物保护单位义务看护人当年义务看护协议执行情况满意度</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288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F4D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392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99C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8A7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064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EA14">
            <w:pPr>
              <w:snapToGrid w:val="0"/>
              <w:jc w:val="center"/>
              <w:rPr>
                <w:rFonts w:hint="eastAsia" w:ascii="仿宋_GB2312" w:hAnsi="宋体" w:eastAsia="仿宋_GB2312" w:cs="仿宋_GB2312"/>
                <w:i/>
                <w:iCs/>
                <w:color w:val="000000"/>
                <w:sz w:val="22"/>
                <w:szCs w:val="22"/>
                <w:u w:val="none"/>
              </w:rPr>
            </w:pPr>
          </w:p>
        </w:tc>
      </w:tr>
      <w:tr w14:paraId="762CD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9E402">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6E5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成本指标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025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经济成本指标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C6F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预算内开展文物保护工作</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CEE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CF6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C12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万元</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9F6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9.82</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BC7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308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BB19">
            <w:pPr>
              <w:snapToGrid w:val="0"/>
              <w:jc w:val="center"/>
              <w:rPr>
                <w:rFonts w:hint="eastAsia" w:ascii="仿宋_GB2312" w:hAnsi="宋体" w:eastAsia="仿宋_GB2312" w:cs="仿宋_GB2312"/>
                <w:i/>
                <w:iCs/>
                <w:color w:val="000000"/>
                <w:sz w:val="22"/>
                <w:szCs w:val="22"/>
                <w:u w:val="none"/>
              </w:rPr>
            </w:pPr>
          </w:p>
        </w:tc>
      </w:tr>
      <w:tr w14:paraId="0981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6C6EF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8F5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D75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8E7C">
            <w:pPr>
              <w:snapToGrid w:val="0"/>
              <w:rPr>
                <w:rFonts w:hint="eastAsia" w:ascii="仿宋_GB2312" w:hAnsi="宋体" w:eastAsia="仿宋_GB2312" w:cs="仿宋_GB2312"/>
                <w:i w:val="0"/>
                <w:iCs w:val="0"/>
                <w:color w:val="000000"/>
                <w:sz w:val="22"/>
                <w:szCs w:val="22"/>
                <w:u w:val="none"/>
              </w:rPr>
            </w:pPr>
          </w:p>
        </w:tc>
      </w:tr>
      <w:tr w14:paraId="1E8F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797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评价结论</w:t>
            </w:r>
          </w:p>
        </w:tc>
        <w:tc>
          <w:tcPr>
            <w:tcW w:w="45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11C4DF">
            <w:pPr>
              <w:keepNext w:val="0"/>
              <w:keepLines w:val="0"/>
              <w:widowControl/>
              <w:suppressLineNumbers w:val="0"/>
              <w:snapToGrid w:val="0"/>
              <w:jc w:val="left"/>
              <w:textAlignment w:val="center"/>
              <w:rPr>
                <w:rFonts w:hint="eastAsia" w:ascii="仿宋_GB2312" w:hAnsi="宋体" w:eastAsia="仿宋_GB2312" w:cs="仿宋_GB2312"/>
                <w:i/>
                <w:iCs/>
                <w:color w:val="000000"/>
                <w:sz w:val="22"/>
                <w:szCs w:val="22"/>
                <w:u w:val="none"/>
              </w:rPr>
            </w:pPr>
            <w:r>
              <w:rPr>
                <w:rFonts w:hint="eastAsia" w:ascii="仿宋_GB2312" w:hAnsi="宋体" w:eastAsia="仿宋_GB2312" w:cs="仿宋_GB2312"/>
                <w:i/>
                <w:iCs/>
                <w:color w:val="000000"/>
                <w:kern w:val="0"/>
                <w:sz w:val="22"/>
                <w:szCs w:val="22"/>
                <w:u w:val="none"/>
                <w:lang w:val="en-US" w:eastAsia="zh-CN" w:bidi="ar"/>
              </w:rPr>
              <w:t>完成项目执行目标。</w:t>
            </w:r>
          </w:p>
        </w:tc>
      </w:tr>
      <w:tr w14:paraId="6D5B4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3E1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存在问题</w:t>
            </w:r>
          </w:p>
        </w:tc>
        <w:tc>
          <w:tcPr>
            <w:tcW w:w="45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584016">
            <w:pPr>
              <w:keepNext w:val="0"/>
              <w:keepLines w:val="0"/>
              <w:widowControl/>
              <w:suppressLineNumbers w:val="0"/>
              <w:snapToGrid w:val="0"/>
              <w:jc w:val="left"/>
              <w:textAlignment w:val="center"/>
              <w:rPr>
                <w:rFonts w:hint="eastAsia" w:ascii="仿宋_GB2312" w:hAnsi="宋体" w:eastAsia="仿宋_GB2312" w:cs="仿宋_GB2312"/>
                <w:i/>
                <w:iCs/>
                <w:color w:val="000000"/>
                <w:sz w:val="22"/>
                <w:szCs w:val="22"/>
                <w:u w:val="none"/>
              </w:rPr>
            </w:pPr>
            <w:r>
              <w:rPr>
                <w:rFonts w:hint="eastAsia" w:ascii="仿宋_GB2312" w:hAnsi="宋体" w:eastAsia="仿宋_GB2312" w:cs="仿宋_GB2312"/>
                <w:i/>
                <w:iCs/>
                <w:color w:val="000000"/>
                <w:kern w:val="0"/>
                <w:sz w:val="22"/>
                <w:szCs w:val="22"/>
                <w:u w:val="none"/>
                <w:lang w:val="en-US" w:eastAsia="zh-CN" w:bidi="ar"/>
              </w:rPr>
              <w:t>无。</w:t>
            </w:r>
          </w:p>
        </w:tc>
      </w:tr>
      <w:tr w14:paraId="2F1DB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025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改进措施</w:t>
            </w:r>
          </w:p>
        </w:tc>
        <w:tc>
          <w:tcPr>
            <w:tcW w:w="45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B573D5">
            <w:pPr>
              <w:keepNext w:val="0"/>
              <w:keepLines w:val="0"/>
              <w:widowControl/>
              <w:suppressLineNumbers w:val="0"/>
              <w:snapToGrid w:val="0"/>
              <w:jc w:val="left"/>
              <w:textAlignment w:val="center"/>
              <w:rPr>
                <w:rFonts w:hint="eastAsia" w:ascii="仿宋_GB2312" w:hAnsi="宋体" w:eastAsia="仿宋_GB2312" w:cs="仿宋_GB2312"/>
                <w:i/>
                <w:iCs/>
                <w:color w:val="000000"/>
                <w:sz w:val="22"/>
                <w:szCs w:val="22"/>
                <w:u w:val="none"/>
              </w:rPr>
            </w:pPr>
            <w:r>
              <w:rPr>
                <w:rFonts w:hint="eastAsia" w:ascii="仿宋_GB2312" w:hAnsi="宋体" w:eastAsia="仿宋_GB2312" w:cs="仿宋_GB2312"/>
                <w:i/>
                <w:iCs/>
                <w:color w:val="000000"/>
                <w:kern w:val="0"/>
                <w:sz w:val="22"/>
                <w:szCs w:val="22"/>
                <w:u w:val="none"/>
                <w:lang w:val="en-US" w:eastAsia="zh-CN" w:bidi="ar"/>
              </w:rPr>
              <w:t>无。</w:t>
            </w:r>
          </w:p>
        </w:tc>
      </w:tr>
      <w:tr w14:paraId="09BF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E3FEA">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项目负责人：代成刚</w:t>
            </w:r>
          </w:p>
        </w:tc>
        <w:tc>
          <w:tcPr>
            <w:tcW w:w="255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C05CC5">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财务负责人：罗琴</w:t>
            </w:r>
          </w:p>
        </w:tc>
      </w:tr>
      <w:tr w14:paraId="2C02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tcBorders>
              <w:top w:val="nil"/>
              <w:left w:val="nil"/>
              <w:bottom w:val="nil"/>
              <w:right w:val="nil"/>
            </w:tcBorders>
            <w:shd w:val="clear" w:color="auto" w:fill="auto"/>
            <w:vAlign w:val="center"/>
          </w:tcPr>
          <w:p w14:paraId="0119EB60">
            <w:pPr>
              <w:snapToGrid w:val="0"/>
              <w:rPr>
                <w:rFonts w:hint="eastAsia" w:ascii="仿宋_GB2312" w:hAnsi="宋体" w:eastAsia="仿宋_GB2312" w:cs="仿宋_GB2312"/>
                <w:i w:val="0"/>
                <w:iCs w:val="0"/>
                <w:color w:val="000000"/>
                <w:sz w:val="22"/>
                <w:szCs w:val="22"/>
                <w:u w:val="none"/>
              </w:rPr>
            </w:pPr>
          </w:p>
        </w:tc>
        <w:tc>
          <w:tcPr>
            <w:tcW w:w="468" w:type="pct"/>
            <w:tcBorders>
              <w:top w:val="nil"/>
              <w:left w:val="nil"/>
              <w:bottom w:val="nil"/>
              <w:right w:val="nil"/>
            </w:tcBorders>
            <w:shd w:val="clear" w:color="auto" w:fill="auto"/>
            <w:vAlign w:val="center"/>
          </w:tcPr>
          <w:p w14:paraId="348867E4">
            <w:pPr>
              <w:snapToGrid w:val="0"/>
              <w:rPr>
                <w:rFonts w:hint="eastAsia" w:ascii="仿宋_GB2312" w:hAnsi="宋体" w:eastAsia="仿宋_GB2312" w:cs="仿宋_GB2312"/>
                <w:i w:val="0"/>
                <w:iCs w:val="0"/>
                <w:color w:val="000000"/>
                <w:sz w:val="22"/>
                <w:szCs w:val="22"/>
                <w:u w:val="none"/>
              </w:rPr>
            </w:pPr>
          </w:p>
        </w:tc>
        <w:tc>
          <w:tcPr>
            <w:tcW w:w="502" w:type="pct"/>
            <w:tcBorders>
              <w:top w:val="nil"/>
              <w:left w:val="nil"/>
              <w:bottom w:val="nil"/>
              <w:right w:val="nil"/>
            </w:tcBorders>
            <w:shd w:val="clear" w:color="auto" w:fill="auto"/>
            <w:vAlign w:val="center"/>
          </w:tcPr>
          <w:p w14:paraId="50B04CEA">
            <w:pPr>
              <w:snapToGrid w:val="0"/>
              <w:rPr>
                <w:rFonts w:hint="eastAsia" w:ascii="仿宋_GB2312" w:hAnsi="宋体" w:eastAsia="仿宋_GB2312" w:cs="仿宋_GB2312"/>
                <w:i w:val="0"/>
                <w:iCs w:val="0"/>
                <w:color w:val="000000"/>
                <w:sz w:val="22"/>
                <w:szCs w:val="22"/>
                <w:u w:val="none"/>
              </w:rPr>
            </w:pPr>
          </w:p>
        </w:tc>
        <w:tc>
          <w:tcPr>
            <w:tcW w:w="739" w:type="pct"/>
            <w:tcBorders>
              <w:top w:val="nil"/>
              <w:left w:val="nil"/>
              <w:bottom w:val="nil"/>
              <w:right w:val="nil"/>
            </w:tcBorders>
            <w:shd w:val="clear" w:color="auto" w:fill="auto"/>
            <w:vAlign w:val="center"/>
          </w:tcPr>
          <w:p w14:paraId="05629653">
            <w:pPr>
              <w:snapToGrid w:val="0"/>
              <w:rPr>
                <w:rFonts w:hint="eastAsia" w:ascii="仿宋_GB2312" w:hAnsi="宋体" w:eastAsia="仿宋_GB2312" w:cs="仿宋_GB2312"/>
                <w:i w:val="0"/>
                <w:iCs w:val="0"/>
                <w:color w:val="000000"/>
                <w:sz w:val="22"/>
                <w:szCs w:val="22"/>
                <w:u w:val="none"/>
              </w:rPr>
            </w:pPr>
          </w:p>
        </w:tc>
        <w:tc>
          <w:tcPr>
            <w:tcW w:w="282" w:type="pct"/>
            <w:tcBorders>
              <w:top w:val="nil"/>
              <w:left w:val="nil"/>
              <w:bottom w:val="nil"/>
              <w:right w:val="nil"/>
            </w:tcBorders>
            <w:shd w:val="clear" w:color="auto" w:fill="auto"/>
            <w:vAlign w:val="center"/>
          </w:tcPr>
          <w:p w14:paraId="57E0D37D">
            <w:pPr>
              <w:snapToGrid w:val="0"/>
              <w:rPr>
                <w:rFonts w:hint="eastAsia" w:ascii="仿宋_GB2312" w:hAnsi="宋体" w:eastAsia="仿宋_GB2312" w:cs="仿宋_GB2312"/>
                <w:i w:val="0"/>
                <w:iCs w:val="0"/>
                <w:color w:val="000000"/>
                <w:sz w:val="22"/>
                <w:szCs w:val="22"/>
                <w:u w:val="none"/>
              </w:rPr>
            </w:pPr>
          </w:p>
        </w:tc>
        <w:tc>
          <w:tcPr>
            <w:tcW w:w="452" w:type="pct"/>
            <w:tcBorders>
              <w:top w:val="nil"/>
              <w:left w:val="nil"/>
              <w:bottom w:val="nil"/>
              <w:right w:val="nil"/>
            </w:tcBorders>
            <w:shd w:val="clear" w:color="auto" w:fill="auto"/>
            <w:vAlign w:val="center"/>
          </w:tcPr>
          <w:p w14:paraId="487BC350">
            <w:pPr>
              <w:snapToGrid w:val="0"/>
              <w:rPr>
                <w:rFonts w:hint="eastAsia" w:ascii="仿宋_GB2312" w:hAnsi="宋体" w:eastAsia="仿宋_GB2312" w:cs="仿宋_GB2312"/>
                <w:i w:val="0"/>
                <w:iCs w:val="0"/>
                <w:color w:val="000000"/>
                <w:sz w:val="22"/>
                <w:szCs w:val="22"/>
                <w:u w:val="none"/>
              </w:rPr>
            </w:pPr>
          </w:p>
        </w:tc>
        <w:tc>
          <w:tcPr>
            <w:tcW w:w="522" w:type="pct"/>
            <w:tcBorders>
              <w:top w:val="nil"/>
              <w:left w:val="nil"/>
              <w:bottom w:val="nil"/>
              <w:right w:val="nil"/>
            </w:tcBorders>
            <w:shd w:val="clear" w:color="auto" w:fill="auto"/>
            <w:vAlign w:val="center"/>
          </w:tcPr>
          <w:p w14:paraId="4F18F059">
            <w:pPr>
              <w:snapToGrid w:val="0"/>
              <w:rPr>
                <w:rFonts w:hint="eastAsia" w:ascii="仿宋_GB2312" w:hAnsi="宋体" w:eastAsia="仿宋_GB2312" w:cs="仿宋_GB2312"/>
                <w:i w:val="0"/>
                <w:iCs w:val="0"/>
                <w:color w:val="000000"/>
                <w:sz w:val="22"/>
                <w:szCs w:val="22"/>
                <w:u w:val="none"/>
              </w:rPr>
            </w:pPr>
          </w:p>
        </w:tc>
        <w:tc>
          <w:tcPr>
            <w:tcW w:w="620" w:type="pct"/>
            <w:tcBorders>
              <w:top w:val="nil"/>
              <w:left w:val="nil"/>
              <w:bottom w:val="nil"/>
              <w:right w:val="nil"/>
            </w:tcBorders>
            <w:shd w:val="clear" w:color="auto" w:fill="auto"/>
            <w:vAlign w:val="center"/>
          </w:tcPr>
          <w:p w14:paraId="149890F8">
            <w:pPr>
              <w:snapToGrid w:val="0"/>
              <w:rPr>
                <w:rFonts w:hint="eastAsia" w:ascii="仿宋_GB2312" w:hAnsi="宋体" w:eastAsia="仿宋_GB2312" w:cs="仿宋_GB2312"/>
                <w:i w:val="0"/>
                <w:iCs w:val="0"/>
                <w:color w:val="000000"/>
                <w:sz w:val="22"/>
                <w:szCs w:val="22"/>
                <w:u w:val="none"/>
              </w:rPr>
            </w:pPr>
          </w:p>
        </w:tc>
        <w:tc>
          <w:tcPr>
            <w:tcW w:w="323" w:type="pct"/>
            <w:tcBorders>
              <w:top w:val="nil"/>
              <w:left w:val="nil"/>
              <w:bottom w:val="nil"/>
              <w:right w:val="nil"/>
            </w:tcBorders>
            <w:shd w:val="clear" w:color="auto" w:fill="auto"/>
            <w:vAlign w:val="center"/>
          </w:tcPr>
          <w:p w14:paraId="34A499C8">
            <w:pPr>
              <w:snapToGrid w:val="0"/>
              <w:rPr>
                <w:rFonts w:hint="eastAsia" w:ascii="仿宋_GB2312" w:hAnsi="宋体" w:eastAsia="仿宋_GB2312" w:cs="仿宋_GB2312"/>
                <w:i w:val="0"/>
                <w:iCs w:val="0"/>
                <w:color w:val="000000"/>
                <w:sz w:val="22"/>
                <w:szCs w:val="22"/>
                <w:u w:val="none"/>
              </w:rPr>
            </w:pPr>
          </w:p>
        </w:tc>
        <w:tc>
          <w:tcPr>
            <w:tcW w:w="323" w:type="pct"/>
            <w:tcBorders>
              <w:top w:val="nil"/>
              <w:left w:val="nil"/>
              <w:bottom w:val="nil"/>
              <w:right w:val="nil"/>
            </w:tcBorders>
            <w:shd w:val="clear" w:color="auto" w:fill="auto"/>
            <w:vAlign w:val="center"/>
          </w:tcPr>
          <w:p w14:paraId="629D6CC7">
            <w:pPr>
              <w:snapToGrid w:val="0"/>
              <w:jc w:val="center"/>
              <w:rPr>
                <w:rFonts w:hint="eastAsia" w:ascii="仿宋_GB2312" w:hAnsi="宋体" w:eastAsia="仿宋_GB2312" w:cs="仿宋_GB2312"/>
                <w:i w:val="0"/>
                <w:iCs w:val="0"/>
                <w:color w:val="000000"/>
                <w:sz w:val="22"/>
                <w:szCs w:val="22"/>
                <w:u w:val="none"/>
              </w:rPr>
            </w:pPr>
          </w:p>
        </w:tc>
        <w:tc>
          <w:tcPr>
            <w:tcW w:w="308" w:type="pct"/>
            <w:tcBorders>
              <w:top w:val="nil"/>
              <w:left w:val="nil"/>
              <w:bottom w:val="nil"/>
              <w:right w:val="nil"/>
            </w:tcBorders>
            <w:shd w:val="clear" w:color="auto" w:fill="auto"/>
            <w:vAlign w:val="center"/>
          </w:tcPr>
          <w:p w14:paraId="59E5B4F4">
            <w:pPr>
              <w:snapToGrid w:val="0"/>
              <w:rPr>
                <w:rFonts w:hint="eastAsia" w:ascii="仿宋_GB2312" w:hAnsi="宋体" w:eastAsia="仿宋_GB2312" w:cs="仿宋_GB2312"/>
                <w:i w:val="0"/>
                <w:iCs w:val="0"/>
                <w:color w:val="000000"/>
                <w:sz w:val="22"/>
                <w:szCs w:val="22"/>
                <w:u w:val="none"/>
              </w:rPr>
            </w:pPr>
          </w:p>
        </w:tc>
      </w:tr>
      <w:tr w14:paraId="7421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E15CBA">
            <w:pPr>
              <w:keepNext w:val="0"/>
              <w:keepLines w:val="0"/>
              <w:widowControl/>
              <w:suppressLineNumbers w:val="0"/>
              <w:snapToGrid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部门预算项目支出绩效自评表（2024年度）</w:t>
            </w:r>
          </w:p>
        </w:tc>
      </w:tr>
      <w:tr w14:paraId="6B2F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1664A">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项目名称</w:t>
            </w:r>
          </w:p>
        </w:tc>
        <w:tc>
          <w:tcPr>
            <w:tcW w:w="407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F3A790">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51118122T000005749370-大庙飞来殿消防工程</w:t>
            </w:r>
          </w:p>
        </w:tc>
      </w:tr>
      <w:tr w14:paraId="3E6B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65FE1">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主管部门</w:t>
            </w:r>
          </w:p>
        </w:tc>
        <w:tc>
          <w:tcPr>
            <w:tcW w:w="25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9A1C3B">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文化体育和旅游局</w:t>
            </w:r>
          </w:p>
        </w:tc>
        <w:tc>
          <w:tcPr>
            <w:tcW w:w="620" w:type="pct"/>
            <w:tcBorders>
              <w:top w:val="nil"/>
              <w:left w:val="nil"/>
              <w:bottom w:val="nil"/>
              <w:right w:val="nil"/>
            </w:tcBorders>
            <w:shd w:val="clear" w:color="auto" w:fill="auto"/>
            <w:vAlign w:val="center"/>
          </w:tcPr>
          <w:p w14:paraId="48636D80">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实施单位 （盖章）</w:t>
            </w:r>
          </w:p>
        </w:tc>
        <w:tc>
          <w:tcPr>
            <w:tcW w:w="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4AE36">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峨眉山市博物馆</w:t>
            </w:r>
          </w:p>
        </w:tc>
      </w:tr>
      <w:tr w14:paraId="09692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00A95">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项目基本情况</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BD912">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1.项目年度目标完成情况</w:t>
            </w:r>
          </w:p>
        </w:tc>
        <w:tc>
          <w:tcPr>
            <w:tcW w:w="25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A804A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项目年度目标</w:t>
            </w:r>
          </w:p>
        </w:tc>
        <w:tc>
          <w:tcPr>
            <w:tcW w:w="15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2C0DC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年度目标完成情况</w:t>
            </w:r>
          </w:p>
        </w:tc>
      </w:tr>
      <w:tr w14:paraId="5421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4E9B">
            <w:pPr>
              <w:snapToGrid w:val="0"/>
              <w:rPr>
                <w:rFonts w:hint="eastAsia" w:ascii="仿宋_GB2312" w:hAnsi="宋体" w:eastAsia="仿宋_GB2312" w:cs="仿宋_GB2312"/>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CDD1F">
            <w:pPr>
              <w:snapToGrid w:val="0"/>
              <w:rPr>
                <w:rFonts w:hint="eastAsia" w:ascii="仿宋_GB2312" w:hAnsi="宋体" w:eastAsia="仿宋_GB2312" w:cs="仿宋_GB2312"/>
                <w:i w:val="0"/>
                <w:iCs w:val="0"/>
                <w:color w:val="000000"/>
                <w:sz w:val="22"/>
                <w:szCs w:val="22"/>
                <w:u w:val="none"/>
              </w:rPr>
            </w:pPr>
          </w:p>
        </w:tc>
        <w:tc>
          <w:tcPr>
            <w:tcW w:w="25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68D979">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完善大庙飞来殿消防系统，达到自救能力，提高安全保障能力，确保国保的绝对安全。</w:t>
            </w:r>
          </w:p>
        </w:tc>
        <w:tc>
          <w:tcPr>
            <w:tcW w:w="15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91FE3E">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完成本年度消防系统更新与维护任务。</w:t>
            </w:r>
          </w:p>
        </w:tc>
      </w:tr>
      <w:tr w14:paraId="1E04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F239B">
            <w:pPr>
              <w:snapToGrid w:val="0"/>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1CD5">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2.项目实施内容及过程概述</w:t>
            </w:r>
          </w:p>
        </w:tc>
        <w:tc>
          <w:tcPr>
            <w:tcW w:w="407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7DCD24">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完善大庙飞来殿消防系统，提高安全保障能力。</w:t>
            </w:r>
          </w:p>
        </w:tc>
      </w:tr>
      <w:tr w14:paraId="1A07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CD90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预算执行情况（10分）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273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年度预算数（万元）</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48A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年初预算</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DE5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调整后预算数</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A2D3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预算执行数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1B5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预算执行率</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5326">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权重</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042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E94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原因</w:t>
            </w:r>
          </w:p>
        </w:tc>
      </w:tr>
      <w:tr w14:paraId="025C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937C0">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A4B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总额</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E69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9ED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15.04</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904F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095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AFD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53C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59BF8">
            <w:pPr>
              <w:snapToGrid w:val="0"/>
              <w:rPr>
                <w:rFonts w:hint="eastAsia" w:ascii="仿宋_GB2312" w:hAnsi="宋体" w:eastAsia="仿宋_GB2312" w:cs="仿宋_GB2312"/>
                <w:i/>
                <w:iCs/>
                <w:color w:val="000000"/>
                <w:sz w:val="22"/>
                <w:szCs w:val="22"/>
                <w:u w:val="none"/>
              </w:rPr>
            </w:pPr>
          </w:p>
        </w:tc>
      </w:tr>
      <w:tr w14:paraId="210D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CAC49">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F24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其中：财政资金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71F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D23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15.04</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C44C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AF6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C3DF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B3F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31CD5">
            <w:pPr>
              <w:snapToGrid w:val="0"/>
              <w:rPr>
                <w:rFonts w:hint="eastAsia" w:ascii="仿宋_GB2312" w:hAnsi="宋体" w:eastAsia="仿宋_GB2312" w:cs="仿宋_GB2312"/>
                <w:i/>
                <w:iCs/>
                <w:color w:val="000000"/>
                <w:sz w:val="22"/>
                <w:szCs w:val="22"/>
                <w:u w:val="none"/>
              </w:rPr>
            </w:pPr>
          </w:p>
        </w:tc>
      </w:tr>
      <w:tr w14:paraId="0C351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E66F0">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F428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财政专户管理资金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5A0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DD6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0936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180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B6D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DCD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891FE">
            <w:pPr>
              <w:snapToGrid w:val="0"/>
              <w:rPr>
                <w:rFonts w:hint="eastAsia" w:ascii="仿宋_GB2312" w:hAnsi="宋体" w:eastAsia="仿宋_GB2312" w:cs="仿宋_GB2312"/>
                <w:i/>
                <w:iCs/>
                <w:color w:val="000000"/>
                <w:sz w:val="22"/>
                <w:szCs w:val="22"/>
                <w:u w:val="none"/>
              </w:rPr>
            </w:pPr>
          </w:p>
        </w:tc>
      </w:tr>
      <w:tr w14:paraId="1043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12DE9">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800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598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941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F03D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BA6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C4A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701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7E60">
            <w:pPr>
              <w:snapToGrid w:val="0"/>
              <w:rPr>
                <w:rFonts w:hint="eastAsia" w:ascii="仿宋_GB2312" w:hAnsi="宋体" w:eastAsia="仿宋_GB2312" w:cs="仿宋_GB2312"/>
                <w:i/>
                <w:iCs/>
                <w:color w:val="000000"/>
                <w:sz w:val="22"/>
                <w:szCs w:val="22"/>
                <w:u w:val="none"/>
              </w:rPr>
            </w:pPr>
          </w:p>
        </w:tc>
      </w:tr>
      <w:tr w14:paraId="21BD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6E104">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2EA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其他资金</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EDAA">
            <w:pPr>
              <w:snapToGrid w:val="0"/>
              <w:jc w:val="center"/>
              <w:rPr>
                <w:rFonts w:hint="eastAsia" w:ascii="仿宋_GB2312" w:hAnsi="宋体" w:eastAsia="仿宋_GB2312" w:cs="仿宋_GB2312"/>
                <w:i/>
                <w:iCs/>
                <w:color w:val="000000"/>
                <w:sz w:val="22"/>
                <w:szCs w:val="22"/>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90E1">
            <w:pPr>
              <w:snapToGrid w:val="0"/>
              <w:jc w:val="center"/>
              <w:rPr>
                <w:rFonts w:hint="eastAsia" w:ascii="仿宋_GB2312" w:hAnsi="宋体" w:eastAsia="仿宋_GB2312" w:cs="仿宋_GB2312"/>
                <w:i/>
                <w:iCs/>
                <w:color w:val="000000"/>
                <w:sz w:val="22"/>
                <w:szCs w:val="22"/>
                <w:u w:val="none"/>
              </w:rPr>
            </w:pP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D526A">
            <w:pPr>
              <w:snapToGrid w:val="0"/>
              <w:jc w:val="center"/>
              <w:rPr>
                <w:rFonts w:hint="eastAsia" w:ascii="仿宋_GB2312" w:hAnsi="宋体" w:eastAsia="仿宋_GB2312" w:cs="仿宋_GB2312"/>
                <w:i/>
                <w:iCs/>
                <w:color w:val="000000"/>
                <w:sz w:val="22"/>
                <w:szCs w:val="22"/>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A1DA">
            <w:pPr>
              <w:snapToGrid w:val="0"/>
              <w:jc w:val="center"/>
              <w:rPr>
                <w:rFonts w:hint="eastAsia" w:ascii="仿宋_GB2312" w:hAnsi="宋体" w:eastAsia="仿宋_GB2312" w:cs="仿宋_GB2312"/>
                <w:i/>
                <w:iCs/>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7BE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85C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E2ADF">
            <w:pPr>
              <w:snapToGrid w:val="0"/>
              <w:rPr>
                <w:rFonts w:hint="eastAsia" w:ascii="仿宋_GB2312" w:hAnsi="宋体" w:eastAsia="仿宋_GB2312" w:cs="仿宋_GB2312"/>
                <w:i/>
                <w:iCs/>
                <w:color w:val="000000"/>
                <w:sz w:val="22"/>
                <w:szCs w:val="22"/>
                <w:u w:val="none"/>
              </w:rPr>
            </w:pPr>
          </w:p>
        </w:tc>
      </w:tr>
      <w:tr w14:paraId="43A1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897C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绩效指标（90分）</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D954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一级指标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C5C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二级指标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7A84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三级指标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D26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指标性质</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596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指标值</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6C1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度量单位</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3EB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完成值</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1D9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权重</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0C4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BB4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未完成原因分析</w:t>
            </w:r>
          </w:p>
        </w:tc>
      </w:tr>
      <w:tr w14:paraId="4CC9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063EB">
            <w:pPr>
              <w:snapToGrid w:val="0"/>
              <w:jc w:val="center"/>
              <w:rPr>
                <w:rFonts w:hint="eastAsia" w:ascii="仿宋_GB2312" w:hAnsi="宋体" w:eastAsia="仿宋_GB2312" w:cs="仿宋_GB2312"/>
                <w:i w:val="0"/>
                <w:iCs w:val="0"/>
                <w:color w:val="000000"/>
                <w:sz w:val="22"/>
                <w:szCs w:val="22"/>
                <w:u w:val="none"/>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F65F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产出指标</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7DF3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数量指标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972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政府采购率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483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A84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CDB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F5DE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323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123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A9BE">
            <w:pPr>
              <w:snapToGrid w:val="0"/>
              <w:jc w:val="center"/>
              <w:rPr>
                <w:rFonts w:hint="eastAsia" w:ascii="仿宋_GB2312" w:hAnsi="宋体" w:eastAsia="仿宋_GB2312" w:cs="仿宋_GB2312"/>
                <w:i/>
                <w:iCs/>
                <w:color w:val="000000"/>
                <w:sz w:val="22"/>
                <w:szCs w:val="22"/>
                <w:u w:val="none"/>
              </w:rPr>
            </w:pPr>
          </w:p>
        </w:tc>
      </w:tr>
      <w:tr w14:paraId="0F0E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61480">
            <w:pPr>
              <w:snapToGrid w:val="0"/>
              <w:jc w:val="center"/>
              <w:rPr>
                <w:rFonts w:hint="eastAsia" w:ascii="仿宋_GB2312" w:hAnsi="宋体" w:eastAsia="仿宋_GB2312" w:cs="仿宋_GB2312"/>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0D88E">
            <w:pPr>
              <w:snapToGrid w:val="0"/>
              <w:jc w:val="center"/>
              <w:rPr>
                <w:rFonts w:hint="eastAsia" w:ascii="仿宋_GB2312" w:hAnsi="宋体" w:eastAsia="仿宋_GB2312" w:cs="仿宋_GB2312"/>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A660D">
            <w:pPr>
              <w:snapToGrid w:val="0"/>
              <w:jc w:val="center"/>
              <w:rPr>
                <w:rFonts w:hint="eastAsia" w:ascii="仿宋_GB2312" w:hAnsi="宋体" w:eastAsia="仿宋_GB2312" w:cs="仿宋_GB2312"/>
                <w:i w:val="0"/>
                <w:iCs w:val="0"/>
                <w:color w:val="000000"/>
                <w:sz w:val="22"/>
                <w:szCs w:val="22"/>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5AB5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购置设备数量</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ADC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7798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9DE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台（套）</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B3B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15A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E0D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FC8D">
            <w:pPr>
              <w:snapToGrid w:val="0"/>
              <w:jc w:val="center"/>
              <w:rPr>
                <w:rFonts w:hint="eastAsia" w:ascii="仿宋_GB2312" w:hAnsi="宋体" w:eastAsia="仿宋_GB2312" w:cs="仿宋_GB2312"/>
                <w:i/>
                <w:iCs/>
                <w:color w:val="000000"/>
                <w:sz w:val="22"/>
                <w:szCs w:val="22"/>
                <w:u w:val="none"/>
              </w:rPr>
            </w:pPr>
          </w:p>
        </w:tc>
      </w:tr>
      <w:tr w14:paraId="6378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64F7C">
            <w:pPr>
              <w:snapToGrid w:val="0"/>
              <w:jc w:val="center"/>
              <w:rPr>
                <w:rFonts w:hint="eastAsia" w:ascii="仿宋_GB2312" w:hAnsi="宋体" w:eastAsia="仿宋_GB2312" w:cs="仿宋_GB2312"/>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9D227">
            <w:pPr>
              <w:snapToGrid w:val="0"/>
              <w:jc w:val="center"/>
              <w:rPr>
                <w:rFonts w:hint="eastAsia" w:ascii="仿宋_GB2312" w:hAnsi="宋体" w:eastAsia="仿宋_GB2312" w:cs="仿宋_GB2312"/>
                <w:i w:val="0"/>
                <w:iCs w:val="0"/>
                <w:color w:val="000000"/>
                <w:sz w:val="22"/>
                <w:szCs w:val="22"/>
                <w:u w:val="none"/>
              </w:rPr>
            </w:pP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065D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质量指标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D46D">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安装工程验收合格率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124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556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820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7DB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A48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688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073F">
            <w:pPr>
              <w:snapToGrid w:val="0"/>
              <w:jc w:val="center"/>
              <w:rPr>
                <w:rFonts w:hint="eastAsia" w:ascii="仿宋_GB2312" w:hAnsi="宋体" w:eastAsia="仿宋_GB2312" w:cs="仿宋_GB2312"/>
                <w:i/>
                <w:iCs/>
                <w:color w:val="000000"/>
                <w:sz w:val="22"/>
                <w:szCs w:val="22"/>
                <w:u w:val="none"/>
              </w:rPr>
            </w:pPr>
          </w:p>
        </w:tc>
      </w:tr>
      <w:tr w14:paraId="25D6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8A845">
            <w:pPr>
              <w:snapToGrid w:val="0"/>
              <w:jc w:val="center"/>
              <w:rPr>
                <w:rFonts w:hint="eastAsia" w:ascii="仿宋_GB2312" w:hAnsi="宋体" w:eastAsia="仿宋_GB2312" w:cs="仿宋_GB2312"/>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26145">
            <w:pPr>
              <w:snapToGrid w:val="0"/>
              <w:jc w:val="center"/>
              <w:rPr>
                <w:rFonts w:hint="eastAsia" w:ascii="仿宋_GB2312" w:hAnsi="宋体" w:eastAsia="仿宋_GB2312" w:cs="仿宋_GB2312"/>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1A53A">
            <w:pPr>
              <w:snapToGrid w:val="0"/>
              <w:jc w:val="center"/>
              <w:rPr>
                <w:rFonts w:hint="eastAsia" w:ascii="仿宋_GB2312" w:hAnsi="宋体" w:eastAsia="仿宋_GB2312" w:cs="仿宋_GB2312"/>
                <w:i w:val="0"/>
                <w:iCs w:val="0"/>
                <w:color w:val="000000"/>
                <w:sz w:val="22"/>
                <w:szCs w:val="22"/>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F84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设备故障率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F4C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390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CF3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1B1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ECA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17B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8BB6">
            <w:pPr>
              <w:snapToGrid w:val="0"/>
              <w:jc w:val="center"/>
              <w:rPr>
                <w:rFonts w:hint="eastAsia" w:ascii="仿宋_GB2312" w:hAnsi="宋体" w:eastAsia="仿宋_GB2312" w:cs="仿宋_GB2312"/>
                <w:i/>
                <w:iCs/>
                <w:color w:val="000000"/>
                <w:sz w:val="22"/>
                <w:szCs w:val="22"/>
                <w:u w:val="none"/>
              </w:rPr>
            </w:pPr>
          </w:p>
        </w:tc>
      </w:tr>
      <w:tr w14:paraId="5161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0FF72">
            <w:pPr>
              <w:snapToGrid w:val="0"/>
              <w:jc w:val="center"/>
              <w:rPr>
                <w:rFonts w:hint="eastAsia" w:ascii="仿宋_GB2312" w:hAnsi="宋体" w:eastAsia="仿宋_GB2312" w:cs="仿宋_GB2312"/>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A3A0B">
            <w:pPr>
              <w:snapToGrid w:val="0"/>
              <w:jc w:val="center"/>
              <w:rPr>
                <w:rFonts w:hint="eastAsia" w:ascii="仿宋_GB2312" w:hAnsi="宋体" w:eastAsia="仿宋_GB2312" w:cs="仿宋_GB2312"/>
                <w:i w:val="0"/>
                <w:iCs w:val="0"/>
                <w:color w:val="000000"/>
                <w:sz w:val="22"/>
                <w:szCs w:val="22"/>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0E83F">
            <w:pPr>
              <w:snapToGrid w:val="0"/>
              <w:jc w:val="center"/>
              <w:rPr>
                <w:rFonts w:hint="eastAsia" w:ascii="仿宋_GB2312" w:hAnsi="宋体" w:eastAsia="仿宋_GB2312" w:cs="仿宋_GB2312"/>
                <w:i w:val="0"/>
                <w:iCs w:val="0"/>
                <w:color w:val="000000"/>
                <w:sz w:val="22"/>
                <w:szCs w:val="22"/>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BAA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设备质量合格率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C58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378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516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3BC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7DC2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9B6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857E">
            <w:pPr>
              <w:snapToGrid w:val="0"/>
              <w:jc w:val="center"/>
              <w:rPr>
                <w:rFonts w:hint="eastAsia" w:ascii="仿宋_GB2312" w:hAnsi="宋体" w:eastAsia="仿宋_GB2312" w:cs="仿宋_GB2312"/>
                <w:i/>
                <w:iCs/>
                <w:color w:val="000000"/>
                <w:sz w:val="22"/>
                <w:szCs w:val="22"/>
                <w:u w:val="none"/>
              </w:rPr>
            </w:pPr>
          </w:p>
        </w:tc>
      </w:tr>
      <w:tr w14:paraId="260A4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0F396">
            <w:pPr>
              <w:snapToGrid w:val="0"/>
              <w:jc w:val="center"/>
              <w:rPr>
                <w:rFonts w:hint="eastAsia" w:ascii="仿宋_GB2312" w:hAnsi="宋体" w:eastAsia="仿宋_GB2312" w:cs="仿宋_GB2312"/>
                <w:i w:val="0"/>
                <w:iCs w:val="0"/>
                <w:color w:val="000000"/>
                <w:sz w:val="22"/>
                <w:szCs w:val="22"/>
                <w:u w:val="none"/>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A2AF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效益指标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5BD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社会效益指标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A0F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设备利用率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8FA6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CBB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BDB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8B8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EDB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B19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F2E96">
            <w:pPr>
              <w:snapToGrid w:val="0"/>
              <w:jc w:val="center"/>
              <w:rPr>
                <w:rFonts w:hint="eastAsia" w:ascii="仿宋_GB2312" w:hAnsi="宋体" w:eastAsia="仿宋_GB2312" w:cs="仿宋_GB2312"/>
                <w:i/>
                <w:iCs/>
                <w:color w:val="000000"/>
                <w:sz w:val="22"/>
                <w:szCs w:val="22"/>
                <w:u w:val="none"/>
              </w:rPr>
            </w:pPr>
          </w:p>
        </w:tc>
      </w:tr>
      <w:tr w14:paraId="4720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53C3">
            <w:pPr>
              <w:snapToGrid w:val="0"/>
              <w:jc w:val="center"/>
              <w:rPr>
                <w:rFonts w:hint="eastAsia" w:ascii="仿宋_GB2312" w:hAnsi="宋体" w:eastAsia="仿宋_GB2312" w:cs="仿宋_GB2312"/>
                <w:i w:val="0"/>
                <w:iCs w:val="0"/>
                <w:color w:val="000000"/>
                <w:sz w:val="22"/>
                <w:szCs w:val="22"/>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1D4C4">
            <w:pPr>
              <w:snapToGrid w:val="0"/>
              <w:jc w:val="center"/>
              <w:rPr>
                <w:rFonts w:hint="eastAsia" w:ascii="仿宋_GB2312" w:hAnsi="宋体" w:eastAsia="仿宋_GB2312" w:cs="仿宋_GB2312"/>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ED0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可持续影响指标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C205">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设备使用年限</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A82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CE88">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89EB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38E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378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CADE">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BCF6">
            <w:pPr>
              <w:snapToGrid w:val="0"/>
              <w:jc w:val="center"/>
              <w:rPr>
                <w:rFonts w:hint="eastAsia" w:ascii="仿宋_GB2312" w:hAnsi="宋体" w:eastAsia="仿宋_GB2312" w:cs="仿宋_GB2312"/>
                <w:i/>
                <w:iCs/>
                <w:color w:val="000000"/>
                <w:sz w:val="22"/>
                <w:szCs w:val="22"/>
                <w:u w:val="none"/>
              </w:rPr>
            </w:pPr>
          </w:p>
        </w:tc>
      </w:tr>
      <w:tr w14:paraId="49A07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D52A9">
            <w:pPr>
              <w:snapToGrid w:val="0"/>
              <w:jc w:val="center"/>
              <w:rPr>
                <w:rFonts w:hint="eastAsia" w:ascii="仿宋_GB2312" w:hAnsi="宋体" w:eastAsia="仿宋_GB2312" w:cs="仿宋_GB2312"/>
                <w:i w:val="0"/>
                <w:iCs w:val="0"/>
                <w:color w:val="000000"/>
                <w:sz w:val="22"/>
                <w:szCs w:val="22"/>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B85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满意度指标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9534">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服务对象满意度指标</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824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使用人员满意度</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1897">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155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3CCC">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89E6">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E1CA">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A69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2A8E">
            <w:pPr>
              <w:snapToGrid w:val="0"/>
              <w:jc w:val="center"/>
              <w:rPr>
                <w:rFonts w:hint="eastAsia" w:ascii="仿宋_GB2312" w:hAnsi="宋体" w:eastAsia="仿宋_GB2312" w:cs="仿宋_GB2312"/>
                <w:i/>
                <w:iCs/>
                <w:color w:val="000000"/>
                <w:sz w:val="22"/>
                <w:szCs w:val="22"/>
                <w:u w:val="none"/>
              </w:rPr>
            </w:pPr>
          </w:p>
        </w:tc>
      </w:tr>
      <w:tr w14:paraId="33CB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28865F">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C92B">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2060">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41FD6">
            <w:pPr>
              <w:snapToGrid w:val="0"/>
              <w:rPr>
                <w:rFonts w:hint="eastAsia" w:ascii="仿宋_GB2312" w:hAnsi="宋体" w:eastAsia="仿宋_GB2312" w:cs="仿宋_GB2312"/>
                <w:i w:val="0"/>
                <w:iCs w:val="0"/>
                <w:color w:val="000000"/>
                <w:sz w:val="22"/>
                <w:szCs w:val="22"/>
                <w:u w:val="none"/>
              </w:rPr>
            </w:pPr>
          </w:p>
        </w:tc>
      </w:tr>
      <w:tr w14:paraId="474A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0852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评价结论</w:t>
            </w:r>
          </w:p>
        </w:tc>
        <w:tc>
          <w:tcPr>
            <w:tcW w:w="45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740CE1">
            <w:pPr>
              <w:keepNext w:val="0"/>
              <w:keepLines w:val="0"/>
              <w:widowControl/>
              <w:suppressLineNumbers w:val="0"/>
              <w:snapToGrid w:val="0"/>
              <w:jc w:val="left"/>
              <w:textAlignment w:val="center"/>
              <w:rPr>
                <w:rFonts w:hint="eastAsia" w:ascii="仿宋_GB2312" w:hAnsi="宋体" w:eastAsia="仿宋_GB2312" w:cs="仿宋_GB2312"/>
                <w:i/>
                <w:iCs/>
                <w:color w:val="000000"/>
                <w:sz w:val="22"/>
                <w:szCs w:val="22"/>
                <w:u w:val="none"/>
              </w:rPr>
            </w:pPr>
            <w:r>
              <w:rPr>
                <w:rFonts w:hint="eastAsia" w:ascii="仿宋_GB2312" w:hAnsi="宋体" w:eastAsia="仿宋_GB2312" w:cs="仿宋_GB2312"/>
                <w:i/>
                <w:iCs/>
                <w:color w:val="000000"/>
                <w:kern w:val="0"/>
                <w:sz w:val="22"/>
                <w:szCs w:val="22"/>
                <w:u w:val="none"/>
                <w:lang w:val="en-US" w:eastAsia="zh-CN" w:bidi="ar"/>
              </w:rPr>
              <w:t>完成项目执行目标。</w:t>
            </w:r>
          </w:p>
        </w:tc>
      </w:tr>
      <w:tr w14:paraId="50F4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7249">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存在问题</w:t>
            </w:r>
          </w:p>
        </w:tc>
        <w:tc>
          <w:tcPr>
            <w:tcW w:w="45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E5094A">
            <w:pPr>
              <w:keepNext w:val="0"/>
              <w:keepLines w:val="0"/>
              <w:widowControl/>
              <w:suppressLineNumbers w:val="0"/>
              <w:snapToGrid w:val="0"/>
              <w:jc w:val="left"/>
              <w:textAlignment w:val="center"/>
              <w:rPr>
                <w:rFonts w:hint="eastAsia" w:ascii="仿宋_GB2312" w:hAnsi="宋体" w:eastAsia="仿宋_GB2312" w:cs="仿宋_GB2312"/>
                <w:i/>
                <w:iCs/>
                <w:color w:val="000000"/>
                <w:sz w:val="22"/>
                <w:szCs w:val="22"/>
                <w:u w:val="none"/>
              </w:rPr>
            </w:pPr>
            <w:r>
              <w:rPr>
                <w:rFonts w:hint="eastAsia" w:ascii="仿宋_GB2312" w:hAnsi="宋体" w:eastAsia="仿宋_GB2312" w:cs="仿宋_GB2312"/>
                <w:i/>
                <w:iCs/>
                <w:color w:val="000000"/>
                <w:kern w:val="0"/>
                <w:sz w:val="22"/>
                <w:szCs w:val="22"/>
                <w:u w:val="none"/>
                <w:lang w:val="en-US" w:eastAsia="zh-CN" w:bidi="ar"/>
              </w:rPr>
              <w:t>无。</w:t>
            </w:r>
          </w:p>
        </w:tc>
      </w:tr>
      <w:tr w14:paraId="2FA4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F2B1">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改进措施</w:t>
            </w:r>
          </w:p>
        </w:tc>
        <w:tc>
          <w:tcPr>
            <w:tcW w:w="454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B0E572">
            <w:pPr>
              <w:keepNext w:val="0"/>
              <w:keepLines w:val="0"/>
              <w:widowControl/>
              <w:suppressLineNumbers w:val="0"/>
              <w:snapToGrid w:val="0"/>
              <w:jc w:val="left"/>
              <w:textAlignment w:val="center"/>
              <w:rPr>
                <w:rFonts w:hint="eastAsia" w:ascii="仿宋_GB2312" w:hAnsi="宋体" w:eastAsia="仿宋_GB2312" w:cs="仿宋_GB2312"/>
                <w:i/>
                <w:iCs/>
                <w:color w:val="000000"/>
                <w:sz w:val="22"/>
                <w:szCs w:val="22"/>
                <w:u w:val="none"/>
              </w:rPr>
            </w:pPr>
            <w:r>
              <w:rPr>
                <w:rFonts w:hint="eastAsia" w:ascii="仿宋_GB2312" w:hAnsi="宋体" w:eastAsia="仿宋_GB2312" w:cs="仿宋_GB2312"/>
                <w:i/>
                <w:iCs/>
                <w:color w:val="000000"/>
                <w:kern w:val="0"/>
                <w:sz w:val="22"/>
                <w:szCs w:val="22"/>
                <w:u w:val="none"/>
                <w:lang w:val="en-US" w:eastAsia="zh-CN" w:bidi="ar"/>
              </w:rPr>
              <w:t>无。</w:t>
            </w:r>
          </w:p>
        </w:tc>
      </w:tr>
      <w:tr w14:paraId="27BF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A0BA38">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项目负责人：代成刚</w:t>
            </w:r>
          </w:p>
        </w:tc>
        <w:tc>
          <w:tcPr>
            <w:tcW w:w="255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5F3B6C">
            <w:pPr>
              <w:keepNext w:val="0"/>
              <w:keepLines w:val="0"/>
              <w:widowControl/>
              <w:suppressLineNumbers w:val="0"/>
              <w:snapToGrid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财务负责人：罗琴</w:t>
            </w:r>
          </w:p>
        </w:tc>
      </w:tr>
      <w:tr w14:paraId="7891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 w:type="pct"/>
            <w:tcBorders>
              <w:top w:val="nil"/>
              <w:left w:val="nil"/>
              <w:bottom w:val="nil"/>
              <w:right w:val="nil"/>
            </w:tcBorders>
            <w:shd w:val="clear" w:color="auto" w:fill="auto"/>
            <w:vAlign w:val="center"/>
          </w:tcPr>
          <w:p w14:paraId="60646512">
            <w:pPr>
              <w:snapToGrid w:val="0"/>
              <w:rPr>
                <w:rFonts w:hint="eastAsia" w:ascii="仿宋_GB2312" w:hAnsi="宋体" w:eastAsia="仿宋_GB2312" w:cs="仿宋_GB2312"/>
                <w:i w:val="0"/>
                <w:iCs w:val="0"/>
                <w:color w:val="000000"/>
                <w:sz w:val="22"/>
                <w:szCs w:val="22"/>
                <w:u w:val="none"/>
              </w:rPr>
            </w:pPr>
          </w:p>
        </w:tc>
        <w:tc>
          <w:tcPr>
            <w:tcW w:w="468" w:type="pct"/>
            <w:tcBorders>
              <w:top w:val="nil"/>
              <w:left w:val="nil"/>
              <w:bottom w:val="nil"/>
              <w:right w:val="nil"/>
            </w:tcBorders>
            <w:shd w:val="clear" w:color="auto" w:fill="auto"/>
            <w:vAlign w:val="center"/>
          </w:tcPr>
          <w:p w14:paraId="3DAD7825">
            <w:pPr>
              <w:snapToGrid w:val="0"/>
              <w:rPr>
                <w:rFonts w:hint="eastAsia" w:ascii="仿宋_GB2312" w:hAnsi="宋体" w:eastAsia="仿宋_GB2312" w:cs="仿宋_GB2312"/>
                <w:i w:val="0"/>
                <w:iCs w:val="0"/>
                <w:color w:val="000000"/>
                <w:sz w:val="22"/>
                <w:szCs w:val="22"/>
                <w:u w:val="none"/>
              </w:rPr>
            </w:pPr>
          </w:p>
        </w:tc>
        <w:tc>
          <w:tcPr>
            <w:tcW w:w="502" w:type="pct"/>
            <w:tcBorders>
              <w:top w:val="nil"/>
              <w:left w:val="nil"/>
              <w:bottom w:val="nil"/>
              <w:right w:val="nil"/>
            </w:tcBorders>
            <w:shd w:val="clear" w:color="auto" w:fill="auto"/>
            <w:vAlign w:val="center"/>
          </w:tcPr>
          <w:p w14:paraId="587E7497">
            <w:pPr>
              <w:snapToGrid w:val="0"/>
              <w:rPr>
                <w:rFonts w:hint="eastAsia" w:ascii="仿宋_GB2312" w:hAnsi="宋体" w:eastAsia="仿宋_GB2312" w:cs="仿宋_GB2312"/>
                <w:i w:val="0"/>
                <w:iCs w:val="0"/>
                <w:color w:val="000000"/>
                <w:sz w:val="22"/>
                <w:szCs w:val="22"/>
                <w:u w:val="none"/>
              </w:rPr>
            </w:pPr>
          </w:p>
        </w:tc>
        <w:tc>
          <w:tcPr>
            <w:tcW w:w="739" w:type="pct"/>
            <w:tcBorders>
              <w:top w:val="nil"/>
              <w:left w:val="nil"/>
              <w:bottom w:val="nil"/>
              <w:right w:val="nil"/>
            </w:tcBorders>
            <w:shd w:val="clear" w:color="auto" w:fill="auto"/>
            <w:vAlign w:val="center"/>
          </w:tcPr>
          <w:p w14:paraId="03E0971F">
            <w:pPr>
              <w:snapToGrid w:val="0"/>
              <w:rPr>
                <w:rFonts w:hint="eastAsia" w:ascii="仿宋_GB2312" w:hAnsi="宋体" w:eastAsia="仿宋_GB2312" w:cs="仿宋_GB2312"/>
                <w:i w:val="0"/>
                <w:iCs w:val="0"/>
                <w:color w:val="000000"/>
                <w:sz w:val="22"/>
                <w:szCs w:val="22"/>
                <w:u w:val="none"/>
              </w:rPr>
            </w:pPr>
          </w:p>
        </w:tc>
        <w:tc>
          <w:tcPr>
            <w:tcW w:w="282" w:type="pct"/>
            <w:tcBorders>
              <w:top w:val="nil"/>
              <w:left w:val="nil"/>
              <w:bottom w:val="nil"/>
              <w:right w:val="nil"/>
            </w:tcBorders>
            <w:shd w:val="clear" w:color="auto" w:fill="auto"/>
            <w:vAlign w:val="center"/>
          </w:tcPr>
          <w:p w14:paraId="6838D9C7">
            <w:pPr>
              <w:snapToGrid w:val="0"/>
              <w:rPr>
                <w:rFonts w:hint="eastAsia" w:ascii="仿宋_GB2312" w:hAnsi="宋体" w:eastAsia="仿宋_GB2312" w:cs="仿宋_GB2312"/>
                <w:i w:val="0"/>
                <w:iCs w:val="0"/>
                <w:color w:val="000000"/>
                <w:sz w:val="22"/>
                <w:szCs w:val="22"/>
                <w:u w:val="none"/>
              </w:rPr>
            </w:pPr>
          </w:p>
        </w:tc>
        <w:tc>
          <w:tcPr>
            <w:tcW w:w="452" w:type="pct"/>
            <w:tcBorders>
              <w:top w:val="nil"/>
              <w:left w:val="nil"/>
              <w:bottom w:val="nil"/>
              <w:right w:val="nil"/>
            </w:tcBorders>
            <w:shd w:val="clear" w:color="auto" w:fill="auto"/>
            <w:vAlign w:val="center"/>
          </w:tcPr>
          <w:p w14:paraId="53B08FDD">
            <w:pPr>
              <w:snapToGrid w:val="0"/>
              <w:rPr>
                <w:rFonts w:hint="eastAsia" w:ascii="仿宋_GB2312" w:hAnsi="宋体" w:eastAsia="仿宋_GB2312" w:cs="仿宋_GB2312"/>
                <w:i w:val="0"/>
                <w:iCs w:val="0"/>
                <w:color w:val="000000"/>
                <w:sz w:val="22"/>
                <w:szCs w:val="22"/>
                <w:u w:val="none"/>
              </w:rPr>
            </w:pPr>
          </w:p>
        </w:tc>
        <w:tc>
          <w:tcPr>
            <w:tcW w:w="522" w:type="pct"/>
            <w:tcBorders>
              <w:top w:val="nil"/>
              <w:left w:val="nil"/>
              <w:bottom w:val="nil"/>
              <w:right w:val="nil"/>
            </w:tcBorders>
            <w:shd w:val="clear" w:color="auto" w:fill="auto"/>
            <w:vAlign w:val="center"/>
          </w:tcPr>
          <w:p w14:paraId="4789B89B">
            <w:pPr>
              <w:snapToGrid w:val="0"/>
              <w:rPr>
                <w:rFonts w:hint="eastAsia" w:ascii="仿宋_GB2312" w:hAnsi="宋体" w:eastAsia="仿宋_GB2312" w:cs="仿宋_GB2312"/>
                <w:i w:val="0"/>
                <w:iCs w:val="0"/>
                <w:color w:val="000000"/>
                <w:sz w:val="22"/>
                <w:szCs w:val="22"/>
                <w:u w:val="none"/>
              </w:rPr>
            </w:pPr>
          </w:p>
        </w:tc>
        <w:tc>
          <w:tcPr>
            <w:tcW w:w="620" w:type="pct"/>
            <w:tcBorders>
              <w:top w:val="nil"/>
              <w:left w:val="nil"/>
              <w:bottom w:val="nil"/>
              <w:right w:val="nil"/>
            </w:tcBorders>
            <w:shd w:val="clear" w:color="auto" w:fill="auto"/>
            <w:vAlign w:val="center"/>
          </w:tcPr>
          <w:p w14:paraId="6A89DB6C">
            <w:pPr>
              <w:snapToGrid w:val="0"/>
              <w:rPr>
                <w:rFonts w:hint="eastAsia" w:ascii="仿宋_GB2312" w:hAnsi="宋体" w:eastAsia="仿宋_GB2312" w:cs="仿宋_GB2312"/>
                <w:i w:val="0"/>
                <w:iCs w:val="0"/>
                <w:color w:val="000000"/>
                <w:sz w:val="22"/>
                <w:szCs w:val="22"/>
                <w:u w:val="none"/>
              </w:rPr>
            </w:pPr>
          </w:p>
        </w:tc>
        <w:tc>
          <w:tcPr>
            <w:tcW w:w="323" w:type="pct"/>
            <w:tcBorders>
              <w:top w:val="nil"/>
              <w:left w:val="nil"/>
              <w:bottom w:val="nil"/>
              <w:right w:val="nil"/>
            </w:tcBorders>
            <w:shd w:val="clear" w:color="auto" w:fill="auto"/>
            <w:vAlign w:val="center"/>
          </w:tcPr>
          <w:p w14:paraId="1BEB991C">
            <w:pPr>
              <w:snapToGrid w:val="0"/>
              <w:rPr>
                <w:rFonts w:hint="eastAsia" w:ascii="仿宋_GB2312" w:hAnsi="宋体" w:eastAsia="仿宋_GB2312" w:cs="仿宋_GB2312"/>
                <w:i w:val="0"/>
                <w:iCs w:val="0"/>
                <w:color w:val="000000"/>
                <w:sz w:val="22"/>
                <w:szCs w:val="22"/>
                <w:u w:val="none"/>
              </w:rPr>
            </w:pPr>
          </w:p>
        </w:tc>
        <w:tc>
          <w:tcPr>
            <w:tcW w:w="323" w:type="pct"/>
            <w:tcBorders>
              <w:top w:val="nil"/>
              <w:left w:val="nil"/>
              <w:bottom w:val="nil"/>
              <w:right w:val="nil"/>
            </w:tcBorders>
            <w:shd w:val="clear" w:color="auto" w:fill="auto"/>
            <w:vAlign w:val="center"/>
          </w:tcPr>
          <w:p w14:paraId="6A035C6C">
            <w:pPr>
              <w:snapToGrid w:val="0"/>
              <w:jc w:val="center"/>
              <w:rPr>
                <w:rFonts w:hint="eastAsia" w:ascii="仿宋_GB2312" w:hAnsi="宋体" w:eastAsia="仿宋_GB2312" w:cs="仿宋_GB2312"/>
                <w:i w:val="0"/>
                <w:iCs w:val="0"/>
                <w:color w:val="000000"/>
                <w:sz w:val="22"/>
                <w:szCs w:val="22"/>
                <w:u w:val="none"/>
              </w:rPr>
            </w:pPr>
          </w:p>
        </w:tc>
        <w:tc>
          <w:tcPr>
            <w:tcW w:w="308" w:type="pct"/>
            <w:tcBorders>
              <w:top w:val="nil"/>
              <w:left w:val="nil"/>
              <w:bottom w:val="nil"/>
              <w:right w:val="nil"/>
            </w:tcBorders>
            <w:shd w:val="clear" w:color="auto" w:fill="auto"/>
            <w:vAlign w:val="center"/>
          </w:tcPr>
          <w:p w14:paraId="47F95836">
            <w:pPr>
              <w:snapToGrid w:val="0"/>
              <w:rPr>
                <w:rFonts w:hint="eastAsia" w:ascii="仿宋_GB2312" w:hAnsi="宋体" w:eastAsia="仿宋_GB2312" w:cs="仿宋_GB2312"/>
                <w:i w:val="0"/>
                <w:iCs w:val="0"/>
                <w:color w:val="000000"/>
                <w:sz w:val="22"/>
                <w:szCs w:val="22"/>
                <w:u w:val="none"/>
              </w:rPr>
            </w:pPr>
          </w:p>
        </w:tc>
      </w:tr>
    </w:tbl>
    <w:p w14:paraId="5454E6FC">
      <w:pPr>
        <w:widowControl/>
        <w:jc w:val="center"/>
        <w:rPr>
          <w:rFonts w:hint="eastAsia" w:eastAsia="黑体"/>
          <w:sz w:val="44"/>
          <w:szCs w:val="44"/>
        </w:rPr>
      </w:pPr>
      <w:bookmarkStart w:id="47" w:name="_Toc15396618"/>
    </w:p>
    <w:p w14:paraId="4295C964">
      <w:pPr>
        <w:widowControl/>
        <w:jc w:val="center"/>
        <w:rPr>
          <w:rFonts w:eastAsia="仿宋"/>
        </w:rPr>
      </w:pPr>
      <w:r>
        <w:rPr>
          <w:rFonts w:hint="eastAsia" w:eastAsia="黑体"/>
          <w:sz w:val="44"/>
          <w:szCs w:val="44"/>
        </w:rPr>
        <w:t>第</w:t>
      </w:r>
      <w:r>
        <w:rPr>
          <w:rStyle w:val="28"/>
          <w:rFonts w:hint="eastAsia" w:eastAsia="黑体"/>
          <w:b w:val="0"/>
        </w:rPr>
        <w:t>五部分 附表</w:t>
      </w:r>
      <w:bookmarkEnd w:id="46"/>
      <w:bookmarkEnd w:id="47"/>
      <w:bookmarkStart w:id="48" w:name="_Toc15396619"/>
    </w:p>
    <w:p w14:paraId="281254F6">
      <w:pPr>
        <w:pStyle w:val="14"/>
        <w:adjustRightInd w:val="0"/>
        <w:snapToGrid w:val="0"/>
        <w:spacing w:line="560" w:lineRule="exact"/>
        <w:jc w:val="left"/>
        <w:rPr>
          <w:rFonts w:eastAsia="仿宋_GB2312" w:cs="仿宋_GB2312"/>
          <w:sz w:val="32"/>
          <w:szCs w:val="32"/>
        </w:rPr>
      </w:pPr>
    </w:p>
    <w:p w14:paraId="758F1078">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8"/>
    </w:p>
    <w:p w14:paraId="5AD274EA">
      <w:pPr>
        <w:pStyle w:val="14"/>
        <w:adjustRightInd w:val="0"/>
        <w:snapToGrid w:val="0"/>
        <w:spacing w:line="560" w:lineRule="exact"/>
        <w:jc w:val="left"/>
        <w:rPr>
          <w:rFonts w:eastAsia="仿宋_GB2312" w:cs="仿宋_GB2312"/>
          <w:sz w:val="32"/>
          <w:szCs w:val="32"/>
        </w:rPr>
      </w:pPr>
      <w:bookmarkStart w:id="49" w:name="_Toc15396620"/>
      <w:r>
        <w:rPr>
          <w:rFonts w:hint="eastAsia" w:eastAsia="仿宋_GB2312" w:cs="仿宋_GB2312"/>
          <w:sz w:val="32"/>
          <w:szCs w:val="32"/>
        </w:rPr>
        <w:t>二、收入决算表</w:t>
      </w:r>
      <w:bookmarkEnd w:id="49"/>
    </w:p>
    <w:p w14:paraId="1E9F23FC">
      <w:pPr>
        <w:pStyle w:val="14"/>
        <w:adjustRightInd w:val="0"/>
        <w:snapToGrid w:val="0"/>
        <w:spacing w:line="560" w:lineRule="exact"/>
        <w:jc w:val="left"/>
        <w:rPr>
          <w:rFonts w:eastAsia="仿宋_GB2312" w:cs="仿宋_GB2312"/>
          <w:sz w:val="32"/>
          <w:szCs w:val="32"/>
        </w:rPr>
      </w:pPr>
      <w:bookmarkStart w:id="50" w:name="_Toc15396621"/>
      <w:r>
        <w:rPr>
          <w:rFonts w:hint="eastAsia" w:eastAsia="仿宋_GB2312" w:cs="仿宋_GB2312"/>
          <w:sz w:val="32"/>
          <w:szCs w:val="32"/>
        </w:rPr>
        <w:t>三、支出决算表</w:t>
      </w:r>
      <w:bookmarkEnd w:id="50"/>
    </w:p>
    <w:p w14:paraId="7BF1B1AA">
      <w:pPr>
        <w:pStyle w:val="14"/>
        <w:adjustRightInd w:val="0"/>
        <w:snapToGrid w:val="0"/>
        <w:spacing w:line="560" w:lineRule="exact"/>
        <w:jc w:val="left"/>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14:paraId="4B6BD3C5">
      <w:pPr>
        <w:pStyle w:val="14"/>
        <w:adjustRightInd w:val="0"/>
        <w:snapToGrid w:val="0"/>
        <w:spacing w:line="560" w:lineRule="exact"/>
        <w:jc w:val="left"/>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14:paraId="66971D22">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3"/>
    </w:p>
    <w:p w14:paraId="1603B2AA">
      <w:pPr>
        <w:pStyle w:val="14"/>
        <w:adjustRightInd w:val="0"/>
        <w:snapToGrid w:val="0"/>
        <w:spacing w:line="560" w:lineRule="exact"/>
        <w:jc w:val="left"/>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14:paraId="753EDEE0">
      <w:pPr>
        <w:pStyle w:val="14"/>
        <w:adjustRightInd w:val="0"/>
        <w:snapToGrid w:val="0"/>
        <w:spacing w:line="560" w:lineRule="exact"/>
        <w:jc w:val="left"/>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14:paraId="7E28AB26">
      <w:pPr>
        <w:pStyle w:val="14"/>
        <w:adjustRightInd w:val="0"/>
        <w:snapToGrid w:val="0"/>
        <w:spacing w:line="560" w:lineRule="exact"/>
        <w:jc w:val="left"/>
        <w:rPr>
          <w:rFonts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14:paraId="23A3C37F">
      <w:pPr>
        <w:pStyle w:val="14"/>
        <w:adjustRightInd w:val="0"/>
        <w:snapToGrid w:val="0"/>
        <w:spacing w:line="560" w:lineRule="exact"/>
        <w:jc w:val="left"/>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14:paraId="3AA878B7">
      <w:pPr>
        <w:pStyle w:val="14"/>
        <w:adjustRightInd w:val="0"/>
        <w:snapToGrid w:val="0"/>
        <w:spacing w:line="560" w:lineRule="exact"/>
        <w:jc w:val="left"/>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p>
    <w:p w14:paraId="76E997C8">
      <w:pPr>
        <w:pStyle w:val="14"/>
        <w:adjustRightInd w:val="0"/>
        <w:snapToGrid w:val="0"/>
        <w:spacing w:line="560" w:lineRule="exact"/>
        <w:jc w:val="left"/>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p>
    <w:p w14:paraId="40EAFBB5">
      <w:pPr>
        <w:pStyle w:val="14"/>
        <w:adjustRightInd w:val="0"/>
        <w:snapToGrid w:val="0"/>
        <w:spacing w:line="560" w:lineRule="exact"/>
        <w:jc w:val="left"/>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14:paraId="120EA16A"/>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C4438">
    <w:pPr>
      <w:pStyle w:val="11"/>
      <w:jc w:val="center"/>
    </w:pPr>
  </w:p>
  <w:p w14:paraId="01144D1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4C31F">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84BE1">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8984BE1">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A4097">
    <w:pPr>
      <w:pStyle w:val="1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3D91E">
                          <w:pPr>
                            <w:pStyle w:val="11"/>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783D91E">
                    <w:pPr>
                      <w:pStyle w:val="11"/>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p w14:paraId="6D0F1C3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90629">
    <w:pPr>
      <w:pStyle w:val="1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D1A37">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C6D1A37">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4B3F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401868"/>
    <w:multiLevelType w:val="multilevel"/>
    <w:tmpl w:val="74401868"/>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B7406"/>
    <w:rsid w:val="001C0962"/>
    <w:rsid w:val="001D7531"/>
    <w:rsid w:val="001E737D"/>
    <w:rsid w:val="001F0592"/>
    <w:rsid w:val="001F7506"/>
    <w:rsid w:val="002006CD"/>
    <w:rsid w:val="00202B36"/>
    <w:rsid w:val="00204227"/>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672C7"/>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16C06"/>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595"/>
    <w:rsid w:val="006C1937"/>
    <w:rsid w:val="006F020C"/>
    <w:rsid w:val="007127B7"/>
    <w:rsid w:val="0071798E"/>
    <w:rsid w:val="007416B6"/>
    <w:rsid w:val="00746F48"/>
    <w:rsid w:val="0075404D"/>
    <w:rsid w:val="0076182A"/>
    <w:rsid w:val="00761CAF"/>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397B"/>
    <w:rsid w:val="0083706E"/>
    <w:rsid w:val="008408F6"/>
    <w:rsid w:val="008423A5"/>
    <w:rsid w:val="00850625"/>
    <w:rsid w:val="00853718"/>
    <w:rsid w:val="00855221"/>
    <w:rsid w:val="00856856"/>
    <w:rsid w:val="00860645"/>
    <w:rsid w:val="00871F71"/>
    <w:rsid w:val="00872FD8"/>
    <w:rsid w:val="00885AF4"/>
    <w:rsid w:val="008939CD"/>
    <w:rsid w:val="008B768C"/>
    <w:rsid w:val="008C4DB1"/>
    <w:rsid w:val="008C4EAF"/>
    <w:rsid w:val="008C5176"/>
    <w:rsid w:val="008C7FD0"/>
    <w:rsid w:val="008E1DE7"/>
    <w:rsid w:val="008E707C"/>
    <w:rsid w:val="008F2879"/>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2980"/>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2A1A"/>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04B6"/>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6739"/>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339A"/>
    <w:rsid w:val="00FD3CC1"/>
    <w:rsid w:val="00FD65A6"/>
    <w:rsid w:val="00FF1E02"/>
    <w:rsid w:val="00FF30B4"/>
    <w:rsid w:val="00FF3F83"/>
    <w:rsid w:val="012A5EC2"/>
    <w:rsid w:val="015975B8"/>
    <w:rsid w:val="0180587E"/>
    <w:rsid w:val="02FEBE30"/>
    <w:rsid w:val="04916F1E"/>
    <w:rsid w:val="04CD61FB"/>
    <w:rsid w:val="061E35DE"/>
    <w:rsid w:val="066E0107"/>
    <w:rsid w:val="07996F6E"/>
    <w:rsid w:val="07DFD8BA"/>
    <w:rsid w:val="09867E8F"/>
    <w:rsid w:val="0A2032A3"/>
    <w:rsid w:val="0A7607AD"/>
    <w:rsid w:val="0CA8290A"/>
    <w:rsid w:val="0D35B1ED"/>
    <w:rsid w:val="0E254B6B"/>
    <w:rsid w:val="0F98263C"/>
    <w:rsid w:val="101860EC"/>
    <w:rsid w:val="101F47CC"/>
    <w:rsid w:val="10C055FF"/>
    <w:rsid w:val="11694EBD"/>
    <w:rsid w:val="11772AA4"/>
    <w:rsid w:val="118107EC"/>
    <w:rsid w:val="12D80513"/>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E9279E9"/>
    <w:rsid w:val="2F040D46"/>
    <w:rsid w:val="2F6B035B"/>
    <w:rsid w:val="2FAE5751"/>
    <w:rsid w:val="2FB1A395"/>
    <w:rsid w:val="2FD9A7D8"/>
    <w:rsid w:val="2FDBF714"/>
    <w:rsid w:val="30AB6865"/>
    <w:rsid w:val="319F7F4E"/>
    <w:rsid w:val="32BD1EF1"/>
    <w:rsid w:val="3304709D"/>
    <w:rsid w:val="33A773CB"/>
    <w:rsid w:val="349D6851"/>
    <w:rsid w:val="36AA5135"/>
    <w:rsid w:val="36BE0DA7"/>
    <w:rsid w:val="36C068FA"/>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902DA1"/>
    <w:rsid w:val="44E268DA"/>
    <w:rsid w:val="450D13D7"/>
    <w:rsid w:val="45506656"/>
    <w:rsid w:val="464D3303"/>
    <w:rsid w:val="486A6C7A"/>
    <w:rsid w:val="4A627F82"/>
    <w:rsid w:val="4B0E749A"/>
    <w:rsid w:val="4B2477C4"/>
    <w:rsid w:val="4B4F25DA"/>
    <w:rsid w:val="4BE068DB"/>
    <w:rsid w:val="4CFD4EB7"/>
    <w:rsid w:val="4D577224"/>
    <w:rsid w:val="4DA61060"/>
    <w:rsid w:val="4DBF1CEB"/>
    <w:rsid w:val="4DF0007C"/>
    <w:rsid w:val="4EAB630A"/>
    <w:rsid w:val="4ECE2238"/>
    <w:rsid w:val="4F833267"/>
    <w:rsid w:val="4FE9BD67"/>
    <w:rsid w:val="4FFB052F"/>
    <w:rsid w:val="514C6557"/>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EE66E12"/>
    <w:rsid w:val="5FBF9FF3"/>
    <w:rsid w:val="5FCD4E2C"/>
    <w:rsid w:val="5FEF394A"/>
    <w:rsid w:val="5FF67715"/>
    <w:rsid w:val="62BF3928"/>
    <w:rsid w:val="636E5628"/>
    <w:rsid w:val="63B3701E"/>
    <w:rsid w:val="647F5392"/>
    <w:rsid w:val="65E66580"/>
    <w:rsid w:val="664B1D71"/>
    <w:rsid w:val="664B4E8E"/>
    <w:rsid w:val="67277B67"/>
    <w:rsid w:val="67AA3209"/>
    <w:rsid w:val="698D0931"/>
    <w:rsid w:val="6A7FE5F3"/>
    <w:rsid w:val="6AAD6A36"/>
    <w:rsid w:val="6B053271"/>
    <w:rsid w:val="6B7632CC"/>
    <w:rsid w:val="6BDD78B3"/>
    <w:rsid w:val="6C4A05C8"/>
    <w:rsid w:val="6C8742B8"/>
    <w:rsid w:val="6DBF5E93"/>
    <w:rsid w:val="6DFF077E"/>
    <w:rsid w:val="6E714EF0"/>
    <w:rsid w:val="6E7E3605"/>
    <w:rsid w:val="6E7FDCC7"/>
    <w:rsid w:val="6ED6A62E"/>
    <w:rsid w:val="6EE00B15"/>
    <w:rsid w:val="6F1820C0"/>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4B3A1B"/>
    <w:rsid w:val="75DEEEC2"/>
    <w:rsid w:val="75E32345"/>
    <w:rsid w:val="76E3355F"/>
    <w:rsid w:val="76ED47E9"/>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ED0461"/>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4591</Words>
  <Characters>5012</Characters>
  <Lines>38</Lines>
  <Paragraphs>10</Paragraphs>
  <TotalTime>12</TotalTime>
  <ScaleCrop>false</ScaleCrop>
  <LinksUpToDate>false</LinksUpToDate>
  <CharactersWithSpaces>5058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嘿、柒仔</cp:lastModifiedBy>
  <cp:lastPrinted>2025-08-06T17:34:00Z</cp:lastPrinted>
  <dcterms:modified xsi:type="dcterms:W3CDTF">2025-12-05T02:08:10Z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04787F2533EB45DC91BCDE4AB213247F</vt:lpwstr>
  </property>
  <property fmtid="{D5CDD505-2E9C-101B-9397-08002B2CF9AE}" pid="4" name="KSOTemplateDocerSaveRecord">
    <vt:lpwstr>eyJoZGlkIjoiZWZkN2I5MGYyMWNkNmQyNDIyZDVhYjFkNDc2YmZkYWUiLCJ1c2VySWQiOiI5OTQxMjc0NzMifQ==</vt:lpwstr>
  </property>
</Properties>
</file>