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16537">
      <w:pPr>
        <w:pStyle w:val="8"/>
        <w:spacing w:before="93"/>
        <w:rPr>
          <w:rFonts w:ascii="Times New Roman" w:eastAsia="方正小标宋简体"/>
          <w:kern w:val="2"/>
          <w:sz w:val="72"/>
          <w:szCs w:val="72"/>
          <w:highlight w:val="none"/>
        </w:rPr>
      </w:pPr>
      <w:bookmarkStart w:id="0" w:name="_Toc15396475"/>
      <w:bookmarkStart w:id="1" w:name="_Toc15306267"/>
      <w:bookmarkStart w:id="2" w:name="_Toc15377193"/>
      <w:bookmarkStart w:id="3" w:name="_Toc15378441"/>
      <w:bookmarkStart w:id="4" w:name="_Toc15377425"/>
      <w:bookmarkStart w:id="5" w:name="_Toc15396597"/>
    </w:p>
    <w:p w14:paraId="61E4113C">
      <w:pPr>
        <w:pStyle w:val="8"/>
        <w:spacing w:before="93"/>
        <w:rPr>
          <w:rFonts w:ascii="Times New Roman" w:eastAsia="方正小标宋简体"/>
          <w:kern w:val="2"/>
          <w:sz w:val="72"/>
          <w:szCs w:val="72"/>
          <w:highlight w:val="none"/>
        </w:rPr>
      </w:pPr>
    </w:p>
    <w:p w14:paraId="2262BDE0">
      <w:pPr>
        <w:pStyle w:val="8"/>
        <w:spacing w:before="93"/>
        <w:rPr>
          <w:rFonts w:ascii="Times New Roman" w:eastAsia="方正小标宋简体"/>
          <w:kern w:val="2"/>
          <w:sz w:val="72"/>
          <w:szCs w:val="72"/>
          <w:highlight w:val="none"/>
        </w:rPr>
      </w:pPr>
    </w:p>
    <w:p w14:paraId="3C03DEBF">
      <w:pPr>
        <w:adjustRightInd w:val="0"/>
        <w:snapToGrid w:val="0"/>
        <w:spacing w:line="360" w:lineRule="auto"/>
        <w:jc w:val="center"/>
        <w:outlineLvl w:val="0"/>
        <w:rPr>
          <w:rFonts w:ascii="方正小标宋简体" w:hAnsi="方正小标宋简体" w:eastAsia="方正小标宋简体" w:cs="方正小标宋简体"/>
          <w:sz w:val="72"/>
          <w:szCs w:val="72"/>
          <w:highlight w:val="none"/>
        </w:rPr>
      </w:pPr>
      <w:r>
        <w:rPr>
          <w:rFonts w:hint="eastAsia" w:ascii="方正小标宋简体" w:hAnsi="方正小标宋简体" w:eastAsia="方正小标宋简体" w:cs="方正小标宋简体"/>
          <w:sz w:val="72"/>
          <w:szCs w:val="72"/>
          <w:highlight w:val="none"/>
        </w:rPr>
        <w:t>202</w:t>
      </w:r>
      <w:r>
        <w:rPr>
          <w:rFonts w:ascii="方正小标宋简体" w:hAnsi="方正小标宋简体" w:eastAsia="方正小标宋简体" w:cs="方正小标宋简体"/>
          <w:sz w:val="72"/>
          <w:szCs w:val="72"/>
          <w:highlight w:val="none"/>
        </w:rPr>
        <w:t>4</w:t>
      </w:r>
      <w:r>
        <w:rPr>
          <w:rFonts w:hint="eastAsia" w:ascii="方正小标宋简体" w:hAnsi="方正小标宋简体" w:eastAsia="方正小标宋简体" w:cs="方正小标宋简体"/>
          <w:sz w:val="72"/>
          <w:szCs w:val="72"/>
          <w:highlight w:val="none"/>
        </w:rPr>
        <w:t>年度</w:t>
      </w:r>
    </w:p>
    <w:p w14:paraId="31E43B21">
      <w:pPr>
        <w:adjustRightInd w:val="0"/>
        <w:snapToGrid w:val="0"/>
        <w:spacing w:line="360" w:lineRule="auto"/>
        <w:jc w:val="center"/>
        <w:outlineLvl w:val="0"/>
        <w:rPr>
          <w:rFonts w:hint="eastAsia" w:ascii="方正小标宋简体" w:hAnsi="方正小标宋简体" w:eastAsia="方正小标宋简体" w:cs="方正小标宋简体"/>
          <w:sz w:val="72"/>
          <w:szCs w:val="72"/>
          <w:highlight w:val="none"/>
        </w:rPr>
      </w:pPr>
      <w:r>
        <w:rPr>
          <w:rFonts w:hint="eastAsia" w:ascii="方正小标宋简体" w:hAnsi="方正小标宋简体" w:eastAsia="方正小标宋简体" w:cs="方正小标宋简体"/>
          <w:sz w:val="72"/>
          <w:szCs w:val="72"/>
          <w:highlight w:val="none"/>
        </w:rPr>
        <w:t>四川省峨眉山市应急</w:t>
      </w:r>
    </w:p>
    <w:p w14:paraId="33F477D7">
      <w:pPr>
        <w:adjustRightInd w:val="0"/>
        <w:snapToGrid w:val="0"/>
        <w:spacing w:line="360" w:lineRule="auto"/>
        <w:jc w:val="center"/>
        <w:outlineLvl w:val="0"/>
        <w:rPr>
          <w:rFonts w:ascii="方正小标宋简体" w:hAnsi="方正小标宋简体" w:eastAsia="方正小标宋简体" w:cs="方正小标宋简体"/>
          <w:sz w:val="72"/>
          <w:szCs w:val="72"/>
          <w:highlight w:val="none"/>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r>
        <w:rPr>
          <w:rFonts w:hint="eastAsia" w:ascii="方正小标宋简体" w:hAnsi="方正小标宋简体" w:eastAsia="方正小标宋简体" w:cs="方正小标宋简体"/>
          <w:sz w:val="72"/>
          <w:szCs w:val="72"/>
          <w:highlight w:val="none"/>
        </w:rPr>
        <w:t>管理局单位决算</w:t>
      </w:r>
    </w:p>
    <w:p w14:paraId="646BEC68">
      <w:pPr>
        <w:pStyle w:val="8"/>
        <w:spacing w:before="93"/>
        <w:rPr>
          <w:rFonts w:ascii="Times New Roman" w:eastAsia="方正小标宋简体"/>
          <w:kern w:val="2"/>
          <w:sz w:val="44"/>
          <w:szCs w:val="44"/>
          <w:highlight w:val="none"/>
        </w:rPr>
      </w:pPr>
    </w:p>
    <w:bookmarkEnd w:id="0"/>
    <w:bookmarkEnd w:id="1"/>
    <w:bookmarkEnd w:id="2"/>
    <w:bookmarkEnd w:id="3"/>
    <w:bookmarkEnd w:id="4"/>
    <w:bookmarkEnd w:id="5"/>
    <w:p w14:paraId="1774A03B">
      <w:pPr>
        <w:widowControl/>
        <w:jc w:val="center"/>
        <w:rPr>
          <w:rFonts w:eastAsia="黑体"/>
          <w:sz w:val="48"/>
          <w:szCs w:val="48"/>
          <w:highlight w:val="none"/>
        </w:rPr>
      </w:pPr>
      <w:r>
        <w:rPr>
          <w:rFonts w:hint="eastAsia" w:eastAsia="黑体"/>
          <w:sz w:val="48"/>
          <w:szCs w:val="48"/>
          <w:highlight w:val="none"/>
        </w:rPr>
        <w:t>目录</w:t>
      </w:r>
    </w:p>
    <w:p w14:paraId="0646A60E">
      <w:pPr>
        <w:widowControl/>
        <w:jc w:val="center"/>
        <w:rPr>
          <w:rFonts w:eastAsia="黑体" w:cstheme="minorBidi"/>
          <w:sz w:val="28"/>
          <w:szCs w:val="28"/>
          <w:highlight w:val="none"/>
        </w:rPr>
      </w:pPr>
    </w:p>
    <w:p w14:paraId="3460539A">
      <w:pPr>
        <w:pStyle w:val="13"/>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公开时间：202</w:t>
      </w:r>
      <w:r>
        <w:rPr>
          <w:rFonts w:ascii="Times New Roman" w:hAnsi="Times New Roman" w:eastAsia="仿宋_GB2312" w:cs="仿宋_GB2312"/>
          <w:sz w:val="32"/>
          <w:szCs w:val="32"/>
          <w:highlight w:val="none"/>
        </w:rPr>
        <w:t>5</w:t>
      </w:r>
      <w:r>
        <w:rPr>
          <w:rFonts w:hint="eastAsia" w:ascii="Times New Roman" w:hAnsi="Times New Roman" w:eastAsia="仿宋_GB2312" w:cs="仿宋_GB2312"/>
          <w:sz w:val="32"/>
          <w:szCs w:val="32"/>
          <w:highlight w:val="none"/>
        </w:rPr>
        <w:t>年</w:t>
      </w:r>
      <w:r>
        <w:rPr>
          <w:rFonts w:ascii="Times New Roman" w:hAnsi="Times New Roman" w:eastAsia="仿宋_GB2312" w:cs="仿宋_GB2312"/>
          <w:sz w:val="32"/>
          <w:szCs w:val="32"/>
          <w:highlight w:val="none"/>
        </w:rPr>
        <w:t>12</w:t>
      </w:r>
      <w:r>
        <w:rPr>
          <w:rFonts w:hint="eastAsia" w:ascii="Times New Roman" w:hAnsi="Times New Roman" w:eastAsia="仿宋_GB2312" w:cs="仿宋_GB2312"/>
          <w:sz w:val="32"/>
          <w:szCs w:val="32"/>
          <w:highlight w:val="none"/>
        </w:rPr>
        <w:t>月</w:t>
      </w:r>
      <w:r>
        <w:rPr>
          <w:rFonts w:hint="eastAsia" w:ascii="Times New Roman" w:hAnsi="Times New Roman" w:eastAsia="仿宋_GB2312" w:cs="仿宋_GB2312"/>
          <w:sz w:val="32"/>
          <w:szCs w:val="32"/>
          <w:highlight w:val="none"/>
          <w:lang w:val="en-US" w:eastAsia="zh-CN"/>
        </w:rPr>
        <w:t>5</w:t>
      </w:r>
      <w:r>
        <w:rPr>
          <w:rFonts w:hint="eastAsia" w:ascii="Times New Roman" w:hAnsi="Times New Roman" w:eastAsia="仿宋_GB2312" w:cs="仿宋_GB2312"/>
          <w:sz w:val="32"/>
          <w:szCs w:val="32"/>
          <w:highlight w:val="none"/>
        </w:rPr>
        <w:t xml:space="preserve"> 日</w:t>
      </w:r>
    </w:p>
    <w:p w14:paraId="0FE08D24">
      <w:pPr>
        <w:rPr>
          <w:highlight w:val="none"/>
        </w:rPr>
      </w:pPr>
    </w:p>
    <w:p w14:paraId="59C33B5E">
      <w:pPr>
        <w:pStyle w:val="13"/>
        <w:adjustRightInd w:val="0"/>
        <w:snapToGrid w:val="0"/>
        <w:spacing w:before="0" w:line="560" w:lineRule="exact"/>
        <w:jc w:val="left"/>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第一部分 单位概况</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3</w:t>
      </w:r>
    </w:p>
    <w:p w14:paraId="0F966D30">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一、主要职责</w:t>
      </w:r>
      <w:r>
        <w:rPr>
          <w:rFonts w:eastAsia="仿宋_GB2312" w:cs="仿宋_GB2312"/>
          <w:sz w:val="32"/>
          <w:szCs w:val="32"/>
          <w:highlight w:val="none"/>
        </w:rPr>
        <w:tab/>
      </w:r>
      <w:r>
        <w:rPr>
          <w:rFonts w:hint="eastAsia" w:eastAsia="仿宋_GB2312" w:cs="仿宋_GB2312"/>
          <w:sz w:val="32"/>
          <w:szCs w:val="32"/>
          <w:highlight w:val="none"/>
          <w:lang w:val="en-US" w:eastAsia="zh-CN"/>
        </w:rPr>
        <w:t>3</w:t>
      </w:r>
    </w:p>
    <w:p w14:paraId="3583DF9A">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二、机构设置</w:t>
      </w:r>
      <w:r>
        <w:rPr>
          <w:rFonts w:eastAsia="仿宋_GB2312" w:cs="仿宋_GB2312"/>
          <w:sz w:val="32"/>
          <w:szCs w:val="32"/>
          <w:highlight w:val="none"/>
        </w:rPr>
        <w:tab/>
      </w:r>
      <w:r>
        <w:rPr>
          <w:rFonts w:hint="eastAsia" w:eastAsia="仿宋_GB2312" w:cs="仿宋_GB2312"/>
          <w:sz w:val="32"/>
          <w:szCs w:val="32"/>
          <w:highlight w:val="none"/>
          <w:lang w:val="en-US" w:eastAsia="zh-CN"/>
        </w:rPr>
        <w:t>3</w:t>
      </w:r>
    </w:p>
    <w:p w14:paraId="6C04AA4B">
      <w:pPr>
        <w:pStyle w:val="13"/>
        <w:adjustRightInd w:val="0"/>
        <w:snapToGrid w:val="0"/>
        <w:spacing w:before="0" w:line="560" w:lineRule="exact"/>
        <w:jc w:val="left"/>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第二部分 2024年度单位决算情况说明</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5</w:t>
      </w:r>
    </w:p>
    <w:p w14:paraId="7BE49F0D">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一、收入支出决算总体情况说明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5</w:t>
      </w:r>
    </w:p>
    <w:p w14:paraId="6E75F951">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二、收入决算情况说明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6</w:t>
      </w:r>
    </w:p>
    <w:p w14:paraId="278C9391">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三、支出决算情况说明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6</w:t>
      </w:r>
    </w:p>
    <w:p w14:paraId="6483F7A5">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四、财政拨款收入支出决算总体情况说明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7</w:t>
      </w:r>
    </w:p>
    <w:p w14:paraId="296E774B">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五、一般公共预算财政拨款支出决算情况说明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8</w:t>
      </w:r>
    </w:p>
    <w:p w14:paraId="7FEDC8CE">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六、一般公共预算财政拨款基本支出决算情况说明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13</w:t>
      </w:r>
    </w:p>
    <w:p w14:paraId="376F7696">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七、财政拨款“三公”经费支出决算情况说明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13</w:t>
      </w:r>
    </w:p>
    <w:p w14:paraId="1AC24637">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八、政府性基金预算支出决算情况说明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15</w:t>
      </w:r>
    </w:p>
    <w:p w14:paraId="57504E9C">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九、国有资本经营预算支出决算情况说明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15</w:t>
      </w:r>
    </w:p>
    <w:p w14:paraId="54A6BAA8">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十、其他重要事项的情况说明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16</w:t>
      </w:r>
    </w:p>
    <w:p w14:paraId="7E27D108">
      <w:pPr>
        <w:pStyle w:val="13"/>
        <w:adjustRightInd w:val="0"/>
        <w:snapToGrid w:val="0"/>
        <w:spacing w:before="0" w:line="560" w:lineRule="exact"/>
        <w:jc w:val="left"/>
        <w:rPr>
          <w:rFonts w:hint="default"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第三部分 名词解释</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17</w:t>
      </w:r>
    </w:p>
    <w:p w14:paraId="0FE06CA0">
      <w:pPr>
        <w:pStyle w:val="13"/>
        <w:adjustRightInd w:val="0"/>
        <w:snapToGrid w:val="0"/>
        <w:spacing w:before="0" w:line="560" w:lineRule="exact"/>
        <w:jc w:val="left"/>
        <w:rPr>
          <w:rFonts w:hint="default"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第四部分 附件</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21</w:t>
      </w:r>
    </w:p>
    <w:p w14:paraId="00F674AF">
      <w:pPr>
        <w:pStyle w:val="13"/>
        <w:adjustRightInd w:val="0"/>
        <w:snapToGrid w:val="0"/>
        <w:spacing w:before="0" w:line="560" w:lineRule="exact"/>
        <w:jc w:val="left"/>
        <w:rPr>
          <w:rFonts w:hint="default"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第五部分 附表</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21</w:t>
      </w:r>
    </w:p>
    <w:p w14:paraId="3461A2F7">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一、收入支出决算总表</w:t>
      </w:r>
    </w:p>
    <w:p w14:paraId="4920EF54">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二、收入决算表</w:t>
      </w:r>
    </w:p>
    <w:p w14:paraId="150640EA">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三、支出决算表</w:t>
      </w:r>
    </w:p>
    <w:p w14:paraId="0BAE3F5B">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四、财政拨款收入支出决算总表</w:t>
      </w:r>
    </w:p>
    <w:p w14:paraId="2238E1DE">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五、财政拨款支出决算明细表</w:t>
      </w:r>
    </w:p>
    <w:p w14:paraId="4CA667BF">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六、一般公共预算财政拨款支出决算表</w:t>
      </w:r>
    </w:p>
    <w:p w14:paraId="774C9B49">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七、一般公共预算财政拨款支出决算明细表</w:t>
      </w:r>
    </w:p>
    <w:p w14:paraId="1D8275B6">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八、一般公共预算财政拨款基本支出决算明细表</w:t>
      </w:r>
    </w:p>
    <w:p w14:paraId="46D2B6D6">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九、一般公共预算财政拨款项目支出决算表</w:t>
      </w:r>
    </w:p>
    <w:p w14:paraId="6D1B8510">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十、政府性基金预算财政拨款收入支出决算表</w:t>
      </w:r>
    </w:p>
    <w:p w14:paraId="06E347F2">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十一、国有资本经营预算财政拨款收入支出决算表</w:t>
      </w:r>
    </w:p>
    <w:p w14:paraId="130EB12A">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十二、国有资本经营预算财政拨款支出决算表</w:t>
      </w:r>
    </w:p>
    <w:p w14:paraId="05F00869">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十三、财政拨款“三公”经费支出决算表</w:t>
      </w:r>
    </w:p>
    <w:p w14:paraId="3A9CCFE8">
      <w:pPr>
        <w:widowControl/>
        <w:spacing w:line="560" w:lineRule="exact"/>
        <w:jc w:val="left"/>
        <w:rPr>
          <w:rFonts w:eastAsia="仿宋_GB2312" w:cs="仿宋_GB2312"/>
          <w:bCs/>
          <w:kern w:val="44"/>
          <w:sz w:val="32"/>
          <w:szCs w:val="32"/>
          <w:highlight w:val="none"/>
        </w:rPr>
      </w:pPr>
      <w:bookmarkStart w:id="6" w:name="_Toc15396599"/>
      <w:bookmarkStart w:id="7" w:name="_Toc15377196"/>
      <w:r>
        <w:rPr>
          <w:rFonts w:hint="eastAsia" w:eastAsia="仿宋_GB2312" w:cs="仿宋_GB2312"/>
          <w:b/>
          <w:sz w:val="32"/>
          <w:szCs w:val="32"/>
          <w:highlight w:val="none"/>
        </w:rPr>
        <w:br w:type="page"/>
      </w:r>
    </w:p>
    <w:p w14:paraId="30A49720">
      <w:pPr>
        <w:pStyle w:val="5"/>
        <w:jc w:val="center"/>
        <w:rPr>
          <w:rStyle w:val="28"/>
          <w:rFonts w:eastAsia="方正小标宋简体" w:cs="方正小标宋简体"/>
          <w:b/>
          <w:bCs w:val="0"/>
          <w:highlight w:val="none"/>
        </w:rPr>
      </w:pPr>
      <w:r>
        <w:rPr>
          <w:rFonts w:hint="eastAsia" w:eastAsia="方正小标宋简体" w:cs="方正小标宋简体"/>
          <w:b w:val="0"/>
          <w:highlight w:val="none"/>
        </w:rPr>
        <w:t xml:space="preserve">第一部分  </w:t>
      </w:r>
      <w:r>
        <w:rPr>
          <w:rStyle w:val="28"/>
          <w:rFonts w:hint="eastAsia" w:eastAsia="方正小标宋简体" w:cs="方正小标宋简体"/>
          <w:b w:val="0"/>
          <w:bCs w:val="0"/>
          <w:highlight w:val="none"/>
        </w:rPr>
        <w:t>单位概况</w:t>
      </w:r>
      <w:bookmarkEnd w:id="6"/>
      <w:bookmarkEnd w:id="7"/>
    </w:p>
    <w:p w14:paraId="316D77D8">
      <w:pPr>
        <w:widowControl/>
        <w:jc w:val="left"/>
        <w:rPr>
          <w:rFonts w:eastAsia="黑体"/>
          <w:sz w:val="32"/>
          <w:szCs w:val="32"/>
          <w:highlight w:val="none"/>
        </w:rPr>
      </w:pPr>
    </w:p>
    <w:p w14:paraId="1C70D60B">
      <w:pPr>
        <w:pStyle w:val="6"/>
        <w:numPr>
          <w:ilvl w:val="0"/>
          <w:numId w:val="1"/>
        </w:numPr>
        <w:rPr>
          <w:rFonts w:ascii="Times New Roman" w:hAnsi="Times New Roman" w:eastAsia="黑体"/>
          <w:b w:val="0"/>
          <w:highlight w:val="none"/>
        </w:rPr>
      </w:pPr>
      <w:r>
        <w:rPr>
          <w:rFonts w:hint="eastAsia" w:ascii="Times New Roman" w:hAnsi="Times New Roman" w:eastAsia="黑体"/>
          <w:b w:val="0"/>
          <w:highlight w:val="none"/>
        </w:rPr>
        <w:t>主要职责</w:t>
      </w:r>
    </w:p>
    <w:p w14:paraId="47E246DB">
      <w:pPr>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依法行使综合监督管理职责，指导协调、监督检查各镇乡人民政府和市级有关部门安全生产工作，协调解决安全生产重大问题，监督考核并通报安全生产控制指标执行情况，监督事故查处和责任追究落实情况；承担煤矿、非煤矿山、危险化学品和烟花爆竹行业安全生产监管和煤炭行业管理职责；开展应急管理和安全方面的交流与合作，组织参与安全生产类、自然灾害类等突发事件的跨区域救援工作；制定应急</w:t>
      </w:r>
      <w:r>
        <w:rPr>
          <w:rFonts w:hint="eastAsia" w:ascii="仿宋_GB2312" w:hAnsi="仿宋_GB2312" w:eastAsia="仿宋_GB2312" w:cs="仿宋_GB2312"/>
          <w:sz w:val="32"/>
          <w:szCs w:val="32"/>
          <w:highlight w:val="none"/>
          <w:lang w:eastAsia="zh-CN"/>
        </w:rPr>
        <w:t>物资</w:t>
      </w:r>
      <w:r>
        <w:rPr>
          <w:rFonts w:hint="eastAsia" w:ascii="仿宋_GB2312" w:hAnsi="仿宋_GB2312" w:eastAsia="仿宋_GB2312" w:cs="仿宋_GB2312"/>
          <w:sz w:val="32"/>
          <w:szCs w:val="32"/>
          <w:highlight w:val="none"/>
        </w:rPr>
        <w:t>储备和应急救援装备规划并组织实施，会同有关部门建立健全应急</w:t>
      </w:r>
      <w:r>
        <w:rPr>
          <w:rFonts w:hint="eastAsia" w:ascii="仿宋_GB2312" w:hAnsi="仿宋_GB2312" w:eastAsia="仿宋_GB2312" w:cs="仿宋_GB2312"/>
          <w:sz w:val="32"/>
          <w:szCs w:val="32"/>
          <w:highlight w:val="none"/>
          <w:lang w:eastAsia="zh-CN"/>
        </w:rPr>
        <w:t>物资</w:t>
      </w:r>
      <w:r>
        <w:rPr>
          <w:rFonts w:hint="eastAsia" w:ascii="仿宋_GB2312" w:hAnsi="仿宋_GB2312" w:eastAsia="仿宋_GB2312" w:cs="仿宋_GB2312"/>
          <w:sz w:val="32"/>
          <w:szCs w:val="32"/>
          <w:highlight w:val="none"/>
        </w:rPr>
        <w:t>信息平台和调拨制度，在救灾时统一调度；负责应急管理、安全生产宣传教育和培训共同工作，组织和指导应急管理、安全生产的科学技术研究、推广应用和信息化建设工作；完成市委、市政府交办的</w:t>
      </w:r>
      <w:r>
        <w:rPr>
          <w:rFonts w:hint="eastAsia" w:ascii="仿宋_GB2312" w:hAnsi="仿宋_GB2312" w:eastAsia="仿宋_GB2312" w:cs="仿宋_GB2312"/>
          <w:sz w:val="32"/>
          <w:szCs w:val="32"/>
          <w:highlight w:val="none"/>
          <w:lang w:eastAsia="zh-CN"/>
        </w:rPr>
        <w:t>其他</w:t>
      </w:r>
      <w:r>
        <w:rPr>
          <w:rFonts w:hint="eastAsia" w:ascii="仿宋_GB2312" w:hAnsi="仿宋_GB2312" w:eastAsia="仿宋_GB2312" w:cs="仿宋_GB2312"/>
          <w:sz w:val="32"/>
          <w:szCs w:val="32"/>
          <w:highlight w:val="none"/>
        </w:rPr>
        <w:t>工作。</w:t>
      </w:r>
    </w:p>
    <w:p w14:paraId="6A744C4F">
      <w:pPr>
        <w:pStyle w:val="6"/>
        <w:rPr>
          <w:rStyle w:val="29"/>
          <w:rFonts w:ascii="Times New Roman" w:hAnsi="Times New Roman"/>
          <w:b w:val="0"/>
          <w:bCs w:val="0"/>
          <w:highlight w:val="none"/>
        </w:rPr>
      </w:pPr>
      <w:bookmarkStart w:id="8" w:name="_Toc15377200"/>
      <w:bookmarkStart w:id="9" w:name="_Toc15396601"/>
      <w:r>
        <w:rPr>
          <w:rFonts w:hint="eastAsia" w:ascii="Times New Roman" w:hAnsi="Times New Roman" w:eastAsia="黑体"/>
          <w:b w:val="0"/>
          <w:highlight w:val="none"/>
        </w:rPr>
        <w:t>二、机</w:t>
      </w:r>
      <w:r>
        <w:rPr>
          <w:rStyle w:val="29"/>
          <w:rFonts w:hint="eastAsia" w:ascii="Times New Roman" w:hAnsi="Times New Roman" w:eastAsia="黑体"/>
          <w:b w:val="0"/>
          <w:bCs w:val="0"/>
          <w:highlight w:val="none"/>
        </w:rPr>
        <w:t>构设置</w:t>
      </w:r>
      <w:bookmarkEnd w:id="8"/>
      <w:bookmarkEnd w:id="9"/>
    </w:p>
    <w:p w14:paraId="1C04F108">
      <w:pPr>
        <w:ind w:firstLine="640" w:firstLineChars="200"/>
        <w:rPr>
          <w:rFonts w:ascii="仿宋" w:hAnsi="仿宋" w:eastAsia="仿宋"/>
          <w:sz w:val="32"/>
          <w:szCs w:val="32"/>
          <w:highlight w:val="none"/>
        </w:rPr>
      </w:pPr>
      <w:r>
        <w:rPr>
          <w:rFonts w:hint="eastAsia" w:ascii="仿宋" w:hAnsi="仿宋" w:eastAsia="仿宋"/>
          <w:kern w:val="0"/>
          <w:sz w:val="32"/>
          <w:szCs w:val="32"/>
          <w:highlight w:val="none"/>
        </w:rPr>
        <w:t>机构情况，</w:t>
      </w:r>
      <w:r>
        <w:rPr>
          <w:rFonts w:hint="eastAsia" w:ascii="仿宋_GB2312" w:hAnsi="仿宋_GB2312" w:eastAsia="仿宋_GB2312" w:cs="仿宋_GB2312"/>
          <w:sz w:val="32"/>
          <w:szCs w:val="32"/>
          <w:highlight w:val="none"/>
        </w:rPr>
        <w:t>峨眉山市应急管理局（本级）是隶属于四川省峨眉山市应急管理局</w:t>
      </w:r>
      <w:r>
        <w:rPr>
          <w:rFonts w:hint="eastAsia" w:eastAsia="仿宋_GB2312" w:cs="仿宋_GB2312"/>
          <w:sz w:val="32"/>
          <w:szCs w:val="32"/>
          <w:highlight w:val="none"/>
        </w:rPr>
        <w:t>的二级预算单位，无下属预算单位。</w:t>
      </w:r>
      <w:r>
        <w:rPr>
          <w:rFonts w:hint="eastAsia" w:ascii="仿宋" w:hAnsi="仿宋" w:eastAsia="仿宋"/>
          <w:sz w:val="32"/>
          <w:szCs w:val="32"/>
          <w:highlight w:val="none"/>
        </w:rPr>
        <w:t>设独立编制机构4个，其中行政机构1个，参照公务员法管理的事业机构1个，其他事业机构2个。</w:t>
      </w:r>
    </w:p>
    <w:p w14:paraId="4F1FC93E">
      <w:pPr>
        <w:ind w:firstLine="800" w:firstLineChars="250"/>
        <w:rPr>
          <w:rFonts w:eastAsia="仿宋_GB2312" w:cs="仿宋_GB2312"/>
          <w:sz w:val="32"/>
          <w:szCs w:val="32"/>
          <w:highlight w:val="none"/>
        </w:rPr>
      </w:pPr>
      <w:r>
        <w:rPr>
          <w:rFonts w:hint="eastAsia" w:ascii="仿宋" w:hAnsi="仿宋" w:eastAsia="仿宋"/>
          <w:kern w:val="0"/>
          <w:sz w:val="32"/>
          <w:szCs w:val="32"/>
          <w:highlight w:val="none"/>
        </w:rPr>
        <w:t>人员情况，</w:t>
      </w:r>
      <w:r>
        <w:rPr>
          <w:rFonts w:hint="eastAsia" w:ascii="仿宋_GB2312" w:hAnsi="仿宋_GB2312" w:eastAsia="仿宋_GB2312" w:cs="仿宋_GB2312"/>
          <w:sz w:val="32"/>
          <w:szCs w:val="32"/>
          <w:highlight w:val="none"/>
        </w:rPr>
        <w:t>峨眉山市应急管理局</w:t>
      </w:r>
      <w:r>
        <w:rPr>
          <w:rFonts w:hint="eastAsia" w:ascii="仿宋" w:hAnsi="仿宋" w:eastAsia="仿宋"/>
          <w:kern w:val="0"/>
          <w:sz w:val="32"/>
          <w:szCs w:val="32"/>
          <w:highlight w:val="none"/>
        </w:rPr>
        <w:t>行政编制</w:t>
      </w:r>
      <w:r>
        <w:rPr>
          <w:rFonts w:ascii="仿宋" w:hAnsi="仿宋" w:eastAsia="仿宋"/>
          <w:kern w:val="0"/>
          <w:sz w:val="32"/>
          <w:szCs w:val="32"/>
          <w:highlight w:val="none"/>
        </w:rPr>
        <w:t>27</w:t>
      </w:r>
      <w:r>
        <w:rPr>
          <w:rFonts w:hint="eastAsia" w:ascii="仿宋" w:hAnsi="仿宋" w:eastAsia="仿宋"/>
          <w:kern w:val="0"/>
          <w:sz w:val="32"/>
          <w:szCs w:val="32"/>
          <w:highlight w:val="none"/>
        </w:rPr>
        <w:t>个，实有人数</w:t>
      </w:r>
      <w:r>
        <w:rPr>
          <w:rFonts w:ascii="仿宋" w:hAnsi="仿宋" w:eastAsia="仿宋"/>
          <w:kern w:val="0"/>
          <w:sz w:val="32"/>
          <w:szCs w:val="32"/>
          <w:highlight w:val="none"/>
        </w:rPr>
        <w:t>26</w:t>
      </w:r>
      <w:r>
        <w:rPr>
          <w:rFonts w:hint="eastAsia" w:ascii="仿宋" w:hAnsi="仿宋" w:eastAsia="仿宋"/>
          <w:kern w:val="0"/>
          <w:sz w:val="32"/>
          <w:szCs w:val="32"/>
          <w:highlight w:val="none"/>
        </w:rPr>
        <w:t>人，事业编制</w:t>
      </w:r>
      <w:r>
        <w:rPr>
          <w:rFonts w:ascii="仿宋" w:hAnsi="仿宋" w:eastAsia="仿宋"/>
          <w:kern w:val="0"/>
          <w:sz w:val="32"/>
          <w:szCs w:val="32"/>
          <w:highlight w:val="none"/>
        </w:rPr>
        <w:t>14</w:t>
      </w:r>
      <w:r>
        <w:rPr>
          <w:rFonts w:hint="eastAsia" w:ascii="仿宋" w:hAnsi="仿宋" w:eastAsia="仿宋"/>
          <w:kern w:val="0"/>
          <w:sz w:val="32"/>
          <w:szCs w:val="32"/>
          <w:highlight w:val="none"/>
          <w:lang w:eastAsia="zh-CN"/>
        </w:rPr>
        <w:t>人</w:t>
      </w:r>
      <w:r>
        <w:rPr>
          <w:rFonts w:hint="eastAsia" w:ascii="仿宋" w:hAnsi="仿宋" w:eastAsia="仿宋"/>
          <w:kern w:val="0"/>
          <w:sz w:val="32"/>
          <w:szCs w:val="32"/>
          <w:highlight w:val="none"/>
        </w:rPr>
        <w:t>，实有人数</w:t>
      </w:r>
      <w:r>
        <w:rPr>
          <w:rFonts w:ascii="仿宋" w:hAnsi="仿宋" w:eastAsia="仿宋"/>
          <w:kern w:val="0"/>
          <w:sz w:val="32"/>
          <w:szCs w:val="32"/>
          <w:highlight w:val="none"/>
        </w:rPr>
        <w:t>14</w:t>
      </w:r>
      <w:r>
        <w:rPr>
          <w:rFonts w:hint="eastAsia" w:ascii="仿宋" w:hAnsi="仿宋" w:eastAsia="仿宋"/>
          <w:kern w:val="0"/>
          <w:sz w:val="32"/>
          <w:szCs w:val="32"/>
          <w:highlight w:val="none"/>
        </w:rPr>
        <w:t>人（含机关和事业工人）。</w:t>
      </w:r>
      <w:r>
        <w:rPr>
          <w:rFonts w:eastAsia="仿宋"/>
          <w:sz w:val="32"/>
          <w:szCs w:val="32"/>
          <w:highlight w:val="none"/>
        </w:rPr>
        <w:br w:type="page"/>
      </w:r>
    </w:p>
    <w:p w14:paraId="6595CFE1">
      <w:pPr>
        <w:pStyle w:val="5"/>
        <w:jc w:val="center"/>
        <w:rPr>
          <w:rFonts w:eastAsia="方正小标宋简体" w:cs="方正小标宋简体"/>
          <w:b w:val="0"/>
          <w:highlight w:val="none"/>
        </w:rPr>
      </w:pPr>
      <w:bookmarkStart w:id="10" w:name="_Toc15396602"/>
      <w:bookmarkStart w:id="11" w:name="_Toc15377204"/>
      <w:r>
        <w:rPr>
          <w:rFonts w:hint="eastAsia" w:eastAsia="方正小标宋简体" w:cs="方正小标宋简体"/>
          <w:b w:val="0"/>
          <w:highlight w:val="none"/>
        </w:rPr>
        <w:t>第二部分  2024年度单位决算情况说明</w:t>
      </w:r>
      <w:bookmarkEnd w:id="10"/>
      <w:bookmarkEnd w:id="11"/>
    </w:p>
    <w:p w14:paraId="77BEC511">
      <w:pPr>
        <w:rPr>
          <w:highlight w:val="none"/>
        </w:rPr>
      </w:pPr>
    </w:p>
    <w:p w14:paraId="7BF0C734">
      <w:pPr>
        <w:pStyle w:val="27"/>
        <w:spacing w:line="600" w:lineRule="exact"/>
        <w:ind w:firstLine="640"/>
        <w:outlineLvl w:val="1"/>
        <w:rPr>
          <w:rStyle w:val="29"/>
          <w:rFonts w:ascii="Times New Roman" w:hAnsi="Times New Roman" w:eastAsia="黑体"/>
          <w:b w:val="0"/>
          <w:highlight w:val="none"/>
        </w:rPr>
      </w:pPr>
      <w:bookmarkStart w:id="12" w:name="_Toc15377205"/>
      <w:bookmarkStart w:id="13" w:name="_Toc15396603"/>
      <w:r>
        <w:rPr>
          <w:rFonts w:hint="eastAsia" w:eastAsia="黑体"/>
          <w:sz w:val="32"/>
          <w:szCs w:val="32"/>
          <w:highlight w:val="none"/>
        </w:rPr>
        <w:t>一、收</w:t>
      </w:r>
      <w:r>
        <w:rPr>
          <w:rStyle w:val="29"/>
          <w:rFonts w:hint="eastAsia" w:ascii="Times New Roman" w:hAnsi="Times New Roman" w:eastAsia="黑体"/>
          <w:b w:val="0"/>
          <w:highlight w:val="none"/>
        </w:rPr>
        <w:t>入支出决算总体情况说明</w:t>
      </w:r>
      <w:bookmarkEnd w:id="12"/>
      <w:bookmarkEnd w:id="13"/>
    </w:p>
    <w:p w14:paraId="5E5036EB">
      <w:pPr>
        <w:spacing w:line="600" w:lineRule="exact"/>
        <w:ind w:firstLine="640" w:firstLineChars="200"/>
        <w:rPr>
          <w:rFonts w:ascii="仿宋" w:hAnsi="仿宋" w:eastAsia="仿宋"/>
          <w:sz w:val="32"/>
          <w:szCs w:val="32"/>
          <w:highlight w:val="none"/>
        </w:rPr>
      </w:pPr>
      <w:r>
        <w:rPr>
          <w:rFonts w:hint="eastAsia" w:eastAsia="仿宋_GB2312" w:cs="仿宋_GB2312"/>
          <w:sz w:val="32"/>
          <w:szCs w:val="32"/>
          <w:highlight w:val="none"/>
        </w:rPr>
        <w:t>2024年度收入、支出总计均为2314.44万元。与2023年度相比，收入、支出总计各增加</w:t>
      </w:r>
      <w:r>
        <w:rPr>
          <w:rFonts w:eastAsia="仿宋_GB2312" w:cs="仿宋_GB2312"/>
          <w:sz w:val="32"/>
          <w:szCs w:val="32"/>
          <w:highlight w:val="none"/>
        </w:rPr>
        <w:t>232.45</w:t>
      </w:r>
      <w:r>
        <w:rPr>
          <w:rFonts w:hint="eastAsia" w:eastAsia="仿宋_GB2312" w:cs="仿宋_GB2312"/>
          <w:sz w:val="32"/>
          <w:szCs w:val="32"/>
          <w:highlight w:val="none"/>
        </w:rPr>
        <w:t>万元，增长</w:t>
      </w:r>
      <w:r>
        <w:rPr>
          <w:rFonts w:eastAsia="仿宋_GB2312" w:cs="仿宋_GB2312"/>
          <w:sz w:val="32"/>
          <w:szCs w:val="32"/>
          <w:highlight w:val="none"/>
        </w:rPr>
        <w:t>11.16</w:t>
      </w:r>
      <w:r>
        <w:rPr>
          <w:rFonts w:hint="eastAsia" w:eastAsia="仿宋_GB2312" w:cs="仿宋_GB2312"/>
          <w:sz w:val="32"/>
          <w:szCs w:val="32"/>
          <w:highlight w:val="none"/>
        </w:rPr>
        <w:t>%。</w:t>
      </w:r>
      <w:r>
        <w:rPr>
          <w:rFonts w:hint="eastAsia" w:ascii="仿宋" w:hAnsi="仿宋" w:eastAsia="仿宋"/>
          <w:sz w:val="32"/>
          <w:szCs w:val="32"/>
          <w:highlight w:val="none"/>
        </w:rPr>
        <w:t>主要变动原因一是人员经费增加，二是安全监管执法能力提升、应急管理体系建设经费、森林火灾扑救联合实战演练经</w:t>
      </w:r>
      <w:r>
        <w:rPr>
          <w:rFonts w:hint="eastAsia" w:ascii="仿宋" w:hAnsi="仿宋" w:eastAsia="仿宋"/>
          <w:sz w:val="32"/>
          <w:szCs w:val="32"/>
          <w:highlight w:val="none"/>
          <w:lang w:eastAsia="zh-CN"/>
        </w:rPr>
        <w:t>费等</w:t>
      </w:r>
      <w:r>
        <w:rPr>
          <w:rFonts w:hint="eastAsia" w:ascii="仿宋" w:hAnsi="仿宋" w:eastAsia="仿宋"/>
          <w:sz w:val="32"/>
          <w:szCs w:val="32"/>
          <w:highlight w:val="none"/>
        </w:rPr>
        <w:t>项目经费的增加。</w:t>
      </w:r>
    </w:p>
    <w:p w14:paraId="57AD42A4">
      <w:pPr>
        <w:pStyle w:val="27"/>
        <w:spacing w:line="600" w:lineRule="exact"/>
        <w:ind w:firstLine="640"/>
        <w:outlineLvl w:val="1"/>
        <w:rPr>
          <w:rFonts w:eastAsia="仿宋_GB2312" w:cs="仿宋_GB2312"/>
          <w:sz w:val="32"/>
          <w:szCs w:val="32"/>
          <w:highlight w:val="none"/>
        </w:rPr>
      </w:pPr>
      <w:r>
        <w:rPr>
          <w:rFonts w:eastAsia="仿宋_GB2312" w:cs="仿宋_GB2312"/>
          <w:sz w:val="32"/>
          <w:szCs w:val="32"/>
          <w:highlight w:val="none"/>
        </w:rPr>
        <w:drawing>
          <wp:anchor distT="0" distB="0" distL="114300" distR="114300" simplePos="0" relativeHeight="251661312" behindDoc="0" locked="0" layoutInCell="1" allowOverlap="1">
            <wp:simplePos x="0" y="0"/>
            <wp:positionH relativeFrom="column">
              <wp:posOffset>136525</wp:posOffset>
            </wp:positionH>
            <wp:positionV relativeFrom="paragraph">
              <wp:posOffset>321310</wp:posOffset>
            </wp:positionV>
            <wp:extent cx="5414010" cy="4547870"/>
            <wp:effectExtent l="0" t="0" r="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4010" cy="4547870"/>
                    </a:xfrm>
                    <a:prstGeom prst="rect">
                      <a:avLst/>
                    </a:prstGeom>
                    <a:noFill/>
                  </pic:spPr>
                </pic:pic>
              </a:graphicData>
            </a:graphic>
          </wp:anchor>
        </w:drawing>
      </w:r>
    </w:p>
    <w:p w14:paraId="3BE782C0">
      <w:pPr>
        <w:pStyle w:val="27"/>
        <w:spacing w:line="600" w:lineRule="exact"/>
        <w:ind w:firstLine="640"/>
        <w:outlineLvl w:val="1"/>
        <w:rPr>
          <w:rFonts w:eastAsia="仿宋_GB2312" w:cs="仿宋_GB2312"/>
          <w:sz w:val="32"/>
          <w:szCs w:val="32"/>
          <w:highlight w:val="none"/>
        </w:rPr>
      </w:pPr>
    </w:p>
    <w:p w14:paraId="5F92F374">
      <w:pPr>
        <w:pStyle w:val="27"/>
        <w:spacing w:line="600" w:lineRule="exact"/>
        <w:ind w:firstLine="640"/>
        <w:outlineLvl w:val="1"/>
        <w:rPr>
          <w:rFonts w:eastAsia="仿宋_GB2312" w:cs="仿宋_GB2312"/>
          <w:sz w:val="32"/>
          <w:szCs w:val="32"/>
          <w:highlight w:val="none"/>
        </w:rPr>
      </w:pPr>
    </w:p>
    <w:p w14:paraId="7A9D8784">
      <w:pPr>
        <w:pStyle w:val="27"/>
        <w:spacing w:line="600" w:lineRule="exact"/>
        <w:ind w:firstLine="640"/>
        <w:outlineLvl w:val="1"/>
        <w:rPr>
          <w:rFonts w:eastAsia="仿宋_GB2312" w:cs="仿宋_GB2312"/>
          <w:sz w:val="32"/>
          <w:szCs w:val="32"/>
          <w:highlight w:val="none"/>
        </w:rPr>
      </w:pPr>
    </w:p>
    <w:p w14:paraId="7F3A8A92">
      <w:pPr>
        <w:pStyle w:val="27"/>
        <w:spacing w:line="600" w:lineRule="exact"/>
        <w:ind w:firstLine="640"/>
        <w:outlineLvl w:val="1"/>
        <w:rPr>
          <w:rFonts w:eastAsia="仿宋_GB2312" w:cs="仿宋_GB2312"/>
          <w:sz w:val="32"/>
          <w:szCs w:val="32"/>
          <w:highlight w:val="none"/>
        </w:rPr>
      </w:pPr>
    </w:p>
    <w:p w14:paraId="244CDF4D">
      <w:pPr>
        <w:pStyle w:val="27"/>
        <w:spacing w:line="600" w:lineRule="exact"/>
        <w:ind w:firstLine="640"/>
        <w:outlineLvl w:val="1"/>
        <w:rPr>
          <w:rFonts w:eastAsia="仿宋_GB2312" w:cs="仿宋_GB2312"/>
          <w:sz w:val="32"/>
          <w:szCs w:val="32"/>
          <w:highlight w:val="none"/>
        </w:rPr>
      </w:pPr>
    </w:p>
    <w:p w14:paraId="12A43422">
      <w:pPr>
        <w:pStyle w:val="27"/>
        <w:spacing w:line="600" w:lineRule="exact"/>
        <w:ind w:firstLine="640"/>
        <w:outlineLvl w:val="1"/>
        <w:rPr>
          <w:rFonts w:eastAsia="仿宋_GB2312" w:cs="仿宋_GB2312"/>
          <w:sz w:val="32"/>
          <w:szCs w:val="32"/>
          <w:highlight w:val="none"/>
        </w:rPr>
      </w:pPr>
    </w:p>
    <w:p w14:paraId="2DA5532F">
      <w:pPr>
        <w:pStyle w:val="27"/>
        <w:spacing w:line="600" w:lineRule="exact"/>
        <w:ind w:firstLine="640"/>
        <w:outlineLvl w:val="1"/>
        <w:rPr>
          <w:rFonts w:eastAsia="仿宋_GB2312" w:cs="仿宋_GB2312"/>
          <w:sz w:val="32"/>
          <w:szCs w:val="32"/>
          <w:highlight w:val="none"/>
        </w:rPr>
      </w:pPr>
    </w:p>
    <w:p w14:paraId="654AE993">
      <w:pPr>
        <w:pStyle w:val="27"/>
        <w:spacing w:line="600" w:lineRule="exact"/>
        <w:ind w:firstLine="640"/>
        <w:outlineLvl w:val="1"/>
        <w:rPr>
          <w:rFonts w:eastAsia="仿宋_GB2312" w:cs="仿宋_GB2312"/>
          <w:sz w:val="32"/>
          <w:szCs w:val="32"/>
          <w:highlight w:val="none"/>
        </w:rPr>
      </w:pPr>
    </w:p>
    <w:p w14:paraId="0A2092FA">
      <w:pPr>
        <w:pStyle w:val="27"/>
        <w:spacing w:line="600" w:lineRule="exact"/>
        <w:ind w:firstLine="640"/>
        <w:outlineLvl w:val="1"/>
        <w:rPr>
          <w:rFonts w:eastAsia="仿宋_GB2312" w:cs="仿宋_GB2312"/>
          <w:sz w:val="32"/>
          <w:szCs w:val="32"/>
          <w:highlight w:val="none"/>
        </w:rPr>
      </w:pPr>
    </w:p>
    <w:p w14:paraId="26845B17">
      <w:pPr>
        <w:pStyle w:val="27"/>
        <w:spacing w:line="600" w:lineRule="exact"/>
        <w:ind w:firstLine="640"/>
        <w:outlineLvl w:val="1"/>
        <w:rPr>
          <w:rFonts w:eastAsia="仿宋_GB2312" w:cs="仿宋_GB2312"/>
          <w:sz w:val="32"/>
          <w:szCs w:val="32"/>
          <w:highlight w:val="none"/>
        </w:rPr>
      </w:pPr>
    </w:p>
    <w:p w14:paraId="1472CBC1">
      <w:pPr>
        <w:pStyle w:val="27"/>
        <w:spacing w:line="600" w:lineRule="exact"/>
        <w:ind w:firstLine="640"/>
        <w:outlineLvl w:val="1"/>
        <w:rPr>
          <w:rFonts w:eastAsia="仿宋_GB2312" w:cs="仿宋_GB2312"/>
          <w:sz w:val="32"/>
          <w:szCs w:val="32"/>
          <w:highlight w:val="none"/>
        </w:rPr>
      </w:pPr>
    </w:p>
    <w:p w14:paraId="6A4E7D29">
      <w:pPr>
        <w:ind w:firstLine="640" w:firstLineChars="200"/>
        <w:rPr>
          <w:rFonts w:eastAsia="仿宋_GB2312" w:cs="仿宋_GB2312"/>
          <w:sz w:val="32"/>
          <w:szCs w:val="32"/>
          <w:highlight w:val="none"/>
        </w:rPr>
      </w:pPr>
      <w:r>
        <w:rPr>
          <w:rFonts w:hint="eastAsia" w:eastAsia="仿宋_GB2312" w:cs="仿宋_GB2312"/>
          <w:sz w:val="32"/>
          <w:szCs w:val="32"/>
          <w:highlight w:val="none"/>
        </w:rPr>
        <w:t>（图1：收入、支出决算总计变动情况图）（柱状图）</w:t>
      </w:r>
    </w:p>
    <w:p w14:paraId="6EC3FA93">
      <w:pPr>
        <w:ind w:firstLine="640" w:firstLineChars="200"/>
        <w:rPr>
          <w:rFonts w:eastAsia="仿宋_GB2312" w:cs="仿宋_GB2312"/>
          <w:sz w:val="32"/>
          <w:szCs w:val="32"/>
          <w:highlight w:val="none"/>
        </w:rPr>
      </w:pPr>
    </w:p>
    <w:p w14:paraId="20A53C59">
      <w:pPr>
        <w:pStyle w:val="27"/>
        <w:spacing w:line="600" w:lineRule="exact"/>
        <w:ind w:firstLine="640"/>
        <w:outlineLvl w:val="1"/>
        <w:rPr>
          <w:rFonts w:eastAsia="黑体"/>
          <w:sz w:val="32"/>
          <w:szCs w:val="32"/>
          <w:highlight w:val="none"/>
        </w:rPr>
      </w:pPr>
      <w:bookmarkStart w:id="14" w:name="_Toc15377206"/>
      <w:bookmarkStart w:id="15" w:name="_Toc15396604"/>
      <w:r>
        <w:rPr>
          <w:rFonts w:hint="eastAsia" w:eastAsia="黑体"/>
          <w:sz w:val="32"/>
          <w:szCs w:val="32"/>
          <w:highlight w:val="none"/>
        </w:rPr>
        <w:t>二、收入决算情况说明</w:t>
      </w:r>
      <w:bookmarkEnd w:id="14"/>
      <w:bookmarkEnd w:id="15"/>
    </w:p>
    <w:p w14:paraId="70547DF0">
      <w:pPr>
        <w:pStyle w:val="27"/>
        <w:spacing w:line="600" w:lineRule="exact"/>
        <w:ind w:firstLine="640"/>
        <w:jc w:val="left"/>
        <w:outlineLvl w:val="1"/>
        <w:rPr>
          <w:rFonts w:eastAsia="仿宋_GB2312" w:cs="仿宋_GB2312"/>
          <w:b/>
          <w:bCs/>
          <w:sz w:val="32"/>
          <w:szCs w:val="32"/>
          <w:highlight w:val="none"/>
        </w:rPr>
      </w:pPr>
      <w:r>
        <w:rPr>
          <w:rFonts w:hint="eastAsia" w:ascii="仿宋_GB2312" w:hAnsi="仿宋_GB2312" w:eastAsia="仿宋_GB2312" w:cs="仿宋_GB2312"/>
          <w:sz w:val="32"/>
          <w:szCs w:val="32"/>
          <w:highlight w:val="none"/>
        </w:rPr>
        <w:t>2024年度本年收入合计2285.82万元，其中：一般公共预算财政拨款收入2120.72万元，占92.7</w:t>
      </w:r>
      <w:r>
        <w:rPr>
          <w:rFonts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rPr>
        <w:t>%；政府性基金预算财政拨款收入165.1万元，占7.22%；国有资本经营预算财政拨款收入0万元，占0%；上级补助收入0万元，占0%；事业收入0万元，占0%；经营收入0万元，占0%；附属单位上缴收入0万元，占0%；其他收入0万元，占0%。</w:t>
      </w:r>
    </w:p>
    <w:p w14:paraId="059D2377">
      <w:pPr>
        <w:pStyle w:val="27"/>
        <w:spacing w:line="600" w:lineRule="exact"/>
        <w:ind w:firstLine="643"/>
        <w:jc w:val="left"/>
        <w:outlineLvl w:val="1"/>
        <w:rPr>
          <w:rFonts w:eastAsia="仿宋_GB2312" w:cs="仿宋_GB2312"/>
          <w:b/>
          <w:bCs/>
          <w:sz w:val="32"/>
          <w:szCs w:val="32"/>
          <w:highlight w:val="none"/>
        </w:rPr>
      </w:pPr>
      <w:r>
        <w:rPr>
          <w:rFonts w:eastAsia="仿宋_GB2312" w:cs="仿宋_GB2312"/>
          <w:b/>
          <w:bCs/>
          <w:sz w:val="32"/>
          <w:szCs w:val="32"/>
          <w:highlight w:val="none"/>
        </w:rPr>
        <w:drawing>
          <wp:anchor distT="0" distB="0" distL="114300" distR="114300" simplePos="0" relativeHeight="251659264" behindDoc="0" locked="0" layoutInCell="1" allowOverlap="1">
            <wp:simplePos x="0" y="0"/>
            <wp:positionH relativeFrom="column">
              <wp:posOffset>-64770</wp:posOffset>
            </wp:positionH>
            <wp:positionV relativeFrom="paragraph">
              <wp:posOffset>354330</wp:posOffset>
            </wp:positionV>
            <wp:extent cx="5462270" cy="4259580"/>
            <wp:effectExtent l="0" t="0" r="5080"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62546" cy="4259784"/>
                    </a:xfrm>
                    <a:prstGeom prst="rect">
                      <a:avLst/>
                    </a:prstGeom>
                    <a:noFill/>
                  </pic:spPr>
                </pic:pic>
              </a:graphicData>
            </a:graphic>
          </wp:anchor>
        </w:drawing>
      </w:r>
    </w:p>
    <w:p w14:paraId="4679B0C9">
      <w:pPr>
        <w:pStyle w:val="27"/>
        <w:spacing w:line="600" w:lineRule="exact"/>
        <w:ind w:firstLine="643"/>
        <w:jc w:val="left"/>
        <w:outlineLvl w:val="1"/>
        <w:rPr>
          <w:rFonts w:eastAsia="仿宋_GB2312" w:cs="仿宋_GB2312"/>
          <w:b/>
          <w:bCs/>
          <w:sz w:val="32"/>
          <w:szCs w:val="32"/>
          <w:highlight w:val="none"/>
        </w:rPr>
      </w:pPr>
    </w:p>
    <w:p w14:paraId="5B02A543">
      <w:pPr>
        <w:pStyle w:val="27"/>
        <w:spacing w:line="600" w:lineRule="exact"/>
        <w:ind w:firstLine="643"/>
        <w:jc w:val="left"/>
        <w:outlineLvl w:val="1"/>
        <w:rPr>
          <w:rFonts w:eastAsia="仿宋_GB2312" w:cs="仿宋_GB2312"/>
          <w:b/>
          <w:bCs/>
          <w:sz w:val="32"/>
          <w:szCs w:val="32"/>
          <w:highlight w:val="none"/>
        </w:rPr>
      </w:pPr>
    </w:p>
    <w:p w14:paraId="180FD846">
      <w:pPr>
        <w:pStyle w:val="27"/>
        <w:spacing w:line="600" w:lineRule="exact"/>
        <w:ind w:firstLine="643"/>
        <w:jc w:val="left"/>
        <w:outlineLvl w:val="1"/>
        <w:rPr>
          <w:rFonts w:eastAsia="仿宋_GB2312" w:cs="仿宋_GB2312"/>
          <w:b/>
          <w:bCs/>
          <w:sz w:val="32"/>
          <w:szCs w:val="32"/>
          <w:highlight w:val="none"/>
        </w:rPr>
      </w:pPr>
    </w:p>
    <w:p w14:paraId="7056DEDF">
      <w:pPr>
        <w:pStyle w:val="27"/>
        <w:spacing w:line="600" w:lineRule="exact"/>
        <w:ind w:firstLine="643"/>
        <w:jc w:val="left"/>
        <w:outlineLvl w:val="1"/>
        <w:rPr>
          <w:rFonts w:eastAsia="仿宋_GB2312" w:cs="仿宋_GB2312"/>
          <w:b/>
          <w:bCs/>
          <w:sz w:val="32"/>
          <w:szCs w:val="32"/>
          <w:highlight w:val="none"/>
        </w:rPr>
      </w:pPr>
    </w:p>
    <w:p w14:paraId="3ACE6120">
      <w:pPr>
        <w:pStyle w:val="27"/>
        <w:spacing w:line="600" w:lineRule="exact"/>
        <w:ind w:firstLine="643"/>
        <w:jc w:val="left"/>
        <w:outlineLvl w:val="1"/>
        <w:rPr>
          <w:rFonts w:eastAsia="仿宋_GB2312" w:cs="仿宋_GB2312"/>
          <w:b/>
          <w:bCs/>
          <w:sz w:val="32"/>
          <w:szCs w:val="32"/>
          <w:highlight w:val="none"/>
        </w:rPr>
      </w:pPr>
    </w:p>
    <w:p w14:paraId="406398B7">
      <w:pPr>
        <w:pStyle w:val="27"/>
        <w:spacing w:line="600" w:lineRule="exact"/>
        <w:ind w:firstLine="643"/>
        <w:jc w:val="left"/>
        <w:outlineLvl w:val="1"/>
        <w:rPr>
          <w:rFonts w:eastAsia="仿宋_GB2312" w:cs="仿宋_GB2312"/>
          <w:b/>
          <w:bCs/>
          <w:sz w:val="32"/>
          <w:szCs w:val="32"/>
          <w:highlight w:val="none"/>
        </w:rPr>
      </w:pPr>
    </w:p>
    <w:p w14:paraId="0A6071E0">
      <w:pPr>
        <w:pStyle w:val="27"/>
        <w:spacing w:line="600" w:lineRule="exact"/>
        <w:ind w:firstLine="643"/>
        <w:jc w:val="left"/>
        <w:outlineLvl w:val="1"/>
        <w:rPr>
          <w:rFonts w:eastAsia="仿宋_GB2312" w:cs="仿宋_GB2312"/>
          <w:b/>
          <w:bCs/>
          <w:sz w:val="32"/>
          <w:szCs w:val="32"/>
          <w:highlight w:val="none"/>
        </w:rPr>
      </w:pPr>
    </w:p>
    <w:p w14:paraId="3A878608">
      <w:pPr>
        <w:pStyle w:val="27"/>
        <w:spacing w:line="600" w:lineRule="exact"/>
        <w:ind w:firstLine="643"/>
        <w:jc w:val="left"/>
        <w:outlineLvl w:val="1"/>
        <w:rPr>
          <w:rFonts w:eastAsia="仿宋_GB2312" w:cs="仿宋_GB2312"/>
          <w:b/>
          <w:bCs/>
          <w:sz w:val="32"/>
          <w:szCs w:val="32"/>
          <w:highlight w:val="none"/>
        </w:rPr>
      </w:pPr>
    </w:p>
    <w:p w14:paraId="08A6B9DC">
      <w:pPr>
        <w:pStyle w:val="27"/>
        <w:spacing w:line="600" w:lineRule="exact"/>
        <w:ind w:firstLine="643"/>
        <w:jc w:val="left"/>
        <w:outlineLvl w:val="1"/>
        <w:rPr>
          <w:rFonts w:eastAsia="仿宋_GB2312" w:cs="仿宋_GB2312"/>
          <w:b/>
          <w:bCs/>
          <w:sz w:val="32"/>
          <w:szCs w:val="32"/>
          <w:highlight w:val="none"/>
        </w:rPr>
      </w:pPr>
    </w:p>
    <w:p w14:paraId="3FF71FF9">
      <w:pPr>
        <w:pStyle w:val="27"/>
        <w:spacing w:line="600" w:lineRule="exact"/>
        <w:ind w:firstLine="643"/>
        <w:jc w:val="left"/>
        <w:outlineLvl w:val="1"/>
        <w:rPr>
          <w:rFonts w:eastAsia="仿宋_GB2312" w:cs="仿宋_GB2312"/>
          <w:b/>
          <w:bCs/>
          <w:sz w:val="32"/>
          <w:szCs w:val="32"/>
          <w:highlight w:val="none"/>
        </w:rPr>
      </w:pPr>
    </w:p>
    <w:p w14:paraId="37CD887F">
      <w:pPr>
        <w:pStyle w:val="27"/>
        <w:spacing w:line="600" w:lineRule="exact"/>
        <w:ind w:firstLine="643"/>
        <w:jc w:val="left"/>
        <w:outlineLvl w:val="1"/>
        <w:rPr>
          <w:rFonts w:eastAsia="仿宋_GB2312" w:cs="仿宋_GB2312"/>
          <w:b/>
          <w:bCs/>
          <w:sz w:val="32"/>
          <w:szCs w:val="32"/>
          <w:highlight w:val="none"/>
        </w:rPr>
      </w:pPr>
    </w:p>
    <w:p w14:paraId="13A0E932">
      <w:pPr>
        <w:ind w:firstLine="800" w:firstLineChars="250"/>
        <w:rPr>
          <w:rFonts w:eastAsia="仿宋_GB2312" w:cs="仿宋_GB2312"/>
          <w:sz w:val="32"/>
          <w:szCs w:val="32"/>
          <w:highlight w:val="none"/>
        </w:rPr>
      </w:pPr>
      <w:r>
        <w:rPr>
          <w:rFonts w:hint="eastAsia" w:eastAsia="仿宋_GB2312" w:cs="仿宋_GB2312"/>
          <w:sz w:val="32"/>
          <w:szCs w:val="32"/>
          <w:highlight w:val="none"/>
        </w:rPr>
        <w:t>（图2：收入决算结构图）（饼状图）</w:t>
      </w:r>
    </w:p>
    <w:p w14:paraId="6E7B96E9">
      <w:pPr>
        <w:ind w:firstLine="800" w:firstLineChars="250"/>
        <w:rPr>
          <w:rFonts w:eastAsia="仿宋_GB2312" w:cs="仿宋_GB2312"/>
          <w:sz w:val="32"/>
          <w:szCs w:val="32"/>
          <w:highlight w:val="none"/>
        </w:rPr>
      </w:pPr>
    </w:p>
    <w:p w14:paraId="6AD3C4B4">
      <w:pPr>
        <w:pStyle w:val="27"/>
        <w:spacing w:line="600" w:lineRule="exact"/>
        <w:ind w:firstLine="640"/>
        <w:outlineLvl w:val="1"/>
        <w:rPr>
          <w:rStyle w:val="29"/>
          <w:rFonts w:ascii="Times New Roman" w:hAnsi="Times New Roman" w:eastAsia="黑体"/>
          <w:b w:val="0"/>
          <w:highlight w:val="none"/>
        </w:rPr>
      </w:pPr>
      <w:bookmarkStart w:id="16" w:name="_Toc15377207"/>
      <w:bookmarkStart w:id="17" w:name="_Toc15396605"/>
      <w:r>
        <w:rPr>
          <w:rFonts w:hint="eastAsia" w:eastAsia="黑体"/>
          <w:sz w:val="32"/>
          <w:szCs w:val="32"/>
          <w:highlight w:val="none"/>
        </w:rPr>
        <w:t>三、支</w:t>
      </w:r>
      <w:r>
        <w:rPr>
          <w:rStyle w:val="29"/>
          <w:rFonts w:hint="eastAsia" w:ascii="Times New Roman" w:hAnsi="Times New Roman" w:eastAsia="黑体"/>
          <w:b w:val="0"/>
          <w:highlight w:val="none"/>
        </w:rPr>
        <w:t>出决算情况说明</w:t>
      </w:r>
      <w:bookmarkEnd w:id="16"/>
      <w:bookmarkEnd w:id="17"/>
    </w:p>
    <w:p w14:paraId="69E0424D">
      <w:pPr>
        <w:pStyle w:val="27"/>
        <w:spacing w:line="600" w:lineRule="exact"/>
        <w:ind w:firstLine="640"/>
        <w:jc w:val="left"/>
        <w:outlineLvl w:val="1"/>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2024年度本年支出合计2314.44万元，其中：基本支出1062.37万元，占45.9%；项目支出1252.07万元，占54.</w:t>
      </w: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%；上缴上级支出0万元，占0%；经营支出0万元，占0%；对附属单位补助支出0万元，占0%。</w:t>
      </w:r>
    </w:p>
    <w:p w14:paraId="60710A60">
      <w:pPr>
        <w:pStyle w:val="27"/>
        <w:spacing w:line="600" w:lineRule="exact"/>
        <w:ind w:firstLine="640"/>
        <w:jc w:val="left"/>
        <w:outlineLvl w:val="1"/>
        <w:rPr>
          <w:rFonts w:ascii="仿宋_GB2312" w:hAnsi="仿宋_GB2312" w:eastAsia="仿宋_GB2312" w:cs="仿宋_GB2312"/>
          <w:sz w:val="32"/>
          <w:szCs w:val="32"/>
          <w:highlight w:val="none"/>
        </w:rPr>
      </w:pPr>
      <w:r>
        <w:rPr>
          <w:rFonts w:eastAsia="仿宋_GB2312" w:cs="仿宋_GB2312"/>
          <w:sz w:val="32"/>
          <w:szCs w:val="32"/>
          <w:highlight w:val="none"/>
        </w:rPr>
        <w:drawing>
          <wp:anchor distT="0" distB="0" distL="114300" distR="114300" simplePos="0" relativeHeight="251660288" behindDoc="0" locked="0" layoutInCell="1" allowOverlap="1">
            <wp:simplePos x="0" y="0"/>
            <wp:positionH relativeFrom="column">
              <wp:posOffset>102235</wp:posOffset>
            </wp:positionH>
            <wp:positionV relativeFrom="paragraph">
              <wp:posOffset>257175</wp:posOffset>
            </wp:positionV>
            <wp:extent cx="5295265" cy="4242435"/>
            <wp:effectExtent l="0" t="0" r="635" b="571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96978" cy="4243727"/>
                    </a:xfrm>
                    <a:prstGeom prst="rect">
                      <a:avLst/>
                    </a:prstGeom>
                    <a:noFill/>
                  </pic:spPr>
                </pic:pic>
              </a:graphicData>
            </a:graphic>
          </wp:anchor>
        </w:drawing>
      </w:r>
    </w:p>
    <w:p w14:paraId="1F5E24D5">
      <w:pPr>
        <w:pStyle w:val="27"/>
        <w:spacing w:line="600" w:lineRule="exact"/>
        <w:ind w:firstLine="643"/>
        <w:jc w:val="left"/>
        <w:outlineLvl w:val="1"/>
        <w:rPr>
          <w:rFonts w:eastAsia="仿宋_GB2312" w:cs="仿宋_GB2312"/>
          <w:b/>
          <w:bCs/>
          <w:sz w:val="32"/>
          <w:szCs w:val="32"/>
          <w:highlight w:val="none"/>
        </w:rPr>
      </w:pPr>
    </w:p>
    <w:p w14:paraId="3379E1D8">
      <w:pPr>
        <w:pStyle w:val="27"/>
        <w:spacing w:line="600" w:lineRule="exact"/>
        <w:ind w:firstLine="643"/>
        <w:jc w:val="left"/>
        <w:outlineLvl w:val="1"/>
        <w:rPr>
          <w:rFonts w:eastAsia="仿宋_GB2312" w:cs="仿宋_GB2312"/>
          <w:b/>
          <w:bCs/>
          <w:sz w:val="32"/>
          <w:szCs w:val="32"/>
          <w:highlight w:val="none"/>
        </w:rPr>
      </w:pPr>
    </w:p>
    <w:p w14:paraId="0A5C4469">
      <w:pPr>
        <w:pStyle w:val="27"/>
        <w:spacing w:line="600" w:lineRule="exact"/>
        <w:ind w:firstLine="643"/>
        <w:jc w:val="left"/>
        <w:outlineLvl w:val="1"/>
        <w:rPr>
          <w:rFonts w:eastAsia="仿宋_GB2312" w:cs="仿宋_GB2312"/>
          <w:b/>
          <w:bCs/>
          <w:sz w:val="32"/>
          <w:szCs w:val="32"/>
          <w:highlight w:val="none"/>
        </w:rPr>
      </w:pPr>
    </w:p>
    <w:p w14:paraId="2C0E2367">
      <w:pPr>
        <w:pStyle w:val="27"/>
        <w:spacing w:line="600" w:lineRule="exact"/>
        <w:ind w:firstLine="643"/>
        <w:jc w:val="left"/>
        <w:outlineLvl w:val="1"/>
        <w:rPr>
          <w:rFonts w:eastAsia="仿宋_GB2312" w:cs="仿宋_GB2312"/>
          <w:b/>
          <w:bCs/>
          <w:sz w:val="32"/>
          <w:szCs w:val="32"/>
          <w:highlight w:val="none"/>
        </w:rPr>
      </w:pPr>
    </w:p>
    <w:p w14:paraId="4E1D4739">
      <w:pPr>
        <w:pStyle w:val="27"/>
        <w:spacing w:line="600" w:lineRule="exact"/>
        <w:ind w:firstLine="643"/>
        <w:jc w:val="left"/>
        <w:outlineLvl w:val="1"/>
        <w:rPr>
          <w:rFonts w:eastAsia="仿宋_GB2312" w:cs="仿宋_GB2312"/>
          <w:b/>
          <w:bCs/>
          <w:sz w:val="32"/>
          <w:szCs w:val="32"/>
          <w:highlight w:val="none"/>
        </w:rPr>
      </w:pPr>
    </w:p>
    <w:p w14:paraId="0F3A5045">
      <w:pPr>
        <w:pStyle w:val="27"/>
        <w:spacing w:line="600" w:lineRule="exact"/>
        <w:ind w:firstLine="643"/>
        <w:jc w:val="left"/>
        <w:outlineLvl w:val="1"/>
        <w:rPr>
          <w:rFonts w:eastAsia="仿宋_GB2312" w:cs="仿宋_GB2312"/>
          <w:b/>
          <w:bCs/>
          <w:sz w:val="32"/>
          <w:szCs w:val="32"/>
          <w:highlight w:val="none"/>
        </w:rPr>
      </w:pPr>
    </w:p>
    <w:p w14:paraId="32E38CD9">
      <w:pPr>
        <w:pStyle w:val="27"/>
        <w:spacing w:line="600" w:lineRule="exact"/>
        <w:ind w:firstLine="643"/>
        <w:jc w:val="left"/>
        <w:outlineLvl w:val="1"/>
        <w:rPr>
          <w:rFonts w:eastAsia="仿宋_GB2312" w:cs="仿宋_GB2312"/>
          <w:b/>
          <w:bCs/>
          <w:sz w:val="32"/>
          <w:szCs w:val="32"/>
          <w:highlight w:val="none"/>
        </w:rPr>
      </w:pPr>
    </w:p>
    <w:p w14:paraId="53B17A73">
      <w:pPr>
        <w:pStyle w:val="27"/>
        <w:spacing w:line="600" w:lineRule="exact"/>
        <w:ind w:firstLine="643"/>
        <w:jc w:val="left"/>
        <w:outlineLvl w:val="1"/>
        <w:rPr>
          <w:rFonts w:eastAsia="仿宋_GB2312" w:cs="仿宋_GB2312"/>
          <w:b/>
          <w:bCs/>
          <w:sz w:val="32"/>
          <w:szCs w:val="32"/>
          <w:highlight w:val="none"/>
        </w:rPr>
      </w:pPr>
    </w:p>
    <w:p w14:paraId="59E9153A">
      <w:pPr>
        <w:pStyle w:val="27"/>
        <w:spacing w:line="600" w:lineRule="exact"/>
        <w:ind w:firstLine="643"/>
        <w:jc w:val="left"/>
        <w:outlineLvl w:val="1"/>
        <w:rPr>
          <w:rFonts w:eastAsia="仿宋_GB2312" w:cs="仿宋_GB2312"/>
          <w:b/>
          <w:bCs/>
          <w:sz w:val="32"/>
          <w:szCs w:val="32"/>
          <w:highlight w:val="none"/>
        </w:rPr>
      </w:pPr>
    </w:p>
    <w:p w14:paraId="690DBA73">
      <w:pPr>
        <w:pStyle w:val="27"/>
        <w:spacing w:line="600" w:lineRule="exact"/>
        <w:ind w:firstLine="643"/>
        <w:jc w:val="left"/>
        <w:outlineLvl w:val="1"/>
        <w:rPr>
          <w:rFonts w:eastAsia="仿宋_GB2312" w:cs="仿宋_GB2312"/>
          <w:b/>
          <w:bCs/>
          <w:sz w:val="32"/>
          <w:szCs w:val="32"/>
          <w:highlight w:val="none"/>
        </w:rPr>
      </w:pPr>
    </w:p>
    <w:p w14:paraId="2841E8E3">
      <w:pPr>
        <w:pStyle w:val="27"/>
        <w:spacing w:line="600" w:lineRule="exact"/>
        <w:ind w:firstLine="640"/>
        <w:jc w:val="left"/>
        <w:outlineLvl w:val="1"/>
        <w:rPr>
          <w:rFonts w:eastAsia="仿宋_GB2312" w:cs="仿宋_GB2312"/>
          <w:sz w:val="32"/>
          <w:szCs w:val="32"/>
          <w:highlight w:val="none"/>
        </w:rPr>
      </w:pPr>
    </w:p>
    <w:p w14:paraId="7C301918">
      <w:pPr>
        <w:ind w:firstLine="800" w:firstLineChars="250"/>
        <w:rPr>
          <w:rFonts w:eastAsia="仿宋_GB2312" w:cs="仿宋_GB2312"/>
          <w:sz w:val="32"/>
          <w:szCs w:val="32"/>
          <w:highlight w:val="none"/>
        </w:rPr>
      </w:pPr>
      <w:r>
        <w:rPr>
          <w:rFonts w:hint="eastAsia" w:eastAsia="仿宋_GB2312" w:cs="仿宋_GB2312"/>
          <w:sz w:val="32"/>
          <w:szCs w:val="32"/>
          <w:highlight w:val="none"/>
        </w:rPr>
        <w:t>（图3：支出决算结构图）（饼状图）</w:t>
      </w:r>
    </w:p>
    <w:p w14:paraId="24622CE1">
      <w:pPr>
        <w:ind w:firstLine="800" w:firstLineChars="250"/>
        <w:rPr>
          <w:rFonts w:eastAsia="仿宋_GB2312" w:cs="仿宋_GB2312"/>
          <w:sz w:val="32"/>
          <w:szCs w:val="32"/>
          <w:highlight w:val="none"/>
        </w:rPr>
      </w:pPr>
    </w:p>
    <w:p w14:paraId="1218A70D">
      <w:pPr>
        <w:spacing w:line="600" w:lineRule="exact"/>
        <w:ind w:firstLine="640" w:firstLineChars="200"/>
        <w:outlineLvl w:val="1"/>
        <w:rPr>
          <w:rStyle w:val="29"/>
          <w:rFonts w:ascii="Times New Roman" w:hAnsi="Times New Roman" w:eastAsia="黑体"/>
          <w:b w:val="0"/>
          <w:highlight w:val="none"/>
        </w:rPr>
      </w:pPr>
      <w:bookmarkStart w:id="18" w:name="_Toc15396606"/>
      <w:bookmarkStart w:id="19" w:name="_Toc15377208"/>
      <w:r>
        <w:rPr>
          <w:rFonts w:hint="eastAsia" w:eastAsia="黑体"/>
          <w:sz w:val="32"/>
          <w:szCs w:val="32"/>
          <w:highlight w:val="none"/>
        </w:rPr>
        <w:t>四、财</w:t>
      </w:r>
      <w:r>
        <w:rPr>
          <w:rStyle w:val="29"/>
          <w:rFonts w:hint="eastAsia" w:ascii="Times New Roman" w:hAnsi="Times New Roman" w:eastAsia="黑体"/>
          <w:b w:val="0"/>
          <w:highlight w:val="none"/>
        </w:rPr>
        <w:t>政拨款收入支出决算总体情况说明</w:t>
      </w:r>
      <w:bookmarkEnd w:id="18"/>
      <w:bookmarkEnd w:id="19"/>
    </w:p>
    <w:p w14:paraId="6B60015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2024年度财政拨款收入、支出总计均为</w:t>
      </w:r>
      <w:r>
        <w:rPr>
          <w:rFonts w:hint="eastAsia" w:ascii="仿宋_GB2312" w:hAnsi="仿宋_GB2312" w:eastAsia="仿宋_GB2312" w:cs="仿宋_GB2312"/>
          <w:sz w:val="32"/>
          <w:szCs w:val="32"/>
          <w:highlight w:val="none"/>
        </w:rPr>
        <w:t>2314.44</w:t>
      </w:r>
      <w:r>
        <w:rPr>
          <w:rFonts w:hint="eastAsia" w:eastAsia="仿宋_GB2312" w:cs="仿宋_GB2312"/>
          <w:sz w:val="32"/>
          <w:szCs w:val="32"/>
          <w:highlight w:val="none"/>
        </w:rPr>
        <w:t>万元。与2023年度相比，财政拨款收入总计、支出总计各增加</w:t>
      </w:r>
      <w:r>
        <w:rPr>
          <w:rFonts w:eastAsia="仿宋_GB2312" w:cs="仿宋_GB2312"/>
          <w:sz w:val="32"/>
          <w:szCs w:val="32"/>
          <w:highlight w:val="none"/>
        </w:rPr>
        <w:t>232.45</w:t>
      </w:r>
      <w:r>
        <w:rPr>
          <w:rFonts w:hint="eastAsia" w:eastAsia="仿宋_GB2312" w:cs="仿宋_GB2312"/>
          <w:sz w:val="32"/>
          <w:szCs w:val="32"/>
          <w:highlight w:val="none"/>
        </w:rPr>
        <w:t>万元，增长</w:t>
      </w:r>
      <w:r>
        <w:rPr>
          <w:rFonts w:eastAsia="仿宋_GB2312" w:cs="仿宋_GB2312"/>
          <w:sz w:val="32"/>
          <w:szCs w:val="32"/>
          <w:highlight w:val="none"/>
        </w:rPr>
        <w:t>11.16</w:t>
      </w:r>
      <w:r>
        <w:rPr>
          <w:rFonts w:hint="eastAsia" w:eastAsia="仿宋_GB2312" w:cs="仿宋_GB2312"/>
          <w:sz w:val="32"/>
          <w:szCs w:val="32"/>
          <w:highlight w:val="none"/>
        </w:rPr>
        <w:t>%。</w:t>
      </w:r>
      <w:r>
        <w:rPr>
          <w:rFonts w:hint="eastAsia" w:ascii="仿宋" w:hAnsi="仿宋" w:eastAsia="仿宋"/>
          <w:sz w:val="32"/>
          <w:szCs w:val="32"/>
          <w:highlight w:val="none"/>
        </w:rPr>
        <w:t>主要变动原因一是人员经费增加，二是安全监管执法能力提升、应急管理体系建设经费、森林火灾扑救联合实战演练经</w:t>
      </w:r>
      <w:r>
        <w:rPr>
          <w:rFonts w:hint="eastAsia" w:ascii="仿宋" w:hAnsi="仿宋" w:eastAsia="仿宋"/>
          <w:sz w:val="32"/>
          <w:szCs w:val="32"/>
          <w:highlight w:val="none"/>
          <w:lang w:eastAsia="zh-CN"/>
        </w:rPr>
        <w:t>费等</w:t>
      </w:r>
      <w:r>
        <w:rPr>
          <w:rFonts w:hint="eastAsia" w:ascii="仿宋" w:hAnsi="仿宋" w:eastAsia="仿宋"/>
          <w:sz w:val="32"/>
          <w:szCs w:val="32"/>
          <w:highlight w:val="none"/>
        </w:rPr>
        <w:t>项目经费的增加。</w:t>
      </w:r>
    </w:p>
    <w:p w14:paraId="27555A42">
      <w:pPr>
        <w:pStyle w:val="2"/>
        <w:rPr>
          <w:highlight w:val="none"/>
        </w:rPr>
      </w:pPr>
    </w:p>
    <w:p w14:paraId="29D7498A">
      <w:pPr>
        <w:pStyle w:val="3"/>
        <w:ind w:left="420"/>
        <w:rPr>
          <w:highlight w:val="none"/>
        </w:rPr>
      </w:pPr>
      <w:r>
        <w:rPr>
          <w:highlight w:val="none"/>
        </w:rPr>
        <w:drawing>
          <wp:anchor distT="0" distB="0" distL="114300" distR="114300" simplePos="0" relativeHeight="251662336" behindDoc="0" locked="0" layoutInCell="1" allowOverlap="1">
            <wp:simplePos x="0" y="0"/>
            <wp:positionH relativeFrom="column">
              <wp:posOffset>-22860</wp:posOffset>
            </wp:positionH>
            <wp:positionV relativeFrom="paragraph">
              <wp:posOffset>54610</wp:posOffset>
            </wp:positionV>
            <wp:extent cx="5321935" cy="4241800"/>
            <wp:effectExtent l="0" t="0" r="12065" b="635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1935" cy="4241800"/>
                    </a:xfrm>
                    <a:prstGeom prst="rect">
                      <a:avLst/>
                    </a:prstGeom>
                    <a:noFill/>
                  </pic:spPr>
                </pic:pic>
              </a:graphicData>
            </a:graphic>
          </wp:anchor>
        </w:drawing>
      </w:r>
    </w:p>
    <w:p w14:paraId="605B1F9E">
      <w:pPr>
        <w:pStyle w:val="3"/>
        <w:ind w:left="420"/>
        <w:rPr>
          <w:highlight w:val="none"/>
        </w:rPr>
      </w:pPr>
    </w:p>
    <w:p w14:paraId="61F8E8C2">
      <w:pPr>
        <w:pStyle w:val="3"/>
        <w:ind w:left="420"/>
        <w:rPr>
          <w:highlight w:val="none"/>
        </w:rPr>
      </w:pPr>
    </w:p>
    <w:p w14:paraId="6DB14C11">
      <w:pPr>
        <w:pStyle w:val="3"/>
        <w:ind w:left="420"/>
        <w:rPr>
          <w:highlight w:val="none"/>
        </w:rPr>
      </w:pPr>
    </w:p>
    <w:p w14:paraId="68088B29">
      <w:pPr>
        <w:pStyle w:val="3"/>
        <w:ind w:left="420"/>
        <w:rPr>
          <w:highlight w:val="none"/>
        </w:rPr>
      </w:pPr>
    </w:p>
    <w:p w14:paraId="0B05A395">
      <w:pPr>
        <w:pStyle w:val="3"/>
        <w:ind w:left="420"/>
        <w:rPr>
          <w:highlight w:val="none"/>
        </w:rPr>
      </w:pPr>
    </w:p>
    <w:p w14:paraId="3BF99803">
      <w:pPr>
        <w:pStyle w:val="3"/>
        <w:ind w:left="420"/>
        <w:rPr>
          <w:highlight w:val="none"/>
        </w:rPr>
      </w:pPr>
    </w:p>
    <w:p w14:paraId="20FA84FB">
      <w:pPr>
        <w:pStyle w:val="3"/>
        <w:ind w:left="420"/>
        <w:rPr>
          <w:highlight w:val="none"/>
        </w:rPr>
      </w:pPr>
    </w:p>
    <w:p w14:paraId="2280A0BC">
      <w:pPr>
        <w:pStyle w:val="3"/>
        <w:ind w:left="420"/>
        <w:rPr>
          <w:highlight w:val="none"/>
        </w:rPr>
      </w:pPr>
    </w:p>
    <w:p w14:paraId="0A3729C1">
      <w:pPr>
        <w:pStyle w:val="3"/>
        <w:ind w:left="420"/>
        <w:rPr>
          <w:highlight w:val="none"/>
        </w:rPr>
      </w:pPr>
    </w:p>
    <w:p w14:paraId="7240D83B">
      <w:pPr>
        <w:pStyle w:val="3"/>
        <w:ind w:left="420"/>
        <w:rPr>
          <w:highlight w:val="none"/>
        </w:rPr>
      </w:pPr>
    </w:p>
    <w:p w14:paraId="56225F1A">
      <w:pPr>
        <w:pStyle w:val="3"/>
        <w:ind w:left="420"/>
        <w:rPr>
          <w:highlight w:val="none"/>
        </w:rPr>
      </w:pPr>
    </w:p>
    <w:p w14:paraId="4D230694">
      <w:pPr>
        <w:pStyle w:val="3"/>
        <w:ind w:left="420"/>
        <w:rPr>
          <w:highlight w:val="none"/>
        </w:rPr>
      </w:pPr>
    </w:p>
    <w:p w14:paraId="6EB343DF">
      <w:pPr>
        <w:pStyle w:val="3"/>
        <w:ind w:left="420"/>
        <w:rPr>
          <w:highlight w:val="none"/>
        </w:rPr>
      </w:pPr>
    </w:p>
    <w:p w14:paraId="6D4C1EC1">
      <w:pPr>
        <w:pStyle w:val="3"/>
        <w:ind w:left="420"/>
        <w:rPr>
          <w:highlight w:val="none"/>
        </w:rPr>
      </w:pPr>
    </w:p>
    <w:p w14:paraId="3448FF02">
      <w:pPr>
        <w:pStyle w:val="3"/>
        <w:ind w:left="420"/>
        <w:rPr>
          <w:highlight w:val="none"/>
        </w:rPr>
      </w:pPr>
    </w:p>
    <w:p w14:paraId="39421D45">
      <w:pPr>
        <w:spacing w:line="600" w:lineRule="exact"/>
        <w:ind w:firstLine="640" w:firstLineChars="200"/>
        <w:rPr>
          <w:rFonts w:eastAsia="仿宋_GB2312" w:cs="仿宋_GB2312"/>
          <w:sz w:val="32"/>
          <w:szCs w:val="32"/>
          <w:highlight w:val="none"/>
        </w:rPr>
      </w:pPr>
      <w:r>
        <w:rPr>
          <w:rFonts w:hint="eastAsia" w:eastAsia="仿宋_GB2312" w:cs="仿宋_GB2312"/>
          <w:sz w:val="32"/>
          <w:szCs w:val="32"/>
          <w:highlight w:val="none"/>
        </w:rPr>
        <w:t>（图4：财政拨款收、支决算总计变动情况）（柱状图）</w:t>
      </w:r>
    </w:p>
    <w:p w14:paraId="44D7D4C9">
      <w:pPr>
        <w:spacing w:line="600" w:lineRule="exact"/>
        <w:ind w:firstLine="640"/>
        <w:rPr>
          <w:rFonts w:eastAsia="仿宋_GB2312" w:cs="仿宋_GB2312"/>
          <w:sz w:val="32"/>
          <w:szCs w:val="32"/>
          <w:highlight w:val="none"/>
        </w:rPr>
      </w:pPr>
    </w:p>
    <w:p w14:paraId="62321EF4">
      <w:pPr>
        <w:spacing w:line="600" w:lineRule="exact"/>
        <w:ind w:firstLine="640" w:firstLineChars="200"/>
        <w:outlineLvl w:val="1"/>
        <w:rPr>
          <w:rStyle w:val="29"/>
          <w:rFonts w:ascii="Times New Roman" w:hAnsi="Times New Roman" w:eastAsia="黑体"/>
          <w:b w:val="0"/>
          <w:highlight w:val="none"/>
        </w:rPr>
      </w:pPr>
      <w:bookmarkStart w:id="20" w:name="_Toc15396607"/>
      <w:bookmarkStart w:id="21" w:name="_Toc15377209"/>
      <w:r>
        <w:rPr>
          <w:rFonts w:hint="eastAsia" w:eastAsia="黑体"/>
          <w:sz w:val="32"/>
          <w:szCs w:val="32"/>
          <w:highlight w:val="none"/>
        </w:rPr>
        <w:t>五、</w:t>
      </w:r>
      <w:r>
        <w:rPr>
          <w:rFonts w:hint="eastAsia" w:eastAsia="黑体"/>
          <w:b/>
          <w:sz w:val="32"/>
          <w:szCs w:val="32"/>
          <w:highlight w:val="none"/>
        </w:rPr>
        <w:t>一</w:t>
      </w:r>
      <w:r>
        <w:rPr>
          <w:rStyle w:val="29"/>
          <w:rFonts w:hint="eastAsia" w:ascii="Times New Roman" w:hAnsi="Times New Roman" w:eastAsia="黑体"/>
          <w:b w:val="0"/>
          <w:highlight w:val="none"/>
        </w:rPr>
        <w:t>般公共预算财政拨款支出决算情况说明</w:t>
      </w:r>
      <w:bookmarkEnd w:id="20"/>
      <w:bookmarkEnd w:id="21"/>
    </w:p>
    <w:p w14:paraId="70EBC4CF">
      <w:pPr>
        <w:spacing w:line="600" w:lineRule="exact"/>
        <w:ind w:firstLine="643" w:firstLineChars="200"/>
        <w:outlineLvl w:val="2"/>
        <w:rPr>
          <w:rFonts w:eastAsia="楷体_GB2312" w:cs="楷体_GB2312"/>
          <w:b/>
          <w:sz w:val="32"/>
          <w:szCs w:val="32"/>
          <w:highlight w:val="none"/>
        </w:rPr>
      </w:pPr>
      <w:bookmarkStart w:id="22" w:name="_Toc15377210"/>
      <w:r>
        <w:rPr>
          <w:rFonts w:hint="eastAsia" w:eastAsia="楷体_GB2312" w:cs="楷体_GB2312"/>
          <w:b/>
          <w:sz w:val="32"/>
          <w:szCs w:val="32"/>
          <w:highlight w:val="none"/>
        </w:rPr>
        <w:t>（一）一般公共预算财政拨款支出决算总体情况</w:t>
      </w:r>
      <w:bookmarkEnd w:id="22"/>
    </w:p>
    <w:p w14:paraId="4A81434C">
      <w:pPr>
        <w:spacing w:line="600" w:lineRule="exact"/>
        <w:ind w:firstLine="640" w:firstLineChars="200"/>
        <w:rPr>
          <w:rFonts w:hint="eastAsia" w:ascii="仿宋" w:hAnsi="仿宋" w:eastAsia="仿宋"/>
          <w:sz w:val="32"/>
          <w:szCs w:val="32"/>
          <w:highlight w:val="none"/>
        </w:rPr>
      </w:pPr>
      <w:r>
        <w:rPr>
          <w:rFonts w:hint="eastAsia" w:ascii="仿宋_GB2312" w:hAnsi="仿宋_GB2312" w:eastAsia="仿宋_GB2312" w:cs="仿宋_GB2312"/>
          <w:sz w:val="32"/>
          <w:szCs w:val="32"/>
          <w:highlight w:val="none"/>
        </w:rPr>
        <w:t>2024年度一般公共预算财政拨款支出2149.34万元，占本年支出合计的92.8</w:t>
      </w:r>
      <w:r>
        <w:rPr>
          <w:rFonts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rPr>
        <w:t>%。与2023年度相比，一般公共预算财政拨款支出增加</w:t>
      </w:r>
      <w:r>
        <w:rPr>
          <w:rFonts w:ascii="仿宋_GB2312" w:hAnsi="仿宋_GB2312" w:eastAsia="仿宋_GB2312" w:cs="仿宋_GB2312"/>
          <w:sz w:val="32"/>
          <w:szCs w:val="32"/>
          <w:highlight w:val="none"/>
        </w:rPr>
        <w:t>125.3</w:t>
      </w:r>
      <w:r>
        <w:rPr>
          <w:rFonts w:hint="eastAsia" w:ascii="仿宋_GB2312" w:hAnsi="仿宋_GB2312" w:eastAsia="仿宋_GB2312" w:cs="仿宋_GB2312"/>
          <w:sz w:val="32"/>
          <w:szCs w:val="32"/>
          <w:highlight w:val="none"/>
        </w:rPr>
        <w:t>万元，增长</w:t>
      </w:r>
      <w:r>
        <w:rPr>
          <w:rFonts w:ascii="仿宋_GB2312" w:hAnsi="仿宋_GB2312" w:eastAsia="仿宋_GB2312" w:cs="仿宋_GB2312"/>
          <w:sz w:val="32"/>
          <w:szCs w:val="32"/>
          <w:highlight w:val="none"/>
        </w:rPr>
        <w:t>6.19</w:t>
      </w:r>
      <w:r>
        <w:rPr>
          <w:rFonts w:hint="eastAsia" w:ascii="仿宋_GB2312" w:hAnsi="仿宋_GB2312" w:eastAsia="仿宋_GB2312" w:cs="仿宋_GB2312"/>
          <w:sz w:val="32"/>
          <w:szCs w:val="32"/>
          <w:highlight w:val="none"/>
        </w:rPr>
        <w:t>%。</w:t>
      </w:r>
      <w:r>
        <w:rPr>
          <w:rFonts w:hint="eastAsia" w:ascii="仿宋" w:hAnsi="仿宋" w:eastAsia="仿宋"/>
          <w:sz w:val="32"/>
          <w:szCs w:val="32"/>
          <w:highlight w:val="none"/>
        </w:rPr>
        <w:t>主要变动原因是一是人员经费增加，二是煤矿关闭奖补资金项目经费的增加。</w:t>
      </w:r>
    </w:p>
    <w:p w14:paraId="138C9290">
      <w:pPr>
        <w:pStyle w:val="2"/>
        <w:rPr>
          <w:rFonts w:hint="eastAsia" w:ascii="仿宋" w:hAnsi="仿宋" w:eastAsia="仿宋"/>
          <w:sz w:val="32"/>
          <w:szCs w:val="32"/>
          <w:highlight w:val="none"/>
        </w:rPr>
      </w:pPr>
    </w:p>
    <w:p w14:paraId="01CF8850">
      <w:pPr>
        <w:pStyle w:val="3"/>
        <w:rPr>
          <w:highlight w:val="none"/>
        </w:rPr>
      </w:pPr>
    </w:p>
    <w:p w14:paraId="66DC0B71">
      <w:pPr>
        <w:pStyle w:val="3"/>
        <w:ind w:left="420"/>
        <w:rPr>
          <w:highlight w:val="none"/>
        </w:rPr>
      </w:pPr>
    </w:p>
    <w:p w14:paraId="6451FF15">
      <w:pPr>
        <w:pStyle w:val="3"/>
        <w:ind w:left="420"/>
        <w:rPr>
          <w:highlight w:val="none"/>
        </w:rPr>
      </w:pPr>
      <w:r>
        <w:rPr>
          <w:highlight w:val="none"/>
        </w:rPr>
        <w:drawing>
          <wp:anchor distT="0" distB="0" distL="114300" distR="114300" simplePos="0" relativeHeight="251662336" behindDoc="0" locked="0" layoutInCell="1" allowOverlap="1">
            <wp:simplePos x="0" y="0"/>
            <wp:positionH relativeFrom="column">
              <wp:posOffset>81280</wp:posOffset>
            </wp:positionH>
            <wp:positionV relativeFrom="paragraph">
              <wp:posOffset>-161290</wp:posOffset>
            </wp:positionV>
            <wp:extent cx="5462270" cy="4397375"/>
            <wp:effectExtent l="0" t="0" r="5080"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62546" cy="4397399"/>
                    </a:xfrm>
                    <a:prstGeom prst="rect">
                      <a:avLst/>
                    </a:prstGeom>
                    <a:noFill/>
                  </pic:spPr>
                </pic:pic>
              </a:graphicData>
            </a:graphic>
          </wp:anchor>
        </w:drawing>
      </w:r>
    </w:p>
    <w:p w14:paraId="17ED1C2E">
      <w:pPr>
        <w:pStyle w:val="3"/>
        <w:ind w:left="420"/>
        <w:rPr>
          <w:highlight w:val="none"/>
        </w:rPr>
      </w:pPr>
    </w:p>
    <w:p w14:paraId="12F2E4D8">
      <w:pPr>
        <w:pStyle w:val="3"/>
        <w:ind w:left="420"/>
        <w:rPr>
          <w:highlight w:val="none"/>
        </w:rPr>
      </w:pPr>
    </w:p>
    <w:p w14:paraId="780429B6">
      <w:pPr>
        <w:pStyle w:val="3"/>
        <w:ind w:left="420"/>
        <w:rPr>
          <w:highlight w:val="none"/>
        </w:rPr>
      </w:pPr>
    </w:p>
    <w:p w14:paraId="3BBDC3B7">
      <w:pPr>
        <w:pStyle w:val="3"/>
        <w:ind w:left="420"/>
        <w:rPr>
          <w:highlight w:val="none"/>
        </w:rPr>
      </w:pPr>
    </w:p>
    <w:p w14:paraId="005D13D9">
      <w:pPr>
        <w:pStyle w:val="3"/>
        <w:ind w:left="420"/>
        <w:rPr>
          <w:highlight w:val="none"/>
        </w:rPr>
      </w:pPr>
    </w:p>
    <w:p w14:paraId="35F17C75">
      <w:pPr>
        <w:pStyle w:val="3"/>
        <w:ind w:left="420"/>
        <w:rPr>
          <w:highlight w:val="none"/>
        </w:rPr>
      </w:pPr>
    </w:p>
    <w:p w14:paraId="4C4D4EE8">
      <w:pPr>
        <w:pStyle w:val="3"/>
        <w:ind w:left="420"/>
        <w:rPr>
          <w:highlight w:val="none"/>
        </w:rPr>
      </w:pPr>
    </w:p>
    <w:p w14:paraId="1BBC15F6">
      <w:pPr>
        <w:pStyle w:val="3"/>
        <w:ind w:left="420"/>
        <w:rPr>
          <w:highlight w:val="none"/>
        </w:rPr>
      </w:pPr>
    </w:p>
    <w:p w14:paraId="49A836F6">
      <w:pPr>
        <w:pStyle w:val="3"/>
        <w:ind w:left="420"/>
        <w:rPr>
          <w:highlight w:val="none"/>
        </w:rPr>
      </w:pPr>
    </w:p>
    <w:p w14:paraId="47E38016">
      <w:pPr>
        <w:pStyle w:val="3"/>
        <w:ind w:left="420"/>
        <w:rPr>
          <w:highlight w:val="none"/>
        </w:rPr>
      </w:pPr>
    </w:p>
    <w:p w14:paraId="02ABB534">
      <w:pPr>
        <w:pStyle w:val="3"/>
        <w:ind w:left="420"/>
        <w:rPr>
          <w:highlight w:val="none"/>
        </w:rPr>
      </w:pPr>
    </w:p>
    <w:p w14:paraId="6696DE2C">
      <w:pPr>
        <w:pStyle w:val="3"/>
        <w:ind w:left="420"/>
        <w:rPr>
          <w:highlight w:val="none"/>
        </w:rPr>
      </w:pPr>
    </w:p>
    <w:p w14:paraId="315DB673">
      <w:pPr>
        <w:pStyle w:val="3"/>
        <w:ind w:left="420"/>
        <w:rPr>
          <w:highlight w:val="none"/>
        </w:rPr>
      </w:pPr>
    </w:p>
    <w:p w14:paraId="549FD12D">
      <w:pPr>
        <w:pStyle w:val="3"/>
        <w:ind w:left="420"/>
        <w:rPr>
          <w:highlight w:val="none"/>
        </w:rPr>
      </w:pPr>
    </w:p>
    <w:p w14:paraId="40E735FA">
      <w:pPr>
        <w:pStyle w:val="3"/>
        <w:ind w:left="420"/>
        <w:rPr>
          <w:highlight w:val="none"/>
        </w:rPr>
      </w:pPr>
    </w:p>
    <w:p w14:paraId="3F87F5C7">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（图5：一般公共预算财政拨款支出决算变动情况）（柱状图）</w:t>
      </w:r>
    </w:p>
    <w:p w14:paraId="315D4320">
      <w:pPr>
        <w:spacing w:line="600" w:lineRule="exact"/>
        <w:ind w:firstLine="640"/>
        <w:rPr>
          <w:rFonts w:eastAsia="仿宋_GB2312" w:cs="仿宋_GB2312"/>
          <w:sz w:val="32"/>
          <w:szCs w:val="32"/>
          <w:highlight w:val="none"/>
        </w:rPr>
      </w:pPr>
    </w:p>
    <w:p w14:paraId="70F2A2A2">
      <w:pPr>
        <w:spacing w:line="600" w:lineRule="exact"/>
        <w:ind w:firstLine="643" w:firstLineChars="200"/>
        <w:outlineLvl w:val="2"/>
        <w:rPr>
          <w:rFonts w:eastAsia="楷体_GB2312" w:cs="楷体_GB2312"/>
          <w:b/>
          <w:sz w:val="32"/>
          <w:szCs w:val="32"/>
          <w:highlight w:val="none"/>
        </w:rPr>
      </w:pPr>
      <w:bookmarkStart w:id="23" w:name="_Toc15377211"/>
      <w:r>
        <w:rPr>
          <w:rFonts w:hint="eastAsia" w:eastAsia="楷体_GB2312" w:cs="楷体_GB2312"/>
          <w:b/>
          <w:sz w:val="32"/>
          <w:szCs w:val="32"/>
          <w:highlight w:val="none"/>
        </w:rPr>
        <w:t>（二）一般公共预算财政拨款支出决算结构情况</w:t>
      </w:r>
      <w:bookmarkEnd w:id="23"/>
    </w:p>
    <w:p w14:paraId="62432413">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2024年度一般公共预算财政拨款支出2149.34</w:t>
      </w:r>
      <w:r>
        <w:rPr>
          <w:rFonts w:hint="eastAsia" w:ascii="仿宋_GB2312" w:hAnsi="仿宋_GB2312" w:eastAsia="仿宋_GB2312" w:cs="仿宋_GB2312"/>
          <w:sz w:val="32"/>
          <w:szCs w:val="32"/>
          <w:highlight w:val="none"/>
        </w:rPr>
        <w:t>万元</w:t>
      </w:r>
      <w:r>
        <w:rPr>
          <w:rFonts w:hint="eastAsia" w:eastAsia="仿宋_GB2312" w:cs="仿宋_GB2312"/>
          <w:sz w:val="32"/>
          <w:szCs w:val="32"/>
          <w:highlight w:val="none"/>
        </w:rPr>
        <w:t>，主要用于以下方面：一般公共服务支出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%；教育支出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%；科学技术支出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%；文化旅游体育与传媒支出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%；社会保障和就业支出</w:t>
      </w:r>
      <w:r>
        <w:rPr>
          <w:rFonts w:eastAsia="仿宋_GB2312" w:cs="仿宋_GB2312"/>
          <w:sz w:val="32"/>
          <w:szCs w:val="32"/>
          <w:highlight w:val="none"/>
        </w:rPr>
        <w:t>139.32</w:t>
      </w:r>
      <w:r>
        <w:rPr>
          <w:rFonts w:hint="eastAsia" w:eastAsia="仿宋_GB2312" w:cs="仿宋_GB2312"/>
          <w:sz w:val="32"/>
          <w:szCs w:val="32"/>
          <w:highlight w:val="none"/>
        </w:rPr>
        <w:t>万元，占</w:t>
      </w:r>
      <w:r>
        <w:rPr>
          <w:rFonts w:eastAsia="仿宋_GB2312" w:cs="仿宋_GB2312"/>
          <w:sz w:val="32"/>
          <w:szCs w:val="32"/>
          <w:highlight w:val="none"/>
        </w:rPr>
        <w:t>6.48</w:t>
      </w:r>
      <w:r>
        <w:rPr>
          <w:rFonts w:hint="eastAsia" w:eastAsia="仿宋_GB2312" w:cs="仿宋_GB2312"/>
          <w:sz w:val="32"/>
          <w:szCs w:val="32"/>
          <w:highlight w:val="none"/>
        </w:rPr>
        <w:t>%；卫生健康支出</w:t>
      </w:r>
      <w:r>
        <w:rPr>
          <w:rFonts w:eastAsia="仿宋_GB2312" w:cs="仿宋_GB2312"/>
          <w:sz w:val="32"/>
          <w:szCs w:val="32"/>
          <w:highlight w:val="none"/>
        </w:rPr>
        <w:t>30.42</w:t>
      </w:r>
      <w:r>
        <w:rPr>
          <w:rFonts w:hint="eastAsia" w:eastAsia="仿宋_GB2312" w:cs="仿宋_GB2312"/>
          <w:sz w:val="32"/>
          <w:szCs w:val="32"/>
          <w:highlight w:val="none"/>
        </w:rPr>
        <w:t>万元，占</w:t>
      </w:r>
      <w:r>
        <w:rPr>
          <w:rFonts w:eastAsia="仿宋_GB2312" w:cs="仿宋_GB2312"/>
          <w:sz w:val="32"/>
          <w:szCs w:val="32"/>
          <w:highlight w:val="none"/>
        </w:rPr>
        <w:t>1.41</w:t>
      </w:r>
      <w:r>
        <w:rPr>
          <w:rFonts w:hint="eastAsia" w:eastAsia="仿宋_GB2312" w:cs="仿宋_GB2312"/>
          <w:sz w:val="32"/>
          <w:szCs w:val="32"/>
          <w:highlight w:val="none"/>
        </w:rPr>
        <w:t>%；住房保障支出</w:t>
      </w:r>
      <w:r>
        <w:rPr>
          <w:rFonts w:eastAsia="仿宋_GB2312" w:cs="仿宋_GB2312"/>
          <w:sz w:val="32"/>
          <w:szCs w:val="32"/>
          <w:highlight w:val="none"/>
        </w:rPr>
        <w:t>55.58</w:t>
      </w:r>
      <w:r>
        <w:rPr>
          <w:rFonts w:hint="eastAsia" w:eastAsia="仿宋_GB2312" w:cs="仿宋_GB2312"/>
          <w:sz w:val="32"/>
          <w:szCs w:val="32"/>
          <w:highlight w:val="none"/>
        </w:rPr>
        <w:t>万元，占2</w:t>
      </w:r>
      <w:r>
        <w:rPr>
          <w:rFonts w:eastAsia="仿宋_GB2312" w:cs="仿宋_GB2312"/>
          <w:sz w:val="32"/>
          <w:szCs w:val="32"/>
          <w:highlight w:val="none"/>
        </w:rPr>
        <w:t>.59</w:t>
      </w:r>
      <w:r>
        <w:rPr>
          <w:rFonts w:hint="eastAsia" w:eastAsia="仿宋_GB2312" w:cs="仿宋_GB2312"/>
          <w:sz w:val="32"/>
          <w:szCs w:val="32"/>
          <w:highlight w:val="none"/>
        </w:rPr>
        <w:t>%；灾害防治及应急管理支出</w:t>
      </w:r>
      <w:r>
        <w:rPr>
          <w:rFonts w:eastAsia="仿宋_GB2312" w:cs="仿宋_GB2312"/>
          <w:sz w:val="32"/>
          <w:szCs w:val="32"/>
          <w:highlight w:val="none"/>
        </w:rPr>
        <w:t>1924.02</w:t>
      </w:r>
      <w:r>
        <w:rPr>
          <w:rFonts w:hint="eastAsia" w:eastAsia="仿宋_GB2312" w:cs="仿宋_GB2312"/>
          <w:sz w:val="32"/>
          <w:szCs w:val="32"/>
          <w:highlight w:val="none"/>
        </w:rPr>
        <w:t>万元，占8</w:t>
      </w:r>
      <w:r>
        <w:rPr>
          <w:rFonts w:eastAsia="仿宋_GB2312" w:cs="仿宋_GB2312"/>
          <w:sz w:val="32"/>
          <w:szCs w:val="32"/>
          <w:highlight w:val="none"/>
        </w:rPr>
        <w:t>9.52</w:t>
      </w:r>
      <w:r>
        <w:rPr>
          <w:rFonts w:hint="eastAsia" w:eastAsia="仿宋_GB2312" w:cs="仿宋_GB2312"/>
          <w:sz w:val="32"/>
          <w:szCs w:val="32"/>
          <w:highlight w:val="none"/>
        </w:rPr>
        <w:t>%。</w:t>
      </w:r>
    </w:p>
    <w:p w14:paraId="14AF5772">
      <w:pPr>
        <w:pStyle w:val="2"/>
        <w:rPr>
          <w:rFonts w:eastAsia="仿宋_GB2312" w:cs="仿宋_GB2312"/>
          <w:sz w:val="32"/>
          <w:szCs w:val="32"/>
          <w:highlight w:val="none"/>
        </w:rPr>
      </w:pPr>
    </w:p>
    <w:p w14:paraId="6A40E531">
      <w:pPr>
        <w:pStyle w:val="3"/>
        <w:ind w:left="420"/>
        <w:rPr>
          <w:highlight w:val="none"/>
        </w:rPr>
      </w:pPr>
      <w:r>
        <w:rPr>
          <w:highlight w:val="none"/>
        </w:rPr>
        <w:drawing>
          <wp:anchor distT="0" distB="0" distL="114300" distR="114300" simplePos="0" relativeHeight="251663360" behindDoc="0" locked="0" layoutInCell="1" allowOverlap="1">
            <wp:simplePos x="0" y="0"/>
            <wp:positionH relativeFrom="column">
              <wp:posOffset>-129540</wp:posOffset>
            </wp:positionH>
            <wp:positionV relativeFrom="paragraph">
              <wp:posOffset>224155</wp:posOffset>
            </wp:positionV>
            <wp:extent cx="5323840" cy="4544060"/>
            <wp:effectExtent l="0" t="0" r="10160"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23840" cy="4544060"/>
                    </a:xfrm>
                    <a:prstGeom prst="rect">
                      <a:avLst/>
                    </a:prstGeom>
                    <a:noFill/>
                  </pic:spPr>
                </pic:pic>
              </a:graphicData>
            </a:graphic>
          </wp:anchor>
        </w:drawing>
      </w:r>
    </w:p>
    <w:p w14:paraId="03B7668C">
      <w:pPr>
        <w:pStyle w:val="2"/>
        <w:rPr>
          <w:highlight w:val="none"/>
        </w:rPr>
      </w:pPr>
    </w:p>
    <w:p w14:paraId="6DD413AF">
      <w:pPr>
        <w:pStyle w:val="3"/>
        <w:ind w:left="420"/>
        <w:rPr>
          <w:highlight w:val="none"/>
        </w:rPr>
      </w:pPr>
    </w:p>
    <w:p w14:paraId="0EA8C14E">
      <w:pPr>
        <w:pStyle w:val="3"/>
        <w:ind w:left="420"/>
        <w:rPr>
          <w:highlight w:val="none"/>
        </w:rPr>
      </w:pPr>
    </w:p>
    <w:p w14:paraId="11F0567F">
      <w:pPr>
        <w:pStyle w:val="2"/>
        <w:rPr>
          <w:highlight w:val="none"/>
        </w:rPr>
      </w:pPr>
    </w:p>
    <w:p w14:paraId="0DB1B0F7">
      <w:pPr>
        <w:pStyle w:val="3"/>
        <w:ind w:left="420"/>
        <w:rPr>
          <w:highlight w:val="none"/>
        </w:rPr>
      </w:pPr>
    </w:p>
    <w:p w14:paraId="2DB5127A">
      <w:pPr>
        <w:pStyle w:val="3"/>
        <w:ind w:left="420"/>
        <w:rPr>
          <w:highlight w:val="none"/>
        </w:rPr>
      </w:pPr>
    </w:p>
    <w:p w14:paraId="492502E1">
      <w:pPr>
        <w:pStyle w:val="3"/>
        <w:ind w:left="420"/>
        <w:rPr>
          <w:highlight w:val="none"/>
        </w:rPr>
      </w:pPr>
    </w:p>
    <w:p w14:paraId="0ADE6B97">
      <w:pPr>
        <w:pStyle w:val="3"/>
        <w:ind w:left="420"/>
        <w:rPr>
          <w:highlight w:val="none"/>
        </w:rPr>
      </w:pPr>
    </w:p>
    <w:p w14:paraId="542E9775">
      <w:pPr>
        <w:pStyle w:val="3"/>
        <w:ind w:left="420"/>
        <w:rPr>
          <w:highlight w:val="none"/>
        </w:rPr>
      </w:pPr>
    </w:p>
    <w:p w14:paraId="05CFFF2E">
      <w:pPr>
        <w:pStyle w:val="3"/>
        <w:ind w:left="420"/>
        <w:rPr>
          <w:highlight w:val="none"/>
        </w:rPr>
      </w:pPr>
    </w:p>
    <w:p w14:paraId="4A3722DB">
      <w:pPr>
        <w:pStyle w:val="3"/>
        <w:ind w:left="420"/>
        <w:rPr>
          <w:highlight w:val="none"/>
        </w:rPr>
      </w:pPr>
    </w:p>
    <w:p w14:paraId="17478DE2">
      <w:pPr>
        <w:pStyle w:val="3"/>
        <w:ind w:left="420"/>
        <w:rPr>
          <w:highlight w:val="none"/>
        </w:rPr>
      </w:pPr>
    </w:p>
    <w:p w14:paraId="3CC0B0DB">
      <w:pPr>
        <w:pStyle w:val="3"/>
        <w:ind w:left="420"/>
        <w:rPr>
          <w:highlight w:val="none"/>
        </w:rPr>
      </w:pPr>
    </w:p>
    <w:p w14:paraId="1BEE55CD">
      <w:pPr>
        <w:pStyle w:val="3"/>
        <w:ind w:left="420"/>
        <w:rPr>
          <w:highlight w:val="none"/>
        </w:rPr>
      </w:pPr>
    </w:p>
    <w:p w14:paraId="0D019A37">
      <w:pPr>
        <w:pStyle w:val="3"/>
        <w:ind w:left="420"/>
        <w:rPr>
          <w:highlight w:val="none"/>
        </w:rPr>
      </w:pPr>
    </w:p>
    <w:p w14:paraId="6AA87BF3">
      <w:pPr>
        <w:pStyle w:val="3"/>
        <w:ind w:left="420"/>
        <w:rPr>
          <w:highlight w:val="none"/>
        </w:rPr>
      </w:pPr>
    </w:p>
    <w:p w14:paraId="0B709FA3">
      <w:pPr>
        <w:pStyle w:val="3"/>
        <w:ind w:left="420"/>
        <w:rPr>
          <w:highlight w:val="none"/>
        </w:rPr>
      </w:pPr>
    </w:p>
    <w:p w14:paraId="09203DF4">
      <w:pPr>
        <w:pStyle w:val="3"/>
        <w:ind w:left="420"/>
        <w:rPr>
          <w:highlight w:val="none"/>
        </w:rPr>
      </w:pPr>
    </w:p>
    <w:p w14:paraId="063CD47E">
      <w:pPr>
        <w:spacing w:line="600" w:lineRule="exact"/>
        <w:rPr>
          <w:rFonts w:eastAsia="仿宋_GB2312" w:cs="仿宋_GB2312"/>
          <w:sz w:val="32"/>
          <w:szCs w:val="32"/>
          <w:highlight w:val="none"/>
        </w:rPr>
      </w:pPr>
      <w:r>
        <w:rPr>
          <w:rFonts w:hint="eastAsia" w:eastAsia="仿宋_GB2312" w:cs="仿宋_GB2312"/>
          <w:sz w:val="32"/>
          <w:szCs w:val="32"/>
          <w:highlight w:val="none"/>
        </w:rPr>
        <w:t>（图6：一般公共预算财政拨款支出决算结构）（饼状图）</w:t>
      </w:r>
    </w:p>
    <w:p w14:paraId="7FF6D9D7">
      <w:pPr>
        <w:spacing w:line="600" w:lineRule="exact"/>
        <w:ind w:firstLine="640"/>
        <w:rPr>
          <w:rFonts w:eastAsia="仿宋_GB2312" w:cs="仿宋_GB2312"/>
          <w:sz w:val="32"/>
          <w:szCs w:val="32"/>
          <w:highlight w:val="none"/>
        </w:rPr>
      </w:pPr>
    </w:p>
    <w:p w14:paraId="485D656E">
      <w:pPr>
        <w:spacing w:line="600" w:lineRule="exact"/>
        <w:ind w:firstLine="643" w:firstLineChars="200"/>
        <w:outlineLvl w:val="2"/>
        <w:rPr>
          <w:rFonts w:eastAsia="楷体_GB2312" w:cs="楷体_GB2312"/>
          <w:b/>
          <w:sz w:val="32"/>
          <w:szCs w:val="32"/>
          <w:highlight w:val="none"/>
        </w:rPr>
      </w:pPr>
      <w:bookmarkStart w:id="24" w:name="_Toc15377212"/>
      <w:r>
        <w:rPr>
          <w:rFonts w:hint="eastAsia" w:eastAsia="楷体_GB2312" w:cs="楷体_GB2312"/>
          <w:b/>
          <w:sz w:val="32"/>
          <w:szCs w:val="32"/>
          <w:highlight w:val="none"/>
        </w:rPr>
        <w:t>（三）一般公共预算财政拨款支出决算具体情况</w:t>
      </w:r>
      <w:bookmarkEnd w:id="24"/>
    </w:p>
    <w:p w14:paraId="37BAB5E6">
      <w:pPr>
        <w:spacing w:line="600" w:lineRule="exact"/>
        <w:ind w:firstLine="640"/>
        <w:rPr>
          <w:rFonts w:eastAsia="仿宋_GB2312" w:cs="仿宋_GB2312"/>
          <w:sz w:val="32"/>
          <w:szCs w:val="32"/>
          <w:highlight w:val="none"/>
        </w:rPr>
      </w:pPr>
      <w:bookmarkStart w:id="25" w:name="_Toc15377213"/>
      <w:bookmarkStart w:id="26" w:name="_Toc15377444"/>
      <w:bookmarkStart w:id="27" w:name="_Toc15378460"/>
      <w:r>
        <w:rPr>
          <w:rFonts w:hint="eastAsia" w:eastAsia="仿宋_GB2312" w:cs="仿宋_GB2312"/>
          <w:sz w:val="32"/>
          <w:szCs w:val="32"/>
          <w:highlight w:val="none"/>
        </w:rPr>
        <w:t>2024年度一般公共预算财政拨款支出决算数为2149.34</w:t>
      </w:r>
      <w:r>
        <w:rPr>
          <w:rFonts w:hint="eastAsia" w:ascii="仿宋_GB2312" w:hAnsi="仿宋_GB2312" w:eastAsia="仿宋_GB2312" w:cs="仿宋_GB2312"/>
          <w:sz w:val="32"/>
          <w:szCs w:val="32"/>
          <w:highlight w:val="none"/>
        </w:rPr>
        <w:t>万元，</w:t>
      </w:r>
      <w:r>
        <w:rPr>
          <w:rFonts w:hint="eastAsia" w:eastAsia="仿宋_GB2312" w:cs="仿宋_GB2312"/>
          <w:sz w:val="32"/>
          <w:szCs w:val="32"/>
          <w:highlight w:val="none"/>
        </w:rPr>
        <w:t>完成预算</w:t>
      </w:r>
      <w:r>
        <w:rPr>
          <w:rFonts w:eastAsia="仿宋_GB2312" w:cs="仿宋_GB2312"/>
          <w:sz w:val="32"/>
          <w:szCs w:val="32"/>
          <w:highlight w:val="none"/>
        </w:rPr>
        <w:t>92.21</w:t>
      </w:r>
      <w:r>
        <w:rPr>
          <w:rFonts w:hint="eastAsia" w:eastAsia="仿宋_GB2312" w:cs="仿宋_GB2312"/>
          <w:sz w:val="32"/>
          <w:szCs w:val="32"/>
          <w:highlight w:val="none"/>
        </w:rPr>
        <w:t>%。其中：</w:t>
      </w:r>
      <w:bookmarkEnd w:id="25"/>
      <w:bookmarkEnd w:id="26"/>
      <w:bookmarkEnd w:id="27"/>
    </w:p>
    <w:p w14:paraId="2E34E3CF">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1.社会保障和就业支出（类）行政事业单位养老支出（款）机关事业单位基本养老保险缴费支出（项）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支出决算为64.81万元，完成预算100%，决算数与预算数持平。</w:t>
      </w:r>
    </w:p>
    <w:p w14:paraId="265FD546">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2.社会保障和就业支出（类）行政事业单位养老支出（款）机关事业单位职业年金缴费支出（项）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支出决算为34.98万元，完成预算100%，决算数与预算数持平。</w:t>
      </w:r>
    </w:p>
    <w:p w14:paraId="244DA87C">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3.社会保障和就业支出（类）抚恤（款）死亡抚恤（项）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27.4</w:t>
      </w:r>
      <w:r>
        <w:rPr>
          <w:rFonts w:hint="eastAsia" w:eastAsia="仿宋_GB2312" w:cs="仿宋_GB2312"/>
          <w:sz w:val="32"/>
          <w:szCs w:val="32"/>
          <w:highlight w:val="none"/>
        </w:rPr>
        <w:t>万元，完成预算100%，决算数与预算数持平。</w:t>
      </w:r>
    </w:p>
    <w:p w14:paraId="36F0765C">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4.社会保障和就业支出（类）抚恤（款）其他优抚支出（项）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 xml:space="preserve"> 支出决算为2.</w:t>
      </w:r>
      <w:r>
        <w:rPr>
          <w:rFonts w:eastAsia="仿宋_GB2312" w:cs="仿宋_GB2312"/>
          <w:sz w:val="32"/>
          <w:szCs w:val="32"/>
          <w:highlight w:val="none"/>
        </w:rPr>
        <w:t>1</w:t>
      </w:r>
      <w:r>
        <w:rPr>
          <w:rFonts w:hint="eastAsia" w:eastAsia="仿宋_GB2312" w:cs="仿宋_GB2312"/>
          <w:sz w:val="32"/>
          <w:szCs w:val="32"/>
          <w:highlight w:val="none"/>
        </w:rPr>
        <w:t>万元，完成预算100%，决算数与预算数持平。</w:t>
      </w:r>
    </w:p>
    <w:p w14:paraId="3163DD52">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5.社会保障和就业支出（类）其他社会保障和就业支出（款）其他社会保障和就业支出（项）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支出决算为10.03万元，完成预算100%，决算数与预算数持平。</w:t>
      </w:r>
    </w:p>
    <w:p w14:paraId="4D56BC7D">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6.卫生健康支出（类）行政事业单位医疗（款）行政单位医疗（项）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支出决算为16.25万元，完成预算100%，决算数与预算数持平。</w:t>
      </w:r>
    </w:p>
    <w:p w14:paraId="3A82341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7.卫生健康支出（类）行政事业单位医疗（款）事业单位医疗（项）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支出决算为7.93万元，完成预算100%，决算数与预算数持平。</w:t>
      </w:r>
    </w:p>
    <w:p w14:paraId="6B5D264A">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8.卫生健康支出（类）行政事业单位医疗（款）公务员医疗补助（项）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支出决算为6.24万元，完成预算100%，决算数与预算数持平。</w:t>
      </w:r>
    </w:p>
    <w:p w14:paraId="5762B3A3">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9.住房保障支出（类）住房改革支出（款）住房公积金（项）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支出决算为55.58万元，完成预算100%，决算数与预算数持平。</w:t>
      </w:r>
    </w:p>
    <w:p w14:paraId="3A62E123">
      <w:pPr>
        <w:spacing w:line="600" w:lineRule="exact"/>
        <w:ind w:firstLine="640"/>
        <w:rPr>
          <w:rFonts w:eastAsia="仿宋_GB2312" w:cs="仿宋_GB2312"/>
          <w:sz w:val="32"/>
          <w:szCs w:val="32"/>
          <w:highlight w:val="none"/>
        </w:rPr>
      </w:pPr>
      <w:r>
        <w:rPr>
          <w:rFonts w:eastAsia="仿宋_GB2312" w:cs="仿宋_GB2312"/>
          <w:sz w:val="32"/>
          <w:szCs w:val="32"/>
          <w:highlight w:val="none"/>
        </w:rPr>
        <w:t>10.</w:t>
      </w:r>
      <w:r>
        <w:rPr>
          <w:rFonts w:hint="eastAsia" w:eastAsia="仿宋_GB2312" w:cs="仿宋_GB2312"/>
          <w:sz w:val="32"/>
          <w:szCs w:val="32"/>
          <w:highlight w:val="none"/>
        </w:rPr>
        <w:t>灾害防治及应急管理支出（类）应急管理事务（款）行政运行（项）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支出决算为671.22万元，完成预算100%，决算数与预算数持平。</w:t>
      </w:r>
    </w:p>
    <w:p w14:paraId="731CCBCD">
      <w:pPr>
        <w:spacing w:line="600" w:lineRule="exact"/>
        <w:ind w:firstLine="640"/>
        <w:rPr>
          <w:rFonts w:eastAsia="仿宋_GB2312" w:cs="仿宋_GB2312"/>
          <w:sz w:val="32"/>
          <w:szCs w:val="32"/>
          <w:highlight w:val="none"/>
        </w:rPr>
      </w:pPr>
      <w:r>
        <w:rPr>
          <w:rFonts w:eastAsia="仿宋_GB2312" w:cs="仿宋_GB2312"/>
          <w:sz w:val="32"/>
          <w:szCs w:val="32"/>
          <w:highlight w:val="none"/>
        </w:rPr>
        <w:t>11.</w:t>
      </w:r>
      <w:r>
        <w:rPr>
          <w:rFonts w:hint="eastAsia" w:eastAsia="仿宋_GB2312" w:cs="仿宋_GB2312"/>
          <w:sz w:val="32"/>
          <w:szCs w:val="32"/>
          <w:highlight w:val="none"/>
        </w:rPr>
        <w:t>灾害防治及应急管理支出（类）应急管理事务（款）一般行政管理事务（项）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3.93</w:t>
      </w:r>
      <w:r>
        <w:rPr>
          <w:rFonts w:hint="eastAsia" w:eastAsia="仿宋_GB2312" w:cs="仿宋_GB2312"/>
          <w:sz w:val="32"/>
          <w:szCs w:val="32"/>
          <w:highlight w:val="none"/>
        </w:rPr>
        <w:t>万元，完成预算100%，决算数与预算数持平。</w:t>
      </w:r>
    </w:p>
    <w:p w14:paraId="0264F4C1">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2</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灾害防治及应急管理支出（类）应急管理事务（款）安全监管（项）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54</w:t>
      </w:r>
      <w:r>
        <w:rPr>
          <w:rFonts w:hint="eastAsia" w:eastAsia="仿宋_GB2312" w:cs="仿宋_GB2312"/>
          <w:sz w:val="32"/>
          <w:szCs w:val="32"/>
          <w:highlight w:val="none"/>
        </w:rPr>
        <w:t>万元，完成预算100%，决算数与预算数持平。</w:t>
      </w:r>
    </w:p>
    <w:p w14:paraId="7C1BB229">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3</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灾害防治及应急管理支出（类）应急管理事务（款）应急管理（项）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15.86</w:t>
      </w:r>
      <w:r>
        <w:rPr>
          <w:rFonts w:hint="eastAsia" w:eastAsia="仿宋_GB2312" w:cs="仿宋_GB2312"/>
          <w:sz w:val="32"/>
          <w:szCs w:val="32"/>
          <w:highlight w:val="none"/>
        </w:rPr>
        <w:t>万元，完成预算100%，决算数与预算数持平。</w:t>
      </w:r>
    </w:p>
    <w:p w14:paraId="3AEAE363">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4</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灾害防治及应急管理支出（类）应急管理事务（款）事业运行（项）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支出决算为165.83万元，完成预算100%，决算数与预算数持平。</w:t>
      </w:r>
    </w:p>
    <w:p w14:paraId="7EF433FB">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5</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灾害防治及应急管理支出（类）应急管理事务（款）其他应急管理支出（项）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128.18</w:t>
      </w:r>
      <w:r>
        <w:rPr>
          <w:rFonts w:hint="eastAsia" w:eastAsia="仿宋_GB2312" w:cs="仿宋_GB2312"/>
          <w:sz w:val="32"/>
          <w:szCs w:val="32"/>
          <w:highlight w:val="none"/>
        </w:rPr>
        <w:t>万元，完成预算</w:t>
      </w:r>
      <w:r>
        <w:rPr>
          <w:rFonts w:eastAsia="仿宋_GB2312" w:cs="仿宋_GB2312"/>
          <w:sz w:val="32"/>
          <w:szCs w:val="32"/>
          <w:highlight w:val="none"/>
        </w:rPr>
        <w:t>81.75</w:t>
      </w:r>
      <w:r>
        <w:rPr>
          <w:rFonts w:hint="eastAsia" w:eastAsia="仿宋_GB2312" w:cs="仿宋_GB2312"/>
          <w:sz w:val="32"/>
          <w:szCs w:val="32"/>
          <w:highlight w:val="none"/>
        </w:rPr>
        <w:t>%，决算数小于预算数的主要原因</w:t>
      </w:r>
      <w:r>
        <w:rPr>
          <w:rFonts w:hint="eastAsia" w:eastAsia="仿宋_GB2312" w:cs="仿宋_GB2312"/>
          <w:sz w:val="32"/>
          <w:szCs w:val="32"/>
          <w:highlight w:val="none"/>
          <w:lang w:val="en-US" w:eastAsia="zh-CN"/>
        </w:rPr>
        <w:t>部分项目正在进行，还未结算</w:t>
      </w:r>
      <w:r>
        <w:rPr>
          <w:rFonts w:hint="eastAsia" w:eastAsia="仿宋_GB2312" w:cs="仿宋_GB2312"/>
          <w:sz w:val="32"/>
          <w:szCs w:val="32"/>
          <w:highlight w:val="none"/>
        </w:rPr>
        <w:t>。</w:t>
      </w:r>
    </w:p>
    <w:p w14:paraId="35216A83">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6</w:t>
      </w:r>
      <w:r>
        <w:rPr>
          <w:rFonts w:eastAsia="仿宋_GB2312" w:cs="仿宋_GB2312"/>
          <w:sz w:val="32"/>
          <w:szCs w:val="32"/>
          <w:highlight w:val="none"/>
        </w:rPr>
        <w:t>.</w:t>
      </w:r>
      <w:r>
        <w:rPr>
          <w:rFonts w:hint="eastAsia" w:eastAsia="仿宋_GB2312" w:cs="仿宋_GB2312"/>
          <w:sz w:val="32"/>
          <w:szCs w:val="32"/>
          <w:highlight w:val="none"/>
        </w:rPr>
        <w:t>灾害防治及应急管理支出（类）自然灾害救灾及恢复重建支出（款）自然灾害救灾补助（项）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56</w:t>
      </w:r>
      <w:r>
        <w:rPr>
          <w:rFonts w:hint="eastAsia" w:eastAsia="仿宋_GB2312" w:cs="仿宋_GB2312"/>
          <w:sz w:val="32"/>
          <w:szCs w:val="32"/>
          <w:highlight w:val="none"/>
        </w:rPr>
        <w:t>万元，完成预算</w:t>
      </w:r>
      <w:r>
        <w:rPr>
          <w:rFonts w:eastAsia="仿宋_GB2312" w:cs="仿宋_GB2312"/>
          <w:sz w:val="32"/>
          <w:szCs w:val="32"/>
          <w:highlight w:val="none"/>
        </w:rPr>
        <w:t>28.28</w:t>
      </w:r>
      <w:r>
        <w:rPr>
          <w:rFonts w:hint="eastAsia" w:eastAsia="仿宋_GB2312" w:cs="仿宋_GB2312"/>
          <w:sz w:val="32"/>
          <w:szCs w:val="32"/>
          <w:highlight w:val="none"/>
        </w:rPr>
        <w:t>%，决算数小于预算数的主要原因是项目尚未达到验收</w:t>
      </w:r>
      <w:r>
        <w:rPr>
          <w:rFonts w:hint="eastAsia" w:eastAsia="仿宋_GB2312" w:cs="仿宋_GB2312"/>
          <w:sz w:val="32"/>
          <w:szCs w:val="32"/>
          <w:highlight w:val="none"/>
          <w:lang w:val="en-US" w:eastAsia="zh-CN"/>
        </w:rPr>
        <w:t>付款</w:t>
      </w:r>
      <w:r>
        <w:rPr>
          <w:rFonts w:hint="eastAsia" w:eastAsia="仿宋_GB2312" w:cs="仿宋_GB2312"/>
          <w:sz w:val="32"/>
          <w:szCs w:val="32"/>
          <w:highlight w:val="none"/>
        </w:rPr>
        <w:t>条件，相关预算指标按规定结转至下年继续执行。</w:t>
      </w:r>
    </w:p>
    <w:p w14:paraId="09FF617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17</w:t>
      </w:r>
      <w:r>
        <w:rPr>
          <w:rFonts w:eastAsia="仿宋_GB2312" w:cs="仿宋_GB2312"/>
          <w:sz w:val="32"/>
          <w:szCs w:val="32"/>
          <w:highlight w:val="none"/>
        </w:rPr>
        <w:t>.</w:t>
      </w:r>
      <w:r>
        <w:rPr>
          <w:rFonts w:hint="eastAsia" w:eastAsia="仿宋_GB2312" w:cs="仿宋_GB2312"/>
          <w:sz w:val="32"/>
          <w:szCs w:val="32"/>
          <w:highlight w:val="none"/>
        </w:rPr>
        <w:t>灾害防治及应急管理支出（类）其他灾害防治及应急管理支出（款）其他灾害防治及应急管理支出（项）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829</w:t>
      </w:r>
      <w:r>
        <w:rPr>
          <w:rFonts w:hint="eastAsia" w:eastAsia="仿宋_GB2312" w:cs="仿宋_GB2312"/>
          <w:sz w:val="32"/>
          <w:szCs w:val="32"/>
          <w:highlight w:val="none"/>
        </w:rPr>
        <w:t>万元，完成预算</w:t>
      </w:r>
      <w:r>
        <w:rPr>
          <w:rFonts w:eastAsia="仿宋_GB2312" w:cs="仿宋_GB2312"/>
          <w:sz w:val="32"/>
          <w:szCs w:val="32"/>
          <w:highlight w:val="none"/>
        </w:rPr>
        <w:t>100</w:t>
      </w:r>
      <w:r>
        <w:rPr>
          <w:rFonts w:hint="eastAsia" w:eastAsia="仿宋_GB2312" w:cs="仿宋_GB2312"/>
          <w:sz w:val="32"/>
          <w:szCs w:val="32"/>
          <w:highlight w:val="none"/>
        </w:rPr>
        <w:t>%，决算数与预算数持平。</w:t>
      </w:r>
    </w:p>
    <w:p w14:paraId="658E4ACD">
      <w:pPr>
        <w:tabs>
          <w:tab w:val="right" w:pos="8306"/>
        </w:tabs>
        <w:spacing w:line="600" w:lineRule="exact"/>
        <w:ind w:firstLine="640"/>
        <w:outlineLvl w:val="1"/>
        <w:rPr>
          <w:rStyle w:val="29"/>
          <w:rFonts w:ascii="Times New Roman" w:hAnsi="Times New Roman"/>
          <w:highlight w:val="none"/>
        </w:rPr>
      </w:pPr>
      <w:bookmarkStart w:id="28" w:name="_Toc15377214"/>
      <w:bookmarkStart w:id="29" w:name="_Toc15396608"/>
      <w:r>
        <w:rPr>
          <w:rFonts w:hint="eastAsia" w:eastAsia="黑体"/>
          <w:sz w:val="32"/>
          <w:szCs w:val="32"/>
          <w:highlight w:val="none"/>
        </w:rPr>
        <w:t>六</w:t>
      </w:r>
      <w:r>
        <w:rPr>
          <w:rFonts w:hint="eastAsia" w:eastAsia="黑体"/>
          <w:b/>
          <w:sz w:val="32"/>
          <w:szCs w:val="32"/>
          <w:highlight w:val="none"/>
        </w:rPr>
        <w:t>、一</w:t>
      </w:r>
      <w:r>
        <w:rPr>
          <w:rStyle w:val="29"/>
          <w:rFonts w:hint="eastAsia" w:ascii="Times New Roman" w:hAnsi="Times New Roman" w:eastAsia="黑体"/>
          <w:b w:val="0"/>
          <w:highlight w:val="none"/>
        </w:rPr>
        <w:t>般公共预算财政拨款基本支出决算情况说明</w:t>
      </w:r>
      <w:bookmarkEnd w:id="28"/>
      <w:bookmarkEnd w:id="29"/>
      <w:r>
        <w:rPr>
          <w:rStyle w:val="29"/>
          <w:rFonts w:ascii="Times New Roman" w:hAnsi="Times New Roman" w:eastAsia="黑体"/>
          <w:b w:val="0"/>
          <w:highlight w:val="none"/>
        </w:rPr>
        <w:tab/>
      </w:r>
    </w:p>
    <w:p w14:paraId="06FA6A4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2024年度一般公共预算财政拨款基本支出1062.37</w:t>
      </w:r>
      <w:r>
        <w:rPr>
          <w:rFonts w:hint="eastAsia" w:ascii="仿宋_GB2312" w:hAnsi="仿宋_GB2312" w:eastAsia="仿宋_GB2312" w:cs="仿宋_GB2312"/>
          <w:sz w:val="32"/>
          <w:szCs w:val="32"/>
          <w:highlight w:val="none"/>
        </w:rPr>
        <w:t>万</w:t>
      </w:r>
      <w:r>
        <w:rPr>
          <w:rFonts w:hint="eastAsia" w:eastAsia="仿宋_GB2312" w:cs="仿宋_GB2312"/>
          <w:sz w:val="32"/>
          <w:szCs w:val="32"/>
          <w:highlight w:val="none"/>
        </w:rPr>
        <w:t>元，其中：</w:t>
      </w:r>
    </w:p>
    <w:p w14:paraId="1030FD6E">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人员经费818.66</w:t>
      </w:r>
      <w:r>
        <w:rPr>
          <w:rFonts w:hint="eastAsia" w:ascii="仿宋_GB2312" w:hAnsi="仿宋_GB2312" w:eastAsia="仿宋_GB2312" w:cs="仿宋_GB2312"/>
          <w:sz w:val="32"/>
          <w:szCs w:val="32"/>
          <w:highlight w:val="none"/>
        </w:rPr>
        <w:t>万</w:t>
      </w:r>
      <w:r>
        <w:rPr>
          <w:rFonts w:hint="eastAsia" w:eastAsia="仿宋_GB2312" w:cs="仿宋_GB2312"/>
          <w:sz w:val="32"/>
          <w:szCs w:val="32"/>
          <w:highlight w:val="none"/>
        </w:rPr>
        <w:t>元，主要包括：基本工资、津贴补贴、奖金、绩效工资、机关事业单位基本养老保险缴费、职业年金缴费、职工基本医疗保险缴费、公务员医疗补助缴费、其他社会保障缴费、住房公积金、其他工资福利支出、抚恤金、生活补助、奖励金、其他对个人和家庭的补助支出等。</w:t>
      </w:r>
      <w:r>
        <w:rPr>
          <w:rFonts w:hint="eastAsia" w:eastAsia="仿宋_GB2312" w:cs="仿宋_GB2312"/>
          <w:sz w:val="32"/>
          <w:szCs w:val="32"/>
          <w:highlight w:val="none"/>
        </w:rPr>
        <w:br w:type="textWrapping"/>
      </w:r>
      <w:r>
        <w:rPr>
          <w:rFonts w:hint="eastAsia" w:eastAsia="仿宋_GB2312" w:cs="仿宋_GB2312"/>
          <w:sz w:val="32"/>
          <w:szCs w:val="32"/>
          <w:highlight w:val="none"/>
        </w:rPr>
        <w:t>　　公用经费243.71</w:t>
      </w:r>
      <w:r>
        <w:rPr>
          <w:rFonts w:hint="eastAsia" w:ascii="仿宋_GB2312" w:hAnsi="仿宋_GB2312" w:eastAsia="仿宋_GB2312" w:cs="仿宋_GB2312"/>
          <w:sz w:val="32"/>
          <w:szCs w:val="32"/>
          <w:highlight w:val="none"/>
        </w:rPr>
        <w:t>万</w:t>
      </w:r>
      <w:r>
        <w:rPr>
          <w:rFonts w:hint="eastAsia" w:eastAsia="仿宋_GB2312" w:cs="仿宋_GB2312"/>
          <w:sz w:val="32"/>
          <w:szCs w:val="32"/>
          <w:highlight w:val="none"/>
        </w:rPr>
        <w:t>元，主要包括：办公费、水费、邮电费、差旅费、公务接待费、劳务费、工会经费、公务用车运行维护费、其他交通费、其他商品和服务支出等。</w:t>
      </w:r>
    </w:p>
    <w:p w14:paraId="5299F34F">
      <w:pPr>
        <w:spacing w:line="600" w:lineRule="exact"/>
        <w:ind w:firstLine="640"/>
        <w:outlineLvl w:val="1"/>
        <w:rPr>
          <w:rStyle w:val="29"/>
          <w:rFonts w:ascii="Times New Roman" w:hAnsi="Times New Roman" w:eastAsia="黑体"/>
          <w:b w:val="0"/>
          <w:highlight w:val="none"/>
        </w:rPr>
      </w:pPr>
      <w:bookmarkStart w:id="30" w:name="_Toc15377215"/>
      <w:bookmarkStart w:id="31" w:name="_Toc15396609"/>
      <w:r>
        <w:rPr>
          <w:rFonts w:hint="eastAsia" w:eastAsia="黑体"/>
          <w:sz w:val="32"/>
          <w:szCs w:val="32"/>
          <w:highlight w:val="none"/>
        </w:rPr>
        <w:t>七、</w:t>
      </w:r>
      <w:r>
        <w:rPr>
          <w:rStyle w:val="29"/>
          <w:rFonts w:hint="eastAsia" w:ascii="Times New Roman" w:hAnsi="Times New Roman" w:eastAsia="黑体"/>
          <w:b w:val="0"/>
          <w:highlight w:val="none"/>
        </w:rPr>
        <w:t>财政拨款</w:t>
      </w:r>
      <w:r>
        <w:rPr>
          <w:rStyle w:val="29"/>
          <w:rFonts w:hint="eastAsia" w:ascii="Times New Roman" w:hAnsi="Times New Roman" w:eastAsia="黑体"/>
          <w:highlight w:val="none"/>
        </w:rPr>
        <w:t>“</w:t>
      </w:r>
      <w:r>
        <w:rPr>
          <w:rStyle w:val="29"/>
          <w:rFonts w:hint="eastAsia" w:ascii="Times New Roman" w:hAnsi="Times New Roman" w:eastAsia="黑体"/>
          <w:b w:val="0"/>
          <w:highlight w:val="none"/>
        </w:rPr>
        <w:t>三公”经费支出决算情况说明</w:t>
      </w:r>
      <w:bookmarkEnd w:id="30"/>
      <w:bookmarkEnd w:id="31"/>
    </w:p>
    <w:p w14:paraId="28E1DF62">
      <w:pPr>
        <w:spacing w:line="600" w:lineRule="exact"/>
        <w:ind w:firstLine="643" w:firstLineChars="200"/>
        <w:outlineLvl w:val="2"/>
        <w:rPr>
          <w:rFonts w:eastAsia="楷体_GB2312" w:cs="楷体_GB2312"/>
          <w:b/>
          <w:sz w:val="32"/>
          <w:szCs w:val="32"/>
          <w:highlight w:val="none"/>
        </w:rPr>
      </w:pPr>
      <w:bookmarkStart w:id="32" w:name="_Toc15377216"/>
      <w:r>
        <w:rPr>
          <w:rFonts w:hint="eastAsia" w:eastAsia="楷体_GB2312" w:cs="楷体_GB2312"/>
          <w:b/>
          <w:sz w:val="32"/>
          <w:szCs w:val="32"/>
          <w:highlight w:val="none"/>
        </w:rPr>
        <w:t>（一）“三公”经费财政拨款支出决算总体情况说明</w:t>
      </w:r>
      <w:bookmarkEnd w:id="32"/>
    </w:p>
    <w:p w14:paraId="72668DE0">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2024年度“三公”经费财政拨款支出决算为15.8</w:t>
      </w:r>
      <w:r>
        <w:rPr>
          <w:rFonts w:eastAsia="仿宋_GB2312" w:cs="仿宋_GB2312"/>
          <w:sz w:val="32"/>
          <w:szCs w:val="32"/>
          <w:highlight w:val="none"/>
        </w:rPr>
        <w:t>4</w:t>
      </w:r>
      <w:r>
        <w:rPr>
          <w:rFonts w:hint="eastAsia" w:ascii="仿宋_GB2312" w:hAnsi="仿宋_GB2312" w:eastAsia="仿宋_GB2312" w:cs="仿宋_GB2312"/>
          <w:sz w:val="32"/>
          <w:szCs w:val="32"/>
          <w:highlight w:val="none"/>
        </w:rPr>
        <w:t>万元，完成预算</w:t>
      </w:r>
      <w:r>
        <w:rPr>
          <w:rFonts w:hint="eastAsia" w:eastAsia="仿宋_GB2312" w:cs="仿宋_GB2312"/>
          <w:sz w:val="32"/>
          <w:szCs w:val="32"/>
          <w:highlight w:val="none"/>
        </w:rPr>
        <w:t>100%</w:t>
      </w:r>
      <w:r>
        <w:rPr>
          <w:rFonts w:hint="eastAsia" w:ascii="仿宋_GB2312" w:hAnsi="仿宋_GB2312" w:eastAsia="仿宋_GB2312" w:cs="仿宋_GB2312"/>
          <w:sz w:val="32"/>
          <w:szCs w:val="32"/>
          <w:highlight w:val="none"/>
        </w:rPr>
        <w:t>，</w:t>
      </w:r>
      <w:r>
        <w:rPr>
          <w:rFonts w:hint="eastAsia" w:eastAsia="仿宋_GB2312" w:cs="仿宋_GB2312"/>
          <w:sz w:val="32"/>
          <w:szCs w:val="32"/>
          <w:highlight w:val="none"/>
        </w:rPr>
        <w:t>较上年度减少</w:t>
      </w:r>
      <w:r>
        <w:rPr>
          <w:rFonts w:eastAsia="仿宋_GB2312" w:cs="仿宋_GB2312"/>
          <w:sz w:val="32"/>
          <w:szCs w:val="32"/>
          <w:highlight w:val="none"/>
        </w:rPr>
        <w:t>0.6</w:t>
      </w:r>
      <w:r>
        <w:rPr>
          <w:rFonts w:hint="eastAsia" w:eastAsia="仿宋_GB2312" w:cs="仿宋_GB2312"/>
          <w:sz w:val="32"/>
          <w:szCs w:val="32"/>
          <w:highlight w:val="none"/>
        </w:rPr>
        <w:t>4万元，下降</w:t>
      </w:r>
      <w:r>
        <w:rPr>
          <w:rFonts w:eastAsia="仿宋_GB2312" w:cs="仿宋_GB2312"/>
          <w:sz w:val="32"/>
          <w:szCs w:val="32"/>
          <w:highlight w:val="none"/>
        </w:rPr>
        <w:t>3.</w:t>
      </w:r>
      <w:r>
        <w:rPr>
          <w:rFonts w:hint="eastAsia" w:eastAsia="仿宋_GB2312" w:cs="仿宋_GB2312"/>
          <w:sz w:val="32"/>
          <w:szCs w:val="32"/>
          <w:highlight w:val="none"/>
        </w:rPr>
        <w:t>88%。决算数与预算数持平。</w:t>
      </w:r>
    </w:p>
    <w:p w14:paraId="1E3C24C4">
      <w:pPr>
        <w:spacing w:line="600" w:lineRule="exact"/>
        <w:ind w:firstLine="643" w:firstLineChars="200"/>
        <w:outlineLvl w:val="2"/>
        <w:rPr>
          <w:rFonts w:eastAsia="楷体_GB2312" w:cs="楷体_GB2312"/>
          <w:b/>
          <w:sz w:val="32"/>
          <w:szCs w:val="32"/>
          <w:highlight w:val="none"/>
        </w:rPr>
      </w:pPr>
      <w:bookmarkStart w:id="33" w:name="_Toc15377217"/>
      <w:r>
        <w:rPr>
          <w:rFonts w:hint="eastAsia" w:eastAsia="楷体_GB2312" w:cs="楷体_GB2312"/>
          <w:b/>
          <w:sz w:val="32"/>
          <w:szCs w:val="32"/>
          <w:highlight w:val="none"/>
        </w:rPr>
        <w:t>（二）“三公”经费财政拨款支出决算具体情况说明</w:t>
      </w:r>
      <w:bookmarkEnd w:id="33"/>
    </w:p>
    <w:p w14:paraId="727806A6">
      <w:pPr>
        <w:spacing w:line="600" w:lineRule="exact"/>
        <w:ind w:firstLine="640"/>
        <w:rPr>
          <w:highlight w:val="none"/>
        </w:rPr>
      </w:pPr>
      <w:r>
        <w:rPr>
          <w:rFonts w:hint="eastAsia" w:ascii="仿宋_GB2312" w:hAnsi="仿宋_GB2312" w:eastAsia="仿宋_GB2312" w:cs="仿宋_GB2312"/>
          <w:sz w:val="32"/>
          <w:szCs w:val="32"/>
          <w:highlight w:val="none"/>
        </w:rPr>
        <w:t>2024年度“三公”经费财政拨款支出决算中，因公出国（境）费支出决算0万元，占</w:t>
      </w:r>
      <w:r>
        <w:rPr>
          <w:rFonts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rPr>
        <w:t>%；公务用车购置及运行维护费支出决算14.7万元，占</w:t>
      </w:r>
      <w:r>
        <w:rPr>
          <w:rFonts w:ascii="仿宋_GB2312" w:hAnsi="仿宋_GB2312" w:eastAsia="仿宋_GB2312" w:cs="仿宋_GB2312"/>
          <w:sz w:val="32"/>
          <w:szCs w:val="32"/>
          <w:highlight w:val="none"/>
        </w:rPr>
        <w:t>92.8</w:t>
      </w:r>
      <w:r>
        <w:rPr>
          <w:rFonts w:hint="eastAsia" w:ascii="仿宋_GB2312" w:hAnsi="仿宋_GB2312" w:eastAsia="仿宋_GB2312" w:cs="仿宋_GB2312"/>
          <w:sz w:val="32"/>
          <w:szCs w:val="32"/>
          <w:highlight w:val="none"/>
        </w:rPr>
        <w:t>%；公务接待费支出决算1.14万元，占</w:t>
      </w:r>
      <w:r>
        <w:rPr>
          <w:rFonts w:ascii="仿宋_GB2312" w:hAnsi="仿宋_GB2312" w:eastAsia="仿宋_GB2312" w:cs="仿宋_GB2312"/>
          <w:sz w:val="32"/>
          <w:szCs w:val="32"/>
          <w:highlight w:val="none"/>
        </w:rPr>
        <w:t>7.2</w:t>
      </w:r>
      <w:r>
        <w:rPr>
          <w:rFonts w:hint="eastAsia" w:ascii="仿宋_GB2312" w:hAnsi="仿宋_GB2312" w:eastAsia="仿宋_GB2312" w:cs="仿宋_GB2312"/>
          <w:sz w:val="32"/>
          <w:szCs w:val="32"/>
          <w:highlight w:val="none"/>
        </w:rPr>
        <w:t>%。具体情况如下：</w:t>
      </w:r>
    </w:p>
    <w:p w14:paraId="3CC11989">
      <w:pPr>
        <w:pStyle w:val="3"/>
        <w:ind w:left="420"/>
        <w:rPr>
          <w:highlight w:val="none"/>
        </w:rPr>
      </w:pPr>
    </w:p>
    <w:p w14:paraId="2BFB7F31">
      <w:pPr>
        <w:pStyle w:val="3"/>
        <w:ind w:left="420"/>
        <w:rPr>
          <w:highlight w:val="none"/>
        </w:rPr>
      </w:pPr>
      <w:r>
        <w:rPr>
          <w:highlight w:val="none"/>
        </w:rPr>
        <w:drawing>
          <wp:anchor distT="0" distB="0" distL="114300" distR="114300" simplePos="0" relativeHeight="251664384" behindDoc="0" locked="0" layoutInCell="1" allowOverlap="1">
            <wp:simplePos x="0" y="0"/>
            <wp:positionH relativeFrom="column">
              <wp:posOffset>-21590</wp:posOffset>
            </wp:positionH>
            <wp:positionV relativeFrom="paragraph">
              <wp:posOffset>92075</wp:posOffset>
            </wp:positionV>
            <wp:extent cx="5382895" cy="4572635"/>
            <wp:effectExtent l="0" t="0" r="8255"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82895" cy="4572635"/>
                    </a:xfrm>
                    <a:prstGeom prst="rect">
                      <a:avLst/>
                    </a:prstGeom>
                    <a:noFill/>
                  </pic:spPr>
                </pic:pic>
              </a:graphicData>
            </a:graphic>
          </wp:anchor>
        </w:drawing>
      </w:r>
    </w:p>
    <w:p w14:paraId="615CF6CA">
      <w:pPr>
        <w:pStyle w:val="3"/>
        <w:ind w:left="420"/>
        <w:rPr>
          <w:highlight w:val="none"/>
        </w:rPr>
      </w:pPr>
    </w:p>
    <w:p w14:paraId="56208C50">
      <w:pPr>
        <w:pStyle w:val="3"/>
        <w:ind w:left="420"/>
        <w:rPr>
          <w:highlight w:val="none"/>
        </w:rPr>
      </w:pPr>
    </w:p>
    <w:p w14:paraId="74986384">
      <w:pPr>
        <w:pStyle w:val="3"/>
        <w:ind w:left="420"/>
        <w:rPr>
          <w:highlight w:val="none"/>
        </w:rPr>
      </w:pPr>
    </w:p>
    <w:p w14:paraId="620863B7">
      <w:pPr>
        <w:pStyle w:val="3"/>
        <w:ind w:left="420"/>
        <w:rPr>
          <w:highlight w:val="none"/>
        </w:rPr>
      </w:pPr>
    </w:p>
    <w:p w14:paraId="2A46E4EC">
      <w:pPr>
        <w:pStyle w:val="3"/>
        <w:ind w:left="420"/>
        <w:rPr>
          <w:highlight w:val="none"/>
        </w:rPr>
      </w:pPr>
    </w:p>
    <w:p w14:paraId="4FF6F4BE">
      <w:pPr>
        <w:pStyle w:val="3"/>
        <w:ind w:left="420"/>
        <w:rPr>
          <w:highlight w:val="none"/>
        </w:rPr>
      </w:pPr>
    </w:p>
    <w:p w14:paraId="0AA8305D">
      <w:pPr>
        <w:pStyle w:val="3"/>
        <w:ind w:left="420"/>
        <w:rPr>
          <w:highlight w:val="none"/>
        </w:rPr>
      </w:pPr>
    </w:p>
    <w:p w14:paraId="452A1129">
      <w:pPr>
        <w:pStyle w:val="3"/>
        <w:ind w:left="420"/>
        <w:rPr>
          <w:highlight w:val="none"/>
        </w:rPr>
      </w:pPr>
    </w:p>
    <w:p w14:paraId="17B37682">
      <w:pPr>
        <w:pStyle w:val="3"/>
        <w:ind w:left="420"/>
        <w:rPr>
          <w:highlight w:val="none"/>
        </w:rPr>
      </w:pPr>
    </w:p>
    <w:p w14:paraId="7E15907C">
      <w:pPr>
        <w:pStyle w:val="3"/>
        <w:ind w:left="420"/>
        <w:rPr>
          <w:highlight w:val="none"/>
        </w:rPr>
      </w:pPr>
    </w:p>
    <w:p w14:paraId="3B32E215">
      <w:pPr>
        <w:pStyle w:val="3"/>
        <w:ind w:left="420"/>
        <w:rPr>
          <w:highlight w:val="none"/>
        </w:rPr>
      </w:pPr>
    </w:p>
    <w:p w14:paraId="1D071E3B">
      <w:pPr>
        <w:pStyle w:val="3"/>
        <w:ind w:left="420"/>
        <w:rPr>
          <w:highlight w:val="none"/>
        </w:rPr>
      </w:pPr>
    </w:p>
    <w:p w14:paraId="6D5A7758">
      <w:pPr>
        <w:pStyle w:val="3"/>
        <w:ind w:left="420"/>
        <w:rPr>
          <w:highlight w:val="none"/>
        </w:rPr>
      </w:pPr>
    </w:p>
    <w:p w14:paraId="4B660496">
      <w:pPr>
        <w:pStyle w:val="3"/>
        <w:ind w:left="420"/>
        <w:rPr>
          <w:highlight w:val="none"/>
        </w:rPr>
      </w:pPr>
    </w:p>
    <w:p w14:paraId="4991AD14">
      <w:pPr>
        <w:pStyle w:val="3"/>
        <w:ind w:left="420"/>
        <w:rPr>
          <w:highlight w:val="none"/>
        </w:rPr>
      </w:pPr>
    </w:p>
    <w:p w14:paraId="3896BD89">
      <w:pPr>
        <w:pStyle w:val="3"/>
        <w:ind w:left="420"/>
        <w:rPr>
          <w:highlight w:val="none"/>
        </w:rPr>
      </w:pPr>
    </w:p>
    <w:p w14:paraId="73A645D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（图7：“三公”经费财政拨款支出结构）（饼状图）</w:t>
      </w:r>
    </w:p>
    <w:p w14:paraId="36308A53">
      <w:pPr>
        <w:spacing w:line="600" w:lineRule="exact"/>
        <w:ind w:firstLine="640"/>
        <w:rPr>
          <w:rFonts w:eastAsia="仿宋_GB2312" w:cs="仿宋_GB2312"/>
          <w:sz w:val="32"/>
          <w:szCs w:val="32"/>
          <w:highlight w:val="none"/>
        </w:rPr>
      </w:pPr>
      <w:r>
        <w:rPr>
          <w:rFonts w:hint="eastAsia" w:eastAsia="仿宋_GB2312" w:cs="仿宋_GB2312"/>
          <w:b/>
          <w:bCs/>
          <w:sz w:val="32"/>
          <w:szCs w:val="32"/>
          <w:highlight w:val="none"/>
        </w:rPr>
        <w:t>1.因公出国（境）经费支出</w:t>
      </w:r>
      <w:r>
        <w:rPr>
          <w:rFonts w:eastAsia="仿宋_GB2312" w:cs="仿宋_GB2312"/>
          <w:b/>
          <w:bCs/>
          <w:sz w:val="32"/>
          <w:szCs w:val="32"/>
          <w:highlight w:val="none"/>
        </w:rPr>
        <w:t>0</w:t>
      </w:r>
      <w:r>
        <w:rPr>
          <w:rFonts w:hint="eastAsia" w:eastAsia="仿宋_GB2312" w:cs="仿宋_GB2312"/>
          <w:b/>
          <w:bCs/>
          <w:sz w:val="32"/>
          <w:szCs w:val="32"/>
          <w:highlight w:val="none"/>
        </w:rPr>
        <w:t>万元，完成预算</w:t>
      </w:r>
      <w:r>
        <w:rPr>
          <w:rFonts w:eastAsia="仿宋_GB2312" w:cs="仿宋_GB2312"/>
          <w:b/>
          <w:bCs/>
          <w:sz w:val="32"/>
          <w:szCs w:val="32"/>
          <w:highlight w:val="none"/>
        </w:rPr>
        <w:t>0</w:t>
      </w:r>
      <w:r>
        <w:rPr>
          <w:rFonts w:hint="eastAsia" w:eastAsia="仿宋_GB2312" w:cs="仿宋_GB2312"/>
          <w:b/>
          <w:bCs/>
          <w:sz w:val="32"/>
          <w:szCs w:val="32"/>
          <w:highlight w:val="none"/>
        </w:rPr>
        <w:t>%。</w:t>
      </w:r>
      <w:r>
        <w:rPr>
          <w:rFonts w:hint="eastAsia" w:eastAsia="仿宋_GB2312" w:cs="仿宋_GB2312"/>
          <w:sz w:val="32"/>
          <w:szCs w:val="32"/>
          <w:highlight w:val="none"/>
        </w:rPr>
        <w:t>全年安排因公出国（境）团</w:t>
      </w:r>
      <w:r>
        <w:rPr>
          <w:rFonts w:hint="eastAsia" w:ascii="仿宋_GB2312" w:hAnsi="仿宋_GB2312" w:eastAsia="仿宋_GB2312" w:cs="仿宋_GB2312"/>
          <w:sz w:val="32"/>
          <w:szCs w:val="32"/>
          <w:highlight w:val="none"/>
        </w:rPr>
        <w:t>组0</w:t>
      </w:r>
      <w:r>
        <w:rPr>
          <w:rFonts w:hint="eastAsia" w:eastAsia="仿宋_GB2312" w:cs="仿宋_GB2312"/>
          <w:sz w:val="32"/>
          <w:szCs w:val="32"/>
          <w:highlight w:val="none"/>
        </w:rPr>
        <w:t>次，出国（境）</w:t>
      </w:r>
      <w:r>
        <w:rPr>
          <w:rFonts w:hint="eastAsia" w:ascii="仿宋_GB2312" w:hAnsi="仿宋_GB2312" w:eastAsia="仿宋_GB2312" w:cs="仿宋_GB2312"/>
          <w:sz w:val="32"/>
          <w:szCs w:val="32"/>
          <w:highlight w:val="none"/>
        </w:rPr>
        <w:t>0人</w:t>
      </w:r>
      <w:r>
        <w:rPr>
          <w:rFonts w:hint="eastAsia" w:eastAsia="仿宋_GB2312" w:cs="仿宋_GB2312"/>
          <w:sz w:val="32"/>
          <w:szCs w:val="32"/>
          <w:highlight w:val="none"/>
        </w:rPr>
        <w:t>。因公出国（境）支出决算比2023年增加</w:t>
      </w:r>
      <w:r>
        <w:rPr>
          <w:rFonts w:eastAsia="仿宋_GB2312" w:cs="仿宋_GB2312"/>
          <w:sz w:val="32"/>
          <w:szCs w:val="32"/>
          <w:highlight w:val="none"/>
        </w:rPr>
        <w:t>0</w:t>
      </w:r>
      <w:r>
        <w:rPr>
          <w:rFonts w:hint="eastAsia" w:eastAsia="仿宋_GB2312" w:cs="仿宋_GB2312"/>
          <w:sz w:val="32"/>
          <w:szCs w:val="32"/>
          <w:highlight w:val="none"/>
        </w:rPr>
        <w:t>万元，增长</w:t>
      </w:r>
      <w:r>
        <w:rPr>
          <w:rFonts w:eastAsia="仿宋_GB2312" w:cs="仿宋_GB2312"/>
          <w:sz w:val="32"/>
          <w:szCs w:val="32"/>
          <w:highlight w:val="none"/>
        </w:rPr>
        <w:t>0</w:t>
      </w:r>
      <w:r>
        <w:rPr>
          <w:rFonts w:hint="eastAsia" w:eastAsia="仿宋_GB2312" w:cs="仿宋_GB2312"/>
          <w:sz w:val="32"/>
          <w:szCs w:val="32"/>
          <w:highlight w:val="none"/>
        </w:rPr>
        <w:t>。</w:t>
      </w:r>
    </w:p>
    <w:p w14:paraId="695059AF">
      <w:pPr>
        <w:spacing w:line="600" w:lineRule="exact"/>
        <w:ind w:firstLine="640"/>
        <w:rPr>
          <w:rFonts w:eastAsia="仿宋_GB2312" w:cs="仿宋_GB2312"/>
          <w:sz w:val="32"/>
          <w:szCs w:val="32"/>
          <w:highlight w:val="none"/>
        </w:rPr>
      </w:pPr>
      <w:r>
        <w:rPr>
          <w:rFonts w:hint="eastAsia" w:eastAsia="仿宋_GB2312" w:cs="仿宋_GB2312"/>
          <w:b/>
          <w:bCs/>
          <w:sz w:val="32"/>
          <w:szCs w:val="32"/>
          <w:highlight w:val="none"/>
        </w:rPr>
        <w:t>2.公务用车购置及运行维护费支出</w:t>
      </w:r>
      <w:r>
        <w:rPr>
          <w:rFonts w:hint="eastAsia" w:ascii="仿宋_GB2312" w:hAnsi="仿宋_GB2312" w:eastAsia="仿宋_GB2312" w:cs="仿宋_GB2312"/>
          <w:b/>
          <w:bCs/>
          <w:sz w:val="32"/>
          <w:szCs w:val="32"/>
          <w:highlight w:val="none"/>
        </w:rPr>
        <w:t>14.7万</w:t>
      </w:r>
      <w:r>
        <w:rPr>
          <w:rFonts w:hint="eastAsia" w:eastAsia="仿宋_GB2312" w:cs="仿宋_GB2312"/>
          <w:b/>
          <w:bCs/>
          <w:sz w:val="32"/>
          <w:szCs w:val="32"/>
          <w:highlight w:val="none"/>
        </w:rPr>
        <w:t>元，完成预算</w:t>
      </w:r>
      <w:r>
        <w:rPr>
          <w:rFonts w:eastAsia="仿宋_GB2312" w:cs="仿宋_GB2312"/>
          <w:b/>
          <w:bCs/>
          <w:sz w:val="32"/>
          <w:szCs w:val="32"/>
          <w:highlight w:val="none"/>
        </w:rPr>
        <w:t>100</w:t>
      </w:r>
      <w:r>
        <w:rPr>
          <w:rFonts w:hint="eastAsia" w:eastAsia="仿宋_GB2312" w:cs="仿宋_GB2312"/>
          <w:b/>
          <w:bCs/>
          <w:sz w:val="32"/>
          <w:szCs w:val="32"/>
          <w:highlight w:val="none"/>
        </w:rPr>
        <w:t>%。</w:t>
      </w:r>
      <w:r>
        <w:rPr>
          <w:rFonts w:hint="eastAsia" w:eastAsia="仿宋_GB2312" w:cs="仿宋_GB2312"/>
          <w:sz w:val="32"/>
          <w:szCs w:val="32"/>
          <w:highlight w:val="none"/>
        </w:rPr>
        <w:t>公务用车购置及运行维护费支出决算比2023年度减少</w:t>
      </w:r>
      <w:r>
        <w:rPr>
          <w:rFonts w:eastAsia="仿宋_GB2312" w:cs="仿宋_GB2312"/>
          <w:sz w:val="32"/>
          <w:szCs w:val="32"/>
          <w:highlight w:val="none"/>
        </w:rPr>
        <w:t>0.31</w:t>
      </w:r>
      <w:r>
        <w:rPr>
          <w:rFonts w:hint="eastAsia" w:eastAsia="仿宋_GB2312" w:cs="仿宋_GB2312"/>
          <w:sz w:val="32"/>
          <w:szCs w:val="32"/>
          <w:highlight w:val="none"/>
        </w:rPr>
        <w:t>万元，下降</w:t>
      </w:r>
      <w:r>
        <w:rPr>
          <w:rFonts w:eastAsia="仿宋_GB2312" w:cs="仿宋_GB2312"/>
          <w:sz w:val="32"/>
          <w:szCs w:val="32"/>
          <w:highlight w:val="none"/>
        </w:rPr>
        <w:t>2.07</w:t>
      </w:r>
      <w:r>
        <w:rPr>
          <w:rFonts w:hint="eastAsia" w:eastAsia="仿宋_GB2312" w:cs="仿宋_GB2312"/>
          <w:sz w:val="32"/>
          <w:szCs w:val="32"/>
          <w:highlight w:val="none"/>
        </w:rPr>
        <w:t>%。主要原因是</w:t>
      </w:r>
      <w:r>
        <w:rPr>
          <w:rFonts w:hint="eastAsia" w:eastAsia="仿宋_GB2312" w:cs="仿宋_GB2312"/>
          <w:sz w:val="32"/>
          <w:szCs w:val="32"/>
          <w:highlight w:val="none"/>
          <w:lang w:val="en-US" w:eastAsia="zh-CN"/>
        </w:rPr>
        <w:t>维修费用减少</w:t>
      </w:r>
      <w:r>
        <w:rPr>
          <w:rFonts w:hint="eastAsia" w:eastAsia="仿宋_GB2312" w:cs="仿宋_GB2312"/>
          <w:sz w:val="32"/>
          <w:szCs w:val="32"/>
          <w:highlight w:val="none"/>
        </w:rPr>
        <w:t>。</w:t>
      </w:r>
    </w:p>
    <w:p w14:paraId="4AD17EC1">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其中：公务用车购置支</w:t>
      </w:r>
      <w:r>
        <w:rPr>
          <w:rFonts w:hint="eastAsia" w:ascii="仿宋_GB2312" w:hAnsi="仿宋_GB2312" w:eastAsia="仿宋_GB2312" w:cs="仿宋_GB2312"/>
          <w:sz w:val="32"/>
          <w:szCs w:val="32"/>
          <w:highlight w:val="none"/>
        </w:rPr>
        <w:t>出0</w:t>
      </w:r>
      <w:r>
        <w:rPr>
          <w:rFonts w:hint="eastAsia" w:eastAsia="仿宋_GB2312" w:cs="仿宋_GB2312"/>
          <w:sz w:val="32"/>
          <w:szCs w:val="32"/>
          <w:highlight w:val="none"/>
        </w:rPr>
        <w:t>万元。全年按规定更新购置公务用车</w:t>
      </w:r>
      <w:r>
        <w:rPr>
          <w:rFonts w:eastAsia="仿宋_GB2312" w:cs="仿宋_GB2312"/>
          <w:sz w:val="32"/>
          <w:szCs w:val="32"/>
          <w:highlight w:val="none"/>
        </w:rPr>
        <w:t>0</w:t>
      </w:r>
      <w:r>
        <w:rPr>
          <w:rFonts w:hint="eastAsia" w:eastAsia="仿宋_GB2312" w:cs="仿宋_GB2312"/>
          <w:sz w:val="32"/>
          <w:szCs w:val="32"/>
          <w:highlight w:val="none"/>
        </w:rPr>
        <w:t>辆，其中：轿车</w:t>
      </w:r>
      <w:r>
        <w:rPr>
          <w:rFonts w:eastAsia="仿宋_GB2312" w:cs="仿宋_GB2312"/>
          <w:sz w:val="32"/>
          <w:szCs w:val="32"/>
          <w:highlight w:val="none"/>
        </w:rPr>
        <w:t>0</w:t>
      </w:r>
      <w:r>
        <w:rPr>
          <w:rFonts w:hint="eastAsia" w:eastAsia="仿宋_GB2312" w:cs="仿宋_GB2312"/>
          <w:sz w:val="32"/>
          <w:szCs w:val="32"/>
          <w:highlight w:val="none"/>
        </w:rPr>
        <w:t>辆、金额</w:t>
      </w:r>
      <w:r>
        <w:rPr>
          <w:rFonts w:eastAsia="仿宋_GB2312" w:cs="仿宋_GB2312"/>
          <w:sz w:val="32"/>
          <w:szCs w:val="32"/>
          <w:highlight w:val="none"/>
        </w:rPr>
        <w:t>0</w:t>
      </w:r>
      <w:r>
        <w:rPr>
          <w:rFonts w:hint="eastAsia" w:eastAsia="仿宋_GB2312" w:cs="仿宋_GB2312"/>
          <w:sz w:val="32"/>
          <w:szCs w:val="32"/>
          <w:highlight w:val="none"/>
        </w:rPr>
        <w:t>万元，越野车</w:t>
      </w:r>
      <w:r>
        <w:rPr>
          <w:rFonts w:eastAsia="仿宋_GB2312" w:cs="仿宋_GB2312"/>
          <w:sz w:val="32"/>
          <w:szCs w:val="32"/>
          <w:highlight w:val="none"/>
        </w:rPr>
        <w:t>0</w:t>
      </w:r>
      <w:r>
        <w:rPr>
          <w:rFonts w:hint="eastAsia" w:eastAsia="仿宋_GB2312" w:cs="仿宋_GB2312"/>
          <w:sz w:val="32"/>
          <w:szCs w:val="32"/>
          <w:highlight w:val="none"/>
        </w:rPr>
        <w:t>辆、金额</w:t>
      </w:r>
      <w:r>
        <w:rPr>
          <w:rFonts w:eastAsia="仿宋_GB2312" w:cs="仿宋_GB2312"/>
          <w:sz w:val="32"/>
          <w:szCs w:val="32"/>
          <w:highlight w:val="none"/>
        </w:rPr>
        <w:t>0</w:t>
      </w:r>
      <w:r>
        <w:rPr>
          <w:rFonts w:hint="eastAsia" w:eastAsia="仿宋_GB2312" w:cs="仿宋_GB2312"/>
          <w:sz w:val="32"/>
          <w:szCs w:val="32"/>
          <w:highlight w:val="none"/>
        </w:rPr>
        <w:t>万元，载客汽车</w:t>
      </w:r>
      <w:r>
        <w:rPr>
          <w:rFonts w:eastAsia="仿宋_GB2312" w:cs="仿宋_GB2312"/>
          <w:sz w:val="32"/>
          <w:szCs w:val="32"/>
          <w:highlight w:val="none"/>
        </w:rPr>
        <w:t>0</w:t>
      </w:r>
      <w:r>
        <w:rPr>
          <w:rFonts w:hint="eastAsia" w:eastAsia="仿宋_GB2312" w:cs="仿宋_GB2312"/>
          <w:sz w:val="32"/>
          <w:szCs w:val="32"/>
          <w:highlight w:val="none"/>
        </w:rPr>
        <w:t>辆、金额</w:t>
      </w:r>
      <w:r>
        <w:rPr>
          <w:rFonts w:eastAsia="仿宋_GB2312" w:cs="仿宋_GB2312"/>
          <w:sz w:val="32"/>
          <w:szCs w:val="32"/>
          <w:highlight w:val="none"/>
        </w:rPr>
        <w:t>0</w:t>
      </w:r>
      <w:r>
        <w:rPr>
          <w:rFonts w:hint="eastAsia" w:eastAsia="仿宋_GB2312" w:cs="仿宋_GB2312"/>
          <w:sz w:val="32"/>
          <w:szCs w:val="32"/>
          <w:highlight w:val="none"/>
        </w:rPr>
        <w:t>万元。截至2024年12月31日，单位共有公务用车</w:t>
      </w:r>
      <w:r>
        <w:rPr>
          <w:rFonts w:eastAsia="仿宋_GB2312" w:cs="仿宋_GB2312"/>
          <w:sz w:val="32"/>
          <w:szCs w:val="32"/>
          <w:highlight w:val="none"/>
        </w:rPr>
        <w:t>6</w:t>
      </w:r>
      <w:r>
        <w:rPr>
          <w:rFonts w:hint="eastAsia" w:eastAsia="仿宋_GB2312" w:cs="仿宋_GB2312"/>
          <w:sz w:val="32"/>
          <w:szCs w:val="32"/>
          <w:highlight w:val="none"/>
        </w:rPr>
        <w:t>辆，其中：轿车</w:t>
      </w:r>
      <w:r>
        <w:rPr>
          <w:rFonts w:eastAsia="仿宋_GB2312" w:cs="仿宋_GB2312"/>
          <w:sz w:val="32"/>
          <w:szCs w:val="32"/>
          <w:highlight w:val="none"/>
        </w:rPr>
        <w:t>0</w:t>
      </w:r>
      <w:r>
        <w:rPr>
          <w:rFonts w:hint="eastAsia" w:eastAsia="仿宋_GB2312" w:cs="仿宋_GB2312"/>
          <w:sz w:val="32"/>
          <w:szCs w:val="32"/>
          <w:highlight w:val="none"/>
        </w:rPr>
        <w:t>辆、越野车</w:t>
      </w:r>
      <w:r>
        <w:rPr>
          <w:rFonts w:eastAsia="仿宋_GB2312" w:cs="仿宋_GB2312"/>
          <w:sz w:val="32"/>
          <w:szCs w:val="32"/>
          <w:highlight w:val="none"/>
        </w:rPr>
        <w:t>3</w:t>
      </w:r>
      <w:r>
        <w:rPr>
          <w:rFonts w:hint="eastAsia" w:eastAsia="仿宋_GB2312" w:cs="仿宋_GB2312"/>
          <w:sz w:val="32"/>
          <w:szCs w:val="32"/>
          <w:highlight w:val="none"/>
        </w:rPr>
        <w:t>辆、载客汽车</w:t>
      </w:r>
      <w:r>
        <w:rPr>
          <w:rFonts w:eastAsia="仿宋_GB2312" w:cs="仿宋_GB2312"/>
          <w:sz w:val="32"/>
          <w:szCs w:val="32"/>
          <w:highlight w:val="none"/>
        </w:rPr>
        <w:t>0</w:t>
      </w:r>
      <w:r>
        <w:rPr>
          <w:rFonts w:hint="eastAsia" w:eastAsia="仿宋_GB2312" w:cs="仿宋_GB2312"/>
          <w:sz w:val="32"/>
          <w:szCs w:val="32"/>
          <w:highlight w:val="none"/>
        </w:rPr>
        <w:t>辆、</w:t>
      </w:r>
      <w:r>
        <w:rPr>
          <w:rFonts w:hint="eastAsia" w:ascii="仿宋" w:hAnsi="仿宋" w:eastAsia="仿宋"/>
          <w:sz w:val="32"/>
          <w:szCs w:val="32"/>
          <w:highlight w:val="none"/>
        </w:rPr>
        <w:t>其他车型3辆</w:t>
      </w:r>
      <w:r>
        <w:rPr>
          <w:rFonts w:hint="eastAsia" w:eastAsia="仿宋_GB2312" w:cs="仿宋_GB2312"/>
          <w:sz w:val="32"/>
          <w:szCs w:val="32"/>
          <w:highlight w:val="none"/>
        </w:rPr>
        <w:t>。</w:t>
      </w:r>
    </w:p>
    <w:p w14:paraId="73A9495D">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公务用车运行维护费支</w:t>
      </w:r>
      <w:r>
        <w:rPr>
          <w:rFonts w:hint="eastAsia" w:ascii="仿宋_GB2312" w:hAnsi="仿宋_GB2312" w:eastAsia="仿宋_GB2312" w:cs="仿宋_GB2312"/>
          <w:sz w:val="32"/>
          <w:szCs w:val="32"/>
          <w:highlight w:val="none"/>
        </w:rPr>
        <w:t>出14.7</w:t>
      </w:r>
      <w:r>
        <w:rPr>
          <w:rFonts w:hint="eastAsia" w:eastAsia="仿宋_GB2312" w:cs="仿宋_GB2312"/>
          <w:sz w:val="32"/>
          <w:szCs w:val="32"/>
          <w:highlight w:val="none"/>
        </w:rPr>
        <w:t>万元。主要用于</w:t>
      </w:r>
      <w:r>
        <w:rPr>
          <w:rFonts w:hint="eastAsia" w:ascii="仿宋" w:hAnsi="仿宋" w:eastAsia="仿宋"/>
          <w:sz w:val="32"/>
          <w:szCs w:val="32"/>
          <w:highlight w:val="none"/>
        </w:rPr>
        <w:t>安全生产类和自然灾害类等突发事件的应急救援、安全生产监管监察、安全执法等</w:t>
      </w:r>
      <w:r>
        <w:rPr>
          <w:rFonts w:hint="eastAsia" w:eastAsia="仿宋_GB2312" w:cs="仿宋_GB2312"/>
          <w:sz w:val="32"/>
          <w:szCs w:val="32"/>
          <w:highlight w:val="none"/>
        </w:rPr>
        <w:t>所需的公务用车燃料费、维修费、过路过桥费、保险费等支出。</w:t>
      </w:r>
    </w:p>
    <w:p w14:paraId="0D8F0FF6">
      <w:pPr>
        <w:spacing w:line="600" w:lineRule="exact"/>
        <w:ind w:firstLine="640"/>
        <w:rPr>
          <w:rFonts w:eastAsia="仿宋_GB2312" w:cs="仿宋_GB2312"/>
          <w:sz w:val="32"/>
          <w:szCs w:val="32"/>
          <w:highlight w:val="none"/>
        </w:rPr>
      </w:pPr>
      <w:r>
        <w:rPr>
          <w:rFonts w:hint="eastAsia" w:eastAsia="仿宋_GB2312" w:cs="仿宋_GB2312"/>
          <w:b/>
          <w:bCs/>
          <w:sz w:val="32"/>
          <w:szCs w:val="32"/>
          <w:highlight w:val="none"/>
        </w:rPr>
        <w:t>3.公务接待费支出</w:t>
      </w:r>
      <w:r>
        <w:rPr>
          <w:rFonts w:hint="eastAsia" w:ascii="仿宋_GB2312" w:hAnsi="仿宋_GB2312" w:eastAsia="仿宋_GB2312" w:cs="仿宋_GB2312"/>
          <w:b/>
          <w:bCs/>
          <w:sz w:val="32"/>
          <w:szCs w:val="32"/>
          <w:highlight w:val="none"/>
        </w:rPr>
        <w:t>1.14万</w:t>
      </w:r>
      <w:r>
        <w:rPr>
          <w:rFonts w:hint="eastAsia" w:eastAsia="仿宋_GB2312" w:cs="仿宋_GB2312"/>
          <w:b/>
          <w:bCs/>
          <w:sz w:val="32"/>
          <w:szCs w:val="32"/>
          <w:highlight w:val="none"/>
        </w:rPr>
        <w:t>元，完成预算</w:t>
      </w:r>
      <w:r>
        <w:rPr>
          <w:rFonts w:eastAsia="仿宋_GB2312" w:cs="仿宋_GB2312"/>
          <w:b/>
          <w:bCs/>
          <w:sz w:val="32"/>
          <w:szCs w:val="32"/>
          <w:highlight w:val="none"/>
        </w:rPr>
        <w:t>100</w:t>
      </w:r>
      <w:r>
        <w:rPr>
          <w:rFonts w:hint="eastAsia" w:eastAsia="仿宋_GB2312" w:cs="仿宋_GB2312"/>
          <w:b/>
          <w:bCs/>
          <w:sz w:val="32"/>
          <w:szCs w:val="32"/>
          <w:highlight w:val="none"/>
        </w:rPr>
        <w:t>%。</w:t>
      </w:r>
      <w:r>
        <w:rPr>
          <w:rFonts w:hint="eastAsia" w:eastAsia="仿宋_GB2312" w:cs="仿宋_GB2312"/>
          <w:sz w:val="32"/>
          <w:szCs w:val="32"/>
          <w:highlight w:val="none"/>
        </w:rPr>
        <w:t>公务接待费支出决算比2023年度减少</w:t>
      </w:r>
      <w:r>
        <w:rPr>
          <w:rFonts w:eastAsia="仿宋_GB2312" w:cs="仿宋_GB2312"/>
          <w:sz w:val="32"/>
          <w:szCs w:val="32"/>
          <w:highlight w:val="none"/>
        </w:rPr>
        <w:t>0.33</w:t>
      </w:r>
      <w:r>
        <w:rPr>
          <w:rFonts w:hint="eastAsia" w:eastAsia="仿宋_GB2312" w:cs="仿宋_GB2312"/>
          <w:sz w:val="32"/>
          <w:szCs w:val="32"/>
          <w:highlight w:val="none"/>
        </w:rPr>
        <w:t>万元，下降</w:t>
      </w:r>
      <w:r>
        <w:rPr>
          <w:rFonts w:eastAsia="仿宋_GB2312" w:cs="仿宋_GB2312"/>
          <w:sz w:val="32"/>
          <w:szCs w:val="32"/>
          <w:highlight w:val="none"/>
        </w:rPr>
        <w:t>22.45</w:t>
      </w:r>
      <w:r>
        <w:rPr>
          <w:rFonts w:hint="eastAsia" w:eastAsia="仿宋_GB2312" w:cs="仿宋_GB2312"/>
          <w:sz w:val="32"/>
          <w:szCs w:val="32"/>
          <w:highlight w:val="none"/>
        </w:rPr>
        <w:t>%。主要原因是</w:t>
      </w:r>
      <w:r>
        <w:rPr>
          <w:rFonts w:hint="eastAsia" w:eastAsia="仿宋_GB2312" w:cs="仿宋_GB2312"/>
          <w:sz w:val="32"/>
          <w:szCs w:val="32"/>
          <w:highlight w:val="none"/>
          <w:lang w:val="en-US" w:eastAsia="zh-CN"/>
        </w:rPr>
        <w:t>接待费用减少</w:t>
      </w:r>
      <w:r>
        <w:rPr>
          <w:rFonts w:hint="eastAsia" w:eastAsia="仿宋_GB2312" w:cs="仿宋_GB2312"/>
          <w:sz w:val="32"/>
          <w:szCs w:val="32"/>
          <w:highlight w:val="none"/>
        </w:rPr>
        <w:t>。其中：</w:t>
      </w:r>
    </w:p>
    <w:p w14:paraId="27B033AC">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国内公务接待支</w:t>
      </w:r>
      <w:r>
        <w:rPr>
          <w:rFonts w:hint="eastAsia" w:ascii="仿宋_GB2312" w:hAnsi="仿宋_GB2312" w:eastAsia="仿宋_GB2312" w:cs="仿宋_GB2312"/>
          <w:sz w:val="32"/>
          <w:szCs w:val="32"/>
          <w:highlight w:val="none"/>
        </w:rPr>
        <w:t>出1.14万</w:t>
      </w:r>
      <w:r>
        <w:rPr>
          <w:rFonts w:hint="eastAsia" w:eastAsia="仿宋_GB2312" w:cs="仿宋_GB2312"/>
          <w:sz w:val="32"/>
          <w:szCs w:val="32"/>
          <w:highlight w:val="none"/>
        </w:rPr>
        <w:t>元，主要</w:t>
      </w:r>
      <w:r>
        <w:rPr>
          <w:rFonts w:hint="eastAsia" w:eastAsia="仿宋_GB2312" w:cs="仿宋_GB2312"/>
          <w:sz w:val="32"/>
          <w:szCs w:val="32"/>
          <w:highlight w:val="none"/>
          <w:lang w:eastAsia="zh-CN"/>
        </w:rPr>
        <w:t>用于</w:t>
      </w:r>
      <w:r>
        <w:rPr>
          <w:rFonts w:hint="eastAsia" w:ascii="仿宋" w:hAnsi="仿宋" w:eastAsia="仿宋"/>
          <w:sz w:val="32"/>
          <w:szCs w:val="32"/>
          <w:highlight w:val="none"/>
        </w:rPr>
        <w:t>上</w:t>
      </w:r>
      <w:r>
        <w:rPr>
          <w:rFonts w:hint="eastAsia" w:ascii="仿宋" w:hAnsi="仿宋" w:eastAsia="仿宋"/>
          <w:sz w:val="32"/>
          <w:szCs w:val="32"/>
          <w:highlight w:val="none"/>
          <w:lang w:val="en-US" w:eastAsia="zh-CN"/>
        </w:rPr>
        <w:t>级部门</w:t>
      </w:r>
      <w:r>
        <w:rPr>
          <w:rFonts w:hint="eastAsia" w:ascii="仿宋" w:hAnsi="仿宋" w:eastAsia="仿宋"/>
          <w:sz w:val="32"/>
          <w:szCs w:val="32"/>
          <w:highlight w:val="none"/>
        </w:rPr>
        <w:t>安全生产专项督查</w:t>
      </w:r>
      <w:r>
        <w:rPr>
          <w:rFonts w:hint="eastAsia" w:ascii="仿宋" w:hAnsi="仿宋" w:eastAsia="仿宋"/>
          <w:sz w:val="32"/>
          <w:szCs w:val="32"/>
          <w:highlight w:val="none"/>
          <w:lang w:val="en-US" w:eastAsia="zh-CN"/>
        </w:rPr>
        <w:t>等的</w:t>
      </w:r>
      <w:r>
        <w:rPr>
          <w:rFonts w:hint="eastAsia" w:ascii="仿宋" w:hAnsi="仿宋" w:eastAsia="仿宋"/>
          <w:sz w:val="32"/>
          <w:szCs w:val="32"/>
          <w:highlight w:val="none"/>
        </w:rPr>
        <w:t>就餐费用</w:t>
      </w:r>
      <w:r>
        <w:rPr>
          <w:rFonts w:hint="eastAsia" w:eastAsia="仿宋_GB2312" w:cs="仿宋_GB2312"/>
          <w:sz w:val="32"/>
          <w:szCs w:val="32"/>
          <w:highlight w:val="none"/>
        </w:rPr>
        <w:t>。国内公务接</w:t>
      </w:r>
      <w:r>
        <w:rPr>
          <w:rFonts w:hint="eastAsia" w:ascii="仿宋_GB2312" w:hAnsi="仿宋_GB2312" w:eastAsia="仿宋_GB2312" w:cs="仿宋_GB2312"/>
          <w:sz w:val="32"/>
          <w:szCs w:val="32"/>
          <w:highlight w:val="none"/>
        </w:rPr>
        <w:t>待7批次，117</w:t>
      </w:r>
      <w:r>
        <w:rPr>
          <w:rFonts w:hint="eastAsia" w:eastAsia="仿宋_GB2312" w:cs="仿宋_GB2312"/>
          <w:sz w:val="32"/>
          <w:szCs w:val="32"/>
          <w:highlight w:val="none"/>
        </w:rPr>
        <w:t>人次（不包括陪同人员），共计支出</w:t>
      </w:r>
      <w:r>
        <w:rPr>
          <w:rFonts w:eastAsia="仿宋_GB2312" w:cs="仿宋_GB2312"/>
          <w:sz w:val="32"/>
          <w:szCs w:val="32"/>
          <w:highlight w:val="none"/>
        </w:rPr>
        <w:t>1.14</w:t>
      </w:r>
      <w:r>
        <w:rPr>
          <w:rFonts w:hint="eastAsia" w:eastAsia="仿宋_GB2312" w:cs="仿宋_GB2312"/>
          <w:sz w:val="32"/>
          <w:szCs w:val="32"/>
          <w:highlight w:val="none"/>
        </w:rPr>
        <w:t>万元，外事接待支</w:t>
      </w:r>
      <w:r>
        <w:rPr>
          <w:rFonts w:hint="eastAsia" w:ascii="仿宋_GB2312" w:hAnsi="仿宋_GB2312" w:eastAsia="仿宋_GB2312" w:cs="仿宋_GB2312"/>
          <w:sz w:val="32"/>
          <w:szCs w:val="32"/>
          <w:highlight w:val="none"/>
        </w:rPr>
        <w:t>出0万元。外事接待0批次，0人次（不包括陪同人员），共计支出</w:t>
      </w:r>
      <w:r>
        <w:rPr>
          <w:rFonts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rPr>
        <w:t>万</w:t>
      </w:r>
      <w:r>
        <w:rPr>
          <w:rFonts w:hint="eastAsia" w:eastAsia="仿宋_GB2312" w:cs="仿宋_GB2312"/>
          <w:sz w:val="32"/>
          <w:szCs w:val="32"/>
          <w:highlight w:val="none"/>
        </w:rPr>
        <w:t>元。</w:t>
      </w:r>
      <w:bookmarkStart w:id="34" w:name="_Toc15396610"/>
      <w:bookmarkStart w:id="35" w:name="_Toc15377218"/>
    </w:p>
    <w:p w14:paraId="4FF3938E">
      <w:pPr>
        <w:spacing w:line="600" w:lineRule="exact"/>
        <w:ind w:firstLine="640"/>
        <w:outlineLvl w:val="1"/>
        <w:rPr>
          <w:rStyle w:val="29"/>
          <w:rFonts w:ascii="Times New Roman" w:hAnsi="Times New Roman" w:eastAsia="黑体"/>
          <w:highlight w:val="none"/>
        </w:rPr>
      </w:pPr>
      <w:r>
        <w:rPr>
          <w:rFonts w:hint="eastAsia" w:eastAsia="黑体"/>
          <w:sz w:val="32"/>
          <w:szCs w:val="32"/>
          <w:highlight w:val="none"/>
        </w:rPr>
        <w:t>八、</w:t>
      </w:r>
      <w:r>
        <w:rPr>
          <w:rStyle w:val="29"/>
          <w:rFonts w:hint="eastAsia" w:ascii="Times New Roman" w:hAnsi="Times New Roman" w:eastAsia="黑体"/>
          <w:b w:val="0"/>
          <w:highlight w:val="none"/>
        </w:rPr>
        <w:t>政府性基金预算支出决算情况说明</w:t>
      </w:r>
      <w:bookmarkEnd w:id="34"/>
      <w:bookmarkEnd w:id="35"/>
    </w:p>
    <w:p w14:paraId="451A421F">
      <w:pPr>
        <w:spacing w:line="600" w:lineRule="exact"/>
        <w:ind w:firstLine="640"/>
        <w:rPr>
          <w:rFonts w:eastAsia="仿宋_GB2312" w:cs="仿宋_GB2312"/>
          <w:sz w:val="32"/>
          <w:szCs w:val="32"/>
          <w:highlight w:val="none"/>
        </w:rPr>
      </w:pPr>
      <w:r>
        <w:rPr>
          <w:rFonts w:hint="eastAsia" w:ascii="仿宋_GB2312" w:hAnsi="仿宋_GB2312" w:eastAsia="仿宋_GB2312" w:cs="仿宋_GB2312"/>
          <w:sz w:val="32"/>
          <w:szCs w:val="32"/>
          <w:highlight w:val="none"/>
        </w:rPr>
        <w:t>2024年度政府性基金预算财政拨款支出165.1万元，占本年支出合计的7.13%</w:t>
      </w:r>
      <w:r>
        <w:rPr>
          <w:rFonts w:hint="eastAsia" w:eastAsia="仿宋_GB2312" w:cs="仿宋_GB2312"/>
          <w:sz w:val="32"/>
          <w:szCs w:val="32"/>
          <w:highlight w:val="none"/>
        </w:rPr>
        <w:t>。与2023年度相比，政府性基金预算财政拨款支出增加107.15万元，增长184.9%。主要变动原因</w:t>
      </w:r>
      <w:r>
        <w:rPr>
          <w:rFonts w:hint="eastAsia" w:eastAsia="仿宋_GB2312" w:cs="仿宋_GB2312"/>
          <w:sz w:val="32"/>
          <w:szCs w:val="32"/>
          <w:highlight w:val="none"/>
          <w:lang w:val="en-US" w:eastAsia="zh-CN"/>
        </w:rPr>
        <w:t>是支付以往企业拖欠的欠款</w:t>
      </w:r>
      <w:r>
        <w:rPr>
          <w:rFonts w:hint="eastAsia" w:eastAsia="仿宋_GB2312" w:cs="仿宋_GB2312"/>
          <w:sz w:val="32"/>
          <w:szCs w:val="32"/>
          <w:highlight w:val="none"/>
        </w:rPr>
        <w:t>。</w:t>
      </w:r>
    </w:p>
    <w:p w14:paraId="283C7106">
      <w:pPr>
        <w:pStyle w:val="2"/>
        <w:rPr>
          <w:highlight w:val="none"/>
        </w:rPr>
      </w:pPr>
    </w:p>
    <w:p w14:paraId="012A565D">
      <w:pPr>
        <w:spacing w:line="600" w:lineRule="exact"/>
        <w:ind w:left="630"/>
        <w:outlineLvl w:val="1"/>
        <w:rPr>
          <w:rStyle w:val="29"/>
          <w:rFonts w:ascii="Times New Roman" w:hAnsi="Times New Roman" w:eastAsia="黑体"/>
          <w:b w:val="0"/>
          <w:highlight w:val="none"/>
        </w:rPr>
      </w:pPr>
      <w:bookmarkStart w:id="36" w:name="_Toc15396611"/>
      <w:bookmarkStart w:id="37" w:name="_Toc15377219"/>
      <w:r>
        <w:rPr>
          <w:rStyle w:val="29"/>
          <w:rFonts w:hint="eastAsia" w:ascii="Times New Roman" w:hAnsi="Times New Roman" w:eastAsia="黑体"/>
          <w:b w:val="0"/>
          <w:highlight w:val="none"/>
        </w:rPr>
        <w:t>九、国有资本经营预算支出决算情况说明</w:t>
      </w:r>
      <w:bookmarkEnd w:id="36"/>
      <w:bookmarkEnd w:id="37"/>
    </w:p>
    <w:p w14:paraId="0DD72C8E">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2024年度国有资本经营预算财政拨款支出</w:t>
      </w:r>
      <w:r>
        <w:rPr>
          <w:rFonts w:hint="eastAsia" w:ascii="仿宋_GB2312" w:hAnsi="仿宋_GB2312" w:eastAsia="仿宋_GB2312" w:cs="仿宋_GB2312"/>
          <w:sz w:val="32"/>
          <w:szCs w:val="32"/>
          <w:highlight w:val="none"/>
        </w:rPr>
        <w:t>0万元，占本年支出合计的0%</w:t>
      </w:r>
      <w:r>
        <w:rPr>
          <w:rFonts w:hint="eastAsia" w:eastAsia="仿宋_GB2312" w:cs="仿宋_GB2312"/>
          <w:sz w:val="32"/>
          <w:szCs w:val="32"/>
          <w:highlight w:val="none"/>
        </w:rPr>
        <w:t>。与2023年度相比，国有资本经营预算财政拨款支出增加0万元，增长0%。</w:t>
      </w:r>
    </w:p>
    <w:p w14:paraId="7F208022">
      <w:pPr>
        <w:spacing w:line="600" w:lineRule="exact"/>
        <w:ind w:left="630"/>
        <w:outlineLvl w:val="1"/>
        <w:rPr>
          <w:rStyle w:val="29"/>
          <w:rFonts w:ascii="Times New Roman" w:hAnsi="Times New Roman" w:eastAsia="黑体"/>
          <w:b w:val="0"/>
          <w:highlight w:val="none"/>
        </w:rPr>
      </w:pPr>
      <w:bookmarkStart w:id="38" w:name="_Toc15396612"/>
      <w:bookmarkStart w:id="39" w:name="_Toc15377221"/>
      <w:r>
        <w:rPr>
          <w:rStyle w:val="29"/>
          <w:rFonts w:hint="eastAsia" w:ascii="Times New Roman" w:hAnsi="Times New Roman" w:eastAsia="黑体"/>
          <w:b w:val="0"/>
          <w:highlight w:val="none"/>
        </w:rPr>
        <w:t>十、其他重要事项的情况说明</w:t>
      </w:r>
      <w:bookmarkEnd w:id="38"/>
      <w:bookmarkEnd w:id="39"/>
    </w:p>
    <w:p w14:paraId="1F583D1D">
      <w:pPr>
        <w:spacing w:line="600" w:lineRule="exact"/>
        <w:ind w:firstLine="643" w:firstLineChars="200"/>
        <w:outlineLvl w:val="2"/>
        <w:rPr>
          <w:rFonts w:eastAsia="楷体_GB2312" w:cs="楷体_GB2312"/>
          <w:b/>
          <w:sz w:val="32"/>
          <w:szCs w:val="32"/>
          <w:highlight w:val="none"/>
        </w:rPr>
      </w:pPr>
      <w:bookmarkStart w:id="40" w:name="_Toc15377222"/>
      <w:r>
        <w:rPr>
          <w:rFonts w:hint="eastAsia" w:eastAsia="楷体_GB2312" w:cs="楷体_GB2312"/>
          <w:b/>
          <w:sz w:val="32"/>
          <w:szCs w:val="32"/>
          <w:highlight w:val="none"/>
        </w:rPr>
        <w:t>（一）机关运行经费支出情况</w:t>
      </w:r>
      <w:bookmarkEnd w:id="40"/>
    </w:p>
    <w:p w14:paraId="4F0DF7D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w:t>
      </w:r>
      <w:r>
        <w:rPr>
          <w:rFonts w:hint="eastAsia" w:ascii="仿宋_GB2312" w:hAnsi="仿宋_GB2312" w:eastAsia="仿宋_GB2312" w:cs="仿宋_GB2312"/>
          <w:sz w:val="32"/>
          <w:szCs w:val="32"/>
          <w:highlight w:val="none"/>
        </w:rPr>
        <w:t>，峨眉山市应急管理局（本级）机关运行经费支出243.71万</w:t>
      </w:r>
      <w:r>
        <w:rPr>
          <w:rFonts w:hint="eastAsia" w:eastAsia="仿宋_GB2312" w:cs="仿宋_GB2312"/>
          <w:sz w:val="32"/>
          <w:szCs w:val="32"/>
          <w:highlight w:val="none"/>
        </w:rPr>
        <w:t>元，比2023年度增加133.46万元，增长121.05%。主要原因是</w:t>
      </w:r>
      <w:r>
        <w:rPr>
          <w:rFonts w:hint="eastAsia" w:eastAsia="仿宋_GB2312" w:cs="仿宋_GB2312"/>
          <w:sz w:val="32"/>
          <w:szCs w:val="32"/>
          <w:highlight w:val="none"/>
          <w:lang w:val="en-US" w:eastAsia="zh-CN"/>
        </w:rPr>
        <w:t>人员增加并支付了以往一些单位的欠款</w:t>
      </w:r>
      <w:r>
        <w:rPr>
          <w:rFonts w:hint="eastAsia" w:eastAsia="仿宋_GB2312" w:cs="仿宋_GB2312"/>
          <w:sz w:val="32"/>
          <w:szCs w:val="32"/>
          <w:highlight w:val="none"/>
        </w:rPr>
        <w:t>。</w:t>
      </w:r>
    </w:p>
    <w:p w14:paraId="7566C4EB">
      <w:pPr>
        <w:spacing w:line="600" w:lineRule="exact"/>
        <w:ind w:firstLine="643" w:firstLineChars="200"/>
        <w:outlineLvl w:val="2"/>
        <w:rPr>
          <w:rFonts w:eastAsia="楷体_GB2312" w:cs="楷体_GB2312"/>
          <w:b/>
          <w:sz w:val="32"/>
          <w:szCs w:val="32"/>
          <w:highlight w:val="none"/>
        </w:rPr>
      </w:pPr>
      <w:bookmarkStart w:id="41" w:name="_Toc15377223"/>
      <w:r>
        <w:rPr>
          <w:rFonts w:hint="eastAsia" w:eastAsia="楷体_GB2312" w:cs="楷体_GB2312"/>
          <w:b/>
          <w:sz w:val="32"/>
          <w:szCs w:val="32"/>
          <w:highlight w:val="none"/>
        </w:rPr>
        <w:t>（二）政府采购支出情况</w:t>
      </w:r>
      <w:bookmarkEnd w:id="41"/>
    </w:p>
    <w:p w14:paraId="1B84C33C">
      <w:pPr>
        <w:spacing w:line="600" w:lineRule="exact"/>
        <w:ind w:firstLine="640"/>
        <w:rPr>
          <w:rFonts w:eastAsia="仿宋_GB2312" w:cs="仿宋_GB2312"/>
          <w:sz w:val="32"/>
          <w:szCs w:val="32"/>
          <w:highlight w:val="none"/>
        </w:rPr>
      </w:pPr>
      <w:r>
        <w:rPr>
          <w:rFonts w:hint="eastAsia" w:ascii="仿宋_GB2312" w:hAnsi="仿宋_GB2312" w:eastAsia="仿宋_GB2312" w:cs="仿宋_GB2312"/>
          <w:sz w:val="32"/>
          <w:szCs w:val="32"/>
          <w:highlight w:val="none"/>
        </w:rPr>
        <w:t>2024年度，峨眉山市应急管理局（本级）政府采购支出总额13.75万元，其中：政府采购货物支出2.68万元、政府采购工程支出0万元、政府采购服务支出11.07万元。主要用于公务用车维修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保养</w:t>
      </w:r>
      <w:r>
        <w:rPr>
          <w:rFonts w:hint="eastAsia" w:ascii="仿宋_GB2312" w:hAnsi="仿宋_GB2312" w:eastAsia="仿宋_GB2312" w:cs="仿宋_GB2312"/>
          <w:sz w:val="32"/>
          <w:szCs w:val="32"/>
          <w:highlight w:val="none"/>
          <w:lang w:val="en-US" w:eastAsia="zh-CN"/>
        </w:rPr>
        <w:t>以及车辆保险</w:t>
      </w:r>
      <w:r>
        <w:rPr>
          <w:rFonts w:hint="eastAsia" w:ascii="仿宋_GB2312" w:hAnsi="仿宋_GB2312" w:eastAsia="仿宋_GB2312" w:cs="仿宋_GB2312"/>
          <w:sz w:val="32"/>
          <w:szCs w:val="32"/>
          <w:highlight w:val="none"/>
        </w:rPr>
        <w:t>。授予中小企业合同金额0万元，占政府采购支出总额的0%，其中：授予小微企业合同金额0万元，占政府采购支出总额的0%。</w:t>
      </w:r>
    </w:p>
    <w:p w14:paraId="1C86F730">
      <w:pPr>
        <w:spacing w:line="600" w:lineRule="exact"/>
        <w:ind w:firstLine="643" w:firstLineChars="200"/>
        <w:outlineLvl w:val="2"/>
        <w:rPr>
          <w:rFonts w:eastAsia="楷体_GB2312" w:cs="楷体_GB2312"/>
          <w:b/>
          <w:sz w:val="32"/>
          <w:szCs w:val="32"/>
          <w:highlight w:val="none"/>
        </w:rPr>
      </w:pPr>
      <w:bookmarkStart w:id="42" w:name="_Toc15377224"/>
      <w:r>
        <w:rPr>
          <w:rFonts w:hint="eastAsia" w:eastAsia="楷体_GB2312" w:cs="楷体_GB2312"/>
          <w:b/>
          <w:sz w:val="32"/>
          <w:szCs w:val="32"/>
          <w:highlight w:val="none"/>
        </w:rPr>
        <w:t>（三）国有资产占有使用情况</w:t>
      </w:r>
      <w:bookmarkEnd w:id="42"/>
    </w:p>
    <w:p w14:paraId="7A8847D1">
      <w:pPr>
        <w:spacing w:line="600" w:lineRule="exact"/>
        <w:ind w:firstLine="640"/>
        <w:rPr>
          <w:rFonts w:eastAsia="仿宋_GB2312" w:cs="仿宋_GB2312"/>
          <w:sz w:val="32"/>
          <w:szCs w:val="32"/>
          <w:highlight w:val="none"/>
        </w:rPr>
      </w:pPr>
      <w:r>
        <w:rPr>
          <w:rFonts w:hint="eastAsia" w:ascii="仿宋_GB2312" w:hAnsi="仿宋_GB2312" w:eastAsia="仿宋_GB2312" w:cs="仿宋_GB2312"/>
          <w:sz w:val="32"/>
          <w:szCs w:val="32"/>
          <w:highlight w:val="none"/>
        </w:rPr>
        <w:t>截至2024年12月31日，峨眉山市应急管理局（本级）共有车辆6辆，其中：主要负责人用车0辆、机要通信用车0辆、应急保障用车0辆、</w:t>
      </w:r>
      <w:r>
        <w:rPr>
          <w:rFonts w:hint="eastAsia" w:ascii="仿宋" w:hAnsi="仿宋" w:eastAsia="仿宋"/>
          <w:sz w:val="32"/>
          <w:szCs w:val="32"/>
          <w:highlight w:val="none"/>
        </w:rPr>
        <w:t>特种专业技术用车3辆、</w:t>
      </w:r>
      <w:r>
        <w:rPr>
          <w:rFonts w:hint="eastAsia" w:ascii="仿宋_GB2312" w:hAnsi="仿宋_GB2312" w:eastAsia="仿宋_GB2312" w:cs="仿宋_GB2312"/>
          <w:sz w:val="32"/>
          <w:szCs w:val="32"/>
          <w:highlight w:val="none"/>
        </w:rPr>
        <w:t>其他用车3辆，其他用车主要是用于</w:t>
      </w:r>
      <w:r>
        <w:rPr>
          <w:rFonts w:hint="eastAsia" w:ascii="仿宋" w:hAnsi="仿宋" w:eastAsia="仿宋" w:cs="仿宋_GB2312"/>
          <w:sz w:val="32"/>
          <w:szCs w:val="32"/>
          <w:highlight w:val="none"/>
        </w:rPr>
        <w:t>安全生产检查、矿山、危化企业安全督查、森林防灭火地质灾害点巡察以及防震减灾工作公务用车</w:t>
      </w:r>
      <w:r>
        <w:rPr>
          <w:rFonts w:hint="eastAsia" w:ascii="仿宋_GB2312" w:hAnsi="仿宋_GB2312" w:eastAsia="仿宋_GB2312" w:cs="仿宋_GB2312"/>
          <w:sz w:val="32"/>
          <w:szCs w:val="32"/>
          <w:highlight w:val="none"/>
        </w:rPr>
        <w:t>。单价100万元（含）以上设备（不含车辆）0台（套）</w:t>
      </w:r>
      <w:r>
        <w:rPr>
          <w:rFonts w:hint="eastAsia" w:eastAsia="仿宋_GB2312" w:cs="仿宋_GB2312"/>
          <w:sz w:val="32"/>
          <w:szCs w:val="32"/>
          <w:highlight w:val="none"/>
        </w:rPr>
        <w:t>。</w:t>
      </w:r>
    </w:p>
    <w:p w14:paraId="21C1C637">
      <w:pPr>
        <w:spacing w:line="600" w:lineRule="exact"/>
        <w:ind w:firstLine="643" w:firstLineChars="200"/>
        <w:outlineLvl w:val="2"/>
        <w:rPr>
          <w:rFonts w:eastAsia="楷体_GB2312" w:cs="楷体_GB2312"/>
          <w:b/>
          <w:sz w:val="32"/>
          <w:szCs w:val="32"/>
          <w:highlight w:val="none"/>
        </w:rPr>
      </w:pPr>
      <w:r>
        <w:rPr>
          <w:rFonts w:hint="eastAsia" w:eastAsia="楷体_GB2312" w:cs="楷体_GB2312"/>
          <w:b/>
          <w:sz w:val="32"/>
          <w:szCs w:val="32"/>
          <w:highlight w:val="none"/>
        </w:rPr>
        <w:t>（四）预算绩效管理情况</w:t>
      </w:r>
    </w:p>
    <w:p w14:paraId="1876086D">
      <w:pPr>
        <w:spacing w:line="60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根据预算绩效管理要求，本单位在2024年度预算编制阶段，组织对</w:t>
      </w:r>
      <w:r>
        <w:rPr>
          <w:rFonts w:hint="eastAsia" w:ascii="仿宋_GB2312" w:eastAsia="仿宋_GB2312"/>
          <w:sz w:val="32"/>
          <w:szCs w:val="32"/>
          <w:highlight w:val="none"/>
          <w:lang w:val="en-US" w:eastAsia="zh-CN"/>
        </w:rPr>
        <w:t>11个</w:t>
      </w:r>
      <w:r>
        <w:rPr>
          <w:rFonts w:hint="eastAsia" w:ascii="仿宋_GB2312" w:eastAsia="仿宋_GB2312"/>
          <w:sz w:val="32"/>
          <w:szCs w:val="32"/>
          <w:highlight w:val="none"/>
        </w:rPr>
        <w:t>项目开展了预算事前绩效评估，对</w:t>
      </w:r>
      <w:r>
        <w:rPr>
          <w:rFonts w:hint="eastAsia" w:ascii="仿宋_GB2312" w:eastAsia="仿宋_GB2312"/>
          <w:sz w:val="32"/>
          <w:szCs w:val="32"/>
          <w:highlight w:val="none"/>
          <w:lang w:val="en-US" w:eastAsia="zh-CN"/>
        </w:rPr>
        <w:t>11</w:t>
      </w:r>
      <w:r>
        <w:rPr>
          <w:rFonts w:hint="eastAsia" w:ascii="仿宋_GB2312" w:eastAsia="仿宋_GB2312"/>
          <w:sz w:val="32"/>
          <w:szCs w:val="32"/>
          <w:highlight w:val="none"/>
        </w:rPr>
        <w:t>个项目编制了绩效目标</w:t>
      </w:r>
      <w:r>
        <w:rPr>
          <w:rFonts w:hint="eastAsia" w:ascii="仿宋_GB2312" w:eastAsia="仿宋_GB2312"/>
          <w:sz w:val="32"/>
          <w:szCs w:val="32"/>
          <w:highlight w:val="none"/>
          <w:lang w:eastAsia="zh-CN"/>
        </w:rPr>
        <w:t>，在</w:t>
      </w:r>
      <w:r>
        <w:rPr>
          <w:rFonts w:hint="eastAsia" w:ascii="仿宋_GB2312" w:eastAsia="仿宋_GB2312"/>
          <w:sz w:val="32"/>
          <w:szCs w:val="32"/>
          <w:highlight w:val="none"/>
        </w:rPr>
        <w:t>预算执行过程中，选取</w:t>
      </w:r>
      <w:r>
        <w:rPr>
          <w:rFonts w:hint="eastAsia" w:ascii="仿宋_GB2312" w:eastAsia="仿宋_GB2312"/>
          <w:sz w:val="32"/>
          <w:szCs w:val="32"/>
          <w:highlight w:val="none"/>
          <w:lang w:val="en-US" w:eastAsia="zh-CN"/>
        </w:rPr>
        <w:t>11</w:t>
      </w:r>
      <w:r>
        <w:rPr>
          <w:rFonts w:hint="eastAsia" w:ascii="仿宋_GB2312" w:eastAsia="仿宋_GB2312"/>
          <w:sz w:val="32"/>
          <w:szCs w:val="32"/>
          <w:highlight w:val="none"/>
        </w:rPr>
        <w:t>个项目开展绩效监控，组织对</w:t>
      </w:r>
      <w:r>
        <w:rPr>
          <w:rFonts w:hint="eastAsia" w:ascii="仿宋_GB2312" w:eastAsia="仿宋_GB2312"/>
          <w:sz w:val="32"/>
          <w:szCs w:val="32"/>
          <w:highlight w:val="none"/>
          <w:lang w:val="en-US" w:eastAsia="zh-CN"/>
        </w:rPr>
        <w:t>11</w:t>
      </w:r>
      <w:r>
        <w:rPr>
          <w:rFonts w:hint="eastAsia" w:ascii="仿宋_GB2312" w:eastAsia="仿宋_GB2312"/>
          <w:sz w:val="32"/>
          <w:szCs w:val="32"/>
          <w:highlight w:val="none"/>
        </w:rPr>
        <w:t>个项目开展绩效自评，绩效自评表详见第四部分附件。</w:t>
      </w:r>
    </w:p>
    <w:p w14:paraId="7FB051A8">
      <w:pPr>
        <w:spacing w:line="600" w:lineRule="exact"/>
        <w:ind w:firstLine="640"/>
        <w:rPr>
          <w:rFonts w:eastAsia="仿宋_GB2312" w:cs="仿宋_GB2312"/>
          <w:sz w:val="32"/>
          <w:szCs w:val="32"/>
          <w:highlight w:val="none"/>
        </w:rPr>
      </w:pPr>
    </w:p>
    <w:p w14:paraId="135868C6">
      <w:pPr>
        <w:spacing w:line="600" w:lineRule="exact"/>
        <w:ind w:firstLine="640"/>
        <w:rPr>
          <w:rFonts w:eastAsia="仿宋_GB2312" w:cs="仿宋_GB2312"/>
          <w:sz w:val="32"/>
          <w:szCs w:val="32"/>
          <w:highlight w:val="none"/>
        </w:rPr>
      </w:pPr>
    </w:p>
    <w:p w14:paraId="59AA179B">
      <w:pPr>
        <w:spacing w:line="600" w:lineRule="exact"/>
        <w:jc w:val="center"/>
        <w:outlineLvl w:val="0"/>
        <w:rPr>
          <w:rFonts w:eastAsia="黑体"/>
          <w:sz w:val="44"/>
          <w:szCs w:val="44"/>
          <w:highlight w:val="none"/>
        </w:rPr>
      </w:pPr>
      <w:bookmarkStart w:id="43" w:name="_Toc15396613"/>
      <w:bookmarkStart w:id="44" w:name="_Toc15377225"/>
      <w:r>
        <w:rPr>
          <w:rFonts w:hint="eastAsia" w:eastAsia="黑体"/>
          <w:sz w:val="44"/>
          <w:szCs w:val="44"/>
          <w:highlight w:val="none"/>
        </w:rPr>
        <w:t>第三部分  名词解释</w:t>
      </w:r>
      <w:bookmarkEnd w:id="43"/>
      <w:bookmarkEnd w:id="44"/>
    </w:p>
    <w:p w14:paraId="38738833">
      <w:pPr>
        <w:spacing w:line="600" w:lineRule="exact"/>
        <w:jc w:val="left"/>
        <w:rPr>
          <w:b/>
          <w:sz w:val="44"/>
          <w:szCs w:val="44"/>
          <w:highlight w:val="none"/>
        </w:rPr>
      </w:pPr>
    </w:p>
    <w:p w14:paraId="7454FE76">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1.财政拨款收入：指单位从同级财政部门取得的财政预算资金。</w:t>
      </w:r>
    </w:p>
    <w:p w14:paraId="76AAA5C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2.事业收入：指事业单位开展专业业务活动及辅助活动取得的收入。</w:t>
      </w:r>
    </w:p>
    <w:p w14:paraId="793E20A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3.经营收入：指事业单位在专业业务活动及其辅助活动之外开展非独立核算经营活动取得的收入。</w:t>
      </w:r>
    </w:p>
    <w:p w14:paraId="6171A016">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 xml:space="preserve">4.其他收入：指单位取得的除上述收入以外的各项收入。 </w:t>
      </w:r>
    </w:p>
    <w:p w14:paraId="1767432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 xml:space="preserve">5.使用非财政拨款结余（含专用结余）：指事业单位使用以前年度积累的非财政拨款结余弥补当年收支差额的金额。 </w:t>
      </w:r>
    </w:p>
    <w:p w14:paraId="3DA6D0F8">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 xml:space="preserve">6.年初结转和结余：指以前年度尚未完成、结转到本年按有关规定继续使用的资金。 </w:t>
      </w:r>
    </w:p>
    <w:p w14:paraId="6C77533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7.结余分配：指事业单位按照会计制度规定缴纳的所得税、提取的专用结余以及转入非财政拨款结余的金额等。</w:t>
      </w:r>
    </w:p>
    <w:p w14:paraId="61449D03">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8.年末结转和结余：指单位按有关规定结转到下年或以后年度继续使用的资金。</w:t>
      </w:r>
    </w:p>
    <w:p w14:paraId="5F987A7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9.社会保障和就业支出（类）行政事业单位养老支出（款）机关事业单位基本养老保险缴费支出（项）：指机关事业单位实施养老保险制度由单位缴纳的基本养老保险支出。</w:t>
      </w:r>
    </w:p>
    <w:p w14:paraId="07EF7DDC">
      <w:pPr>
        <w:spacing w:line="600" w:lineRule="exact"/>
        <w:ind w:firstLine="640"/>
        <w:rPr>
          <w:rFonts w:eastAsia="仿宋_GB2312" w:cs="仿宋_GB2312"/>
          <w:sz w:val="32"/>
          <w:szCs w:val="32"/>
          <w:highlight w:val="none"/>
        </w:rPr>
      </w:pPr>
      <w:r>
        <w:rPr>
          <w:rFonts w:eastAsia="仿宋_GB2312" w:cs="仿宋_GB2312"/>
          <w:sz w:val="32"/>
          <w:szCs w:val="32"/>
          <w:highlight w:val="none"/>
        </w:rPr>
        <w:t>10.</w:t>
      </w:r>
      <w:r>
        <w:rPr>
          <w:rFonts w:hint="eastAsia" w:eastAsia="仿宋_GB2312" w:cs="仿宋_GB2312"/>
          <w:sz w:val="32"/>
          <w:szCs w:val="32"/>
          <w:highlight w:val="none"/>
        </w:rPr>
        <w:t>社会保障和就业支出（类）行政事业单位养老支出（款）机关事业单位职业年金缴费支出（项）：指机关事业单位实施养老保险制度由单位实际缴纳的职业年金支出（含职业年金补记支出）。</w:t>
      </w:r>
    </w:p>
    <w:p w14:paraId="2D7C1B94">
      <w:pPr>
        <w:spacing w:line="600" w:lineRule="exact"/>
        <w:ind w:firstLine="640"/>
        <w:rPr>
          <w:rFonts w:eastAsia="仿宋_GB2312" w:cs="仿宋_GB2312"/>
          <w:sz w:val="32"/>
          <w:szCs w:val="32"/>
          <w:highlight w:val="none"/>
        </w:rPr>
      </w:pPr>
      <w:r>
        <w:rPr>
          <w:rFonts w:eastAsia="仿宋_GB2312" w:cs="仿宋_GB2312"/>
          <w:sz w:val="32"/>
          <w:szCs w:val="32"/>
          <w:highlight w:val="none"/>
        </w:rPr>
        <w:t>11.</w:t>
      </w:r>
      <w:r>
        <w:rPr>
          <w:rFonts w:hint="eastAsia" w:eastAsia="仿宋_GB2312" w:cs="仿宋_GB2312"/>
          <w:sz w:val="32"/>
          <w:szCs w:val="32"/>
          <w:highlight w:val="none"/>
        </w:rPr>
        <w:t>社会保障和就业支出（类）抚恤（款）死亡抚恤（项）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指按规定用于烈士和牺牲、病故人员家属的一次性和定期抚恤金、丧葬补助费以及烈士褒扬金。</w:t>
      </w:r>
    </w:p>
    <w:p w14:paraId="44125862">
      <w:pPr>
        <w:spacing w:line="600" w:lineRule="exact"/>
        <w:ind w:firstLine="640"/>
        <w:rPr>
          <w:rFonts w:eastAsia="仿宋_GB2312" w:cs="仿宋_GB2312"/>
          <w:sz w:val="32"/>
          <w:szCs w:val="32"/>
          <w:highlight w:val="none"/>
        </w:rPr>
      </w:pPr>
      <w:r>
        <w:rPr>
          <w:rFonts w:eastAsia="仿宋_GB2312" w:cs="仿宋_GB2312"/>
          <w:sz w:val="32"/>
          <w:szCs w:val="32"/>
          <w:highlight w:val="none"/>
        </w:rPr>
        <w:t>12.</w:t>
      </w:r>
      <w:r>
        <w:rPr>
          <w:rFonts w:hint="eastAsia" w:eastAsia="仿宋_GB2312" w:cs="仿宋_GB2312"/>
          <w:sz w:val="32"/>
          <w:szCs w:val="32"/>
          <w:highlight w:val="none"/>
        </w:rPr>
        <w:t>社会保障和就业支出（类）抚恤（款）其他优抚支出（项）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指其他用于优抚方面的支出，包括向优抚对象发放的价格临时补贴、老烈士子女、老党员定期生活补助等支出。</w:t>
      </w:r>
    </w:p>
    <w:p w14:paraId="6CB02CA1">
      <w:pPr>
        <w:spacing w:line="600" w:lineRule="exact"/>
        <w:ind w:firstLine="640"/>
        <w:rPr>
          <w:rFonts w:eastAsia="仿宋_GB2312" w:cs="仿宋_GB2312"/>
          <w:sz w:val="32"/>
          <w:szCs w:val="32"/>
          <w:highlight w:val="none"/>
        </w:rPr>
      </w:pPr>
      <w:r>
        <w:rPr>
          <w:rFonts w:eastAsia="仿宋_GB2312" w:cs="仿宋_GB2312"/>
          <w:sz w:val="32"/>
          <w:szCs w:val="32"/>
          <w:highlight w:val="none"/>
        </w:rPr>
        <w:t>13.</w:t>
      </w:r>
      <w:r>
        <w:rPr>
          <w:rFonts w:hint="eastAsia" w:eastAsia="仿宋_GB2312" w:cs="仿宋_GB2312"/>
          <w:sz w:val="32"/>
          <w:szCs w:val="32"/>
          <w:highlight w:val="none"/>
        </w:rPr>
        <w:t>社会保障和就业支出（类）其他社会保障和就业支出（款）其他社会保障和就业支出（项）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指除上述项目以外其他用于社会保障和就业方面的支出。</w:t>
      </w:r>
    </w:p>
    <w:p w14:paraId="1AB8F830">
      <w:pPr>
        <w:spacing w:line="600" w:lineRule="exact"/>
        <w:ind w:firstLine="640"/>
        <w:rPr>
          <w:rFonts w:eastAsia="仿宋_GB2312" w:cs="仿宋_GB2312"/>
          <w:sz w:val="32"/>
          <w:szCs w:val="32"/>
          <w:highlight w:val="none"/>
        </w:rPr>
      </w:pPr>
      <w:r>
        <w:rPr>
          <w:rFonts w:eastAsia="仿宋_GB2312" w:cs="仿宋_GB2312"/>
          <w:sz w:val="32"/>
          <w:szCs w:val="32"/>
          <w:highlight w:val="none"/>
        </w:rPr>
        <w:t>14.</w:t>
      </w:r>
      <w:r>
        <w:rPr>
          <w:rFonts w:hint="eastAsia" w:eastAsia="仿宋_GB2312" w:cs="仿宋_GB2312"/>
          <w:sz w:val="32"/>
          <w:szCs w:val="32"/>
          <w:highlight w:val="none"/>
        </w:rPr>
        <w:t>卫生健康支出（类）行政事业单位医疗（款）行政单位医疗（项）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指财政部门集中安排的行政单位基本医疗保险缴费经费，未参加医疗保险的行政单位的公费医疗经费，按国家规定享受离退休人员、红军老战士待遇人员的医疗经费。</w:t>
      </w:r>
    </w:p>
    <w:p w14:paraId="445E4913">
      <w:pPr>
        <w:spacing w:line="600" w:lineRule="exact"/>
        <w:ind w:firstLine="640"/>
        <w:rPr>
          <w:rFonts w:eastAsia="仿宋_GB2312" w:cs="仿宋_GB2312"/>
          <w:sz w:val="32"/>
          <w:szCs w:val="32"/>
          <w:highlight w:val="none"/>
        </w:rPr>
      </w:pPr>
      <w:r>
        <w:rPr>
          <w:rFonts w:eastAsia="仿宋_GB2312" w:cs="仿宋_GB2312"/>
          <w:sz w:val="32"/>
          <w:szCs w:val="32"/>
          <w:highlight w:val="none"/>
        </w:rPr>
        <w:t>15.</w:t>
      </w:r>
      <w:r>
        <w:rPr>
          <w:rFonts w:hint="eastAsia" w:eastAsia="仿宋_GB2312" w:cs="仿宋_GB2312"/>
          <w:sz w:val="32"/>
          <w:szCs w:val="32"/>
          <w:highlight w:val="none"/>
        </w:rPr>
        <w:t>卫生健康支出（类）行政事业单位医疗（款）事业单位医疗（项）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w:t>
      </w:r>
      <w:r>
        <w:rPr>
          <w:rFonts w:eastAsia="仿宋_GB2312" w:cs="仿宋_GB2312"/>
          <w:sz w:val="32"/>
          <w:szCs w:val="32"/>
          <w:highlight w:val="none"/>
        </w:rPr>
        <w:t>财政部门安排的事业单位基本医疗保险缴费经费，未参加医疗保险的事业单位的公费医疗经费，按国家规定享受离休人员待遇的医疗经费</w:t>
      </w:r>
      <w:r>
        <w:rPr>
          <w:rFonts w:hint="eastAsia" w:eastAsia="仿宋_GB2312" w:cs="仿宋_GB2312"/>
          <w:sz w:val="32"/>
          <w:szCs w:val="32"/>
          <w:highlight w:val="none"/>
        </w:rPr>
        <w:t>。</w:t>
      </w:r>
    </w:p>
    <w:p w14:paraId="7B147130">
      <w:pPr>
        <w:spacing w:line="600" w:lineRule="exact"/>
        <w:ind w:firstLine="640"/>
        <w:rPr>
          <w:rFonts w:eastAsia="仿宋_GB2312" w:cs="仿宋_GB2312"/>
          <w:sz w:val="32"/>
          <w:szCs w:val="32"/>
          <w:highlight w:val="none"/>
        </w:rPr>
      </w:pPr>
      <w:r>
        <w:rPr>
          <w:rFonts w:eastAsia="仿宋_GB2312" w:cs="仿宋_GB2312"/>
          <w:sz w:val="32"/>
          <w:szCs w:val="32"/>
          <w:highlight w:val="none"/>
        </w:rPr>
        <w:t>16.</w:t>
      </w:r>
      <w:r>
        <w:rPr>
          <w:rFonts w:hint="eastAsia" w:eastAsia="仿宋_GB2312" w:cs="仿宋_GB2312"/>
          <w:sz w:val="32"/>
          <w:szCs w:val="32"/>
          <w:highlight w:val="none"/>
        </w:rPr>
        <w:t>卫生健康支出（类）行政事业单位医疗（款）公务员医疗补助（项）</w:t>
      </w:r>
      <w:r>
        <w:rPr>
          <w:rFonts w:hint="eastAsia" w:eastAsia="仿宋_GB2312" w:cs="仿宋_GB2312"/>
          <w:sz w:val="32"/>
          <w:szCs w:val="32"/>
          <w:highlight w:val="none"/>
          <w:lang w:eastAsia="zh-CN"/>
        </w:rPr>
        <w:t>：</w:t>
      </w:r>
      <w:r>
        <w:rPr>
          <w:rFonts w:hint="eastAsia" w:eastAsia="仿宋_GB2312" w:cs="仿宋_GB2312"/>
          <w:sz w:val="32"/>
          <w:szCs w:val="32"/>
          <w:highlight w:val="none"/>
        </w:rPr>
        <w:t xml:space="preserve"> 指财政部门安排的公务员医疗补助经费。</w:t>
      </w:r>
    </w:p>
    <w:p w14:paraId="79EC0154">
      <w:pPr>
        <w:spacing w:line="600" w:lineRule="exact"/>
        <w:ind w:firstLine="640"/>
        <w:rPr>
          <w:rFonts w:eastAsia="仿宋_GB2312" w:cs="仿宋_GB2312"/>
          <w:sz w:val="32"/>
          <w:szCs w:val="32"/>
          <w:highlight w:val="none"/>
        </w:rPr>
      </w:pPr>
      <w:r>
        <w:rPr>
          <w:rFonts w:eastAsia="仿宋_GB2312" w:cs="仿宋_GB2312"/>
          <w:sz w:val="32"/>
          <w:szCs w:val="32"/>
          <w:highlight w:val="none"/>
        </w:rPr>
        <w:t>17.</w:t>
      </w:r>
      <w:r>
        <w:rPr>
          <w:rFonts w:hint="eastAsia"/>
          <w:highlight w:val="none"/>
        </w:rPr>
        <w:t xml:space="preserve"> </w:t>
      </w:r>
      <w:r>
        <w:rPr>
          <w:rFonts w:hint="eastAsia" w:eastAsia="仿宋_GB2312" w:cs="仿宋_GB2312"/>
          <w:sz w:val="32"/>
          <w:szCs w:val="32"/>
          <w:highlight w:val="none"/>
        </w:rPr>
        <w:t>城乡社区支出（类）国有土地使用权出让收入安排的支出（款）其他国有土地使用权出让收入安排的支出（项）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指土地出让收入用于其他方面的支出。不包括市县级政府当年按规定用土地收入向中央和省级政府缴纳的新增建设用地土地有偿使用费的支出。</w:t>
      </w:r>
    </w:p>
    <w:p w14:paraId="1E0499F6">
      <w:pPr>
        <w:spacing w:line="600" w:lineRule="exact"/>
        <w:ind w:firstLine="640"/>
        <w:rPr>
          <w:rFonts w:eastAsia="仿宋_GB2312" w:cs="仿宋_GB2312"/>
          <w:sz w:val="32"/>
          <w:szCs w:val="32"/>
          <w:highlight w:val="none"/>
        </w:rPr>
      </w:pPr>
      <w:r>
        <w:rPr>
          <w:rFonts w:eastAsia="仿宋_GB2312" w:cs="仿宋_GB2312"/>
          <w:sz w:val="32"/>
          <w:szCs w:val="32"/>
          <w:highlight w:val="none"/>
        </w:rPr>
        <w:t>18.</w:t>
      </w:r>
      <w:r>
        <w:rPr>
          <w:rFonts w:hint="eastAsia" w:eastAsia="仿宋_GB2312" w:cs="仿宋_GB2312"/>
          <w:sz w:val="32"/>
          <w:szCs w:val="32"/>
          <w:highlight w:val="none"/>
        </w:rPr>
        <w:t>住房保障支出（类）住房改革支出（款）住房公积金（项）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指行政事业单位按人力资源和社会保障部、财政部规定的基本工资和津贴补贴以及规定比例为职工缴纳的住房公积金。</w:t>
      </w:r>
    </w:p>
    <w:p w14:paraId="0279B081">
      <w:pPr>
        <w:spacing w:line="600" w:lineRule="exact"/>
        <w:ind w:firstLine="640"/>
        <w:rPr>
          <w:rFonts w:eastAsia="仿宋_GB2312" w:cs="仿宋_GB2312"/>
          <w:sz w:val="32"/>
          <w:szCs w:val="32"/>
          <w:highlight w:val="none"/>
        </w:rPr>
      </w:pPr>
      <w:r>
        <w:rPr>
          <w:rFonts w:eastAsia="仿宋_GB2312" w:cs="仿宋_GB2312"/>
          <w:sz w:val="32"/>
          <w:szCs w:val="32"/>
          <w:highlight w:val="none"/>
        </w:rPr>
        <w:t>19.</w:t>
      </w:r>
      <w:r>
        <w:rPr>
          <w:rFonts w:hint="eastAsia" w:eastAsia="仿宋_GB2312" w:cs="仿宋_GB2312"/>
          <w:sz w:val="32"/>
          <w:szCs w:val="32"/>
          <w:highlight w:val="none"/>
        </w:rPr>
        <w:t>灾害防治及应急管理支出（类）应急管理事务（款）行政运行（项）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指应急管理</w:t>
      </w:r>
      <w:r>
        <w:rPr>
          <w:rFonts w:eastAsia="仿宋_GB2312" w:cs="仿宋_GB2312"/>
          <w:sz w:val="32"/>
          <w:szCs w:val="32"/>
          <w:highlight w:val="none"/>
        </w:rPr>
        <w:t>行政单位（包括实行公务员管理的事业单位）的基本支出。</w:t>
      </w:r>
    </w:p>
    <w:p w14:paraId="08ABD5D4">
      <w:pPr>
        <w:spacing w:line="600" w:lineRule="exact"/>
        <w:ind w:firstLine="640"/>
        <w:rPr>
          <w:rFonts w:eastAsia="仿宋_GB2312" w:cs="仿宋_GB2312"/>
          <w:sz w:val="32"/>
          <w:szCs w:val="32"/>
          <w:highlight w:val="none"/>
        </w:rPr>
      </w:pPr>
      <w:r>
        <w:rPr>
          <w:rFonts w:eastAsia="仿宋_GB2312" w:cs="仿宋_GB2312"/>
          <w:sz w:val="32"/>
          <w:szCs w:val="32"/>
          <w:highlight w:val="none"/>
        </w:rPr>
        <w:t>20.</w:t>
      </w:r>
      <w:r>
        <w:rPr>
          <w:rFonts w:hint="eastAsia" w:eastAsia="仿宋_GB2312" w:cs="仿宋_GB2312"/>
          <w:sz w:val="32"/>
          <w:szCs w:val="32"/>
          <w:highlight w:val="none"/>
        </w:rPr>
        <w:t>灾害防治及应急管理支出（类）应急管理事务（款）一般行政管理事务（项）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指保障机关为完成特定的行政工作任务或事业发展目标，用于专项业务工作的经费支出。</w:t>
      </w:r>
    </w:p>
    <w:p w14:paraId="50D755D0">
      <w:pPr>
        <w:spacing w:line="600" w:lineRule="exact"/>
        <w:ind w:firstLine="640"/>
        <w:rPr>
          <w:rFonts w:eastAsia="仿宋_GB2312" w:cs="仿宋_GB2312"/>
          <w:sz w:val="32"/>
          <w:szCs w:val="32"/>
          <w:highlight w:val="none"/>
        </w:rPr>
      </w:pPr>
      <w:r>
        <w:rPr>
          <w:rFonts w:eastAsia="仿宋_GB2312" w:cs="仿宋_GB2312"/>
          <w:sz w:val="32"/>
          <w:szCs w:val="32"/>
          <w:highlight w:val="none"/>
        </w:rPr>
        <w:t>21.</w:t>
      </w:r>
      <w:r>
        <w:rPr>
          <w:rFonts w:hint="eastAsia" w:eastAsia="仿宋_GB2312" w:cs="仿宋_GB2312"/>
          <w:sz w:val="32"/>
          <w:szCs w:val="32"/>
          <w:highlight w:val="none"/>
        </w:rPr>
        <w:t>灾害防治及应急管理支出（类）应急管理事务（款）安全监管（项）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指安全生产综合监督管理和工贸行业安全生产监督管理等方面的支出</w:t>
      </w:r>
      <w:r>
        <w:rPr>
          <w:rFonts w:eastAsia="仿宋_GB2312" w:cs="仿宋_GB2312"/>
          <w:sz w:val="32"/>
          <w:szCs w:val="32"/>
          <w:highlight w:val="none"/>
        </w:rPr>
        <w:t>。</w:t>
      </w:r>
    </w:p>
    <w:p w14:paraId="6AD3C7E5">
      <w:pPr>
        <w:spacing w:line="600" w:lineRule="exact"/>
        <w:ind w:firstLine="640"/>
        <w:rPr>
          <w:rFonts w:eastAsia="仿宋_GB2312" w:cs="仿宋_GB2312"/>
          <w:sz w:val="32"/>
          <w:szCs w:val="32"/>
          <w:highlight w:val="none"/>
        </w:rPr>
      </w:pPr>
      <w:r>
        <w:rPr>
          <w:rFonts w:eastAsia="仿宋_GB2312" w:cs="仿宋_GB2312"/>
          <w:sz w:val="32"/>
          <w:szCs w:val="32"/>
          <w:highlight w:val="none"/>
        </w:rPr>
        <w:t>22.</w:t>
      </w:r>
      <w:r>
        <w:rPr>
          <w:rFonts w:hint="eastAsia" w:eastAsia="仿宋_GB2312" w:cs="仿宋_GB2312"/>
          <w:sz w:val="32"/>
          <w:szCs w:val="32"/>
          <w:highlight w:val="none"/>
        </w:rPr>
        <w:t>灾害防治及应急管理支出（类）应急管理事务（款）应急管理（项）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指用于应急管理的法律法规制定修订，应急预案演练、协调保障等方面的支出</w:t>
      </w:r>
      <w:r>
        <w:rPr>
          <w:rFonts w:eastAsia="仿宋_GB2312" w:cs="仿宋_GB2312"/>
          <w:sz w:val="32"/>
          <w:szCs w:val="32"/>
          <w:highlight w:val="none"/>
        </w:rPr>
        <w:t>。</w:t>
      </w:r>
    </w:p>
    <w:p w14:paraId="1CB3FC26">
      <w:pPr>
        <w:spacing w:line="600" w:lineRule="exact"/>
        <w:ind w:firstLine="640"/>
        <w:rPr>
          <w:rFonts w:eastAsia="仿宋_GB2312" w:cs="仿宋_GB2312"/>
          <w:sz w:val="32"/>
          <w:szCs w:val="32"/>
          <w:highlight w:val="none"/>
        </w:rPr>
      </w:pPr>
      <w:r>
        <w:rPr>
          <w:rFonts w:eastAsia="仿宋_GB2312" w:cs="仿宋_GB2312"/>
          <w:sz w:val="32"/>
          <w:szCs w:val="32"/>
          <w:highlight w:val="none"/>
        </w:rPr>
        <w:t>23.</w:t>
      </w:r>
      <w:r>
        <w:rPr>
          <w:rFonts w:hint="eastAsia" w:eastAsia="仿宋_GB2312" w:cs="仿宋_GB2312"/>
          <w:sz w:val="32"/>
          <w:szCs w:val="32"/>
          <w:highlight w:val="none"/>
        </w:rPr>
        <w:t>灾害防治及应急管理支出（类）应急管理事务（款）事业运行（项）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w:t>
      </w:r>
      <w:r>
        <w:rPr>
          <w:rFonts w:eastAsia="仿宋_GB2312" w:cs="仿宋_GB2312"/>
          <w:sz w:val="32"/>
          <w:szCs w:val="32"/>
          <w:highlight w:val="none"/>
        </w:rPr>
        <w:t>事业单位的基本支出，不包括行政单位（包括实行公务员管理的事业单位）后勤服务中心、医务室等附属事业单位。</w:t>
      </w:r>
    </w:p>
    <w:p w14:paraId="4101B065">
      <w:pPr>
        <w:spacing w:line="600" w:lineRule="exact"/>
        <w:ind w:firstLine="640"/>
        <w:rPr>
          <w:rFonts w:eastAsia="仿宋_GB2312" w:cs="仿宋_GB2312"/>
          <w:sz w:val="32"/>
          <w:szCs w:val="32"/>
          <w:highlight w:val="none"/>
        </w:rPr>
      </w:pPr>
      <w:r>
        <w:rPr>
          <w:rFonts w:eastAsia="仿宋_GB2312" w:cs="仿宋_GB2312"/>
          <w:sz w:val="32"/>
          <w:szCs w:val="32"/>
          <w:highlight w:val="none"/>
        </w:rPr>
        <w:t>24.</w:t>
      </w:r>
      <w:r>
        <w:rPr>
          <w:rFonts w:hint="eastAsia" w:eastAsia="仿宋_GB2312" w:cs="仿宋_GB2312"/>
          <w:sz w:val="32"/>
          <w:szCs w:val="32"/>
          <w:highlight w:val="none"/>
        </w:rPr>
        <w:t>灾害防治及应急管理支出（类）应急管理事务（款）其他应急管理支出（项）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w:t>
      </w:r>
      <w:r>
        <w:rPr>
          <w:rFonts w:eastAsia="仿宋_GB2312" w:cs="仿宋_GB2312"/>
          <w:sz w:val="32"/>
          <w:szCs w:val="32"/>
          <w:highlight w:val="none"/>
        </w:rPr>
        <w:t>其他应急管理方面的支出。</w:t>
      </w:r>
    </w:p>
    <w:p w14:paraId="38709317">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w:t>
      </w:r>
      <w:r>
        <w:rPr>
          <w:rFonts w:eastAsia="仿宋_GB2312" w:cs="仿宋_GB2312"/>
          <w:sz w:val="32"/>
          <w:szCs w:val="32"/>
          <w:highlight w:val="none"/>
        </w:rPr>
        <w:t>5</w:t>
      </w:r>
      <w:r>
        <w:rPr>
          <w:rFonts w:hint="eastAsia" w:eastAsia="仿宋_GB2312" w:cs="仿宋_GB2312"/>
          <w:sz w:val="32"/>
          <w:szCs w:val="32"/>
          <w:highlight w:val="none"/>
        </w:rPr>
        <w:t>.灾害防治及应急管理支出（类）自然灾害救灾及恢复重建支出（款）自然灾害救灾补助（项）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指用于应对重大自然灾害应急救援和受灾群众救助</w:t>
      </w:r>
      <w:r>
        <w:rPr>
          <w:rFonts w:eastAsia="仿宋_GB2312" w:cs="仿宋_GB2312"/>
          <w:sz w:val="32"/>
          <w:szCs w:val="32"/>
          <w:highlight w:val="none"/>
        </w:rPr>
        <w:t>的支出。</w:t>
      </w:r>
    </w:p>
    <w:p w14:paraId="03346A0A">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26.灾害防治及应急管理支出（类）其他灾害防治及应急管理支出（款）其他灾害防治及应急管理支出（项）</w:t>
      </w:r>
      <w:bookmarkStart w:id="61" w:name="_GoBack"/>
      <w:r>
        <w:rPr>
          <w:rFonts w:hint="eastAsia" w:eastAsia="仿宋_GB2312" w:cs="仿宋_GB2312"/>
          <w:sz w:val="32"/>
          <w:szCs w:val="32"/>
          <w:highlight w:val="none"/>
          <w:lang w:eastAsia="zh-CN"/>
        </w:rPr>
        <w:t>：</w:t>
      </w:r>
      <w:bookmarkEnd w:id="61"/>
      <w:r>
        <w:rPr>
          <w:rFonts w:eastAsia="仿宋_GB2312" w:cs="仿宋_GB2312"/>
          <w:sz w:val="32"/>
          <w:szCs w:val="32"/>
          <w:highlight w:val="none"/>
        </w:rPr>
        <w:t xml:space="preserve"> </w:t>
      </w:r>
      <w:r>
        <w:rPr>
          <w:rFonts w:hint="eastAsia" w:eastAsia="仿宋_GB2312" w:cs="仿宋_GB2312"/>
          <w:sz w:val="32"/>
          <w:szCs w:val="32"/>
          <w:highlight w:val="none"/>
        </w:rPr>
        <w:t>指其他用于灾害防治及应急管理的支出。</w:t>
      </w:r>
    </w:p>
    <w:p w14:paraId="42F4F8B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27.基本支出：指为保障机构正常运转、完成日常工作任务而发生的人员支出和公用支出。</w:t>
      </w:r>
    </w:p>
    <w:p w14:paraId="5520A422">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 xml:space="preserve">28.项目支出：指在基本支出之外为完成特定行政任务和事业发展目标所发生的支出。 </w:t>
      </w:r>
    </w:p>
    <w:p w14:paraId="520991B8">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29.经营支出：指事业单位在专业业务活动及其辅助活动之外开展非独立核算经营活动发生的支出。</w:t>
      </w:r>
    </w:p>
    <w:p w14:paraId="57540F80">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30.“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B8A51A2">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31.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94AF174">
      <w:pPr>
        <w:spacing w:line="600" w:lineRule="exact"/>
        <w:jc w:val="center"/>
        <w:rPr>
          <w:rFonts w:eastAsia="黑体"/>
          <w:sz w:val="44"/>
          <w:szCs w:val="44"/>
          <w:highlight w:val="none"/>
        </w:rPr>
      </w:pPr>
      <w:bookmarkStart w:id="45" w:name="_Toc15396614"/>
      <w:bookmarkStart w:id="46" w:name="_Toc15377226"/>
    </w:p>
    <w:p w14:paraId="0DAFC63F">
      <w:pPr>
        <w:spacing w:line="600" w:lineRule="exact"/>
        <w:jc w:val="center"/>
        <w:rPr>
          <w:rFonts w:eastAsia="黑体"/>
          <w:sz w:val="44"/>
          <w:szCs w:val="44"/>
          <w:highlight w:val="none"/>
        </w:rPr>
      </w:pPr>
    </w:p>
    <w:p w14:paraId="445F218D">
      <w:pPr>
        <w:spacing w:line="600" w:lineRule="exact"/>
        <w:jc w:val="center"/>
        <w:rPr>
          <w:rFonts w:eastAsia="黑体"/>
          <w:sz w:val="44"/>
          <w:szCs w:val="44"/>
          <w:highlight w:val="none"/>
        </w:rPr>
      </w:pPr>
    </w:p>
    <w:p w14:paraId="230F561A">
      <w:pPr>
        <w:spacing w:line="600" w:lineRule="exact"/>
        <w:jc w:val="center"/>
        <w:rPr>
          <w:rFonts w:eastAsia="黑体"/>
          <w:sz w:val="44"/>
          <w:szCs w:val="44"/>
          <w:highlight w:val="none"/>
        </w:rPr>
      </w:pPr>
      <w:r>
        <w:rPr>
          <w:rFonts w:hint="eastAsia" w:eastAsia="黑体"/>
          <w:sz w:val="44"/>
          <w:szCs w:val="44"/>
          <w:highlight w:val="none"/>
        </w:rPr>
        <w:t>第四部分  附件</w:t>
      </w:r>
      <w:bookmarkEnd w:id="45"/>
    </w:p>
    <w:p w14:paraId="1A9725F8">
      <w:pPr>
        <w:pStyle w:val="2"/>
        <w:rPr>
          <w:highlight w:val="none"/>
        </w:rPr>
      </w:pPr>
    </w:p>
    <w:p w14:paraId="6DA80316">
      <w:pPr>
        <w:spacing w:line="600" w:lineRule="exact"/>
        <w:jc w:val="center"/>
        <w:outlineLvl w:val="0"/>
        <w:rPr>
          <w:sz w:val="32"/>
          <w:szCs w:val="32"/>
          <w:highlight w:val="none"/>
        </w:rPr>
      </w:pPr>
    </w:p>
    <w:p w14:paraId="3054253A">
      <w:pPr>
        <w:spacing w:line="600" w:lineRule="exact"/>
        <w:jc w:val="center"/>
        <w:outlineLvl w:val="0"/>
        <w:rPr>
          <w:rFonts w:ascii="黑体" w:hAnsi="黑体" w:eastAsia="黑体"/>
          <w:color w:val="FF0000"/>
          <w:sz w:val="44"/>
          <w:szCs w:val="44"/>
          <w:highlight w:val="none"/>
        </w:rPr>
      </w:pPr>
      <w:r>
        <w:rPr>
          <w:rFonts w:hint="eastAsia"/>
          <w:sz w:val="32"/>
          <w:szCs w:val="32"/>
          <w:highlight w:val="none"/>
        </w:rPr>
        <w:t>部门预算项目支出绩效自评表（2024年度）</w:t>
      </w:r>
    </w:p>
    <w:p w14:paraId="15C36ED3">
      <w:pPr>
        <w:spacing w:line="572" w:lineRule="exact"/>
        <w:jc w:val="left"/>
        <w:outlineLvl w:val="0"/>
        <w:rPr>
          <w:rFonts w:eastAsia="黑体" w:cs="黑体"/>
          <w:color w:val="FF0000"/>
          <w:sz w:val="32"/>
          <w:szCs w:val="32"/>
          <w:highlight w:val="none"/>
        </w:rPr>
      </w:pPr>
    </w:p>
    <w:p w14:paraId="7276C6B0">
      <w:pPr>
        <w:widowControl/>
        <w:jc w:val="center"/>
        <w:rPr>
          <w:rFonts w:eastAsia="黑体"/>
          <w:sz w:val="44"/>
          <w:szCs w:val="44"/>
          <w:highlight w:val="none"/>
        </w:rPr>
      </w:pPr>
      <w:bookmarkStart w:id="47" w:name="_Toc15396618"/>
    </w:p>
    <w:p w14:paraId="566A6958">
      <w:pPr>
        <w:widowControl/>
        <w:jc w:val="center"/>
        <w:rPr>
          <w:rFonts w:eastAsia="黑体"/>
          <w:sz w:val="44"/>
          <w:szCs w:val="44"/>
          <w:highlight w:val="none"/>
        </w:rPr>
      </w:pPr>
    </w:p>
    <w:p w14:paraId="56306980">
      <w:pPr>
        <w:widowControl/>
        <w:jc w:val="center"/>
        <w:rPr>
          <w:rFonts w:eastAsia="仿宋"/>
          <w:highlight w:val="none"/>
        </w:rPr>
      </w:pPr>
      <w:r>
        <w:rPr>
          <w:rFonts w:hint="eastAsia" w:eastAsia="黑体"/>
          <w:sz w:val="44"/>
          <w:szCs w:val="44"/>
          <w:highlight w:val="none"/>
        </w:rPr>
        <w:t>第</w:t>
      </w:r>
      <w:r>
        <w:rPr>
          <w:rStyle w:val="28"/>
          <w:rFonts w:hint="eastAsia" w:eastAsia="黑体"/>
          <w:b w:val="0"/>
          <w:highlight w:val="none"/>
        </w:rPr>
        <w:t>五部分 附表</w:t>
      </w:r>
      <w:bookmarkEnd w:id="46"/>
      <w:bookmarkEnd w:id="47"/>
      <w:bookmarkStart w:id="48" w:name="_Toc15396619"/>
    </w:p>
    <w:p w14:paraId="2C65A7E0">
      <w:pPr>
        <w:pStyle w:val="14"/>
        <w:adjustRightInd w:val="0"/>
        <w:snapToGrid w:val="0"/>
        <w:spacing w:line="560" w:lineRule="exact"/>
        <w:jc w:val="left"/>
        <w:rPr>
          <w:rFonts w:eastAsia="仿宋_GB2312" w:cs="仿宋_GB2312"/>
          <w:sz w:val="32"/>
          <w:szCs w:val="32"/>
          <w:highlight w:val="none"/>
        </w:rPr>
      </w:pPr>
    </w:p>
    <w:p w14:paraId="5844FD38">
      <w:pPr>
        <w:pStyle w:val="14"/>
        <w:adjustRightInd w:val="0"/>
        <w:snapToGrid w:val="0"/>
        <w:spacing w:line="560" w:lineRule="exact"/>
        <w:jc w:val="left"/>
        <w:rPr>
          <w:rFonts w:eastAsia="仿宋_GB2312" w:cs="仿宋_GB2312"/>
          <w:sz w:val="32"/>
          <w:szCs w:val="32"/>
          <w:highlight w:val="none"/>
        </w:rPr>
      </w:pPr>
      <w:r>
        <w:rPr>
          <w:rFonts w:hint="eastAsia" w:eastAsia="仿宋_GB2312" w:cs="仿宋_GB2312"/>
          <w:sz w:val="32"/>
          <w:szCs w:val="32"/>
          <w:highlight w:val="none"/>
        </w:rPr>
        <w:t>一、收入支出决算总表</w:t>
      </w:r>
      <w:bookmarkEnd w:id="48"/>
    </w:p>
    <w:p w14:paraId="34F08EBA">
      <w:pPr>
        <w:pStyle w:val="14"/>
        <w:adjustRightInd w:val="0"/>
        <w:snapToGrid w:val="0"/>
        <w:spacing w:line="560" w:lineRule="exact"/>
        <w:jc w:val="left"/>
        <w:rPr>
          <w:rFonts w:eastAsia="仿宋_GB2312" w:cs="仿宋_GB2312"/>
          <w:sz w:val="32"/>
          <w:szCs w:val="32"/>
          <w:highlight w:val="none"/>
        </w:rPr>
      </w:pPr>
      <w:bookmarkStart w:id="49" w:name="_Toc15396620"/>
      <w:r>
        <w:rPr>
          <w:rFonts w:hint="eastAsia" w:eastAsia="仿宋_GB2312" w:cs="仿宋_GB2312"/>
          <w:sz w:val="32"/>
          <w:szCs w:val="32"/>
          <w:highlight w:val="none"/>
        </w:rPr>
        <w:t>二、收入决算表</w:t>
      </w:r>
      <w:bookmarkEnd w:id="49"/>
    </w:p>
    <w:p w14:paraId="339C06BF">
      <w:pPr>
        <w:pStyle w:val="14"/>
        <w:adjustRightInd w:val="0"/>
        <w:snapToGrid w:val="0"/>
        <w:spacing w:line="560" w:lineRule="exact"/>
        <w:jc w:val="left"/>
        <w:rPr>
          <w:rFonts w:eastAsia="仿宋_GB2312" w:cs="仿宋_GB2312"/>
          <w:sz w:val="32"/>
          <w:szCs w:val="32"/>
          <w:highlight w:val="none"/>
        </w:rPr>
      </w:pPr>
      <w:bookmarkStart w:id="50" w:name="_Toc15396621"/>
      <w:r>
        <w:rPr>
          <w:rFonts w:hint="eastAsia" w:eastAsia="仿宋_GB2312" w:cs="仿宋_GB2312"/>
          <w:sz w:val="32"/>
          <w:szCs w:val="32"/>
          <w:highlight w:val="none"/>
        </w:rPr>
        <w:t>三、支出决算表</w:t>
      </w:r>
      <w:bookmarkEnd w:id="50"/>
    </w:p>
    <w:p w14:paraId="402E1ACC">
      <w:pPr>
        <w:pStyle w:val="14"/>
        <w:adjustRightInd w:val="0"/>
        <w:snapToGrid w:val="0"/>
        <w:spacing w:line="560" w:lineRule="exact"/>
        <w:jc w:val="left"/>
        <w:rPr>
          <w:rFonts w:eastAsia="仿宋_GB2312" w:cs="仿宋_GB2312"/>
          <w:sz w:val="32"/>
          <w:szCs w:val="32"/>
          <w:highlight w:val="none"/>
        </w:rPr>
      </w:pPr>
      <w:bookmarkStart w:id="51" w:name="_Toc15396622"/>
      <w:r>
        <w:rPr>
          <w:rFonts w:hint="eastAsia" w:eastAsia="仿宋_GB2312" w:cs="仿宋_GB2312"/>
          <w:sz w:val="32"/>
          <w:szCs w:val="32"/>
          <w:highlight w:val="none"/>
        </w:rPr>
        <w:t>四、财政拨款收入支出决算总表</w:t>
      </w:r>
      <w:bookmarkEnd w:id="51"/>
    </w:p>
    <w:p w14:paraId="2B14BE35">
      <w:pPr>
        <w:pStyle w:val="14"/>
        <w:adjustRightInd w:val="0"/>
        <w:snapToGrid w:val="0"/>
        <w:spacing w:line="560" w:lineRule="exact"/>
        <w:jc w:val="left"/>
        <w:rPr>
          <w:rFonts w:eastAsia="仿宋_GB2312" w:cs="仿宋_GB2312"/>
          <w:sz w:val="32"/>
          <w:szCs w:val="32"/>
          <w:highlight w:val="none"/>
        </w:rPr>
      </w:pPr>
      <w:bookmarkStart w:id="52" w:name="_Toc15396623"/>
      <w:r>
        <w:rPr>
          <w:rFonts w:hint="eastAsia" w:eastAsia="仿宋_GB2312" w:cs="仿宋_GB2312"/>
          <w:sz w:val="32"/>
          <w:szCs w:val="32"/>
          <w:highlight w:val="none"/>
        </w:rPr>
        <w:t>五、财政拨款支出决算明细表</w:t>
      </w:r>
      <w:bookmarkEnd w:id="52"/>
      <w:bookmarkStart w:id="53" w:name="_Toc15396624"/>
    </w:p>
    <w:p w14:paraId="74A06854">
      <w:pPr>
        <w:pStyle w:val="14"/>
        <w:adjustRightInd w:val="0"/>
        <w:snapToGrid w:val="0"/>
        <w:spacing w:line="560" w:lineRule="exact"/>
        <w:jc w:val="left"/>
        <w:rPr>
          <w:rFonts w:eastAsia="仿宋_GB2312" w:cs="仿宋_GB2312"/>
          <w:sz w:val="32"/>
          <w:szCs w:val="32"/>
          <w:highlight w:val="none"/>
        </w:rPr>
      </w:pPr>
      <w:r>
        <w:rPr>
          <w:rFonts w:hint="eastAsia" w:eastAsia="仿宋_GB2312" w:cs="仿宋_GB2312"/>
          <w:sz w:val="32"/>
          <w:szCs w:val="32"/>
          <w:highlight w:val="none"/>
        </w:rPr>
        <w:t>六、一般公共预算财政拨款支出决算表</w:t>
      </w:r>
      <w:bookmarkEnd w:id="53"/>
    </w:p>
    <w:p w14:paraId="7C854717">
      <w:pPr>
        <w:pStyle w:val="14"/>
        <w:adjustRightInd w:val="0"/>
        <w:snapToGrid w:val="0"/>
        <w:spacing w:line="560" w:lineRule="exact"/>
        <w:jc w:val="left"/>
        <w:rPr>
          <w:rFonts w:eastAsia="仿宋_GB2312" w:cs="仿宋_GB2312"/>
          <w:sz w:val="32"/>
          <w:szCs w:val="32"/>
          <w:highlight w:val="none"/>
        </w:rPr>
      </w:pPr>
      <w:bookmarkStart w:id="54" w:name="_Toc15396625"/>
      <w:r>
        <w:rPr>
          <w:rFonts w:hint="eastAsia" w:eastAsia="仿宋_GB2312" w:cs="仿宋_GB2312"/>
          <w:sz w:val="32"/>
          <w:szCs w:val="32"/>
          <w:highlight w:val="none"/>
        </w:rPr>
        <w:t>七、一般公共预算财政拨款支出决算明细表</w:t>
      </w:r>
      <w:bookmarkEnd w:id="54"/>
    </w:p>
    <w:p w14:paraId="13653896">
      <w:pPr>
        <w:pStyle w:val="14"/>
        <w:adjustRightInd w:val="0"/>
        <w:snapToGrid w:val="0"/>
        <w:spacing w:line="560" w:lineRule="exact"/>
        <w:jc w:val="left"/>
        <w:rPr>
          <w:rFonts w:eastAsia="仿宋_GB2312" w:cs="仿宋_GB2312"/>
          <w:sz w:val="32"/>
          <w:szCs w:val="32"/>
          <w:highlight w:val="none"/>
        </w:rPr>
      </w:pPr>
      <w:bookmarkStart w:id="55" w:name="_Toc15396626"/>
      <w:r>
        <w:rPr>
          <w:rFonts w:hint="eastAsia" w:eastAsia="仿宋_GB2312" w:cs="仿宋_GB2312"/>
          <w:sz w:val="32"/>
          <w:szCs w:val="32"/>
          <w:highlight w:val="none"/>
        </w:rPr>
        <w:t>八、一般公共预算财政拨款基本支出决算表</w:t>
      </w:r>
      <w:bookmarkEnd w:id="55"/>
    </w:p>
    <w:p w14:paraId="49398EE8">
      <w:pPr>
        <w:pStyle w:val="14"/>
        <w:adjustRightInd w:val="0"/>
        <w:snapToGrid w:val="0"/>
        <w:spacing w:line="560" w:lineRule="exact"/>
        <w:jc w:val="left"/>
        <w:rPr>
          <w:rFonts w:eastAsia="仿宋_GB2312" w:cs="仿宋_GB2312"/>
          <w:sz w:val="32"/>
          <w:szCs w:val="32"/>
          <w:highlight w:val="none"/>
        </w:rPr>
      </w:pPr>
      <w:bookmarkStart w:id="56" w:name="_Toc15396627"/>
      <w:r>
        <w:rPr>
          <w:rFonts w:hint="eastAsia" w:eastAsia="仿宋_GB2312" w:cs="仿宋_GB2312"/>
          <w:sz w:val="32"/>
          <w:szCs w:val="32"/>
          <w:highlight w:val="none"/>
        </w:rPr>
        <w:t>九、一般公共预算财政拨款项目支出决算表</w:t>
      </w:r>
      <w:bookmarkEnd w:id="56"/>
    </w:p>
    <w:p w14:paraId="696263AC">
      <w:pPr>
        <w:pStyle w:val="14"/>
        <w:adjustRightInd w:val="0"/>
        <w:snapToGrid w:val="0"/>
        <w:spacing w:line="560" w:lineRule="exact"/>
        <w:jc w:val="left"/>
        <w:rPr>
          <w:rFonts w:eastAsia="仿宋_GB2312" w:cs="仿宋_GB2312"/>
          <w:sz w:val="32"/>
          <w:szCs w:val="32"/>
          <w:highlight w:val="none"/>
        </w:rPr>
      </w:pPr>
      <w:bookmarkStart w:id="57" w:name="_Toc15396628"/>
      <w:r>
        <w:rPr>
          <w:rFonts w:hint="eastAsia" w:eastAsia="仿宋_GB2312" w:cs="仿宋_GB2312"/>
          <w:sz w:val="32"/>
          <w:szCs w:val="32"/>
          <w:highlight w:val="none"/>
        </w:rPr>
        <w:t>十、</w:t>
      </w:r>
      <w:bookmarkEnd w:id="57"/>
      <w:r>
        <w:rPr>
          <w:rFonts w:hint="eastAsia" w:eastAsia="仿宋_GB2312" w:cs="仿宋_GB2312"/>
          <w:sz w:val="32"/>
          <w:szCs w:val="32"/>
          <w:highlight w:val="none"/>
        </w:rPr>
        <w:t>政府性基金预算财政拨款收入支出决算表</w:t>
      </w:r>
    </w:p>
    <w:p w14:paraId="3F336244">
      <w:pPr>
        <w:pStyle w:val="14"/>
        <w:adjustRightInd w:val="0"/>
        <w:snapToGrid w:val="0"/>
        <w:spacing w:line="560" w:lineRule="exact"/>
        <w:jc w:val="left"/>
        <w:rPr>
          <w:rFonts w:eastAsia="仿宋_GB2312" w:cs="仿宋_GB2312"/>
          <w:sz w:val="32"/>
          <w:szCs w:val="32"/>
          <w:highlight w:val="none"/>
        </w:rPr>
      </w:pPr>
      <w:bookmarkStart w:id="58" w:name="_Toc15396629"/>
      <w:r>
        <w:rPr>
          <w:rFonts w:hint="eastAsia" w:eastAsia="仿宋_GB2312" w:cs="仿宋_GB2312"/>
          <w:sz w:val="32"/>
          <w:szCs w:val="32"/>
          <w:highlight w:val="none"/>
        </w:rPr>
        <w:t>十一、</w:t>
      </w:r>
      <w:bookmarkEnd w:id="58"/>
      <w:r>
        <w:rPr>
          <w:rFonts w:hint="eastAsia" w:eastAsia="仿宋_GB2312" w:cs="仿宋_GB2312"/>
          <w:sz w:val="32"/>
          <w:szCs w:val="32"/>
          <w:highlight w:val="none"/>
        </w:rPr>
        <w:t>国有资本经营预算财政拨款收入支出决算表</w:t>
      </w:r>
    </w:p>
    <w:p w14:paraId="4DF4C396">
      <w:pPr>
        <w:pStyle w:val="14"/>
        <w:adjustRightInd w:val="0"/>
        <w:snapToGrid w:val="0"/>
        <w:spacing w:line="560" w:lineRule="exact"/>
        <w:jc w:val="left"/>
        <w:rPr>
          <w:rFonts w:eastAsia="仿宋_GB2312" w:cs="仿宋_GB2312"/>
          <w:sz w:val="32"/>
          <w:szCs w:val="32"/>
          <w:highlight w:val="none"/>
        </w:rPr>
      </w:pPr>
      <w:bookmarkStart w:id="59" w:name="_Toc15396630"/>
      <w:r>
        <w:rPr>
          <w:rFonts w:hint="eastAsia" w:eastAsia="仿宋_GB2312" w:cs="仿宋_GB2312"/>
          <w:sz w:val="32"/>
          <w:szCs w:val="32"/>
          <w:highlight w:val="none"/>
        </w:rPr>
        <w:t>十二、</w:t>
      </w:r>
      <w:bookmarkEnd w:id="59"/>
      <w:r>
        <w:rPr>
          <w:rFonts w:hint="eastAsia" w:eastAsia="仿宋_GB2312" w:cs="仿宋_GB2312"/>
          <w:sz w:val="32"/>
          <w:szCs w:val="32"/>
          <w:highlight w:val="none"/>
        </w:rPr>
        <w:t>国有资本经营预算财政拨款支出决算表</w:t>
      </w:r>
    </w:p>
    <w:p w14:paraId="24D8C18F">
      <w:pPr>
        <w:pStyle w:val="14"/>
        <w:adjustRightInd w:val="0"/>
        <w:snapToGrid w:val="0"/>
        <w:spacing w:line="560" w:lineRule="exact"/>
        <w:jc w:val="left"/>
        <w:rPr>
          <w:rFonts w:eastAsia="仿宋_GB2312" w:cs="仿宋_GB2312"/>
          <w:sz w:val="32"/>
          <w:szCs w:val="32"/>
          <w:highlight w:val="none"/>
        </w:rPr>
      </w:pPr>
      <w:bookmarkStart w:id="60" w:name="_Toc15396631"/>
      <w:r>
        <w:rPr>
          <w:rFonts w:hint="eastAsia" w:eastAsia="仿宋_GB2312" w:cs="仿宋_GB2312"/>
          <w:sz w:val="32"/>
          <w:szCs w:val="32"/>
          <w:highlight w:val="none"/>
        </w:rPr>
        <w:t>十三、</w:t>
      </w:r>
      <w:bookmarkEnd w:id="60"/>
      <w:r>
        <w:rPr>
          <w:rFonts w:hint="eastAsia" w:eastAsia="仿宋_GB2312" w:cs="仿宋_GB2312"/>
          <w:sz w:val="32"/>
          <w:szCs w:val="32"/>
          <w:highlight w:val="none"/>
        </w:rPr>
        <w:t>财政拨款“三公”经费支出决算表</w:t>
      </w:r>
    </w:p>
    <w:p w14:paraId="71FC0E1D">
      <w:pPr>
        <w:rPr>
          <w:highlight w:val="none"/>
        </w:rPr>
      </w:pPr>
    </w:p>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82B7C0-4D88-444E-BEC6-739F6E7CE3C8}"/>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embedRegular r:id="rId2" w:fontKey="{6C1687F5-7963-4EF2-B31C-1EF7D06F863C}"/>
  </w:font>
  <w:font w:name="Cambria">
    <w:altName w:val="DejaVu Math TeX Gyre"/>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E9D50EA8-6111-488D-88D3-355DB4F1342F}"/>
  </w:font>
  <w:font w:name="仿宋">
    <w:panose1 w:val="02010609060101010101"/>
    <w:charset w:val="86"/>
    <w:family w:val="modern"/>
    <w:pitch w:val="default"/>
    <w:sig w:usb0="800002BF" w:usb1="38CF7CFA" w:usb2="00000016" w:usb3="00000000" w:csb0="00040001" w:csb1="00000000"/>
    <w:embedRegular r:id="rId4" w:fontKey="{A15DE47A-2397-4510-AC80-6CCEE01800F3}"/>
  </w:font>
  <w:font w:name="??">
    <w:altName w:val="Courier New"/>
    <w:panose1 w:val="00000000000000000000"/>
    <w:charset w:val="00"/>
    <w:family w:val="roman"/>
    <w:pitch w:val="default"/>
    <w:sig w:usb0="00000000" w:usb1="00000000" w:usb2="00000000" w:usb3="00000000" w:csb0="00000000" w:csb1="00000000"/>
  </w:font>
  <w:font w:name="Segoe Print">
    <w:altName w:val="Times New Roman"/>
    <w:panose1 w:val="02000600000000000000"/>
    <w:charset w:val="00"/>
    <w:family w:val="auto"/>
    <w:pitch w:val="default"/>
    <w:sig w:usb0="00000000"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embedRegular r:id="rId5" w:fontKey="{DE67518E-163A-48C3-9D9B-76ACAD7702FB}"/>
  </w:font>
  <w:font w:name="楷体_GB2312">
    <w:panose1 w:val="02010609030101010101"/>
    <w:charset w:val="86"/>
    <w:family w:val="modern"/>
    <w:pitch w:val="default"/>
    <w:sig w:usb0="00000001" w:usb1="080E0000" w:usb2="00000000" w:usb3="00000000" w:csb0="00040000" w:csb1="00000000"/>
    <w:embedRegular r:id="rId6" w:fontKey="{42F96CD3-6755-458E-8EDB-87B221A56306}"/>
  </w:font>
  <w:font w:name="Segoe UI">
    <w:panose1 w:val="020B0502040204020203"/>
    <w:charset w:val="00"/>
    <w:family w:val="auto"/>
    <w:pitch w:val="default"/>
    <w:sig w:usb0="E10022FF" w:usb1="C000E47F" w:usb2="00000029" w:usb3="00000000" w:csb0="200001DF" w:csb1="20000000"/>
  </w:font>
  <w:font w:name="DejaVu Math TeX Gyre">
    <w:panose1 w:val="02000503000000000000"/>
    <w:charset w:val="00"/>
    <w:family w:val="auto"/>
    <w:pitch w:val="default"/>
    <w:sig w:usb0="A10000EF" w:usb1="4201F9EE" w:usb2="02000000" w:usb3="00000000" w:csb0="60000193" w:csb1="0DD40000"/>
  </w:font>
  <w:font w:name="MT Extra">
    <w:panose1 w:val="05050102010205020202"/>
    <w:charset w:val="00"/>
    <w:family w:val="auto"/>
    <w:pitch w:val="default"/>
    <w:sig w:usb0="80000000" w:usb1="00000000" w:usb2="00000000" w:usb3="00000000" w:csb0="00000000" w:csb1="00000000"/>
  </w:font>
  <w:font w:name="Segoe UI Symbol">
    <w:panose1 w:val="020B0502040204020203"/>
    <w:charset w:val="00"/>
    <w:family w:val="auto"/>
    <w:pitch w:val="default"/>
    <w:sig w:usb0="8000006F" w:usb1="1200FBEF" w:usb2="0064C000" w:usb3="00000002" w:csb0="00000001" w:csb1="4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395B6">
    <w:pPr>
      <w:pStyle w:val="11"/>
      <w:jc w:val="center"/>
    </w:pPr>
  </w:p>
  <w:p w14:paraId="09A9A16D">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6140">
    <w:pPr>
      <w:pStyle w:val="1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C17AD">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21C17AD">
                    <w:pPr>
                      <w:pStyle w:val="11"/>
                    </w:pPr>
                    <w:r>
                      <w:fldChar w:fldCharType="begin"/>
                    </w:r>
                    <w:r>
                      <w:instrText xml:space="preserve"> PAGE  \* MERGEFORMAT </w:instrText>
                    </w:r>
                    <w:r>
                      <w:fldChar w:fldCharType="separate"/>
                    </w:r>
                    <w:r>
                      <w:t>21</w:t>
                    </w:r>
                    <w:r>
                      <w:fldChar w:fldCharType="end"/>
                    </w:r>
                  </w:p>
                </w:txbxContent>
              </v:textbox>
            </v:shape>
          </w:pict>
        </mc:Fallback>
      </mc:AlternateContent>
    </w:r>
  </w:p>
  <w:p w14:paraId="246A69B2">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BE10">
    <w:pPr>
      <w:pStyle w:val="1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B9F57">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40B9F57">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A1C4E">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40C93"/>
    <w:multiLevelType w:val="multilevel"/>
    <w:tmpl w:val="0AD40C93"/>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51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0F704E"/>
    <w:rsid w:val="00114E9B"/>
    <w:rsid w:val="00132145"/>
    <w:rsid w:val="00142216"/>
    <w:rsid w:val="00144D6A"/>
    <w:rsid w:val="0014729F"/>
    <w:rsid w:val="00157BAB"/>
    <w:rsid w:val="001654D1"/>
    <w:rsid w:val="00174518"/>
    <w:rsid w:val="0018106D"/>
    <w:rsid w:val="001877A7"/>
    <w:rsid w:val="00191536"/>
    <w:rsid w:val="00196687"/>
    <w:rsid w:val="001C0962"/>
    <w:rsid w:val="001C1386"/>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077D"/>
    <w:rsid w:val="00335A74"/>
    <w:rsid w:val="0036561B"/>
    <w:rsid w:val="0037013F"/>
    <w:rsid w:val="00380C92"/>
    <w:rsid w:val="003A484F"/>
    <w:rsid w:val="003A4883"/>
    <w:rsid w:val="003A7F5C"/>
    <w:rsid w:val="003B0BE0"/>
    <w:rsid w:val="003B0C1B"/>
    <w:rsid w:val="003B688C"/>
    <w:rsid w:val="003C0291"/>
    <w:rsid w:val="003C39AE"/>
    <w:rsid w:val="003C7B60"/>
    <w:rsid w:val="003D0C0F"/>
    <w:rsid w:val="003D1FB2"/>
    <w:rsid w:val="003D66DA"/>
    <w:rsid w:val="003E1310"/>
    <w:rsid w:val="003E6F55"/>
    <w:rsid w:val="00406254"/>
    <w:rsid w:val="00410AE5"/>
    <w:rsid w:val="00410CD3"/>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B3D1A"/>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96B31"/>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46AE"/>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5543"/>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00E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FEBE30"/>
    <w:rsid w:val="047311E8"/>
    <w:rsid w:val="04916F1E"/>
    <w:rsid w:val="060761C9"/>
    <w:rsid w:val="061E35DE"/>
    <w:rsid w:val="066E0107"/>
    <w:rsid w:val="07996F6E"/>
    <w:rsid w:val="07DFD8BA"/>
    <w:rsid w:val="09867E8F"/>
    <w:rsid w:val="0A030FB6"/>
    <w:rsid w:val="0A2032A3"/>
    <w:rsid w:val="0CA8290A"/>
    <w:rsid w:val="0D35B1ED"/>
    <w:rsid w:val="0E254B6B"/>
    <w:rsid w:val="0F98263C"/>
    <w:rsid w:val="101860EC"/>
    <w:rsid w:val="101F47CC"/>
    <w:rsid w:val="10C055FF"/>
    <w:rsid w:val="11694EBD"/>
    <w:rsid w:val="11772AA4"/>
    <w:rsid w:val="118107EC"/>
    <w:rsid w:val="12E24EE2"/>
    <w:rsid w:val="13D50BC4"/>
    <w:rsid w:val="14B17F78"/>
    <w:rsid w:val="165E0673"/>
    <w:rsid w:val="16B831D5"/>
    <w:rsid w:val="16BB723D"/>
    <w:rsid w:val="174325AE"/>
    <w:rsid w:val="17E50567"/>
    <w:rsid w:val="186504BB"/>
    <w:rsid w:val="19A445FC"/>
    <w:rsid w:val="1BE8440E"/>
    <w:rsid w:val="1D155CEE"/>
    <w:rsid w:val="1D1638FE"/>
    <w:rsid w:val="1E312DEB"/>
    <w:rsid w:val="1E740ACF"/>
    <w:rsid w:val="1FF35744"/>
    <w:rsid w:val="1FF6BC77"/>
    <w:rsid w:val="2186353C"/>
    <w:rsid w:val="23860B96"/>
    <w:rsid w:val="240371BF"/>
    <w:rsid w:val="244F3473"/>
    <w:rsid w:val="24C97D99"/>
    <w:rsid w:val="24E20CC9"/>
    <w:rsid w:val="25A718F0"/>
    <w:rsid w:val="25BB59F6"/>
    <w:rsid w:val="260F557C"/>
    <w:rsid w:val="26970054"/>
    <w:rsid w:val="281408E2"/>
    <w:rsid w:val="29FD04D3"/>
    <w:rsid w:val="2A3B3A4B"/>
    <w:rsid w:val="2BFF7BC6"/>
    <w:rsid w:val="2C8A61B5"/>
    <w:rsid w:val="2DF04E50"/>
    <w:rsid w:val="2E586DFA"/>
    <w:rsid w:val="2F040D46"/>
    <w:rsid w:val="2F6B035B"/>
    <w:rsid w:val="2FAE5751"/>
    <w:rsid w:val="2FB1A395"/>
    <w:rsid w:val="2FD9A7D8"/>
    <w:rsid w:val="2FDBF714"/>
    <w:rsid w:val="30AB6865"/>
    <w:rsid w:val="319F7F4E"/>
    <w:rsid w:val="32BD1EF1"/>
    <w:rsid w:val="3304709D"/>
    <w:rsid w:val="33577505"/>
    <w:rsid w:val="33A773CB"/>
    <w:rsid w:val="349D6851"/>
    <w:rsid w:val="36AA5135"/>
    <w:rsid w:val="36BE0DA7"/>
    <w:rsid w:val="376B6AA6"/>
    <w:rsid w:val="376D39B2"/>
    <w:rsid w:val="37E16F03"/>
    <w:rsid w:val="37F53A3B"/>
    <w:rsid w:val="389B6C89"/>
    <w:rsid w:val="38D469F0"/>
    <w:rsid w:val="39627CCD"/>
    <w:rsid w:val="397BAF1F"/>
    <w:rsid w:val="3AB79AF3"/>
    <w:rsid w:val="3AE834C0"/>
    <w:rsid w:val="3B5643B1"/>
    <w:rsid w:val="3B7EF35A"/>
    <w:rsid w:val="3B9FDB6C"/>
    <w:rsid w:val="3BF5BC2F"/>
    <w:rsid w:val="3CEBA265"/>
    <w:rsid w:val="3D98207C"/>
    <w:rsid w:val="3DEE7CF3"/>
    <w:rsid w:val="3E740A63"/>
    <w:rsid w:val="3E78745D"/>
    <w:rsid w:val="3EE17838"/>
    <w:rsid w:val="3F55381A"/>
    <w:rsid w:val="3F7F7599"/>
    <w:rsid w:val="3FF4CAE0"/>
    <w:rsid w:val="3FF7B227"/>
    <w:rsid w:val="41DB0C37"/>
    <w:rsid w:val="43E41BEB"/>
    <w:rsid w:val="44E268DA"/>
    <w:rsid w:val="450D13D7"/>
    <w:rsid w:val="453C6B10"/>
    <w:rsid w:val="45506656"/>
    <w:rsid w:val="486A6C7A"/>
    <w:rsid w:val="4A627F82"/>
    <w:rsid w:val="4A651143"/>
    <w:rsid w:val="4A8F2006"/>
    <w:rsid w:val="4B0E749A"/>
    <w:rsid w:val="4B2477C4"/>
    <w:rsid w:val="4B4F25DA"/>
    <w:rsid w:val="4BE068DB"/>
    <w:rsid w:val="4D577224"/>
    <w:rsid w:val="4DBF1CEB"/>
    <w:rsid w:val="4DF0007C"/>
    <w:rsid w:val="4EAB630A"/>
    <w:rsid w:val="4ECE2238"/>
    <w:rsid w:val="4F833267"/>
    <w:rsid w:val="4FE9BD67"/>
    <w:rsid w:val="4FFB052F"/>
    <w:rsid w:val="537E6D0A"/>
    <w:rsid w:val="53F74C96"/>
    <w:rsid w:val="55170BA8"/>
    <w:rsid w:val="553218C9"/>
    <w:rsid w:val="567E1AA5"/>
    <w:rsid w:val="56E47B74"/>
    <w:rsid w:val="57175D52"/>
    <w:rsid w:val="57BD3DD4"/>
    <w:rsid w:val="586777C2"/>
    <w:rsid w:val="5A307F33"/>
    <w:rsid w:val="5AF92295"/>
    <w:rsid w:val="5B250254"/>
    <w:rsid w:val="5BDD79E6"/>
    <w:rsid w:val="5BF561CA"/>
    <w:rsid w:val="5BFF5DFC"/>
    <w:rsid w:val="5CD71FC4"/>
    <w:rsid w:val="5D1F11B5"/>
    <w:rsid w:val="5D695134"/>
    <w:rsid w:val="5DAE1B18"/>
    <w:rsid w:val="5DE7D9E5"/>
    <w:rsid w:val="5ECEC941"/>
    <w:rsid w:val="5F553B15"/>
    <w:rsid w:val="5FBF9FF3"/>
    <w:rsid w:val="5FCD4E2C"/>
    <w:rsid w:val="5FEF394A"/>
    <w:rsid w:val="5FF67715"/>
    <w:rsid w:val="605336DA"/>
    <w:rsid w:val="62BF3928"/>
    <w:rsid w:val="63B3701E"/>
    <w:rsid w:val="647F5392"/>
    <w:rsid w:val="65E6658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CD2F9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DC72AC"/>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next w:val="1"/>
    <w:unhideWhenUsed/>
    <w:qFormat/>
    <w:uiPriority w:val="99"/>
    <w:pPr>
      <w:ind w:firstLine="420" w:firstLineChars="200"/>
    </w:pPr>
  </w:style>
  <w:style w:type="paragraph" w:styleId="4">
    <w:name w:val="Body Text Indent"/>
    <w:basedOn w:val="1"/>
    <w:next w:val="3"/>
    <w:qFormat/>
    <w:uiPriority w:val="0"/>
    <w:pPr>
      <w:spacing w:after="120"/>
      <w:ind w:left="200" w:leftChars="200"/>
    </w:pPr>
    <w:rPr>
      <w:rFonts w:ascii="仿宋_GB2312"/>
      <w:szCs w:val="32"/>
    </w:rPr>
  </w:style>
  <w:style w:type="paragraph" w:styleId="8">
    <w:name w:val="Body Text"/>
    <w:basedOn w:val="1"/>
    <w:link w:val="25"/>
    <w:qFormat/>
    <w:uiPriority w:val="99"/>
    <w:pPr>
      <w:spacing w:beforeLines="30"/>
    </w:pPr>
    <w:rPr>
      <w:rFonts w:ascii="仿宋_GB2312" w:eastAsia="仿宋_GB2312"/>
      <w:kern w:val="0"/>
      <w:sz w:val="30"/>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2"/>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1"/>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8"/>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5"/>
    <w:qFormat/>
    <w:uiPriority w:val="9"/>
    <w:rPr>
      <w:rFonts w:ascii="Times New Roman" w:hAnsi="Times New Roman"/>
      <w:b/>
      <w:bCs/>
      <w:kern w:val="44"/>
      <w:sz w:val="44"/>
      <w:szCs w:val="44"/>
    </w:rPr>
  </w:style>
  <w:style w:type="character" w:customStyle="1" w:styleId="29">
    <w:name w:val="标题 2 Char"/>
    <w:basedOn w:val="16"/>
    <w:link w:val="6"/>
    <w:qFormat/>
    <w:uiPriority w:val="9"/>
    <w:rPr>
      <w:rFonts w:asciiTheme="majorHAnsi" w:hAnsiTheme="majorHAnsi" w:eastAsiaTheme="majorEastAsia" w:cstheme="majorBidi"/>
      <w:b/>
      <w:bCs/>
      <w:kern w:val="2"/>
      <w:sz w:val="32"/>
      <w:szCs w:val="32"/>
    </w:rPr>
  </w:style>
  <w:style w:type="paragraph" w:customStyle="1" w:styleId="30">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10"/>
    <w:semiHidden/>
    <w:qFormat/>
    <w:uiPriority w:val="99"/>
    <w:rPr>
      <w:rFonts w:ascii="Times New Roman" w:hAnsi="Times New Roman"/>
      <w:kern w:val="2"/>
      <w:sz w:val="18"/>
      <w:szCs w:val="18"/>
    </w:rPr>
  </w:style>
  <w:style w:type="character" w:customStyle="1" w:styleId="32">
    <w:name w:val="标题 3 Char"/>
    <w:basedOn w:val="16"/>
    <w:link w:val="7"/>
    <w:qFormat/>
    <w:uiPriority w:val="9"/>
    <w:rPr>
      <w:rFonts w:ascii="Times New Roman" w:hAnsi="Times New Roman"/>
      <w:b/>
      <w:bCs/>
      <w:kern w:val="2"/>
      <w:sz w:val="32"/>
      <w:szCs w:val="32"/>
    </w:rPr>
  </w:style>
  <w:style w:type="paragraph" w:customStyle="1" w:styleId="33">
    <w:name w:val="TOC 标题2"/>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23</Pages>
  <Words>7014</Words>
  <Characters>7623</Characters>
  <Lines>55</Lines>
  <Paragraphs>15</Paragraphs>
  <TotalTime>29</TotalTime>
  <ScaleCrop>false</ScaleCrop>
  <LinksUpToDate>false</LinksUpToDate>
  <CharactersWithSpaces>7674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王茜</cp:lastModifiedBy>
  <cp:lastPrinted>2025-12-03T02:52:00Z</cp:lastPrinted>
  <dcterms:modified xsi:type="dcterms:W3CDTF">2025-12-05T02:23:32Z</dcterms:modified>
  <dc:title>四川省***</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CFBE3F5090A04E34BD91107FEFBDE544_13</vt:lpwstr>
  </property>
  <property fmtid="{D5CDD505-2E9C-101B-9397-08002B2CF9AE}" pid="4" name="KSOTemplateDocerSaveRecord">
    <vt:lpwstr>eyJoZGlkIjoiMGJlYWNiZGZkYjM3ZTc3ZjY0ZWVjZmRkM2IwZDg2NTAiLCJ1c2VySWQiOiIzNzc0MjU0NTQifQ==</vt:lpwstr>
  </property>
</Properties>
</file>