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7F6AA">
      <w:pPr>
        <w:spacing w:line="600" w:lineRule="exact"/>
        <w:jc w:val="left"/>
        <w:outlineLvl w:val="0"/>
        <w:rPr>
          <w:rFonts w:ascii="方正小标宋简体" w:hAnsi="宋体" w:eastAsia="方正小标宋简体"/>
          <w:szCs w:val="21"/>
        </w:rPr>
      </w:pPr>
      <w:bookmarkStart w:id="0" w:name="_Toc15306267"/>
    </w:p>
    <w:p w14:paraId="6534CD71">
      <w:pPr>
        <w:pStyle w:val="2"/>
        <w:spacing w:before="93"/>
      </w:pPr>
    </w:p>
    <w:p w14:paraId="41157D0A">
      <w:pPr>
        <w:spacing w:line="600" w:lineRule="exact"/>
        <w:jc w:val="center"/>
        <w:outlineLvl w:val="0"/>
        <w:rPr>
          <w:rFonts w:ascii="方正小标宋简体" w:hAnsi="宋体" w:eastAsia="方正小标宋简体"/>
          <w:sz w:val="72"/>
          <w:szCs w:val="72"/>
        </w:rPr>
      </w:pPr>
    </w:p>
    <w:p w14:paraId="49CD59EF">
      <w:pPr>
        <w:spacing w:line="600" w:lineRule="exact"/>
        <w:jc w:val="center"/>
        <w:outlineLvl w:val="0"/>
        <w:rPr>
          <w:rFonts w:ascii="方正小标宋简体" w:hAnsi="宋体" w:eastAsia="方正小标宋简体"/>
          <w:sz w:val="72"/>
          <w:szCs w:val="72"/>
        </w:rPr>
      </w:pPr>
    </w:p>
    <w:p w14:paraId="55A821EA">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96597"/>
      <w:bookmarkStart w:id="3" w:name="_Toc15377193"/>
      <w:bookmarkStart w:id="4" w:name="_Toc15396475"/>
      <w:bookmarkStart w:id="5" w:name="_Toc15377425"/>
      <w:r>
        <w:rPr>
          <w:rFonts w:hint="eastAsia" w:ascii="方正小标宋简体" w:hAnsi="方正小标宋简体" w:eastAsia="方正小标宋简体" w:cs="方正小标宋简体"/>
          <w:sz w:val="72"/>
          <w:szCs w:val="72"/>
        </w:rPr>
        <w:t>2024年度</w:t>
      </w:r>
      <w:bookmarkEnd w:id="1"/>
      <w:bookmarkEnd w:id="2"/>
      <w:bookmarkEnd w:id="3"/>
      <w:bookmarkEnd w:id="4"/>
      <w:bookmarkEnd w:id="5"/>
    </w:p>
    <w:bookmarkEnd w:id="0"/>
    <w:p w14:paraId="7609BC7E">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6" w:name="_Toc15377426"/>
      <w:bookmarkStart w:id="7" w:name="_Toc15378442"/>
      <w:bookmarkStart w:id="8" w:name="_Toc15396598"/>
      <w:bookmarkStart w:id="9" w:name="_Toc15377194"/>
      <w:bookmarkStart w:id="10" w:name="_Toc15396476"/>
      <w:r>
        <w:rPr>
          <w:rFonts w:hint="eastAsia" w:ascii="方正小标宋简体" w:hAnsi="方正小标宋简体" w:eastAsia="方正小标宋简体" w:cs="方正小标宋简体"/>
          <w:sz w:val="72"/>
          <w:szCs w:val="72"/>
        </w:rPr>
        <w:t>四川省</w:t>
      </w:r>
      <w:bookmarkStart w:id="11" w:name="_Toc15306268"/>
      <w:r>
        <w:rPr>
          <w:rFonts w:hint="eastAsia" w:ascii="方正小标宋简体" w:hAnsi="方正小标宋简体" w:eastAsia="方正小标宋简体" w:cs="方正小标宋简体"/>
          <w:sz w:val="72"/>
          <w:szCs w:val="72"/>
          <w:lang w:eastAsia="zh-CN"/>
        </w:rPr>
        <w:t>乐山市</w:t>
      </w:r>
      <w:bookmarkStart w:id="70" w:name="_GoBack"/>
      <w:bookmarkEnd w:id="70"/>
      <w:r>
        <w:rPr>
          <w:rFonts w:hint="eastAsia" w:ascii="方正小标宋简体" w:hAnsi="方正小标宋简体" w:eastAsia="方正小标宋简体" w:cs="方正小标宋简体"/>
          <w:sz w:val="72"/>
          <w:szCs w:val="72"/>
        </w:rPr>
        <w:t>峨眉山市</w:t>
      </w:r>
    </w:p>
    <w:p w14:paraId="11083A0C">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职业技术学校</w:t>
      </w:r>
    </w:p>
    <w:p w14:paraId="4B3B7B6A">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14:paraId="0429DE4E">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051BB242">
      <w:pPr>
        <w:pStyle w:val="11"/>
        <w:rPr>
          <w:rFonts w:ascii="黑体" w:hAnsi="黑体" w:eastAsia="黑体" w:cstheme="minorBidi"/>
        </w:rPr>
      </w:pPr>
    </w:p>
    <w:p w14:paraId="30520F27">
      <w:pPr>
        <w:pStyle w:val="11"/>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 1</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 xml:space="preserve"> 月 </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 xml:space="preserve"> 日</w:t>
      </w:r>
    </w:p>
    <w:p w14:paraId="1B75F55E"/>
    <w:p w14:paraId="76184D7F">
      <w:pPr>
        <w:pStyle w:val="13"/>
        <w:tabs>
          <w:tab w:val="right" w:leader="dot" w:pos="9730"/>
          <w:tab w:val="clear" w:pos="8296"/>
        </w:tabs>
        <w:ind w:left="0" w:leftChars="0"/>
      </w:pPr>
      <w:bookmarkStart w:id="12" w:name="_Toc15396599"/>
      <w:bookmarkStart w:id="13" w:name="_Toc15377196"/>
      <w:r>
        <w:rPr>
          <w:rFonts w:hint="eastAsia" w:ascii="黑体" w:hAnsi="黑体" w:eastAsia="黑体" w:cs="黑体"/>
          <w:sz w:val="32"/>
          <w:szCs w:val="32"/>
        </w:rPr>
        <w:t>第一部分 单位概况</w:t>
      </w:r>
      <w:r>
        <w:fldChar w:fldCharType="begin"/>
      </w:r>
      <w:r>
        <w:instrText xml:space="preserve"> HYPERLINK \l "_Toc60821794" </w:instrText>
      </w:r>
      <w:r>
        <w:fldChar w:fldCharType="separate"/>
      </w:r>
      <w:r>
        <w:tab/>
      </w:r>
      <w:r>
        <w:rPr>
          <w:rFonts w:hint="eastAsia"/>
        </w:rPr>
        <w:t>4</w:t>
      </w:r>
      <w:r>
        <w:fldChar w:fldCharType="end"/>
      </w:r>
    </w:p>
    <w:p w14:paraId="48058EC5">
      <w:pPr>
        <w:pStyle w:val="13"/>
        <w:tabs>
          <w:tab w:val="right" w:leader="dot" w:pos="9730"/>
          <w:tab w:val="clear" w:pos="8296"/>
        </w:tabs>
        <w:ind w:left="0" w:leftChars="0" w:firstLine="640" w:firstLineChars="200"/>
      </w:pPr>
      <w:r>
        <w:rPr>
          <w:rFonts w:hint="eastAsia" w:ascii="仿宋_GB2312" w:hAnsi="仿宋_GB2312" w:eastAsia="仿宋_GB2312" w:cs="仿宋_GB2312"/>
          <w:sz w:val="32"/>
          <w:szCs w:val="32"/>
        </w:rPr>
        <w:t>一、主要职责</w:t>
      </w:r>
      <w:r>
        <w:fldChar w:fldCharType="begin"/>
      </w:r>
      <w:r>
        <w:instrText xml:space="preserve"> HYPERLINK \l "_Toc60821794" </w:instrText>
      </w:r>
      <w:r>
        <w:fldChar w:fldCharType="separate"/>
      </w:r>
      <w:r>
        <w:tab/>
      </w:r>
      <w:r>
        <w:rPr>
          <w:rFonts w:hint="eastAsia"/>
        </w:rPr>
        <w:t>4</w:t>
      </w:r>
      <w:r>
        <w:fldChar w:fldCharType="end"/>
      </w:r>
    </w:p>
    <w:p w14:paraId="5CB0D6AC">
      <w:pPr>
        <w:pStyle w:val="13"/>
        <w:tabs>
          <w:tab w:val="right" w:leader="dot" w:pos="9730"/>
          <w:tab w:val="clear" w:pos="8296"/>
        </w:tabs>
        <w:ind w:left="0" w:leftChars="0" w:firstLine="640" w:firstLineChars="200"/>
      </w:pPr>
      <w:r>
        <w:rPr>
          <w:rFonts w:hint="eastAsia" w:ascii="仿宋_GB2312" w:hAnsi="仿宋_GB2312" w:eastAsia="仿宋_GB2312" w:cs="仿宋_GB2312"/>
          <w:sz w:val="32"/>
          <w:szCs w:val="32"/>
        </w:rPr>
        <w:t>二、机构设置</w:t>
      </w:r>
      <w:r>
        <w:fldChar w:fldCharType="begin"/>
      </w:r>
      <w:r>
        <w:instrText xml:space="preserve"> HYPERLINK \l "_Toc60821794" </w:instrText>
      </w:r>
      <w:r>
        <w:fldChar w:fldCharType="separate"/>
      </w:r>
      <w:r>
        <w:tab/>
      </w:r>
      <w:r>
        <w:rPr>
          <w:rFonts w:hint="eastAsia"/>
        </w:rPr>
        <w:t>7</w:t>
      </w:r>
      <w:r>
        <w:fldChar w:fldCharType="end"/>
      </w:r>
    </w:p>
    <w:p w14:paraId="4DAB4770">
      <w:pPr>
        <w:pStyle w:val="13"/>
        <w:tabs>
          <w:tab w:val="right" w:leader="dot" w:pos="9730"/>
          <w:tab w:val="clear" w:pos="8296"/>
        </w:tabs>
        <w:ind w:left="0" w:leftChars="0"/>
      </w:pPr>
      <w:r>
        <w:rPr>
          <w:rFonts w:hint="eastAsia" w:ascii="黑体" w:hAnsi="黑体" w:eastAsia="黑体" w:cs="黑体"/>
          <w:sz w:val="32"/>
          <w:szCs w:val="32"/>
        </w:rPr>
        <w:t>第二部分 2024年度单位决算情况说明</w:t>
      </w:r>
      <w:r>
        <w:fldChar w:fldCharType="begin"/>
      </w:r>
      <w:r>
        <w:instrText xml:space="preserve"> HYPERLINK \l "_Toc60821794" </w:instrText>
      </w:r>
      <w:r>
        <w:fldChar w:fldCharType="separate"/>
      </w:r>
      <w:r>
        <w:tab/>
      </w:r>
      <w:r>
        <w:fldChar w:fldCharType="end"/>
      </w:r>
      <w:r>
        <w:rPr>
          <w:rFonts w:hint="eastAsia"/>
        </w:rPr>
        <w:t>8</w:t>
      </w:r>
    </w:p>
    <w:p w14:paraId="164A8174">
      <w:pPr>
        <w:pStyle w:val="13"/>
        <w:tabs>
          <w:tab w:val="right" w:leader="dot" w:pos="9730"/>
          <w:tab w:val="clear" w:pos="8296"/>
        </w:tabs>
        <w:ind w:left="0" w:leftChars="0" w:firstLine="640" w:firstLineChars="200"/>
      </w:pPr>
      <w:r>
        <w:rPr>
          <w:rFonts w:hint="eastAsia" w:ascii="仿宋_GB2312" w:hAnsi="仿宋_GB2312" w:eastAsia="仿宋_GB2312" w:cs="仿宋_GB2312"/>
          <w:sz w:val="32"/>
          <w:szCs w:val="32"/>
        </w:rPr>
        <w:t>一、收入支出决算总体情况说明</w:t>
      </w:r>
      <w:r>
        <w:fldChar w:fldCharType="begin"/>
      </w:r>
      <w:r>
        <w:instrText xml:space="preserve"> HYPERLINK \l "_Toc60821794" </w:instrText>
      </w:r>
      <w:r>
        <w:fldChar w:fldCharType="separate"/>
      </w:r>
      <w:r>
        <w:tab/>
      </w:r>
      <w:r>
        <w:rPr>
          <w:rFonts w:hint="eastAsia"/>
        </w:rPr>
        <w:t>8</w:t>
      </w:r>
      <w:r>
        <w:fldChar w:fldCharType="end"/>
      </w:r>
    </w:p>
    <w:p w14:paraId="31AA7710">
      <w:pPr>
        <w:pStyle w:val="13"/>
        <w:tabs>
          <w:tab w:val="right" w:leader="dot" w:pos="9730"/>
          <w:tab w:val="clear" w:pos="8296"/>
        </w:tabs>
        <w:ind w:left="0" w:leftChars="0" w:firstLine="640" w:firstLineChars="200"/>
      </w:pPr>
      <w:r>
        <w:rPr>
          <w:rFonts w:hint="eastAsia" w:ascii="仿宋_GB2312" w:hAnsi="仿宋_GB2312" w:eastAsia="仿宋_GB2312" w:cs="仿宋_GB2312"/>
          <w:sz w:val="32"/>
          <w:szCs w:val="32"/>
        </w:rPr>
        <w:t>二、收入决算情况说明</w:t>
      </w:r>
      <w:r>
        <w:fldChar w:fldCharType="begin"/>
      </w:r>
      <w:r>
        <w:instrText xml:space="preserve"> HYPERLINK \l "_Toc60821794" </w:instrText>
      </w:r>
      <w:r>
        <w:fldChar w:fldCharType="separate"/>
      </w:r>
      <w:r>
        <w:tab/>
      </w:r>
      <w:r>
        <w:rPr>
          <w:rFonts w:hint="eastAsia"/>
        </w:rPr>
        <w:t>8</w:t>
      </w:r>
      <w:r>
        <w:fldChar w:fldCharType="end"/>
      </w:r>
    </w:p>
    <w:p w14:paraId="5A7A575C">
      <w:pPr>
        <w:pStyle w:val="13"/>
        <w:tabs>
          <w:tab w:val="right" w:leader="dot" w:pos="9730"/>
          <w:tab w:val="clear" w:pos="8296"/>
        </w:tabs>
        <w:ind w:left="0" w:leftChars="0" w:firstLine="640" w:firstLineChars="200"/>
      </w:pPr>
      <w:r>
        <w:rPr>
          <w:rFonts w:hint="eastAsia" w:ascii="仿宋_GB2312" w:hAnsi="仿宋_GB2312" w:eastAsia="仿宋_GB2312" w:cs="仿宋_GB2312"/>
          <w:sz w:val="32"/>
          <w:szCs w:val="32"/>
        </w:rPr>
        <w:t>三、支出决算情况说明</w:t>
      </w:r>
      <w:r>
        <w:fldChar w:fldCharType="begin"/>
      </w:r>
      <w:r>
        <w:instrText xml:space="preserve"> HYPERLINK \l "_Toc60821794" </w:instrText>
      </w:r>
      <w:r>
        <w:fldChar w:fldCharType="separate"/>
      </w:r>
      <w:r>
        <w:tab/>
      </w:r>
      <w:r>
        <w:rPr>
          <w:rFonts w:hint="eastAsia"/>
        </w:rPr>
        <w:t>9</w:t>
      </w:r>
      <w:r>
        <w:fldChar w:fldCharType="end"/>
      </w:r>
    </w:p>
    <w:p w14:paraId="3A2015C6">
      <w:pPr>
        <w:pStyle w:val="13"/>
        <w:tabs>
          <w:tab w:val="right" w:leader="dot" w:pos="9730"/>
          <w:tab w:val="clear" w:pos="8296"/>
        </w:tabs>
        <w:ind w:left="0" w:leftChars="0" w:firstLine="640" w:firstLineChars="200"/>
      </w:pPr>
      <w:r>
        <w:rPr>
          <w:rFonts w:hint="eastAsia" w:ascii="仿宋_GB2312" w:hAnsi="仿宋_GB2312" w:eastAsia="仿宋_GB2312" w:cs="仿宋_GB2312"/>
          <w:sz w:val="32"/>
          <w:szCs w:val="32"/>
        </w:rPr>
        <w:t>四、财政拨款收入支出决算总体情况说明</w:t>
      </w:r>
      <w:r>
        <w:fldChar w:fldCharType="begin"/>
      </w:r>
      <w:r>
        <w:instrText xml:space="preserve"> HYPERLINK \l "_Toc60821794" </w:instrText>
      </w:r>
      <w:r>
        <w:fldChar w:fldCharType="separate"/>
      </w:r>
      <w:r>
        <w:tab/>
      </w:r>
      <w:r>
        <w:rPr>
          <w:rFonts w:hint="eastAsia"/>
        </w:rPr>
        <w:t>1</w:t>
      </w:r>
      <w:r>
        <w:fldChar w:fldCharType="end"/>
      </w:r>
      <w:r>
        <w:rPr>
          <w:rFonts w:hint="eastAsia"/>
        </w:rPr>
        <w:t>0</w:t>
      </w:r>
    </w:p>
    <w:p w14:paraId="2F01369B">
      <w:pPr>
        <w:pStyle w:val="13"/>
        <w:tabs>
          <w:tab w:val="right" w:leader="dot" w:pos="9730"/>
          <w:tab w:val="clear" w:pos="8296"/>
        </w:tabs>
        <w:ind w:left="0" w:leftChars="0" w:firstLine="640" w:firstLineChars="200"/>
      </w:pPr>
      <w:r>
        <w:rPr>
          <w:rFonts w:hint="eastAsia" w:ascii="仿宋_GB2312" w:hAnsi="仿宋_GB2312" w:eastAsia="仿宋_GB2312" w:cs="仿宋_GB2312"/>
          <w:sz w:val="32"/>
          <w:szCs w:val="32"/>
        </w:rPr>
        <w:t>五、一般公共预算财政拨款支出决算情况说明</w:t>
      </w:r>
      <w:r>
        <w:fldChar w:fldCharType="begin"/>
      </w:r>
      <w:r>
        <w:instrText xml:space="preserve"> HYPERLINK \l "_Toc60821794" </w:instrText>
      </w:r>
      <w:r>
        <w:fldChar w:fldCharType="separate"/>
      </w:r>
      <w:r>
        <w:tab/>
      </w:r>
      <w:r>
        <w:rPr>
          <w:rFonts w:hint="eastAsia"/>
        </w:rPr>
        <w:t>1</w:t>
      </w:r>
      <w:r>
        <w:rPr>
          <w:rFonts w:hint="eastAsia"/>
        </w:rPr>
        <w:fldChar w:fldCharType="end"/>
      </w:r>
      <w:r>
        <w:rPr>
          <w:rFonts w:hint="eastAsia"/>
        </w:rPr>
        <w:t>0</w:t>
      </w:r>
    </w:p>
    <w:p w14:paraId="4D3CE607">
      <w:pPr>
        <w:pStyle w:val="13"/>
        <w:tabs>
          <w:tab w:val="right" w:leader="dot" w:pos="9730"/>
          <w:tab w:val="clear" w:pos="8296"/>
        </w:tabs>
        <w:ind w:left="0" w:leftChars="0" w:firstLine="640" w:firstLineChars="200"/>
      </w:pPr>
      <w:r>
        <w:rPr>
          <w:rFonts w:hint="eastAsia" w:ascii="仿宋_GB2312" w:hAnsi="仿宋_GB2312" w:eastAsia="仿宋_GB2312" w:cs="仿宋_GB2312"/>
          <w:sz w:val="32"/>
          <w:szCs w:val="32"/>
        </w:rPr>
        <w:t>六、一般公共预算财政拨款基本支出决算情况说明</w:t>
      </w:r>
      <w:r>
        <w:fldChar w:fldCharType="begin"/>
      </w:r>
      <w:r>
        <w:instrText xml:space="preserve"> HYPERLINK \l "_Toc60821794" </w:instrText>
      </w:r>
      <w:r>
        <w:fldChar w:fldCharType="separate"/>
      </w:r>
      <w:r>
        <w:tab/>
      </w:r>
      <w:r>
        <w:rPr>
          <w:rFonts w:hint="eastAsia"/>
        </w:rPr>
        <w:t>1</w:t>
      </w:r>
      <w:r>
        <w:fldChar w:fldCharType="end"/>
      </w:r>
      <w:r>
        <w:rPr>
          <w:rFonts w:hint="eastAsia"/>
        </w:rPr>
        <w:t>3</w:t>
      </w:r>
    </w:p>
    <w:p w14:paraId="633EA255">
      <w:pPr>
        <w:pStyle w:val="13"/>
        <w:tabs>
          <w:tab w:val="right" w:leader="dot" w:pos="9730"/>
          <w:tab w:val="clear" w:pos="8296"/>
        </w:tabs>
        <w:ind w:left="0" w:leftChars="0" w:firstLine="640" w:firstLineChars="200"/>
      </w:pPr>
      <w:r>
        <w:rPr>
          <w:rFonts w:hint="eastAsia" w:ascii="仿宋_GB2312" w:hAnsi="仿宋_GB2312" w:eastAsia="仿宋_GB2312" w:cs="仿宋_GB2312"/>
          <w:sz w:val="32"/>
          <w:szCs w:val="32"/>
        </w:rPr>
        <w:t>七、“三公”经费财政拨款支出决算情况说明</w:t>
      </w:r>
      <w:r>
        <w:fldChar w:fldCharType="begin"/>
      </w:r>
      <w:r>
        <w:instrText xml:space="preserve"> HYPERLINK \l "_Toc60821794" </w:instrText>
      </w:r>
      <w:r>
        <w:fldChar w:fldCharType="separate"/>
      </w:r>
      <w:r>
        <w:tab/>
      </w:r>
      <w:r>
        <w:rPr>
          <w:rFonts w:hint="eastAsia"/>
        </w:rPr>
        <w:t>1</w:t>
      </w:r>
      <w:r>
        <w:fldChar w:fldCharType="end"/>
      </w:r>
      <w:r>
        <w:rPr>
          <w:rFonts w:hint="eastAsia"/>
        </w:rPr>
        <w:t>4</w:t>
      </w:r>
    </w:p>
    <w:p w14:paraId="3B8DE128">
      <w:pPr>
        <w:pStyle w:val="13"/>
        <w:tabs>
          <w:tab w:val="right" w:leader="dot" w:pos="9730"/>
          <w:tab w:val="clear" w:pos="8296"/>
        </w:tabs>
        <w:ind w:left="0" w:leftChars="0" w:firstLine="640" w:firstLineChars="200"/>
      </w:pPr>
      <w:r>
        <w:rPr>
          <w:rFonts w:hint="eastAsia" w:ascii="仿宋_GB2312" w:hAnsi="仿宋_GB2312" w:eastAsia="仿宋_GB2312" w:cs="仿宋_GB2312"/>
          <w:sz w:val="32"/>
          <w:szCs w:val="32"/>
        </w:rPr>
        <w:t>八、政府性基金预算支出决算情况说明</w:t>
      </w:r>
      <w:r>
        <w:fldChar w:fldCharType="begin"/>
      </w:r>
      <w:r>
        <w:instrText xml:space="preserve"> HYPERLINK \l "_Toc60821794" </w:instrText>
      </w:r>
      <w:r>
        <w:fldChar w:fldCharType="separate"/>
      </w:r>
      <w:r>
        <w:tab/>
      </w:r>
      <w:r>
        <w:rPr>
          <w:rFonts w:hint="eastAsia"/>
        </w:rPr>
        <w:t>1</w:t>
      </w:r>
      <w:r>
        <w:fldChar w:fldCharType="end"/>
      </w:r>
      <w:r>
        <w:rPr>
          <w:rFonts w:hint="eastAsia"/>
        </w:rPr>
        <w:t>5</w:t>
      </w:r>
    </w:p>
    <w:p w14:paraId="4710150E">
      <w:pPr>
        <w:pStyle w:val="13"/>
        <w:tabs>
          <w:tab w:val="right" w:leader="dot" w:pos="9730"/>
          <w:tab w:val="clear" w:pos="8296"/>
        </w:tabs>
        <w:ind w:left="0" w:leftChars="0" w:firstLine="640" w:firstLineChars="200"/>
      </w:pPr>
      <w:r>
        <w:rPr>
          <w:rFonts w:hint="eastAsia" w:ascii="仿宋_GB2312" w:hAnsi="仿宋_GB2312" w:eastAsia="仿宋_GB2312" w:cs="仿宋_GB2312"/>
          <w:sz w:val="32"/>
          <w:szCs w:val="32"/>
        </w:rPr>
        <w:t>九、国有资本经营预算支出决算情况说明</w:t>
      </w:r>
      <w:r>
        <w:fldChar w:fldCharType="begin"/>
      </w:r>
      <w:r>
        <w:instrText xml:space="preserve"> HYPERLINK \l "_Toc60821794" </w:instrText>
      </w:r>
      <w:r>
        <w:fldChar w:fldCharType="separate"/>
      </w:r>
      <w:r>
        <w:tab/>
      </w:r>
      <w:r>
        <w:rPr>
          <w:rFonts w:hint="eastAsia"/>
        </w:rPr>
        <w:t>1</w:t>
      </w:r>
      <w:r>
        <w:fldChar w:fldCharType="end"/>
      </w:r>
      <w:r>
        <w:rPr>
          <w:rFonts w:hint="eastAsia"/>
        </w:rPr>
        <w:t>5</w:t>
      </w:r>
    </w:p>
    <w:p w14:paraId="5127B2AB">
      <w:pPr>
        <w:pStyle w:val="13"/>
        <w:tabs>
          <w:tab w:val="right" w:leader="dot" w:pos="9730"/>
          <w:tab w:val="clear" w:pos="8296"/>
        </w:tabs>
        <w:ind w:left="0" w:leftChars="0" w:firstLine="640" w:firstLineChars="200"/>
      </w:pPr>
      <w:r>
        <w:rPr>
          <w:rFonts w:hint="eastAsia" w:ascii="仿宋_GB2312" w:hAnsi="仿宋_GB2312" w:eastAsia="仿宋_GB2312" w:cs="仿宋_GB2312"/>
          <w:sz w:val="32"/>
          <w:szCs w:val="32"/>
        </w:rPr>
        <w:t>十、其他重要事项的情况说明</w:t>
      </w:r>
      <w:r>
        <w:fldChar w:fldCharType="begin"/>
      </w:r>
      <w:r>
        <w:instrText xml:space="preserve"> HYPERLINK \l "_Toc60821794" </w:instrText>
      </w:r>
      <w:r>
        <w:fldChar w:fldCharType="separate"/>
      </w:r>
      <w:r>
        <w:tab/>
      </w:r>
      <w:r>
        <w:rPr>
          <w:rFonts w:hint="eastAsia"/>
        </w:rPr>
        <w:t>1</w:t>
      </w:r>
      <w:r>
        <w:fldChar w:fldCharType="end"/>
      </w:r>
      <w:r>
        <w:rPr>
          <w:rFonts w:hint="eastAsia"/>
        </w:rPr>
        <w:t>5</w:t>
      </w:r>
    </w:p>
    <w:p w14:paraId="6806D30E">
      <w:pPr>
        <w:pStyle w:val="13"/>
        <w:tabs>
          <w:tab w:val="right" w:leader="dot" w:pos="9730"/>
          <w:tab w:val="clear" w:pos="8296"/>
        </w:tabs>
        <w:ind w:left="0" w:leftChars="0"/>
      </w:pPr>
      <w:r>
        <w:rPr>
          <w:rFonts w:hint="eastAsia" w:ascii="黑体" w:hAnsi="黑体" w:eastAsia="黑体" w:cs="黑体"/>
          <w:sz w:val="32"/>
          <w:szCs w:val="32"/>
        </w:rPr>
        <w:t>第三部分 名词解释</w:t>
      </w:r>
      <w:r>
        <w:fldChar w:fldCharType="begin"/>
      </w:r>
      <w:r>
        <w:instrText xml:space="preserve"> HYPERLINK \l "_Toc60821794" </w:instrText>
      </w:r>
      <w:r>
        <w:fldChar w:fldCharType="separate"/>
      </w:r>
      <w:r>
        <w:tab/>
      </w:r>
      <w:r>
        <w:rPr>
          <w:rFonts w:hint="eastAsia"/>
        </w:rPr>
        <w:t>1</w:t>
      </w:r>
      <w:r>
        <w:rPr>
          <w:rFonts w:hint="eastAsia"/>
        </w:rPr>
        <w:fldChar w:fldCharType="end"/>
      </w:r>
      <w:r>
        <w:rPr>
          <w:rFonts w:hint="eastAsia"/>
        </w:rPr>
        <w:t>7</w:t>
      </w:r>
    </w:p>
    <w:p w14:paraId="274481F0">
      <w:pPr>
        <w:pStyle w:val="13"/>
        <w:tabs>
          <w:tab w:val="right" w:leader="dot" w:pos="9730"/>
          <w:tab w:val="clear" w:pos="8296"/>
        </w:tabs>
        <w:ind w:left="0" w:leftChars="0"/>
      </w:pPr>
      <w:r>
        <w:rPr>
          <w:rFonts w:hint="eastAsia" w:ascii="黑体" w:hAnsi="黑体" w:eastAsia="黑体" w:cs="黑体"/>
          <w:sz w:val="32"/>
          <w:szCs w:val="32"/>
        </w:rPr>
        <w:t>第四部分 附件</w:t>
      </w:r>
      <w:r>
        <w:fldChar w:fldCharType="begin"/>
      </w:r>
      <w:r>
        <w:instrText xml:space="preserve"> HYPERLINK \l "_Toc60821794" </w:instrText>
      </w:r>
      <w:r>
        <w:fldChar w:fldCharType="separate"/>
      </w:r>
      <w:r>
        <w:tab/>
      </w:r>
      <w:r>
        <w:rPr>
          <w:rFonts w:hint="eastAsia"/>
        </w:rPr>
        <w:t>2</w:t>
      </w:r>
      <w:r>
        <w:rPr>
          <w:rFonts w:hint="eastAsia"/>
        </w:rPr>
        <w:fldChar w:fldCharType="end"/>
      </w:r>
      <w:r>
        <w:rPr>
          <w:rFonts w:hint="eastAsia"/>
        </w:rPr>
        <w:t>0</w:t>
      </w:r>
    </w:p>
    <w:p w14:paraId="471134BC">
      <w:pPr>
        <w:pStyle w:val="13"/>
        <w:tabs>
          <w:tab w:val="right" w:leader="dot" w:pos="9730"/>
          <w:tab w:val="clear" w:pos="8296"/>
        </w:tabs>
        <w:ind w:left="0" w:leftChars="0"/>
        <w:rPr>
          <w:rFonts w:hint="eastAsia" w:eastAsia="宋体"/>
          <w:lang w:eastAsia="zh-CN"/>
        </w:rPr>
      </w:pPr>
      <w:r>
        <w:rPr>
          <w:rFonts w:hint="eastAsia" w:ascii="黑体" w:hAnsi="黑体" w:eastAsia="黑体" w:cs="黑体"/>
          <w:sz w:val="32"/>
          <w:szCs w:val="32"/>
        </w:rPr>
        <w:t>第五部分 附表</w:t>
      </w:r>
      <w:r>
        <w:fldChar w:fldCharType="begin"/>
      </w:r>
      <w:r>
        <w:instrText xml:space="preserve"> HYPERLINK \l "_Toc60821794" </w:instrText>
      </w:r>
      <w:r>
        <w:fldChar w:fldCharType="separate"/>
      </w:r>
      <w:r>
        <w:tab/>
      </w:r>
      <w:r>
        <w:fldChar w:fldCharType="end"/>
      </w:r>
      <w:r>
        <w:rPr>
          <w:rFonts w:hint="eastAsia"/>
        </w:rPr>
        <w:t>3</w:t>
      </w:r>
      <w:r>
        <w:rPr>
          <w:rFonts w:hint="eastAsia"/>
          <w:lang w:val="en-US" w:eastAsia="zh-CN"/>
        </w:rPr>
        <w:t>0</w:t>
      </w:r>
    </w:p>
    <w:p w14:paraId="719721CD">
      <w:pPr>
        <w:pStyle w:val="13"/>
        <w:tabs>
          <w:tab w:val="right" w:leader="dot" w:pos="9730"/>
          <w:tab w:val="clear" w:pos="8296"/>
        </w:tabs>
        <w:ind w:left="0" w:leftChars="0" w:firstLine="640" w:firstLineChars="200"/>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一、收入支出决算总表</w:t>
      </w:r>
      <w:r>
        <w:fldChar w:fldCharType="begin"/>
      </w:r>
      <w:r>
        <w:instrText xml:space="preserve"> HYPERLINK \l "_Toc60821794" </w:instrText>
      </w:r>
      <w:r>
        <w:fldChar w:fldCharType="separate"/>
      </w:r>
      <w:r>
        <w:tab/>
      </w:r>
      <w:r>
        <w:fldChar w:fldCharType="end"/>
      </w:r>
      <w:r>
        <w:rPr>
          <w:rFonts w:hint="eastAsia"/>
        </w:rPr>
        <w:t>3</w:t>
      </w:r>
      <w:r>
        <w:rPr>
          <w:rFonts w:hint="eastAsia"/>
          <w:lang w:val="en-US" w:eastAsia="zh-CN"/>
        </w:rPr>
        <w:t>0</w:t>
      </w:r>
    </w:p>
    <w:p w14:paraId="00113F49">
      <w:pPr>
        <w:pStyle w:val="13"/>
        <w:tabs>
          <w:tab w:val="right" w:leader="dot" w:pos="9730"/>
          <w:tab w:val="clear" w:pos="8296"/>
        </w:tabs>
        <w:ind w:left="0" w:leftChars="0" w:firstLine="640" w:firstLineChars="200"/>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二、收入决算表</w:t>
      </w:r>
      <w:r>
        <w:fldChar w:fldCharType="begin"/>
      </w:r>
      <w:r>
        <w:instrText xml:space="preserve"> HYPERLINK \l "_Toc60821794" </w:instrText>
      </w:r>
      <w:r>
        <w:fldChar w:fldCharType="separate"/>
      </w:r>
      <w:r>
        <w:tab/>
      </w:r>
      <w:r>
        <w:fldChar w:fldCharType="end"/>
      </w:r>
      <w:r>
        <w:rPr>
          <w:rFonts w:hint="eastAsia"/>
        </w:rPr>
        <w:t>3</w:t>
      </w:r>
      <w:r>
        <w:rPr>
          <w:rFonts w:hint="eastAsia"/>
          <w:lang w:val="en-US" w:eastAsia="zh-CN"/>
        </w:rPr>
        <w:t>0</w:t>
      </w:r>
    </w:p>
    <w:p w14:paraId="6D48378C">
      <w:pPr>
        <w:pStyle w:val="13"/>
        <w:tabs>
          <w:tab w:val="right" w:leader="dot" w:pos="9730"/>
          <w:tab w:val="clear" w:pos="8296"/>
        </w:tabs>
        <w:ind w:left="0" w:leftChars="0" w:firstLine="640" w:firstLineChars="200"/>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三、支出决算表</w:t>
      </w:r>
      <w:r>
        <w:fldChar w:fldCharType="begin"/>
      </w:r>
      <w:r>
        <w:instrText xml:space="preserve"> HYPERLINK \l "_Toc60821794" </w:instrText>
      </w:r>
      <w:r>
        <w:fldChar w:fldCharType="separate"/>
      </w:r>
      <w:r>
        <w:tab/>
      </w:r>
      <w:r>
        <w:fldChar w:fldCharType="end"/>
      </w:r>
      <w:r>
        <w:rPr>
          <w:rFonts w:hint="eastAsia"/>
        </w:rPr>
        <w:t>3</w:t>
      </w:r>
      <w:r>
        <w:rPr>
          <w:rFonts w:hint="eastAsia"/>
          <w:lang w:val="en-US" w:eastAsia="zh-CN"/>
        </w:rPr>
        <w:t>0</w:t>
      </w:r>
    </w:p>
    <w:p w14:paraId="00B475A4">
      <w:pPr>
        <w:pStyle w:val="13"/>
        <w:tabs>
          <w:tab w:val="right" w:leader="dot" w:pos="9730"/>
          <w:tab w:val="clear" w:pos="8296"/>
        </w:tabs>
        <w:ind w:left="0" w:leftChars="0" w:firstLine="640" w:firstLineChars="200"/>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四、财政拨款收入支出决算总表</w:t>
      </w:r>
      <w:r>
        <w:fldChar w:fldCharType="begin"/>
      </w:r>
      <w:r>
        <w:instrText xml:space="preserve"> HYPERLINK \l "_Toc60821794" </w:instrText>
      </w:r>
      <w:r>
        <w:fldChar w:fldCharType="separate"/>
      </w:r>
      <w:r>
        <w:tab/>
      </w:r>
      <w:r>
        <w:fldChar w:fldCharType="end"/>
      </w:r>
      <w:r>
        <w:rPr>
          <w:rFonts w:hint="eastAsia"/>
        </w:rPr>
        <w:t>3</w:t>
      </w:r>
      <w:r>
        <w:rPr>
          <w:rFonts w:hint="eastAsia"/>
          <w:lang w:val="en-US" w:eastAsia="zh-CN"/>
        </w:rPr>
        <w:t>0</w:t>
      </w:r>
    </w:p>
    <w:p w14:paraId="443C4CA9">
      <w:pPr>
        <w:pStyle w:val="13"/>
        <w:tabs>
          <w:tab w:val="right" w:leader="dot" w:pos="9730"/>
          <w:tab w:val="clear" w:pos="8296"/>
        </w:tabs>
        <w:ind w:left="0" w:leftChars="0" w:firstLine="640" w:firstLineChars="200"/>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五、财政拨款支出决算明细表</w:t>
      </w:r>
      <w:r>
        <w:fldChar w:fldCharType="begin"/>
      </w:r>
      <w:r>
        <w:instrText xml:space="preserve"> HYPERLINK \l "_Toc60821794" </w:instrText>
      </w:r>
      <w:r>
        <w:fldChar w:fldCharType="separate"/>
      </w:r>
      <w:r>
        <w:tab/>
      </w:r>
      <w:r>
        <w:fldChar w:fldCharType="end"/>
      </w:r>
      <w:r>
        <w:rPr>
          <w:rFonts w:hint="eastAsia"/>
        </w:rPr>
        <w:t>3</w:t>
      </w:r>
      <w:r>
        <w:rPr>
          <w:rFonts w:hint="eastAsia"/>
          <w:lang w:val="en-US" w:eastAsia="zh-CN"/>
        </w:rPr>
        <w:t>0</w:t>
      </w:r>
    </w:p>
    <w:p w14:paraId="4099AD92">
      <w:pPr>
        <w:pStyle w:val="13"/>
        <w:tabs>
          <w:tab w:val="right" w:leader="dot" w:pos="9730"/>
          <w:tab w:val="clear" w:pos="8296"/>
        </w:tabs>
        <w:ind w:left="0" w:leftChars="0" w:firstLine="640" w:firstLineChars="200"/>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六、一般公共预算财政拨款支出决算表</w:t>
      </w:r>
      <w:r>
        <w:fldChar w:fldCharType="begin"/>
      </w:r>
      <w:r>
        <w:instrText xml:space="preserve"> HYPERLINK \l "_Toc60821794" </w:instrText>
      </w:r>
      <w:r>
        <w:fldChar w:fldCharType="separate"/>
      </w:r>
      <w:r>
        <w:tab/>
      </w:r>
      <w:r>
        <w:fldChar w:fldCharType="end"/>
      </w:r>
      <w:r>
        <w:rPr>
          <w:rFonts w:hint="eastAsia"/>
        </w:rPr>
        <w:t>3</w:t>
      </w:r>
      <w:r>
        <w:rPr>
          <w:rFonts w:hint="eastAsia"/>
          <w:lang w:val="en-US" w:eastAsia="zh-CN"/>
        </w:rPr>
        <w:t>0</w:t>
      </w:r>
    </w:p>
    <w:p w14:paraId="2F9DA62F">
      <w:pPr>
        <w:pStyle w:val="13"/>
        <w:tabs>
          <w:tab w:val="right" w:leader="dot" w:pos="9730"/>
          <w:tab w:val="clear" w:pos="8296"/>
        </w:tabs>
        <w:ind w:left="0" w:leftChars="0" w:firstLine="640" w:firstLineChars="200"/>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七、一般公共预算财政拨款支出决算明细表</w:t>
      </w:r>
      <w:r>
        <w:fldChar w:fldCharType="begin"/>
      </w:r>
      <w:r>
        <w:instrText xml:space="preserve"> HYPERLINK \l "_Toc60821794" </w:instrText>
      </w:r>
      <w:r>
        <w:fldChar w:fldCharType="separate"/>
      </w:r>
      <w:r>
        <w:tab/>
      </w:r>
      <w:r>
        <w:fldChar w:fldCharType="end"/>
      </w:r>
      <w:r>
        <w:rPr>
          <w:rFonts w:hint="eastAsia"/>
        </w:rPr>
        <w:t>3</w:t>
      </w:r>
      <w:r>
        <w:rPr>
          <w:rFonts w:hint="eastAsia"/>
          <w:lang w:val="en-US" w:eastAsia="zh-CN"/>
        </w:rPr>
        <w:t>0</w:t>
      </w:r>
    </w:p>
    <w:p w14:paraId="01AEE9AF">
      <w:pPr>
        <w:pStyle w:val="13"/>
        <w:tabs>
          <w:tab w:val="right" w:leader="dot" w:pos="9730"/>
          <w:tab w:val="clear" w:pos="8296"/>
        </w:tabs>
        <w:ind w:left="0" w:leftChars="0" w:firstLine="640" w:firstLineChars="200"/>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八、一般公共预算财政拨款基本支出决算明细表</w:t>
      </w:r>
      <w:r>
        <w:fldChar w:fldCharType="begin"/>
      </w:r>
      <w:r>
        <w:instrText xml:space="preserve"> HYPERLINK \l "_Toc60821794" </w:instrText>
      </w:r>
      <w:r>
        <w:fldChar w:fldCharType="separate"/>
      </w:r>
      <w:r>
        <w:tab/>
      </w:r>
      <w:r>
        <w:fldChar w:fldCharType="end"/>
      </w:r>
      <w:r>
        <w:rPr>
          <w:rFonts w:hint="eastAsia"/>
        </w:rPr>
        <w:t>3</w:t>
      </w:r>
      <w:r>
        <w:rPr>
          <w:rFonts w:hint="eastAsia"/>
          <w:lang w:val="en-US" w:eastAsia="zh-CN"/>
        </w:rPr>
        <w:t>0</w:t>
      </w:r>
    </w:p>
    <w:p w14:paraId="7D4DCF9D">
      <w:pPr>
        <w:pStyle w:val="13"/>
        <w:tabs>
          <w:tab w:val="right" w:leader="dot" w:pos="9730"/>
          <w:tab w:val="clear" w:pos="8296"/>
        </w:tabs>
        <w:ind w:left="0" w:leftChars="0" w:firstLine="640" w:firstLineChars="200"/>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九、一般公共预算财政拨款项目支出决算表</w:t>
      </w:r>
      <w:r>
        <w:fldChar w:fldCharType="begin"/>
      </w:r>
      <w:r>
        <w:instrText xml:space="preserve"> HYPERLINK \l "_Toc60821794" </w:instrText>
      </w:r>
      <w:r>
        <w:fldChar w:fldCharType="separate"/>
      </w:r>
      <w:r>
        <w:tab/>
      </w:r>
      <w:r>
        <w:fldChar w:fldCharType="end"/>
      </w:r>
      <w:r>
        <w:rPr>
          <w:rFonts w:hint="eastAsia"/>
        </w:rPr>
        <w:t>3</w:t>
      </w:r>
      <w:r>
        <w:rPr>
          <w:rFonts w:hint="eastAsia"/>
          <w:lang w:val="en-US" w:eastAsia="zh-CN"/>
        </w:rPr>
        <w:t>0</w:t>
      </w:r>
    </w:p>
    <w:p w14:paraId="5259219F">
      <w:pPr>
        <w:pStyle w:val="13"/>
        <w:tabs>
          <w:tab w:val="right" w:leader="dot" w:pos="9730"/>
          <w:tab w:val="clear" w:pos="8296"/>
        </w:tabs>
        <w:ind w:left="0" w:leftChars="0" w:firstLine="640" w:firstLineChars="200"/>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十、政府性基金预算财政拨款收入支出决算表</w:t>
      </w:r>
      <w:r>
        <w:fldChar w:fldCharType="begin"/>
      </w:r>
      <w:r>
        <w:instrText xml:space="preserve"> HYPERLINK \l "_Toc60821794" </w:instrText>
      </w:r>
      <w:r>
        <w:fldChar w:fldCharType="separate"/>
      </w:r>
      <w:r>
        <w:tab/>
      </w:r>
      <w:r>
        <w:fldChar w:fldCharType="end"/>
      </w:r>
      <w:r>
        <w:rPr>
          <w:rFonts w:hint="eastAsia"/>
        </w:rPr>
        <w:t>3</w:t>
      </w:r>
      <w:r>
        <w:rPr>
          <w:rFonts w:hint="eastAsia"/>
          <w:lang w:val="en-US" w:eastAsia="zh-CN"/>
        </w:rPr>
        <w:t>0</w:t>
      </w:r>
    </w:p>
    <w:p w14:paraId="346A1209">
      <w:pPr>
        <w:pStyle w:val="13"/>
        <w:tabs>
          <w:tab w:val="right" w:leader="dot" w:pos="9730"/>
          <w:tab w:val="clear" w:pos="8296"/>
        </w:tabs>
        <w:ind w:left="0" w:leftChars="0" w:firstLine="640" w:firstLineChars="200"/>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十一、国有资本经营预算财政拨款收入支出决算表</w:t>
      </w:r>
      <w:r>
        <w:fldChar w:fldCharType="begin"/>
      </w:r>
      <w:r>
        <w:instrText xml:space="preserve"> HYPERLINK \l "_Toc60821794" </w:instrText>
      </w:r>
      <w:r>
        <w:fldChar w:fldCharType="separate"/>
      </w:r>
      <w:r>
        <w:tab/>
      </w:r>
      <w:r>
        <w:fldChar w:fldCharType="end"/>
      </w:r>
      <w:r>
        <w:rPr>
          <w:rFonts w:hint="eastAsia"/>
        </w:rPr>
        <w:t>3</w:t>
      </w:r>
      <w:r>
        <w:rPr>
          <w:rFonts w:hint="eastAsia"/>
          <w:lang w:val="en-US" w:eastAsia="zh-CN"/>
        </w:rPr>
        <w:t>0</w:t>
      </w:r>
    </w:p>
    <w:p w14:paraId="673B09DA">
      <w:pPr>
        <w:pStyle w:val="13"/>
        <w:tabs>
          <w:tab w:val="right" w:leader="dot" w:pos="9730"/>
          <w:tab w:val="clear" w:pos="8296"/>
        </w:tabs>
        <w:ind w:left="0" w:leftChars="0" w:firstLine="640" w:firstLineChars="200"/>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十二、国有资本经营预算财政拨款支出决算表</w:t>
      </w:r>
      <w:r>
        <w:fldChar w:fldCharType="begin"/>
      </w:r>
      <w:r>
        <w:instrText xml:space="preserve"> HYPERLINK \l "_Toc60821794" </w:instrText>
      </w:r>
      <w:r>
        <w:fldChar w:fldCharType="separate"/>
      </w:r>
      <w:r>
        <w:tab/>
      </w:r>
      <w:r>
        <w:fldChar w:fldCharType="end"/>
      </w:r>
      <w:r>
        <w:rPr>
          <w:rFonts w:hint="eastAsia"/>
        </w:rPr>
        <w:t>3</w:t>
      </w:r>
      <w:r>
        <w:rPr>
          <w:rFonts w:hint="eastAsia"/>
          <w:lang w:val="en-US" w:eastAsia="zh-CN"/>
        </w:rPr>
        <w:t>0</w:t>
      </w:r>
    </w:p>
    <w:p w14:paraId="0B083FB9">
      <w:pPr>
        <w:pStyle w:val="13"/>
        <w:tabs>
          <w:tab w:val="right" w:leader="dot" w:pos="9730"/>
          <w:tab w:val="clear" w:pos="8296"/>
        </w:tabs>
        <w:ind w:left="0" w:leftChars="0" w:firstLine="640" w:firstLineChars="200"/>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十三、财政拨款“三公”经费支出决算表</w:t>
      </w:r>
      <w:r>
        <w:fldChar w:fldCharType="begin"/>
      </w:r>
      <w:r>
        <w:instrText xml:space="preserve"> HYPERLINK \l "_Toc60821794" </w:instrText>
      </w:r>
      <w:r>
        <w:fldChar w:fldCharType="separate"/>
      </w:r>
      <w:r>
        <w:tab/>
      </w:r>
      <w:r>
        <w:fldChar w:fldCharType="end"/>
      </w:r>
      <w:r>
        <w:rPr>
          <w:rFonts w:hint="eastAsia"/>
        </w:rPr>
        <w:t>3</w:t>
      </w:r>
      <w:r>
        <w:rPr>
          <w:rFonts w:hint="eastAsia"/>
          <w:lang w:val="en-US" w:eastAsia="zh-CN"/>
        </w:rPr>
        <w:t>0</w:t>
      </w:r>
    </w:p>
    <w:p w14:paraId="0236BA1C">
      <w:pPr>
        <w:widowControl/>
        <w:spacing w:line="440" w:lineRule="exact"/>
        <w:jc w:val="left"/>
        <w:rPr>
          <w:rFonts w:ascii="仿宋" w:hAnsi="仿宋" w:eastAsia="仿宋"/>
          <w:bCs/>
          <w:kern w:val="44"/>
          <w:sz w:val="24"/>
        </w:rPr>
      </w:pPr>
      <w:r>
        <w:rPr>
          <w:rFonts w:ascii="仿宋" w:hAnsi="仿宋" w:eastAsia="仿宋"/>
          <w:b/>
          <w:sz w:val="24"/>
        </w:rPr>
        <w:br w:type="page"/>
      </w:r>
    </w:p>
    <w:p w14:paraId="4DCC9349">
      <w:pPr>
        <w:pStyle w:val="3"/>
        <w:jc w:val="center"/>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bookmarkEnd w:id="12"/>
      <w:bookmarkEnd w:id="13"/>
    </w:p>
    <w:p w14:paraId="399782C1">
      <w:pPr>
        <w:pStyle w:val="4"/>
        <w:numPr>
          <w:ilvl w:val="0"/>
          <w:numId w:val="1"/>
        </w:numPr>
        <w:spacing w:line="240" w:lineRule="auto"/>
        <w:jc w:val="left"/>
        <w:rPr>
          <w:rStyle w:val="29"/>
          <w:rFonts w:ascii="黑体" w:hAnsi="黑体" w:eastAsia="黑体"/>
          <w:b w:val="0"/>
          <w:bCs w:val="0"/>
        </w:rPr>
      </w:pPr>
      <w:bookmarkStart w:id="14" w:name="_Toc15377197"/>
      <w:bookmarkStart w:id="15" w:name="_Toc15396600"/>
      <w:r>
        <w:rPr>
          <w:rStyle w:val="29"/>
          <w:rFonts w:hint="eastAsia" w:ascii="黑体" w:hAnsi="黑体" w:eastAsia="黑体"/>
          <w:b w:val="0"/>
          <w:bCs w:val="0"/>
        </w:rPr>
        <w:t>主要职责</w:t>
      </w:r>
    </w:p>
    <w:p w14:paraId="07292D02">
      <w:pPr>
        <w:pStyle w:val="27"/>
        <w:numPr>
          <w:ilvl w:val="0"/>
          <w:numId w:val="2"/>
        </w:numPr>
        <w:ind w:firstLineChars="0"/>
        <w:outlineLvl w:val="1"/>
        <w:rPr>
          <w:rFonts w:ascii="仿宋_GB2312" w:hAnsi="宋体" w:eastAsia="仿宋_GB2312"/>
          <w:b/>
          <w:bCs/>
          <w:sz w:val="32"/>
          <w:szCs w:val="32"/>
        </w:rPr>
      </w:pPr>
      <w:r>
        <w:rPr>
          <w:rFonts w:hint="eastAsia" w:ascii="仿宋_GB2312" w:hAnsi="宋体" w:eastAsia="仿宋_GB2312"/>
          <w:b/>
          <w:bCs/>
          <w:sz w:val="32"/>
          <w:szCs w:val="32"/>
        </w:rPr>
        <w:t>主要职责</w:t>
      </w:r>
    </w:p>
    <w:p w14:paraId="5EDAC56D">
      <w:pPr>
        <w:spacing w:line="600" w:lineRule="exact"/>
        <w:ind w:firstLine="480" w:firstLineChars="1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培养高中和初中学历技术应用人才，提高社会职业素质。从事文秘、财会等专业，高中、初中学历教育相关职业培训。</w:t>
      </w:r>
    </w:p>
    <w:p w14:paraId="56AE23C9">
      <w:pPr>
        <w:pStyle w:val="2"/>
        <w:spacing w:before="93"/>
        <w:ind w:firstLine="320" w:firstLineChars="100"/>
        <w:rPr>
          <w:rFonts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hAnsi="宋体"/>
          <w:b/>
          <w:bCs/>
          <w:kern w:val="2"/>
          <w:sz w:val="32"/>
          <w:szCs w:val="32"/>
        </w:rPr>
        <w:t>2024年重点工作完成情况</w:t>
      </w:r>
    </w:p>
    <w:p w14:paraId="385B7E44">
      <w:pPr>
        <w:spacing w:line="58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1.全面落实教育惠民政策</w:t>
      </w:r>
    </w:p>
    <w:p w14:paraId="05D4EAA5">
      <w:pPr>
        <w:spacing w:line="600" w:lineRule="exact"/>
        <w:ind w:firstLine="480" w:firstLineChars="1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民生实事和助学目标任务完成率100%，合计资助学生11704人次，发放资助资金及免学费381.027万元。</w:t>
      </w:r>
    </w:p>
    <w:p w14:paraId="0B07E17D">
      <w:pPr>
        <w:spacing w:line="58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2.全力做好规划编制与项目建设</w:t>
      </w:r>
    </w:p>
    <w:p w14:paraId="30814C61">
      <w:pPr>
        <w:spacing w:line="600" w:lineRule="exact"/>
        <w:ind w:firstLine="480" w:firstLineChars="1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按教育部要求制定了我校专业人才培养方案《峨眉山市职业技术学校专业人才培养方案》方案明确了该专业对应的职业范围及升学主要接续专业；线上线下年教学总学时数达到3900节以上；教学时间 40 周（含复习考试），每周平均学时 33 学时；公共基础课程学时占总学时的 1/3，累计总学时约为 1.5 学年；专业技能课程学时占总学时的 2/3；对文化基础要求较高或对职业技能要求较高的专业，公共基础必修课开齐了课程，开足了课时。思政课程、公共基础课程、专业核心课程使用国家规划教材。</w:t>
      </w:r>
    </w:p>
    <w:p w14:paraId="486F4460">
      <w:pPr>
        <w:spacing w:line="600" w:lineRule="exact"/>
        <w:ind w:firstLine="480" w:firstLineChars="1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教学管理观念新，改变传统教学管理方式，能体现规范性和灵活性；能合理调配教师、实训室和实训场地等教学资源，为课程实施创造条件；对教学过程实施质量监控，促进教师教学能力的提升，保证教学质量。</w:t>
      </w:r>
    </w:p>
    <w:p w14:paraId="650FA077">
      <w:pPr>
        <w:spacing w:line="600" w:lineRule="exact"/>
        <w:ind w:firstLine="480" w:firstLineChars="1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教育部中等职业学校专业设置要求，学校建立了教学管理制度体系等各项内控制度，制定了《峨眉山市职业技术学校教学工作制度》等，严格遵守教育部门关于中等职业学校的教学设置、教材选用、师资建设等文件的规定。严格依法治校，效果显著。</w:t>
      </w:r>
    </w:p>
    <w:p w14:paraId="09255BF2">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3.办学条件达到中等职业学校设置标准</w:t>
      </w:r>
    </w:p>
    <w:p w14:paraId="0B89A9DF">
      <w:pPr>
        <w:spacing w:line="600" w:lineRule="exact"/>
        <w:ind w:firstLine="800" w:firstLineChars="2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学校占地面积 90460 平方米（135 亩），现有在校生 1485</w:t>
      </w:r>
    </w:p>
    <w:p w14:paraId="4FA3B3BF">
      <w:pPr>
        <w:spacing w:line="6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人（全日制 1152 人，非全日制 333 人），全日制生均占地面积约 79 平方米；学校建筑面积 53270.99 平方米，全日制生均校舍建筑面积约 46 平方米。拥有教学楼 2 栋、实训楼 5栋、学生公寓 3 栋。拥有完善的教学、科研、实训、学生活动设施。有标准化田径运动场 1 个（400 米环形跑道）、篮球场 3个、羽毛球场 2 个、标准足球场 1 个、排球场 1 个、乒乓球训练场 1 个、武术室外训练场 1 个等。除满足教学使用外，还供省市县各级各类比赛、考试，同时也满足其它社会公益活动使用。</w:t>
      </w:r>
    </w:p>
    <w:p w14:paraId="658E1BC7">
      <w:pPr>
        <w:spacing w:line="600" w:lineRule="exact"/>
        <w:ind w:firstLine="800" w:firstLineChars="2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学校现有实训设备值 1453 万元，全日制生均 1.26 万元。校内现有设施设备齐全的 58 个实训室，不仅满足学校教学的需要，同时也向社会提供了职业培训、技能鉴定等多种公共服务。旅游实训中心配置有峨眉山市任英文旅工作室、茶艺实训室、旅游 3D 实训室等设施完备的实训室，现已成为省级重点实训基地。弘毅楼配置有学校中心机房、工业机器人、智慧教室、旅游 VR 实训室、车床实训、钳工实训、计算机云机房等实训室，为我校工业机器人、旅游、机械加工、计算机等专业实训提供了良好的硬件设施。知行楼建有汽车维修实训中心、新能源汽修实训室，继续与威途企业洽谈校企合作建设汽车 4S 实训基地。此外，还有焊工实训室、电钢琴房、声乐教室、形体房等多个实训室，新建无人机专业实训室和电子实训室</w:t>
      </w:r>
    </w:p>
    <w:p w14:paraId="5067C4C5">
      <w:pPr>
        <w:spacing w:line="58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4. 承担重大改革项目、赛事或其他专项工作</w:t>
      </w:r>
    </w:p>
    <w:p w14:paraId="47481325">
      <w:pPr>
        <w:pStyle w:val="2"/>
        <w:spacing w:before="93"/>
        <w:ind w:firstLine="640" w:firstLineChars="200"/>
        <w:rPr>
          <w:rFonts w:hAnsi="仿宋_GB2312" w:cs="仿宋_GB2312"/>
          <w:color w:val="000000" w:themeColor="text1"/>
          <w:kern w:val="2"/>
          <w:sz w:val="32"/>
          <w:szCs w:val="32"/>
          <w14:textFill>
            <w14:solidFill>
              <w14:schemeClr w14:val="tx1"/>
            </w14:solidFill>
          </w14:textFill>
        </w:rPr>
      </w:pPr>
      <w:r>
        <w:rPr>
          <w:rFonts w:hint="eastAsia" w:hAnsi="仿宋_GB2312" w:cs="仿宋_GB2312"/>
          <w:color w:val="000000" w:themeColor="text1"/>
          <w:kern w:val="2"/>
          <w:sz w:val="32"/>
          <w:szCs w:val="32"/>
          <w14:textFill>
            <w14:solidFill>
              <w14:schemeClr w14:val="tx1"/>
            </w14:solidFill>
          </w14:textFill>
        </w:rPr>
        <w:t>学校开展 3 重大改革：创建了四川省禁毒教育基地；成功申报了两项四川省职业教育教改课题；成功申报 3 个专业的 1+X 试点院校；新增培养了 7 名 1+X 专业教师：3 名计算机 1+X 自媒体中级教师，4 名 1+X wps 办公应用高级教师。承担乐山市级赛事 1 项：2022 年 12 月承担乐山市科技创新活动机器人比赛;承担乐山市级专项工作共 3 项：2023 年 5月、10 月承担乐山市计算机专业、信息技术学科、旅游专业教研会活动;承担了项学术交流（国家）：2023 年 3 月开展了高教社思政教材审读与试教工作。</w:t>
      </w:r>
    </w:p>
    <w:p w14:paraId="45A65A7B">
      <w:pPr>
        <w:spacing w:line="58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5.学校荣誉</w:t>
      </w:r>
    </w:p>
    <w:p w14:paraId="78DCB471">
      <w:pPr>
        <w:spacing w:line="600" w:lineRule="exact"/>
        <w:ind w:firstLine="480" w:firstLineChars="1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我校参加乐山市组织的各类教学教研活动效果好。获得四川省职业技能大赛三等奖；乐山市质量综合评估一等奖2023 年四川省学生信息素养提升实践活动中 3名学生获奖，1 人荣获二等奖，2 人荣获三等奖；乐山市一等奖 2 人次，二等奖 1 人次，三等奖 2 人获得四川省职业技能大赛三等奖；乐山市质量综合评估一等奖。</w:t>
      </w:r>
    </w:p>
    <w:p w14:paraId="4076656F">
      <w:pPr>
        <w:pStyle w:val="2"/>
        <w:spacing w:before="93"/>
        <w:ind w:firstLine="600" w:firstLineChars="200"/>
      </w:pPr>
      <w:r>
        <w:rPr>
          <w:rFonts w:hint="eastAsia"/>
        </w:rPr>
        <w:t>创新创业：4 名老师指导 3 名学生参加 37 届四川省青少年科技创大赛荣获一等奖、主席奖，罗月荣获 37 届全国青少年科技创大赛荣获三等奖。3 名教师指导学生参加 2023 年四川省学生信息素养提升实践活动中获奖。</w:t>
      </w:r>
    </w:p>
    <w:p w14:paraId="73769FAF">
      <w:pPr>
        <w:pStyle w:val="2"/>
        <w:spacing w:before="93"/>
      </w:pPr>
      <w:r>
        <w:rPr>
          <w:rFonts w:hint="eastAsia"/>
        </w:rPr>
        <w:t>技能大赛：本年度，4 名教师指导学生参加四川省“中行杯”技能赛网络安全与液压与气动系统装调与维护 3 人次荣获三等奖；2023 年四川省学生信息素养提升实践活动中 3名学生获奖，1 人荣获二等奖，2 人荣获三等奖；乐山市一等奖 2 人次，二等奖 1 人次，三等奖 2 人次。</w:t>
      </w:r>
    </w:p>
    <w:p w14:paraId="302C3032">
      <w:pPr>
        <w:spacing w:line="600" w:lineRule="exact"/>
        <w:ind w:firstLine="480" w:firstLineChars="150"/>
        <w:rPr>
          <w:rFonts w:ascii="仿宋_GB2312" w:hAnsi="仿宋_GB2312" w:eastAsia="仿宋_GB2312" w:cs="仿宋_GB2312"/>
          <w:color w:val="000000" w:themeColor="text1"/>
          <w:sz w:val="32"/>
          <w:szCs w:val="32"/>
          <w14:textFill>
            <w14:solidFill>
              <w14:schemeClr w14:val="tx1"/>
            </w14:solidFill>
          </w14:textFill>
        </w:rPr>
      </w:pPr>
    </w:p>
    <w:p w14:paraId="0FD55BF2">
      <w:pPr>
        <w:pStyle w:val="4"/>
        <w:rPr>
          <w:rFonts w:ascii="黑体" w:hAnsi="黑体" w:eastAsia="黑体"/>
          <w:b w:val="0"/>
        </w:rPr>
      </w:pPr>
      <w:r>
        <w:rPr>
          <w:rFonts w:hint="eastAsia" w:ascii="黑体" w:hAnsi="黑体" w:eastAsia="黑体"/>
          <w:b w:val="0"/>
        </w:rPr>
        <w:t>二、机构设置</w:t>
      </w:r>
    </w:p>
    <w:bookmarkEnd w:id="14"/>
    <w:bookmarkEnd w:id="15"/>
    <w:p w14:paraId="2DBB77AE">
      <w:pPr>
        <w:ind w:firstLine="707" w:firstLineChars="221"/>
        <w:rPr>
          <w:rFonts w:ascii="仿宋" w:hAnsi="仿宋" w:eastAsia="仿宋"/>
          <w:sz w:val="32"/>
          <w:szCs w:val="32"/>
        </w:rPr>
      </w:pPr>
      <w:r>
        <w:rPr>
          <w:rFonts w:hint="eastAsia" w:ascii="仿宋" w:hAnsi="仿宋" w:eastAsia="仿宋"/>
          <w:sz w:val="32"/>
          <w:szCs w:val="32"/>
        </w:rPr>
        <w:t>峨眉山职业技术学校属于峨眉山市教育局部门下属的二级预算单位，下设独立编制机构1个，其中行政机构0个，参照公务员法管理的事业机构0个，其他事业机构1个。</w:t>
      </w:r>
    </w:p>
    <w:p w14:paraId="7A472351">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ascii="仿宋" w:hAnsi="仿宋" w:eastAsia="仿宋"/>
          <w:sz w:val="32"/>
          <w:szCs w:val="32"/>
        </w:rPr>
        <w:t>峨眉山职业技术学校</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部门决算编制范围的预算单位包括：</w:t>
      </w:r>
    </w:p>
    <w:p w14:paraId="47DEE717">
      <w:pPr>
        <w:pStyle w:val="2"/>
        <w:numPr>
          <w:ilvl w:val="0"/>
          <w:numId w:val="3"/>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仿宋" w:hAnsi="仿宋" w:eastAsia="仿宋"/>
          <w:sz w:val="32"/>
          <w:szCs w:val="32"/>
        </w:rPr>
        <w:t>峨眉山职业技术学校</w:t>
      </w:r>
      <w:r>
        <w:rPr>
          <w:rFonts w:hint="eastAsia" w:ascii="仿宋" w:hAnsi="仿宋" w:eastAsia="仿宋"/>
          <w:color w:val="auto"/>
          <w:sz w:val="32"/>
          <w:szCs w:val="32"/>
          <w:lang w:eastAsia="zh-CN"/>
        </w:rPr>
        <w:t>。</w:t>
      </w:r>
    </w:p>
    <w:p w14:paraId="5FCA5439">
      <w:pPr>
        <w:widowControl/>
        <w:jc w:val="left"/>
        <w:rPr>
          <w:rFonts w:ascii="仿宋" w:hAnsi="仿宋" w:eastAsia="仿宋"/>
          <w:kern w:val="0"/>
          <w:sz w:val="32"/>
          <w:szCs w:val="32"/>
        </w:rPr>
      </w:pPr>
      <w:r>
        <w:rPr>
          <w:rFonts w:ascii="仿宋" w:hAnsi="仿宋" w:eastAsia="仿宋"/>
          <w:sz w:val="32"/>
          <w:szCs w:val="32"/>
        </w:rPr>
        <w:br w:type="page"/>
      </w:r>
    </w:p>
    <w:p w14:paraId="5149EAB5">
      <w:pPr>
        <w:pStyle w:val="3"/>
        <w:ind w:right="440"/>
        <w:jc w:val="center"/>
        <w:rPr>
          <w:rStyle w:val="28"/>
          <w:rFonts w:ascii="黑体" w:hAnsi="黑体" w:eastAsia="黑体"/>
          <w:b w:val="0"/>
          <w:bCs/>
        </w:rPr>
      </w:pPr>
      <w:bookmarkStart w:id="16" w:name="_Toc15396602"/>
      <w:bookmarkStart w:id="17" w:name="_Toc15377204"/>
      <w:r>
        <w:rPr>
          <w:rFonts w:hint="eastAsia" w:ascii="黑体" w:hAnsi="黑体" w:eastAsia="黑体"/>
          <w:b w:val="0"/>
        </w:rPr>
        <w:t>第二部分 2024年度</w:t>
      </w:r>
      <w:r>
        <w:rPr>
          <w:rStyle w:val="28"/>
          <w:rFonts w:hint="eastAsia" w:ascii="黑体" w:hAnsi="黑体" w:eastAsia="黑体"/>
          <w:b w:val="0"/>
          <w:bCs/>
        </w:rPr>
        <w:t>单位决算情况说明</w:t>
      </w:r>
      <w:bookmarkEnd w:id="16"/>
      <w:bookmarkEnd w:id="17"/>
    </w:p>
    <w:p w14:paraId="344402C1"/>
    <w:p w14:paraId="78892D5A">
      <w:pPr>
        <w:pStyle w:val="27"/>
        <w:numPr>
          <w:ilvl w:val="0"/>
          <w:numId w:val="4"/>
        </w:numPr>
        <w:spacing w:line="600" w:lineRule="exact"/>
        <w:ind w:firstLineChars="0"/>
        <w:outlineLvl w:val="1"/>
        <w:rPr>
          <w:rStyle w:val="29"/>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14:paraId="74A17734">
      <w:pPr>
        <w:spacing w:line="600" w:lineRule="exact"/>
        <w:ind w:firstLine="640" w:firstLineChars="200"/>
        <w:rPr>
          <w:rFonts w:ascii="仿宋" w:hAnsi="仿宋" w:eastAsia="仿宋"/>
          <w:sz w:val="32"/>
          <w:szCs w:val="32"/>
        </w:rPr>
      </w:pPr>
      <w:r>
        <w:rPr>
          <w:rFonts w:hint="eastAsia" w:ascii="仿宋" w:hAnsi="仿宋" w:eastAsia="仿宋"/>
          <w:sz w:val="32"/>
          <w:szCs w:val="32"/>
        </w:rPr>
        <w:t>2024年度收、支总计均为</w:t>
      </w:r>
      <w:r>
        <w:rPr>
          <w:rFonts w:hint="eastAsia" w:ascii="仿宋" w:hAnsi="仿宋" w:eastAsia="仿宋"/>
          <w:b/>
          <w:sz w:val="32"/>
          <w:szCs w:val="32"/>
        </w:rPr>
        <w:t>2684.08</w:t>
      </w:r>
      <w:r>
        <w:rPr>
          <w:rFonts w:hint="eastAsia" w:ascii="仿宋" w:hAnsi="仿宋" w:eastAsia="仿宋"/>
          <w:sz w:val="32"/>
          <w:szCs w:val="32"/>
        </w:rPr>
        <w:t>万元。与2023年度相比，收、支总计各增加250.75万元，增加10.3</w:t>
      </w:r>
      <w:r>
        <w:rPr>
          <w:rFonts w:ascii="仿宋" w:hAnsi="仿宋" w:eastAsia="仿宋"/>
          <w:sz w:val="32"/>
          <w:szCs w:val="32"/>
        </w:rPr>
        <w:t>%</w:t>
      </w:r>
      <w:r>
        <w:rPr>
          <w:rFonts w:hint="eastAsia" w:ascii="仿宋" w:hAnsi="仿宋" w:eastAsia="仿宋"/>
          <w:sz w:val="32"/>
          <w:szCs w:val="32"/>
        </w:rPr>
        <w:t>。主要变动原因是今年支付城北幼儿园工程款项。</w:t>
      </w:r>
    </w:p>
    <w:p w14:paraId="60C9BE7A">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14056B4D">
      <w:pPr>
        <w:ind w:firstLine="640" w:firstLineChars="200"/>
        <w:jc w:val="left"/>
        <w:rPr>
          <w:rFonts w:ascii="仿宋_GB2312" w:eastAsia="仿宋_GB2312"/>
          <w:sz w:val="32"/>
          <w:szCs w:val="32"/>
        </w:rPr>
      </w:pPr>
      <w:r>
        <w:rPr>
          <w:rFonts w:ascii="仿宋_GB2312" w:eastAsia="仿宋_GB2312"/>
          <w:sz w:val="32"/>
          <w:szCs w:val="32"/>
        </w:rPr>
        <w:drawing>
          <wp:inline distT="0" distB="0" distL="0" distR="0">
            <wp:extent cx="4730750" cy="28778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730750" cy="2877820"/>
                    </a:xfrm>
                    <a:prstGeom prst="rect">
                      <a:avLst/>
                    </a:prstGeom>
                    <a:noFill/>
                  </pic:spPr>
                </pic:pic>
              </a:graphicData>
            </a:graphic>
          </wp:inline>
        </w:drawing>
      </w:r>
    </w:p>
    <w:p w14:paraId="6B68D04A">
      <w:pPr>
        <w:pStyle w:val="27"/>
        <w:numPr>
          <w:ilvl w:val="0"/>
          <w:numId w:val="4"/>
        </w:numPr>
        <w:spacing w:line="600" w:lineRule="exact"/>
        <w:ind w:firstLineChars="0"/>
        <w:outlineLvl w:val="1"/>
        <w:rPr>
          <w:rStyle w:val="29"/>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14:paraId="18D67FAC">
      <w:pPr>
        <w:spacing w:line="600" w:lineRule="exact"/>
        <w:ind w:firstLine="640" w:firstLineChars="200"/>
        <w:outlineLvl w:val="1"/>
        <w:rPr>
          <w:rFonts w:ascii="仿宋" w:hAnsi="仿宋" w:eastAsia="仿宋"/>
          <w:b/>
          <w:sz w:val="32"/>
          <w:szCs w:val="32"/>
        </w:rPr>
      </w:pPr>
      <w:r>
        <w:rPr>
          <w:rFonts w:hint="eastAsia" w:ascii="仿宋" w:hAnsi="仿宋" w:eastAsia="仿宋"/>
          <w:sz w:val="32"/>
          <w:szCs w:val="32"/>
        </w:rPr>
        <w:t>2024年度本年收入合计</w:t>
      </w:r>
      <w:r>
        <w:rPr>
          <w:rFonts w:hint="eastAsia" w:ascii="仿宋" w:hAnsi="仿宋" w:eastAsia="仿宋"/>
          <w:b/>
          <w:sz w:val="32"/>
          <w:szCs w:val="32"/>
        </w:rPr>
        <w:t>2344.39</w:t>
      </w:r>
      <w:r>
        <w:rPr>
          <w:rFonts w:hint="eastAsia" w:ascii="仿宋" w:hAnsi="仿宋" w:eastAsia="仿宋"/>
          <w:sz w:val="32"/>
          <w:szCs w:val="32"/>
        </w:rPr>
        <w:t>万元，其中：一般公共预算财政拨款收入</w:t>
      </w:r>
      <w:r>
        <w:rPr>
          <w:rFonts w:hint="eastAsia" w:ascii="仿宋" w:hAnsi="仿宋" w:eastAsia="仿宋"/>
          <w:b/>
          <w:sz w:val="32"/>
          <w:szCs w:val="32"/>
        </w:rPr>
        <w:t>2291.04</w:t>
      </w:r>
      <w:r>
        <w:rPr>
          <w:rFonts w:hint="eastAsia" w:ascii="仿宋" w:hAnsi="仿宋" w:eastAsia="仿宋"/>
          <w:sz w:val="32"/>
          <w:szCs w:val="32"/>
        </w:rPr>
        <w:t>万元，占</w:t>
      </w:r>
      <w:r>
        <w:rPr>
          <w:rFonts w:hint="eastAsia" w:ascii="仿宋" w:hAnsi="仿宋" w:eastAsia="仿宋"/>
          <w:b/>
          <w:sz w:val="32"/>
          <w:szCs w:val="32"/>
        </w:rPr>
        <w:t>97.72</w:t>
      </w:r>
      <w:r>
        <w:rPr>
          <w:rFonts w:ascii="仿宋" w:hAnsi="仿宋" w:eastAsia="仿宋"/>
          <w:b/>
          <w:sz w:val="32"/>
          <w:szCs w:val="32"/>
        </w:rPr>
        <w:t>%</w:t>
      </w:r>
      <w:r>
        <w:rPr>
          <w:rFonts w:hint="eastAsia" w:ascii="仿宋" w:hAnsi="仿宋" w:eastAsia="仿宋"/>
          <w:sz w:val="32"/>
          <w:szCs w:val="32"/>
        </w:rPr>
        <w:t>；政府性基金预算财政拨款收入</w:t>
      </w:r>
      <w:r>
        <w:rPr>
          <w:rFonts w:hint="eastAsia" w:ascii="仿宋" w:hAnsi="仿宋" w:eastAsia="仿宋"/>
          <w:b/>
          <w:sz w:val="32"/>
          <w:szCs w:val="32"/>
        </w:rPr>
        <w:t>8.04</w:t>
      </w:r>
      <w:r>
        <w:rPr>
          <w:rFonts w:hint="eastAsia" w:ascii="仿宋" w:hAnsi="仿宋" w:eastAsia="仿宋"/>
          <w:sz w:val="32"/>
          <w:szCs w:val="32"/>
        </w:rPr>
        <w:t>万元，占</w:t>
      </w:r>
      <w:r>
        <w:rPr>
          <w:rFonts w:hint="eastAsia" w:ascii="仿宋" w:hAnsi="仿宋" w:eastAsia="仿宋"/>
          <w:b/>
          <w:sz w:val="32"/>
          <w:szCs w:val="32"/>
        </w:rPr>
        <w:t>0.34</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hint="eastAsia" w:ascii="仿宋" w:hAnsi="仿宋" w:eastAsia="仿宋"/>
          <w:b/>
          <w:sz w:val="32"/>
          <w:szCs w:val="32"/>
        </w:rPr>
        <w:t>45.31</w:t>
      </w:r>
      <w:r>
        <w:rPr>
          <w:rFonts w:hint="eastAsia" w:ascii="仿宋" w:hAnsi="仿宋" w:eastAsia="仿宋"/>
          <w:sz w:val="32"/>
          <w:szCs w:val="32"/>
        </w:rPr>
        <w:t>万元，占</w:t>
      </w:r>
      <w:r>
        <w:rPr>
          <w:rFonts w:hint="eastAsia" w:ascii="仿宋" w:hAnsi="仿宋" w:eastAsia="仿宋"/>
          <w:b/>
          <w:sz w:val="32"/>
          <w:szCs w:val="32"/>
        </w:rPr>
        <w:t>1.94</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68FE44E9">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52AA33A3">
      <w:pPr>
        <w:ind w:firstLine="640" w:firstLineChars="200"/>
        <w:rPr>
          <w:rFonts w:ascii="仿宋_GB2312" w:eastAsia="仿宋_GB2312"/>
          <w:sz w:val="32"/>
          <w:szCs w:val="32"/>
        </w:rPr>
      </w:pPr>
      <w:r>
        <w:rPr>
          <w:rFonts w:ascii="仿宋_GB2312" w:eastAsia="仿宋_GB2312"/>
          <w:sz w:val="32"/>
          <w:szCs w:val="32"/>
        </w:rPr>
        <w:drawing>
          <wp:inline distT="0" distB="0" distL="0" distR="0">
            <wp:extent cx="4011295" cy="2676525"/>
            <wp:effectExtent l="0" t="0" r="825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11295" cy="2676525"/>
                    </a:xfrm>
                    <a:prstGeom prst="rect">
                      <a:avLst/>
                    </a:prstGeom>
                    <a:noFill/>
                  </pic:spPr>
                </pic:pic>
              </a:graphicData>
            </a:graphic>
          </wp:inline>
        </w:drawing>
      </w:r>
    </w:p>
    <w:p w14:paraId="07758758">
      <w:pPr>
        <w:pStyle w:val="27"/>
        <w:numPr>
          <w:ilvl w:val="0"/>
          <w:numId w:val="4"/>
        </w:numPr>
        <w:spacing w:line="600" w:lineRule="exact"/>
        <w:ind w:firstLineChars="0"/>
        <w:outlineLvl w:val="1"/>
        <w:rPr>
          <w:rStyle w:val="29"/>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14:paraId="0B953090">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2024年度本年支出合计</w:t>
      </w:r>
      <w:r>
        <w:rPr>
          <w:rFonts w:hint="eastAsia" w:ascii="仿宋" w:hAnsi="仿宋" w:eastAsia="仿宋"/>
          <w:b/>
          <w:sz w:val="32"/>
          <w:szCs w:val="32"/>
        </w:rPr>
        <w:t>2684.08</w:t>
      </w:r>
      <w:r>
        <w:rPr>
          <w:rFonts w:hint="eastAsia" w:ascii="仿宋" w:hAnsi="仿宋" w:eastAsia="仿宋"/>
          <w:sz w:val="32"/>
          <w:szCs w:val="32"/>
        </w:rPr>
        <w:t>万元，其中：基本支出</w:t>
      </w:r>
      <w:r>
        <w:rPr>
          <w:rFonts w:hint="eastAsia" w:ascii="仿宋" w:hAnsi="仿宋" w:eastAsia="仿宋"/>
          <w:b/>
          <w:sz w:val="32"/>
          <w:szCs w:val="32"/>
        </w:rPr>
        <w:t>1876.42</w:t>
      </w:r>
      <w:r>
        <w:rPr>
          <w:rFonts w:hint="eastAsia" w:ascii="仿宋" w:hAnsi="仿宋" w:eastAsia="仿宋"/>
          <w:sz w:val="32"/>
          <w:szCs w:val="32"/>
        </w:rPr>
        <w:t>万元，占</w:t>
      </w:r>
      <w:r>
        <w:rPr>
          <w:rFonts w:hint="eastAsia" w:ascii="仿宋" w:hAnsi="仿宋" w:eastAsia="仿宋"/>
          <w:b/>
          <w:sz w:val="32"/>
          <w:szCs w:val="32"/>
        </w:rPr>
        <w:t>69.9</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b/>
          <w:sz w:val="32"/>
          <w:szCs w:val="32"/>
        </w:rPr>
        <w:t>807.66</w:t>
      </w:r>
      <w:r>
        <w:rPr>
          <w:rFonts w:hint="eastAsia" w:ascii="仿宋" w:hAnsi="仿宋" w:eastAsia="仿宋"/>
          <w:sz w:val="32"/>
          <w:szCs w:val="32"/>
        </w:rPr>
        <w:t>万元，占30.1</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5A8463AB">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65EB5F3D">
      <w:pPr>
        <w:ind w:firstLine="640" w:firstLineChars="200"/>
        <w:rPr>
          <w:rFonts w:ascii="仿宋_GB2312" w:eastAsia="仿宋_GB2312"/>
          <w:sz w:val="32"/>
          <w:szCs w:val="32"/>
        </w:rPr>
      </w:pPr>
      <w:r>
        <w:rPr>
          <w:rFonts w:ascii="仿宋_GB2312" w:eastAsia="仿宋_GB2312"/>
          <w:sz w:val="32"/>
          <w:szCs w:val="32"/>
        </w:rPr>
        <w:drawing>
          <wp:inline distT="0" distB="0" distL="0" distR="0">
            <wp:extent cx="4011295" cy="2743200"/>
            <wp:effectExtent l="0" t="0" r="825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11295" cy="2743200"/>
                    </a:xfrm>
                    <a:prstGeom prst="rect">
                      <a:avLst/>
                    </a:prstGeom>
                    <a:noFill/>
                  </pic:spPr>
                </pic:pic>
              </a:graphicData>
            </a:graphic>
          </wp:inline>
        </w:drawing>
      </w:r>
    </w:p>
    <w:p w14:paraId="37780B75">
      <w:pPr>
        <w:spacing w:line="600" w:lineRule="exact"/>
        <w:ind w:firstLine="640" w:firstLineChars="200"/>
        <w:outlineLvl w:val="1"/>
        <w:rPr>
          <w:rStyle w:val="29"/>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14:paraId="0FD15009">
      <w:pPr>
        <w:spacing w:line="600" w:lineRule="exact"/>
        <w:ind w:firstLine="640" w:firstLineChars="200"/>
        <w:rPr>
          <w:rFonts w:ascii="仿宋" w:hAnsi="仿宋" w:eastAsia="仿宋"/>
          <w:sz w:val="32"/>
          <w:szCs w:val="32"/>
        </w:rPr>
      </w:pPr>
      <w:r>
        <w:rPr>
          <w:rFonts w:hint="eastAsia" w:ascii="仿宋" w:hAnsi="仿宋" w:eastAsia="仿宋"/>
          <w:sz w:val="32"/>
          <w:szCs w:val="32"/>
        </w:rPr>
        <w:t>2024年度财政拨款收、支总计均为</w:t>
      </w:r>
      <w:r>
        <w:rPr>
          <w:rFonts w:hint="eastAsia" w:ascii="仿宋" w:hAnsi="仿宋" w:eastAsia="仿宋"/>
          <w:b/>
          <w:sz w:val="32"/>
          <w:szCs w:val="32"/>
        </w:rPr>
        <w:t>2638.77</w:t>
      </w:r>
      <w:r>
        <w:rPr>
          <w:rFonts w:hint="eastAsia" w:ascii="仿宋" w:hAnsi="仿宋" w:eastAsia="仿宋"/>
          <w:sz w:val="32"/>
          <w:szCs w:val="32"/>
        </w:rPr>
        <w:t>万元。与2023年度相比，财政拨款收、支总计各增加612.72万元，上升30.24</w:t>
      </w:r>
      <w:r>
        <w:rPr>
          <w:rFonts w:ascii="仿宋" w:hAnsi="仿宋" w:eastAsia="仿宋"/>
          <w:sz w:val="32"/>
          <w:szCs w:val="32"/>
        </w:rPr>
        <w:t>%</w:t>
      </w:r>
      <w:r>
        <w:rPr>
          <w:rFonts w:hint="eastAsia" w:ascii="仿宋" w:hAnsi="仿宋" w:eastAsia="仿宋"/>
          <w:sz w:val="32"/>
          <w:szCs w:val="32"/>
        </w:rPr>
        <w:t>。主要变动原因是今年支付城北幼儿园工程款项。</w:t>
      </w:r>
    </w:p>
    <w:p w14:paraId="44C15713">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59A09892">
      <w:pPr>
        <w:ind w:firstLine="640"/>
        <w:rPr>
          <w:rFonts w:ascii="仿宋" w:hAnsi="仿宋" w:eastAsia="仿宋"/>
          <w:b/>
          <w:sz w:val="32"/>
          <w:szCs w:val="32"/>
        </w:rPr>
      </w:pPr>
      <w:r>
        <w:rPr>
          <w:rFonts w:ascii="仿宋" w:hAnsi="仿宋" w:eastAsia="仿宋"/>
          <w:b/>
          <w:sz w:val="32"/>
          <w:szCs w:val="32"/>
        </w:rPr>
        <w:drawing>
          <wp:inline distT="0" distB="0" distL="0" distR="0">
            <wp:extent cx="5166995" cy="3561715"/>
            <wp:effectExtent l="0" t="0" r="0" b="635"/>
            <wp:docPr id="1" name="图片 1" descr="C:\xwechat_files\L941208_de89\temp\RWTemp\2025-11\4918357888bcfcf5a04ffe729f262968\1d871dde21842c35ac1bb5d1cf469f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xwechat_files\L941208_de89\temp\RWTemp\2025-11\4918357888bcfcf5a04ffe729f262968\1d871dde21842c35ac1bb5d1cf469f3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67186" cy="3561744"/>
                    </a:xfrm>
                    <a:prstGeom prst="rect">
                      <a:avLst/>
                    </a:prstGeom>
                    <a:noFill/>
                    <a:ln>
                      <a:noFill/>
                    </a:ln>
                  </pic:spPr>
                </pic:pic>
              </a:graphicData>
            </a:graphic>
          </wp:inline>
        </w:drawing>
      </w:r>
    </w:p>
    <w:p w14:paraId="278316D9">
      <w:pPr>
        <w:spacing w:line="600" w:lineRule="exact"/>
        <w:ind w:firstLine="640" w:firstLineChars="200"/>
        <w:outlineLvl w:val="1"/>
        <w:rPr>
          <w:rStyle w:val="29"/>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14:paraId="79A8610B">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79466F0B">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2024年度一般公共预算财政拨款支出</w:t>
      </w:r>
      <w:r>
        <w:rPr>
          <w:rFonts w:hint="eastAsia" w:ascii="仿宋" w:hAnsi="仿宋" w:eastAsia="仿宋"/>
          <w:b/>
          <w:sz w:val="32"/>
          <w:szCs w:val="32"/>
        </w:rPr>
        <w:t>2291.04</w:t>
      </w:r>
      <w:r>
        <w:rPr>
          <w:rFonts w:hint="eastAsia" w:ascii="仿宋" w:hAnsi="仿宋" w:eastAsia="仿宋"/>
          <w:sz w:val="32"/>
          <w:szCs w:val="32"/>
        </w:rPr>
        <w:t>万元，占本年支出合计的</w:t>
      </w:r>
      <w:r>
        <w:rPr>
          <w:rFonts w:hint="eastAsia" w:ascii="仿宋" w:hAnsi="仿宋" w:eastAsia="仿宋"/>
          <w:b/>
          <w:sz w:val="32"/>
          <w:szCs w:val="32"/>
        </w:rPr>
        <w:t>85.36</w:t>
      </w:r>
      <w:r>
        <w:rPr>
          <w:rFonts w:ascii="仿宋" w:hAnsi="仿宋" w:eastAsia="仿宋"/>
          <w:sz w:val="32"/>
          <w:szCs w:val="32"/>
        </w:rPr>
        <w:t>%</w:t>
      </w:r>
      <w:r>
        <w:rPr>
          <w:rFonts w:hint="eastAsia" w:ascii="仿宋" w:hAnsi="仿宋" w:eastAsia="仿宋"/>
          <w:sz w:val="32"/>
          <w:szCs w:val="32"/>
        </w:rPr>
        <w:t>。与2023年度相比，一般公共预算财政拨款支出增加106.65万元，增长4.9</w:t>
      </w:r>
      <w:r>
        <w:rPr>
          <w:rFonts w:ascii="仿宋" w:hAnsi="仿宋" w:eastAsia="仿宋"/>
          <w:sz w:val="32"/>
          <w:szCs w:val="32"/>
        </w:rPr>
        <w:t>%</w:t>
      </w:r>
      <w:r>
        <w:rPr>
          <w:rFonts w:hint="eastAsia" w:ascii="仿宋" w:hAnsi="仿宋" w:eastAsia="仿宋"/>
          <w:sz w:val="32"/>
          <w:szCs w:val="32"/>
        </w:rPr>
        <w:t>。主要变动原因是今年支付城北幼儿园工程款项。</w:t>
      </w:r>
    </w:p>
    <w:p w14:paraId="04CBC003">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1E261330">
      <w:pPr>
        <w:ind w:firstLine="640" w:firstLineChars="200"/>
        <w:rPr>
          <w:rFonts w:ascii="仿宋" w:hAnsi="仿宋" w:eastAsia="仿宋"/>
          <w:sz w:val="32"/>
          <w:szCs w:val="32"/>
        </w:rPr>
      </w:pPr>
      <w:r>
        <w:rPr>
          <w:rFonts w:ascii="仿宋" w:hAnsi="仿宋" w:eastAsia="仿宋"/>
          <w:sz w:val="32"/>
          <w:szCs w:val="32"/>
        </w:rPr>
        <w:drawing>
          <wp:inline distT="0" distB="0" distL="0" distR="0">
            <wp:extent cx="5241290" cy="2955290"/>
            <wp:effectExtent l="0" t="0" r="0" b="0"/>
            <wp:docPr id="4" name="图片 4" descr="C:\xwechat_files\L941208_de89\temp\RWTemp\2025-11\4918357888bcfcf5a04ffe729f262968\7d992bd98f5954cd567b073cee943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xwechat_files\L941208_de89\temp\RWTemp\2025-11\4918357888bcfcf5a04ffe729f262968\7d992bd98f5954cd567b073cee94319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42156" cy="2956023"/>
                    </a:xfrm>
                    <a:prstGeom prst="rect">
                      <a:avLst/>
                    </a:prstGeom>
                    <a:noFill/>
                    <a:ln>
                      <a:noFill/>
                    </a:ln>
                  </pic:spPr>
                </pic:pic>
              </a:graphicData>
            </a:graphic>
          </wp:inline>
        </w:drawing>
      </w:r>
    </w:p>
    <w:p w14:paraId="136C18A3">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347A1D1F">
      <w:pPr>
        <w:spacing w:line="600" w:lineRule="exact"/>
        <w:ind w:firstLine="640"/>
        <w:rPr>
          <w:rFonts w:ascii="仿宋" w:hAnsi="仿宋" w:eastAsia="仿宋"/>
          <w:b/>
          <w:sz w:val="32"/>
          <w:szCs w:val="32"/>
        </w:rPr>
      </w:pPr>
      <w:r>
        <w:rPr>
          <w:rFonts w:hint="eastAsia" w:ascii="仿宋" w:hAnsi="仿宋" w:eastAsia="仿宋"/>
          <w:sz w:val="32"/>
          <w:szCs w:val="32"/>
        </w:rPr>
        <w:t>2024年度一般公共预算财政拨款支出</w:t>
      </w:r>
      <w:r>
        <w:rPr>
          <w:rFonts w:hint="eastAsia" w:ascii="仿宋" w:hAnsi="仿宋" w:eastAsia="仿宋"/>
          <w:b/>
          <w:sz w:val="32"/>
          <w:szCs w:val="32"/>
        </w:rPr>
        <w:t>2184.39</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 xml:space="preserve"> 一般公共服务支出0</w:t>
      </w:r>
      <w:r>
        <w:rPr>
          <w:rFonts w:hint="eastAsia" w:ascii="仿宋" w:hAnsi="仿宋" w:eastAsia="仿宋"/>
          <w:sz w:val="32"/>
          <w:szCs w:val="32"/>
        </w:rPr>
        <w:t>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1814.7万元，占83.08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文化旅游体育与传媒支出0万元，占0</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268.5万元，占12.3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58.61万元，占2.68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149.22万元，占6.83</w:t>
      </w:r>
      <w:r>
        <w:rPr>
          <w:rFonts w:ascii="仿宋" w:hAnsi="仿宋" w:eastAsia="仿宋"/>
          <w:sz w:val="32"/>
          <w:szCs w:val="32"/>
        </w:rPr>
        <w:t>%</w:t>
      </w:r>
      <w:r>
        <w:rPr>
          <w:rFonts w:hint="eastAsia" w:ascii="仿宋" w:hAnsi="仿宋" w:eastAsia="仿宋"/>
          <w:sz w:val="32"/>
          <w:szCs w:val="32"/>
        </w:rPr>
        <w:t>。</w:t>
      </w:r>
    </w:p>
    <w:p w14:paraId="56CA7D02">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6A999239">
      <w:pPr>
        <w:ind w:firstLine="640" w:firstLineChars="200"/>
        <w:rPr>
          <w:rFonts w:ascii="仿宋" w:hAnsi="仿宋" w:eastAsia="仿宋"/>
          <w:sz w:val="32"/>
          <w:szCs w:val="32"/>
        </w:rPr>
      </w:pPr>
      <w:r>
        <w:rPr>
          <w:rFonts w:ascii="仿宋" w:hAnsi="仿宋" w:eastAsia="仿宋"/>
          <w:sz w:val="32"/>
          <w:szCs w:val="32"/>
        </w:rPr>
        <w:drawing>
          <wp:inline distT="0" distB="0" distL="0" distR="0">
            <wp:extent cx="4816475" cy="3042285"/>
            <wp:effectExtent l="0" t="0" r="317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816475" cy="3042285"/>
                    </a:xfrm>
                    <a:prstGeom prst="rect">
                      <a:avLst/>
                    </a:prstGeom>
                    <a:noFill/>
                  </pic:spPr>
                </pic:pic>
              </a:graphicData>
            </a:graphic>
          </wp:inline>
        </w:drawing>
      </w:r>
    </w:p>
    <w:p w14:paraId="7D8D02D4">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753BAD93">
      <w:pPr>
        <w:spacing w:line="600" w:lineRule="exact"/>
        <w:ind w:firstLine="643" w:firstLineChars="200"/>
        <w:outlineLvl w:val="2"/>
        <w:rPr>
          <w:rFonts w:ascii="仿宋" w:hAnsi="仿宋" w:eastAsia="仿宋"/>
          <w:sz w:val="32"/>
          <w:szCs w:val="32"/>
        </w:rPr>
      </w:pPr>
      <w:bookmarkStart w:id="31" w:name="_Toc15378460"/>
      <w:bookmarkStart w:id="32" w:name="_Toc15377444"/>
      <w:bookmarkStart w:id="33" w:name="_Toc15377213"/>
      <w:r>
        <w:rPr>
          <w:rFonts w:hint="eastAsia" w:ascii="仿宋" w:hAnsi="仿宋" w:eastAsia="仿宋"/>
          <w:b/>
          <w:sz w:val="32"/>
          <w:szCs w:val="32"/>
        </w:rPr>
        <w:t>2024年度一般公共预算支出决算数为2291.04</w:t>
      </w:r>
      <w:r>
        <w:rPr>
          <w:rFonts w:hint="eastAsia" w:ascii="仿宋" w:hAnsi="仿宋" w:eastAsia="仿宋"/>
          <w:sz w:val="32"/>
          <w:szCs w:val="32"/>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31"/>
      <w:bookmarkEnd w:id="32"/>
      <w:bookmarkEnd w:id="33"/>
    </w:p>
    <w:p w14:paraId="3AE29612">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rPr>
        <w:t>1</w:t>
      </w:r>
      <w:r>
        <w:rPr>
          <w:rStyle w:val="17"/>
          <w:rFonts w:ascii="仿宋" w:hAnsi="仿宋" w:eastAsia="仿宋"/>
          <w:bCs/>
          <w:sz w:val="32"/>
          <w:szCs w:val="32"/>
        </w:rPr>
        <w:t>.</w:t>
      </w:r>
      <w:r>
        <w:rPr>
          <w:rStyle w:val="17"/>
          <w:rFonts w:hint="eastAsia" w:ascii="仿宋" w:hAnsi="仿宋" w:eastAsia="仿宋"/>
          <w:bCs/>
          <w:sz w:val="32"/>
          <w:szCs w:val="32"/>
        </w:rPr>
        <w:t>教育（类）普通教育（款）其他普通教育（项）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支出决算为384.64万元，完成预算100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61FFD400">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rPr>
        <w:t>2</w:t>
      </w:r>
      <w:r>
        <w:rPr>
          <w:rStyle w:val="17"/>
          <w:rFonts w:ascii="仿宋" w:hAnsi="仿宋" w:eastAsia="仿宋"/>
          <w:bCs/>
          <w:sz w:val="32"/>
          <w:szCs w:val="32"/>
        </w:rPr>
        <w:t>.</w:t>
      </w:r>
      <w:r>
        <w:rPr>
          <w:rStyle w:val="17"/>
          <w:rFonts w:hint="eastAsia" w:ascii="仿宋" w:hAnsi="仿宋" w:eastAsia="仿宋"/>
          <w:bCs/>
          <w:sz w:val="32"/>
          <w:szCs w:val="32"/>
        </w:rPr>
        <w:t>教育（类）职业教育</w:t>
      </w:r>
      <w:bookmarkStart w:id="34" w:name="OLE_LINK2"/>
      <w:bookmarkStart w:id="35" w:name="OLE_LINK1"/>
      <w:r>
        <w:rPr>
          <w:rStyle w:val="17"/>
          <w:rFonts w:hint="eastAsia" w:ascii="仿宋" w:hAnsi="仿宋" w:eastAsia="仿宋"/>
          <w:bCs/>
          <w:sz w:val="32"/>
          <w:szCs w:val="32"/>
        </w:rPr>
        <w:t>（款）</w:t>
      </w:r>
      <w:bookmarkEnd w:id="34"/>
      <w:bookmarkEnd w:id="35"/>
      <w:r>
        <w:rPr>
          <w:rStyle w:val="17"/>
          <w:rFonts w:hint="eastAsia" w:ascii="仿宋" w:hAnsi="仿宋" w:eastAsia="仿宋"/>
          <w:bCs/>
          <w:sz w:val="32"/>
          <w:szCs w:val="32"/>
        </w:rPr>
        <w:t>中等职业教育</w:t>
      </w:r>
      <w:bookmarkStart w:id="36" w:name="OLE_LINK3"/>
      <w:r>
        <w:rPr>
          <w:rStyle w:val="17"/>
          <w:rFonts w:hint="eastAsia" w:ascii="仿宋" w:hAnsi="仿宋" w:eastAsia="仿宋"/>
          <w:bCs/>
          <w:sz w:val="32"/>
          <w:szCs w:val="32"/>
        </w:rPr>
        <w:t>（项）</w:t>
      </w:r>
      <w:r>
        <w:rPr>
          <w:rStyle w:val="17"/>
          <w:rFonts w:ascii="仿宋" w:hAnsi="仿宋" w:eastAsia="仿宋"/>
          <w:bCs/>
          <w:sz w:val="32"/>
          <w:szCs w:val="32"/>
        </w:rPr>
        <w:t>:</w:t>
      </w:r>
      <w:bookmarkEnd w:id="36"/>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支出决算为1407</w:t>
      </w:r>
      <w:r>
        <w:rPr>
          <w:rStyle w:val="17"/>
          <w:rFonts w:hint="eastAsia" w:ascii="仿宋" w:hAnsi="仿宋" w:eastAsia="仿宋"/>
          <w:b w:val="0"/>
          <w:bCs/>
          <w:sz w:val="32"/>
          <w:szCs w:val="32"/>
          <w:lang w:val="en-US" w:eastAsia="zh-CN"/>
        </w:rPr>
        <w:t>.09</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3EF941D2">
      <w:pPr>
        <w:spacing w:line="600" w:lineRule="exact"/>
        <w:ind w:firstLine="420" w:firstLineChars="200"/>
        <w:rPr>
          <w:rStyle w:val="17"/>
          <w:rFonts w:hint="eastAsia" w:ascii="仿宋" w:hAnsi="仿宋" w:eastAsia="仿宋"/>
          <w:bCs/>
          <w:sz w:val="32"/>
          <w:szCs w:val="32"/>
        </w:rPr>
      </w:pPr>
      <w:r>
        <w:rPr>
          <w:rFonts w:hint="eastAsia"/>
        </w:rPr>
        <w:t xml:space="preserve"> </w:t>
      </w:r>
      <w:r>
        <w:rPr>
          <w:rStyle w:val="17"/>
          <w:rFonts w:hint="eastAsia" w:ascii="仿宋" w:hAnsi="仿宋" w:eastAsia="仿宋"/>
          <w:bCs/>
          <w:sz w:val="32"/>
          <w:szCs w:val="32"/>
        </w:rPr>
        <w:t xml:space="preserve"> 3. 教育（类） 教育费附加（款）其他教育费附加（项）</w:t>
      </w:r>
      <w:r>
        <w:rPr>
          <w:rStyle w:val="17"/>
          <w:rFonts w:ascii="仿宋" w:hAnsi="仿宋" w:eastAsia="仿宋"/>
          <w:bCs/>
          <w:sz w:val="32"/>
          <w:szCs w:val="32"/>
        </w:rPr>
        <w:t>:</w:t>
      </w:r>
      <w:r>
        <w:rPr>
          <w:rStyle w:val="17"/>
          <w:rFonts w:hint="eastAsia" w:ascii="仿宋" w:hAnsi="仿宋" w:eastAsia="仿宋"/>
          <w:bCs/>
          <w:sz w:val="32"/>
          <w:szCs w:val="32"/>
        </w:rPr>
        <w:t xml:space="preserve"> </w:t>
      </w:r>
      <w:r>
        <w:rPr>
          <w:rStyle w:val="17"/>
          <w:rFonts w:hint="eastAsia" w:ascii="仿宋" w:hAnsi="仿宋" w:eastAsia="仿宋"/>
          <w:b w:val="0"/>
          <w:bCs/>
          <w:sz w:val="32"/>
          <w:szCs w:val="32"/>
        </w:rPr>
        <w:t>支出决算为22.98万元，完成预算100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21CE2914">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4</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社会保障和就业（类）行政事业单位养老（款）机关事业单位基本养老保险缴费（项）</w:t>
      </w:r>
      <w:r>
        <w:rPr>
          <w:rStyle w:val="17"/>
          <w:rFonts w:ascii="仿宋" w:hAnsi="仿宋" w:eastAsia="仿宋"/>
          <w:bCs/>
          <w:sz w:val="32"/>
          <w:szCs w:val="32"/>
        </w:rPr>
        <w:t xml:space="preserve">: </w:t>
      </w:r>
      <w:r>
        <w:rPr>
          <w:rStyle w:val="17"/>
          <w:rFonts w:hint="eastAsia" w:ascii="仿宋" w:hAnsi="仿宋" w:eastAsia="仿宋"/>
          <w:b w:val="0"/>
          <w:bCs/>
          <w:sz w:val="32"/>
          <w:szCs w:val="32"/>
        </w:rPr>
        <w:t>支出决算为148.37万元，完成预算100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6E9BB84B">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5</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社会保障和就业（类）行政事业单位养老（款）机关事业单位职业年金缴费（项）</w:t>
      </w:r>
      <w:r>
        <w:rPr>
          <w:rStyle w:val="17"/>
          <w:rFonts w:ascii="仿宋" w:hAnsi="仿宋" w:eastAsia="仿宋"/>
          <w:bCs/>
          <w:sz w:val="32"/>
          <w:szCs w:val="32"/>
        </w:rPr>
        <w:t xml:space="preserve">: </w:t>
      </w:r>
      <w:r>
        <w:rPr>
          <w:rStyle w:val="17"/>
          <w:rFonts w:hint="eastAsia" w:ascii="仿宋" w:hAnsi="仿宋" w:eastAsia="仿宋"/>
          <w:b w:val="0"/>
          <w:bCs/>
          <w:sz w:val="32"/>
          <w:szCs w:val="32"/>
        </w:rPr>
        <w:t>支出决算为81.31万元，完成预算100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45CFDD15">
      <w:pPr>
        <w:spacing w:line="600" w:lineRule="exact"/>
        <w:ind w:firstLine="643" w:firstLineChars="200"/>
        <w:rPr>
          <w:rStyle w:val="17"/>
          <w:rFonts w:ascii="仿宋" w:hAnsi="仿宋" w:eastAsia="仿宋"/>
          <w:b w:val="0"/>
          <w:bCs/>
          <w:color w:val="000000"/>
          <w:sz w:val="32"/>
          <w:szCs w:val="32"/>
        </w:rPr>
      </w:pPr>
      <w:r>
        <w:rPr>
          <w:rStyle w:val="17"/>
          <w:rFonts w:hint="eastAsia" w:ascii="仿宋" w:hAnsi="仿宋" w:eastAsia="仿宋"/>
          <w:bCs/>
          <w:sz w:val="32"/>
          <w:szCs w:val="32"/>
        </w:rPr>
        <w:t>6</w:t>
      </w:r>
      <w:r>
        <w:rPr>
          <w:rStyle w:val="17"/>
          <w:rFonts w:ascii="仿宋" w:hAnsi="仿宋" w:eastAsia="仿宋"/>
          <w:bCs/>
          <w:sz w:val="32"/>
          <w:szCs w:val="32"/>
        </w:rPr>
        <w:t>.</w:t>
      </w:r>
      <w:r>
        <w:rPr>
          <w:rStyle w:val="17"/>
          <w:rFonts w:hint="eastAsia" w:ascii="仿宋" w:hAnsi="仿宋" w:eastAsia="仿宋"/>
          <w:bCs/>
          <w:sz w:val="32"/>
          <w:szCs w:val="32"/>
        </w:rPr>
        <w:t>社会保障和就业（类）抚恤（款）死亡抚恤（项）</w:t>
      </w:r>
      <w:r>
        <w:rPr>
          <w:rStyle w:val="17"/>
          <w:rFonts w:ascii="仿宋" w:hAnsi="仿宋" w:eastAsia="仿宋"/>
          <w:bCs/>
          <w:sz w:val="32"/>
          <w:szCs w:val="32"/>
        </w:rPr>
        <w:t xml:space="preserve">: </w:t>
      </w:r>
      <w:r>
        <w:rPr>
          <w:rStyle w:val="17"/>
          <w:rFonts w:hint="eastAsia" w:ascii="仿宋" w:hAnsi="仿宋" w:eastAsia="仿宋"/>
          <w:bCs/>
          <w:sz w:val="32"/>
          <w:szCs w:val="32"/>
        </w:rPr>
        <w:t>支</w:t>
      </w:r>
      <w:r>
        <w:rPr>
          <w:rStyle w:val="17"/>
          <w:rFonts w:hint="eastAsia" w:ascii="仿宋" w:hAnsi="仿宋" w:eastAsia="仿宋"/>
          <w:b w:val="0"/>
          <w:bCs/>
          <w:sz w:val="32"/>
          <w:szCs w:val="32"/>
        </w:rPr>
        <w:t>出决算为12.23万元，完成预算100</w:t>
      </w:r>
      <w:r>
        <w:rPr>
          <w:rStyle w:val="17"/>
          <w:rFonts w:ascii="仿宋" w:hAnsi="仿宋" w:eastAsia="仿宋"/>
          <w:b w:val="0"/>
          <w:bCs/>
          <w:sz w:val="32"/>
          <w:szCs w:val="32"/>
        </w:rPr>
        <w:t>%</w:t>
      </w:r>
      <w:r>
        <w:rPr>
          <w:rStyle w:val="17"/>
          <w:rFonts w:hint="eastAsia" w:ascii="仿宋" w:hAnsi="仿宋" w:eastAsia="仿宋"/>
          <w:b w:val="0"/>
          <w:bCs/>
          <w:color w:val="000000"/>
          <w:sz w:val="32"/>
          <w:szCs w:val="32"/>
        </w:rPr>
        <w:t>。</w:t>
      </w:r>
    </w:p>
    <w:p w14:paraId="7B5EAF75">
      <w:pPr>
        <w:pStyle w:val="2"/>
        <w:spacing w:before="93"/>
        <w:ind w:firstLine="643" w:firstLineChars="200"/>
        <w:rPr>
          <w:rStyle w:val="17"/>
          <w:rFonts w:ascii="仿宋" w:hAnsi="仿宋" w:eastAsia="仿宋"/>
          <w:b w:val="0"/>
          <w:bCs/>
          <w:color w:val="000000"/>
          <w:sz w:val="32"/>
          <w:szCs w:val="32"/>
        </w:rPr>
      </w:pPr>
      <w:r>
        <w:rPr>
          <w:rStyle w:val="17"/>
          <w:rFonts w:hint="eastAsia" w:ascii="仿宋" w:hAnsi="仿宋" w:eastAsia="仿宋"/>
          <w:bCs/>
          <w:sz w:val="32"/>
          <w:szCs w:val="32"/>
        </w:rPr>
        <w:t>7</w:t>
      </w:r>
      <w:r>
        <w:rPr>
          <w:rStyle w:val="17"/>
          <w:rFonts w:ascii="仿宋" w:hAnsi="仿宋" w:eastAsia="仿宋"/>
          <w:bCs/>
          <w:sz w:val="32"/>
          <w:szCs w:val="32"/>
        </w:rPr>
        <w:t>.</w:t>
      </w:r>
      <w:r>
        <w:rPr>
          <w:rStyle w:val="17"/>
          <w:rFonts w:hint="eastAsia" w:ascii="仿宋" w:hAnsi="仿宋" w:eastAsia="仿宋"/>
          <w:bCs/>
          <w:sz w:val="32"/>
          <w:szCs w:val="32"/>
        </w:rPr>
        <w:t>社会保障和就业（类）抚恤（款）其他优抚（项）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支出决算为0.84万元，完成预算100</w:t>
      </w:r>
      <w:r>
        <w:rPr>
          <w:rStyle w:val="17"/>
          <w:rFonts w:ascii="仿宋" w:hAnsi="仿宋" w:eastAsia="仿宋"/>
          <w:b w:val="0"/>
          <w:bCs/>
          <w:sz w:val="32"/>
          <w:szCs w:val="32"/>
        </w:rPr>
        <w:t>%</w:t>
      </w:r>
      <w:r>
        <w:rPr>
          <w:rStyle w:val="17"/>
          <w:rFonts w:hint="eastAsia" w:ascii="仿宋" w:hAnsi="仿宋" w:eastAsia="仿宋"/>
          <w:b w:val="0"/>
          <w:bCs/>
          <w:color w:val="000000"/>
          <w:sz w:val="32"/>
          <w:szCs w:val="32"/>
        </w:rPr>
        <w:t>。</w:t>
      </w:r>
    </w:p>
    <w:p w14:paraId="065733AC">
      <w:pPr>
        <w:pStyle w:val="2"/>
        <w:spacing w:before="93"/>
        <w:ind w:firstLine="643" w:firstLineChars="200"/>
      </w:pPr>
      <w:r>
        <w:rPr>
          <w:rStyle w:val="17"/>
          <w:rFonts w:hint="eastAsia" w:ascii="仿宋" w:hAnsi="仿宋" w:eastAsia="仿宋"/>
          <w:bCs/>
          <w:sz w:val="32"/>
          <w:szCs w:val="32"/>
        </w:rPr>
        <w:t>8</w:t>
      </w:r>
      <w:r>
        <w:rPr>
          <w:rStyle w:val="17"/>
          <w:rFonts w:ascii="仿宋" w:hAnsi="仿宋" w:eastAsia="仿宋"/>
          <w:bCs/>
          <w:sz w:val="32"/>
          <w:szCs w:val="32"/>
        </w:rPr>
        <w:t>.</w:t>
      </w:r>
      <w:r>
        <w:rPr>
          <w:rStyle w:val="17"/>
          <w:rFonts w:hint="eastAsia" w:ascii="仿宋" w:hAnsi="仿宋" w:eastAsia="仿宋"/>
          <w:bCs/>
          <w:sz w:val="32"/>
          <w:szCs w:val="32"/>
        </w:rPr>
        <w:t>社会保障和就业（类）其它社会保障和就业（款）其它社会保障和就业（项）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支出决算为25.75万元，完成预算100</w:t>
      </w:r>
      <w:r>
        <w:rPr>
          <w:rStyle w:val="17"/>
          <w:rFonts w:ascii="仿宋" w:hAnsi="仿宋" w:eastAsia="仿宋"/>
          <w:b w:val="0"/>
          <w:bCs/>
          <w:sz w:val="32"/>
          <w:szCs w:val="32"/>
        </w:rPr>
        <w:t>%</w:t>
      </w:r>
      <w:r>
        <w:rPr>
          <w:rStyle w:val="17"/>
          <w:rFonts w:hint="eastAsia" w:ascii="仿宋" w:hAnsi="仿宋" w:eastAsia="仿宋"/>
          <w:b w:val="0"/>
          <w:bCs/>
          <w:color w:val="000000"/>
          <w:sz w:val="32"/>
          <w:szCs w:val="32"/>
        </w:rPr>
        <w:t>。</w:t>
      </w:r>
    </w:p>
    <w:p w14:paraId="014252B9">
      <w:pPr>
        <w:ind w:firstLine="643" w:firstLineChars="200"/>
        <w:rPr>
          <w:rStyle w:val="17"/>
          <w:rFonts w:ascii="仿宋" w:hAnsi="仿宋" w:eastAsia="仿宋"/>
          <w:b w:val="0"/>
          <w:bCs/>
          <w:color w:val="000000"/>
          <w:sz w:val="32"/>
          <w:szCs w:val="32"/>
        </w:rPr>
      </w:pPr>
      <w:r>
        <w:rPr>
          <w:rStyle w:val="17"/>
          <w:rFonts w:hint="eastAsia" w:ascii="仿宋" w:hAnsi="仿宋" w:eastAsia="仿宋"/>
          <w:bCs/>
          <w:sz w:val="32"/>
          <w:szCs w:val="32"/>
        </w:rPr>
        <w:t>9</w:t>
      </w:r>
      <w:r>
        <w:rPr>
          <w:rStyle w:val="17"/>
          <w:rFonts w:ascii="仿宋" w:hAnsi="仿宋" w:eastAsia="仿宋"/>
          <w:bCs/>
          <w:sz w:val="32"/>
          <w:szCs w:val="32"/>
        </w:rPr>
        <w:t>.</w:t>
      </w:r>
      <w:r>
        <w:rPr>
          <w:rStyle w:val="17"/>
          <w:rFonts w:hint="eastAsia" w:ascii="仿宋" w:hAnsi="仿宋" w:eastAsia="仿宋"/>
          <w:bCs/>
          <w:sz w:val="32"/>
          <w:szCs w:val="32"/>
        </w:rPr>
        <w:t>卫生健康（类）行政事业单位医疗（款）事业单位医疗（项）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支出决算为58.61万元，完成预算100</w:t>
      </w:r>
      <w:r>
        <w:rPr>
          <w:rStyle w:val="17"/>
          <w:rFonts w:ascii="仿宋" w:hAnsi="仿宋" w:eastAsia="仿宋"/>
          <w:b w:val="0"/>
          <w:bCs/>
          <w:sz w:val="32"/>
          <w:szCs w:val="32"/>
        </w:rPr>
        <w:t>%</w:t>
      </w:r>
      <w:r>
        <w:rPr>
          <w:rStyle w:val="17"/>
          <w:rFonts w:hint="eastAsia" w:ascii="仿宋" w:hAnsi="仿宋" w:eastAsia="仿宋"/>
          <w:b w:val="0"/>
          <w:bCs/>
          <w:color w:val="000000"/>
          <w:sz w:val="32"/>
          <w:szCs w:val="32"/>
        </w:rPr>
        <w:t>。</w:t>
      </w:r>
    </w:p>
    <w:p w14:paraId="632A4A81">
      <w:pPr>
        <w:ind w:firstLine="643" w:firstLineChars="200"/>
      </w:pPr>
      <w:r>
        <w:rPr>
          <w:rStyle w:val="17"/>
          <w:rFonts w:hint="eastAsia" w:ascii="仿宋" w:hAnsi="仿宋" w:eastAsia="仿宋"/>
          <w:bCs/>
          <w:sz w:val="32"/>
          <w:szCs w:val="32"/>
        </w:rPr>
        <w:t>10</w:t>
      </w:r>
      <w:r>
        <w:rPr>
          <w:rStyle w:val="17"/>
          <w:rFonts w:ascii="仿宋" w:hAnsi="仿宋" w:eastAsia="仿宋"/>
          <w:bCs/>
          <w:sz w:val="32"/>
          <w:szCs w:val="32"/>
        </w:rPr>
        <w:t>.</w:t>
      </w:r>
      <w:r>
        <w:rPr>
          <w:rStyle w:val="17"/>
          <w:rFonts w:hint="eastAsia" w:ascii="仿宋" w:hAnsi="仿宋" w:eastAsia="仿宋"/>
          <w:bCs/>
          <w:sz w:val="32"/>
          <w:szCs w:val="32"/>
        </w:rPr>
        <w:t>住房保障（类）住房改革（款）住房公积金（项）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支出决算为149.22万元，完成预算100</w:t>
      </w:r>
      <w:r>
        <w:rPr>
          <w:rStyle w:val="17"/>
          <w:rFonts w:ascii="仿宋" w:hAnsi="仿宋" w:eastAsia="仿宋"/>
          <w:b w:val="0"/>
          <w:bCs/>
          <w:sz w:val="32"/>
          <w:szCs w:val="32"/>
        </w:rPr>
        <w:t>%</w:t>
      </w:r>
      <w:r>
        <w:rPr>
          <w:rStyle w:val="17"/>
          <w:rFonts w:hint="eastAsia" w:ascii="仿宋" w:hAnsi="仿宋" w:eastAsia="仿宋"/>
          <w:b w:val="0"/>
          <w:bCs/>
          <w:color w:val="000000"/>
          <w:sz w:val="32"/>
          <w:szCs w:val="32"/>
        </w:rPr>
        <w:t>。</w:t>
      </w:r>
    </w:p>
    <w:p w14:paraId="100AE342">
      <w:pPr>
        <w:spacing w:line="600" w:lineRule="exact"/>
        <w:ind w:firstLine="643" w:firstLineChars="200"/>
        <w:rPr>
          <w:rFonts w:ascii="仿宋" w:hAnsi="仿宋" w:eastAsia="仿宋"/>
          <w:b/>
          <w:sz w:val="32"/>
          <w:szCs w:val="32"/>
        </w:rPr>
      </w:pPr>
    </w:p>
    <w:p w14:paraId="212ADCE1">
      <w:pPr>
        <w:tabs>
          <w:tab w:val="right" w:pos="8306"/>
        </w:tabs>
        <w:spacing w:line="600" w:lineRule="exact"/>
        <w:ind w:firstLine="640"/>
        <w:outlineLvl w:val="1"/>
        <w:rPr>
          <w:rStyle w:val="29"/>
        </w:rPr>
      </w:pPr>
      <w:bookmarkStart w:id="37" w:name="_Toc15377214"/>
      <w:bookmarkStart w:id="38"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7"/>
      <w:bookmarkEnd w:id="38"/>
      <w:r>
        <w:rPr>
          <w:rStyle w:val="29"/>
          <w:rFonts w:ascii="黑体" w:hAnsi="黑体" w:eastAsia="黑体"/>
          <w:b w:val="0"/>
        </w:rPr>
        <w:tab/>
      </w:r>
    </w:p>
    <w:p w14:paraId="4FB3AF42">
      <w:pPr>
        <w:spacing w:line="600" w:lineRule="exact"/>
        <w:ind w:firstLine="645"/>
        <w:rPr>
          <w:rFonts w:ascii="仿宋" w:hAnsi="仿宋" w:eastAsia="仿宋"/>
          <w:sz w:val="32"/>
          <w:szCs w:val="32"/>
        </w:rPr>
      </w:pPr>
      <w:r>
        <w:rPr>
          <w:rFonts w:hint="eastAsia" w:ascii="仿宋" w:hAnsi="仿宋" w:eastAsia="仿宋"/>
          <w:sz w:val="32"/>
          <w:szCs w:val="32"/>
        </w:rPr>
        <w:t>2024年度一般公共预算财政拨款基本支出</w:t>
      </w:r>
      <w:r>
        <w:rPr>
          <w:rFonts w:hint="eastAsia" w:ascii="仿宋" w:hAnsi="仿宋" w:eastAsia="仿宋"/>
          <w:b/>
          <w:sz w:val="32"/>
          <w:szCs w:val="32"/>
        </w:rPr>
        <w:t>1876.42</w:t>
      </w:r>
      <w:r>
        <w:rPr>
          <w:rFonts w:hint="eastAsia" w:ascii="仿宋" w:hAnsi="仿宋" w:eastAsia="仿宋"/>
          <w:sz w:val="32"/>
          <w:szCs w:val="32"/>
        </w:rPr>
        <w:t>万元，其中：</w:t>
      </w:r>
    </w:p>
    <w:p w14:paraId="419A723A">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b/>
          <w:sz w:val="32"/>
          <w:szCs w:val="32"/>
        </w:rPr>
        <w:t>1819.94</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b/>
          <w:sz w:val="32"/>
          <w:szCs w:val="32"/>
        </w:rPr>
        <w:t>56.48</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AC8ECB9">
      <w:pPr>
        <w:spacing w:line="600" w:lineRule="exact"/>
        <w:ind w:firstLine="640"/>
        <w:outlineLvl w:val="1"/>
        <w:rPr>
          <w:rStyle w:val="29"/>
          <w:rFonts w:ascii="黑体" w:hAnsi="黑体" w:eastAsia="黑体"/>
          <w:b w:val="0"/>
        </w:rPr>
      </w:pPr>
      <w:bookmarkStart w:id="39" w:name="_Toc15377215"/>
      <w:bookmarkStart w:id="40"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9"/>
      <w:bookmarkEnd w:id="40"/>
    </w:p>
    <w:p w14:paraId="1EFE4C40">
      <w:pPr>
        <w:spacing w:line="600" w:lineRule="exact"/>
        <w:ind w:firstLine="640"/>
        <w:outlineLvl w:val="2"/>
        <w:rPr>
          <w:rFonts w:ascii="仿宋" w:hAnsi="仿宋" w:eastAsia="仿宋"/>
          <w:b/>
          <w:sz w:val="32"/>
          <w:szCs w:val="32"/>
        </w:rPr>
      </w:pPr>
      <w:bookmarkStart w:id="41" w:name="_Toc15377216"/>
      <w:r>
        <w:rPr>
          <w:rFonts w:hint="eastAsia" w:ascii="仿宋" w:hAnsi="仿宋" w:eastAsia="仿宋"/>
          <w:b/>
          <w:sz w:val="32"/>
          <w:szCs w:val="32"/>
        </w:rPr>
        <w:t>（一）“三公”经费财政拨款支出决算总体情况说明</w:t>
      </w:r>
      <w:bookmarkEnd w:id="41"/>
    </w:p>
    <w:p w14:paraId="3BEDCA77">
      <w:pPr>
        <w:spacing w:line="600" w:lineRule="exact"/>
        <w:ind w:firstLine="640"/>
        <w:rPr>
          <w:rFonts w:ascii="仿宋" w:hAnsi="仿宋" w:eastAsia="仿宋"/>
          <w:sz w:val="32"/>
          <w:szCs w:val="32"/>
        </w:rPr>
      </w:pPr>
      <w:r>
        <w:rPr>
          <w:rFonts w:hint="eastAsia" w:ascii="仿宋" w:hAnsi="仿宋" w:eastAsia="仿宋"/>
          <w:sz w:val="32"/>
          <w:szCs w:val="32"/>
        </w:rPr>
        <w:t>2024年度“三公”经费财政拨款支出决算中，因公出国（境）费支出决算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027A6D07">
      <w:pPr>
        <w:spacing w:line="600" w:lineRule="exact"/>
        <w:ind w:firstLine="640"/>
        <w:rPr>
          <w:rFonts w:ascii="仿宋" w:hAnsi="仿宋" w:eastAsia="仿宋"/>
          <w:b/>
          <w:sz w:val="32"/>
          <w:szCs w:val="32"/>
        </w:rPr>
      </w:pPr>
      <w:r>
        <w:rPr>
          <w:rFonts w:hint="eastAsia" w:ascii="仿宋" w:hAnsi="仿宋" w:eastAsia="仿宋"/>
          <w:b/>
          <w:sz w:val="32"/>
          <w:szCs w:val="32"/>
        </w:rPr>
        <w:t>（</w:t>
      </w:r>
      <w:bookmarkStart w:id="42" w:name="_Toc15377217"/>
      <w:r>
        <w:rPr>
          <w:rFonts w:hint="eastAsia" w:ascii="仿宋" w:hAnsi="仿宋" w:eastAsia="仿宋"/>
          <w:b/>
          <w:sz w:val="32"/>
          <w:szCs w:val="32"/>
        </w:rPr>
        <w:t>二）“三公”经费财政拨款支出决算具体情况说明</w:t>
      </w:r>
      <w:bookmarkEnd w:id="42"/>
    </w:p>
    <w:p w14:paraId="6CA04C00">
      <w:pPr>
        <w:spacing w:line="600" w:lineRule="exact"/>
        <w:ind w:firstLine="640"/>
      </w:pPr>
      <w:r>
        <w:rPr>
          <w:rFonts w:hint="eastAsia" w:ascii="仿宋" w:hAnsi="仿宋" w:eastAsia="仿宋"/>
          <w:sz w:val="32"/>
          <w:szCs w:val="32"/>
        </w:rPr>
        <w:t>2024年度“三公”经费财政拨款支出决算中，因公出国（境）费支出决算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090064E3">
      <w:pPr>
        <w:spacing w:line="600" w:lineRule="exact"/>
        <w:ind w:firstLine="640"/>
        <w:rPr>
          <w:rFonts w:ascii="仿宋_GB2312" w:eastAsia="仿宋_GB2312"/>
          <w:sz w:val="32"/>
          <w:szCs w:val="32"/>
        </w:rPr>
      </w:pPr>
      <w:bookmarkStart w:id="43" w:name="_Toc15396610"/>
      <w:bookmarkStart w:id="44"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w:t>
      </w:r>
    </w:p>
    <w:p w14:paraId="33E06EDB">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Cs/>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公务用车购置及运行维护费支出决算比202</w:t>
      </w:r>
      <w:r>
        <w:rPr>
          <w:rFonts w:hint="eastAsia" w:ascii="仿宋_GB2312" w:eastAsia="仿宋_GB2312"/>
          <w:sz w:val="32"/>
          <w:szCs w:val="32"/>
          <w:lang w:val="en-US" w:eastAsia="zh-CN"/>
        </w:rPr>
        <w:t>3</w:t>
      </w:r>
      <w:r>
        <w:rPr>
          <w:rFonts w:hint="eastAsia" w:ascii="仿宋_GB2312" w:eastAsia="仿宋_GB2312"/>
          <w:sz w:val="32"/>
          <w:szCs w:val="32"/>
        </w:rPr>
        <w:t>年度减少0万元。</w:t>
      </w:r>
    </w:p>
    <w:p w14:paraId="67C4936B">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万元。全年按规定更新购置公务用车0辆，其中：轿车0辆、金额0万元，越野车0辆、金额0万元，载客汽车0辆、金额0万元。截至202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月31日，单位共有公务用车0辆，其中：轿车0辆、越野车0辆、载客汽车0辆。</w:t>
      </w:r>
    </w:p>
    <w:p w14:paraId="25AC68A6">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7EA6E6CC">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b/>
          <w:sz w:val="32"/>
          <w:szCs w:val="32"/>
        </w:rPr>
        <w:t>0</w:t>
      </w:r>
      <w:r>
        <w:rPr>
          <w:rFonts w:hint="eastAsia" w:ascii="仿宋_GB2312" w:eastAsia="仿宋_GB2312"/>
          <w:sz w:val="32"/>
          <w:szCs w:val="32"/>
        </w:rPr>
        <w:t>万元。</w:t>
      </w:r>
    </w:p>
    <w:p w14:paraId="775029BE">
      <w:pPr>
        <w:spacing w:line="600" w:lineRule="exact"/>
        <w:ind w:firstLine="640"/>
        <w:rPr>
          <w:rFonts w:ascii="仿宋_GB2312" w:eastAsia="仿宋_GB2312"/>
          <w:sz w:val="32"/>
          <w:szCs w:val="32"/>
        </w:rPr>
      </w:pPr>
      <w:r>
        <w:rPr>
          <w:rFonts w:hint="eastAsia" w:ascii="仿宋" w:hAnsi="仿宋" w:eastAsia="仿宋"/>
          <w:b/>
          <w:sz w:val="32"/>
          <w:szCs w:val="32"/>
        </w:rPr>
        <w:t>国内公务接待支出0</w:t>
      </w:r>
      <w:r>
        <w:rPr>
          <w:rFonts w:hint="eastAsia" w:ascii="仿宋_GB2312" w:eastAsia="仿宋_GB2312"/>
          <w:sz w:val="32"/>
          <w:szCs w:val="32"/>
        </w:rPr>
        <w:t>万元。</w:t>
      </w:r>
    </w:p>
    <w:p w14:paraId="239624AD">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p>
    <w:p w14:paraId="61455A54">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3"/>
      <w:bookmarkEnd w:id="44"/>
    </w:p>
    <w:p w14:paraId="60E731B7">
      <w:pPr>
        <w:spacing w:line="600" w:lineRule="exact"/>
        <w:ind w:firstLine="640"/>
        <w:rPr>
          <w:rFonts w:hint="default" w:ascii="仿宋_GB2312" w:eastAsia="仿宋_GB2312"/>
          <w:sz w:val="32"/>
          <w:szCs w:val="32"/>
          <w:lang w:val="en-US" w:eastAsia="zh-CN"/>
        </w:rPr>
      </w:pPr>
      <w:r>
        <w:rPr>
          <w:rFonts w:hint="eastAsia" w:ascii="仿宋_GB2312" w:eastAsia="仿宋_GB2312"/>
          <w:sz w:val="32"/>
          <w:szCs w:val="32"/>
        </w:rPr>
        <w:t>2024年度政府性基金预算财政拨款支出</w:t>
      </w:r>
      <w:r>
        <w:rPr>
          <w:rFonts w:hint="eastAsia" w:ascii="仿宋" w:hAnsi="仿宋" w:eastAsia="仿宋"/>
          <w:b/>
          <w:sz w:val="32"/>
          <w:szCs w:val="32"/>
          <w:lang w:val="en-US" w:eastAsia="zh-CN"/>
        </w:rPr>
        <w:t>347.73</w:t>
      </w:r>
      <w:r>
        <w:rPr>
          <w:rFonts w:hint="eastAsia" w:ascii="仿宋_GB2312" w:eastAsia="仿宋_GB2312"/>
          <w:sz w:val="32"/>
          <w:szCs w:val="32"/>
        </w:rPr>
        <w:t>万元</w:t>
      </w:r>
      <w:r>
        <w:rPr>
          <w:rFonts w:hint="eastAsia" w:ascii="仿宋_GB2312" w:eastAsia="仿宋_GB2312"/>
          <w:sz w:val="32"/>
          <w:szCs w:val="32"/>
          <w:lang w:eastAsia="zh-CN"/>
        </w:rPr>
        <w:t>，占本年支出合计的</w:t>
      </w:r>
      <w:r>
        <w:rPr>
          <w:rFonts w:hint="eastAsia" w:ascii="仿宋_GB2312" w:eastAsia="仿宋_GB2312"/>
          <w:sz w:val="32"/>
          <w:szCs w:val="32"/>
          <w:lang w:val="en-US" w:eastAsia="zh-CN"/>
        </w:rPr>
        <w:t>12.95%</w:t>
      </w:r>
      <w:r>
        <w:rPr>
          <w:rFonts w:hint="eastAsia" w:ascii="仿宋_GB2312" w:eastAsia="仿宋_GB2312"/>
          <w:sz w:val="32"/>
          <w:szCs w:val="32"/>
        </w:rPr>
        <w:t>。</w:t>
      </w:r>
      <w:r>
        <w:rPr>
          <w:rFonts w:hint="eastAsia" w:ascii="仿宋_GB2312" w:eastAsia="仿宋_GB2312"/>
          <w:sz w:val="32"/>
          <w:szCs w:val="32"/>
          <w:lang w:eastAsia="zh-CN"/>
        </w:rPr>
        <w:t>与</w:t>
      </w:r>
      <w:r>
        <w:rPr>
          <w:rFonts w:hint="eastAsia" w:ascii="仿宋_GB2312" w:eastAsia="仿宋_GB2312"/>
          <w:sz w:val="32"/>
          <w:szCs w:val="32"/>
          <w:lang w:val="en-US" w:eastAsia="zh-CN"/>
        </w:rPr>
        <w:t>2023年度相比，政府性基金预算财政拨款支出增加110.82万元，增长46.78%。主要变动原因是本年增加了城北幼儿园工程款支出。</w:t>
      </w:r>
    </w:p>
    <w:p w14:paraId="123BF116">
      <w:pPr>
        <w:spacing w:line="600" w:lineRule="exact"/>
        <w:ind w:firstLine="640"/>
        <w:rPr>
          <w:rFonts w:ascii="仿宋_GB2312" w:eastAsia="仿宋_GB2312"/>
          <w:sz w:val="32"/>
          <w:szCs w:val="32"/>
        </w:rPr>
      </w:pPr>
    </w:p>
    <w:p w14:paraId="1F8301F9">
      <w:pPr>
        <w:numPr>
          <w:ilvl w:val="0"/>
          <w:numId w:val="5"/>
        </w:numPr>
        <w:spacing w:line="600" w:lineRule="exact"/>
        <w:ind w:firstLine="640"/>
        <w:outlineLvl w:val="1"/>
        <w:rPr>
          <w:rStyle w:val="29"/>
          <w:rFonts w:ascii="黑体" w:hAnsi="黑体" w:eastAsia="黑体"/>
          <w:b w:val="0"/>
        </w:rPr>
      </w:pPr>
      <w:bookmarkStart w:id="45" w:name="_Toc15396611"/>
      <w:bookmarkStart w:id="46" w:name="_Toc15377219"/>
      <w:r>
        <w:rPr>
          <w:rStyle w:val="29"/>
          <w:rFonts w:hint="eastAsia" w:ascii="黑体" w:hAnsi="黑体" w:eastAsia="黑体"/>
          <w:b w:val="0"/>
        </w:rPr>
        <w:t>国有资本经营预算支出决算情况说明</w:t>
      </w:r>
      <w:bookmarkEnd w:id="45"/>
      <w:bookmarkEnd w:id="46"/>
    </w:p>
    <w:p w14:paraId="23530662">
      <w:pPr>
        <w:spacing w:line="600" w:lineRule="exact"/>
        <w:ind w:firstLine="640"/>
        <w:rPr>
          <w:rFonts w:ascii="仿宋_GB2312" w:eastAsia="仿宋_GB2312"/>
          <w:sz w:val="32"/>
          <w:szCs w:val="32"/>
        </w:rPr>
      </w:pPr>
      <w:r>
        <w:rPr>
          <w:rFonts w:hint="eastAsia" w:ascii="仿宋_GB2312" w:eastAsia="仿宋_GB2312"/>
          <w:sz w:val="32"/>
          <w:szCs w:val="32"/>
        </w:rPr>
        <w:t>2024年度国有资本经营预算财政拨款支出</w:t>
      </w:r>
      <w:r>
        <w:rPr>
          <w:rFonts w:hint="eastAsia" w:ascii="仿宋" w:hAnsi="仿宋" w:eastAsia="仿宋"/>
          <w:b/>
          <w:sz w:val="32"/>
          <w:szCs w:val="32"/>
        </w:rPr>
        <w:t>0</w:t>
      </w:r>
      <w:r>
        <w:rPr>
          <w:rFonts w:hint="eastAsia" w:ascii="仿宋_GB2312" w:eastAsia="仿宋_GB2312"/>
          <w:sz w:val="32"/>
          <w:szCs w:val="32"/>
        </w:rPr>
        <w:t>万元。</w:t>
      </w:r>
    </w:p>
    <w:p w14:paraId="07C26F22">
      <w:pPr>
        <w:spacing w:line="580" w:lineRule="exact"/>
        <w:jc w:val="center"/>
        <w:rPr>
          <w:rFonts w:ascii="方正小标宋简体" w:hAnsi="方正小标宋简体" w:eastAsia="方正小标宋简体" w:cs="方正小标宋简体"/>
          <w:sz w:val="44"/>
          <w:szCs w:val="44"/>
        </w:rPr>
      </w:pPr>
    </w:p>
    <w:p w14:paraId="726C1A9F">
      <w:pPr>
        <w:numPr>
          <w:ilvl w:val="0"/>
          <w:numId w:val="5"/>
        </w:numPr>
        <w:spacing w:line="600" w:lineRule="exact"/>
        <w:ind w:firstLine="640"/>
        <w:outlineLvl w:val="1"/>
        <w:rPr>
          <w:rStyle w:val="29"/>
          <w:rFonts w:ascii="黑体" w:hAnsi="黑体" w:eastAsia="黑体"/>
          <w:b w:val="0"/>
        </w:rPr>
      </w:pPr>
      <w:bookmarkStart w:id="47" w:name="_Toc15377221"/>
      <w:bookmarkStart w:id="48" w:name="_Toc15396612"/>
      <w:r>
        <w:rPr>
          <w:rStyle w:val="29"/>
          <w:rFonts w:hint="eastAsia" w:ascii="黑体" w:hAnsi="黑体" w:eastAsia="黑体"/>
          <w:b w:val="0"/>
        </w:rPr>
        <w:t>其他重要事项的情况说明</w:t>
      </w:r>
      <w:bookmarkEnd w:id="47"/>
      <w:bookmarkEnd w:id="48"/>
    </w:p>
    <w:p w14:paraId="603B4AA3">
      <w:pPr>
        <w:spacing w:line="600" w:lineRule="exact"/>
        <w:ind w:firstLine="643" w:firstLineChars="200"/>
        <w:outlineLvl w:val="2"/>
        <w:rPr>
          <w:rFonts w:ascii="仿宋" w:hAnsi="仿宋" w:eastAsia="仿宋"/>
          <w:sz w:val="32"/>
          <w:szCs w:val="32"/>
        </w:rPr>
      </w:pPr>
      <w:bookmarkStart w:id="49" w:name="_Toc15377222"/>
      <w:r>
        <w:rPr>
          <w:rFonts w:hint="eastAsia" w:ascii="仿宋" w:hAnsi="仿宋" w:eastAsia="仿宋"/>
          <w:b/>
          <w:sz w:val="32"/>
          <w:szCs w:val="32"/>
        </w:rPr>
        <w:t>（一）机关运行经费支出情况</w:t>
      </w:r>
      <w:bookmarkEnd w:id="49"/>
    </w:p>
    <w:p w14:paraId="5CB246CE">
      <w:pPr>
        <w:spacing w:line="600" w:lineRule="exact"/>
        <w:ind w:firstLine="640" w:firstLineChars="200"/>
        <w:rPr>
          <w:rFonts w:ascii="仿宋_GB2312" w:eastAsia="仿宋_GB2312"/>
          <w:sz w:val="32"/>
          <w:szCs w:val="32"/>
        </w:rPr>
      </w:pPr>
      <w:r>
        <w:rPr>
          <w:rFonts w:hint="eastAsia" w:ascii="仿宋_GB2312" w:eastAsia="仿宋_GB2312"/>
          <w:sz w:val="32"/>
          <w:szCs w:val="32"/>
        </w:rPr>
        <w:t>2024年度，峨眉山市职业技术学校机关运行经费支出</w:t>
      </w:r>
      <w:r>
        <w:rPr>
          <w:rFonts w:hint="eastAsia" w:ascii="仿宋" w:hAnsi="仿宋" w:eastAsia="仿宋"/>
          <w:b/>
          <w:sz w:val="32"/>
          <w:szCs w:val="32"/>
        </w:rPr>
        <w:t>0</w:t>
      </w:r>
      <w:r>
        <w:rPr>
          <w:rFonts w:hint="eastAsia" w:ascii="仿宋_GB2312" w:eastAsia="仿宋_GB2312"/>
          <w:sz w:val="32"/>
          <w:szCs w:val="32"/>
        </w:rPr>
        <w:t>万元。</w:t>
      </w:r>
    </w:p>
    <w:p w14:paraId="740CBE7E">
      <w:pPr>
        <w:spacing w:line="600" w:lineRule="exact"/>
        <w:ind w:firstLine="643" w:firstLineChars="200"/>
        <w:rPr>
          <w:rFonts w:ascii="仿宋" w:hAnsi="仿宋" w:eastAsia="仿宋"/>
          <w:b/>
          <w:sz w:val="32"/>
          <w:szCs w:val="32"/>
        </w:rPr>
      </w:pPr>
    </w:p>
    <w:p w14:paraId="6450D793">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3"/>
      <w:r>
        <w:rPr>
          <w:rFonts w:hint="eastAsia" w:ascii="仿宋" w:hAnsi="仿宋" w:eastAsia="仿宋"/>
          <w:b/>
          <w:sz w:val="32"/>
          <w:szCs w:val="32"/>
        </w:rPr>
        <w:t>（二）政府采购支出情况</w:t>
      </w:r>
      <w:bookmarkEnd w:id="50"/>
    </w:p>
    <w:p w14:paraId="5B9747CE">
      <w:pPr>
        <w:spacing w:line="600" w:lineRule="exact"/>
        <w:ind w:firstLine="640" w:firstLineChars="200"/>
        <w:rPr>
          <w:rFonts w:ascii="仿宋_GB2312" w:eastAsia="仿宋_GB2312"/>
          <w:sz w:val="32"/>
          <w:szCs w:val="32"/>
        </w:rPr>
      </w:pPr>
      <w:r>
        <w:rPr>
          <w:rFonts w:hint="eastAsia" w:ascii="仿宋_GB2312" w:eastAsia="仿宋_GB2312"/>
          <w:sz w:val="32"/>
          <w:szCs w:val="32"/>
        </w:rPr>
        <w:t>2024年度，峨眉山市职业技术学校政府采购支出总额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32CF9F6F">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4"/>
      <w:r>
        <w:rPr>
          <w:rFonts w:hint="eastAsia" w:ascii="仿宋" w:hAnsi="仿宋" w:eastAsia="仿宋"/>
          <w:b/>
          <w:sz w:val="32"/>
          <w:szCs w:val="32"/>
        </w:rPr>
        <w:t>（三）国有资产占有使用情况</w:t>
      </w:r>
      <w:bookmarkEnd w:id="51"/>
    </w:p>
    <w:p w14:paraId="703DFA4A">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截至2024年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color w:val="000000"/>
          <w:sz w:val="32"/>
          <w:szCs w:val="32"/>
        </w:rPr>
        <w:t>，峨眉山市职业技术学校共</w:t>
      </w:r>
      <w:r>
        <w:rPr>
          <w:rFonts w:hint="eastAsia" w:ascii="仿宋_GB2312" w:eastAsia="仿宋_GB2312"/>
          <w:sz w:val="32"/>
          <w:szCs w:val="32"/>
        </w:rPr>
        <w:t>有车辆</w:t>
      </w:r>
      <w:r>
        <w:rPr>
          <w:rFonts w:hint="eastAsia" w:ascii="仿宋_GB2312" w:eastAsia="仿宋_GB2312"/>
          <w:b/>
          <w:sz w:val="32"/>
          <w:szCs w:val="32"/>
        </w:rPr>
        <w:t>0</w:t>
      </w:r>
      <w:r>
        <w:rPr>
          <w:rFonts w:hint="eastAsia" w:ascii="仿宋_GB2312" w:eastAsia="仿宋_GB2312"/>
          <w:sz w:val="32"/>
          <w:szCs w:val="32"/>
        </w:rPr>
        <w:t>辆，其中：主要领导干部用车0辆、机要通信用车0辆、应急保障用车0辆、其他用车1辆，其他用车主要是用于</w:t>
      </w:r>
      <w:r>
        <w:rPr>
          <w:rFonts w:hint="eastAsia" w:ascii="仿宋_GB2312" w:eastAsia="仿宋_GB2312"/>
          <w:color w:val="000000"/>
          <w:sz w:val="32"/>
          <w:szCs w:val="32"/>
        </w:rPr>
        <w:t>教育各项检查、会议、扶贫、大走访、应急处置等</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74072BB9">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A5A4AA5">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根据预算绩效管理要求，本单位在2024年度预算编制阶段，组织对外聘教师人员经费等1</w:t>
      </w:r>
      <w:r>
        <w:rPr>
          <w:rFonts w:hint="eastAsia" w:ascii="仿宋_GB2312" w:eastAsia="仿宋_GB2312"/>
          <w:sz w:val="32"/>
          <w:szCs w:val="32"/>
          <w:lang w:val="en-US" w:eastAsia="zh-CN"/>
        </w:rPr>
        <w:t>1</w:t>
      </w:r>
      <w:r>
        <w:rPr>
          <w:rFonts w:hint="eastAsia" w:ascii="仿宋_GB2312" w:eastAsia="仿宋_GB2312"/>
          <w:sz w:val="32"/>
          <w:szCs w:val="32"/>
        </w:rPr>
        <w:t>个项目开展了预算事前绩效评估，对12个项目编制了绩效目标，预算执行过程中，选取1</w:t>
      </w:r>
      <w:r>
        <w:rPr>
          <w:rFonts w:hint="eastAsia" w:ascii="仿宋_GB2312" w:eastAsia="仿宋_GB2312"/>
          <w:sz w:val="32"/>
          <w:szCs w:val="32"/>
          <w:lang w:val="en-US" w:eastAsia="zh-CN"/>
        </w:rPr>
        <w:t>1</w:t>
      </w:r>
      <w:r>
        <w:rPr>
          <w:rFonts w:hint="eastAsia" w:ascii="仿宋_GB2312" w:eastAsia="仿宋_GB2312"/>
          <w:sz w:val="32"/>
          <w:szCs w:val="32"/>
        </w:rPr>
        <w:t>个项目开展绩效监控，组织对1</w:t>
      </w:r>
      <w:r>
        <w:rPr>
          <w:rFonts w:hint="eastAsia" w:ascii="仿宋_GB2312" w:eastAsia="仿宋_GB2312"/>
          <w:sz w:val="32"/>
          <w:szCs w:val="32"/>
          <w:lang w:val="en-US" w:eastAsia="zh-CN"/>
        </w:rPr>
        <w:t>1</w:t>
      </w:r>
      <w:r>
        <w:rPr>
          <w:rFonts w:hint="eastAsia" w:ascii="仿宋_GB2312" w:eastAsia="仿宋_GB2312"/>
          <w:sz w:val="32"/>
          <w:szCs w:val="32"/>
        </w:rPr>
        <w:t>个项目开展绩效自评，绩效自评表详见第四部分附件。</w:t>
      </w:r>
    </w:p>
    <w:p w14:paraId="78A81254">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3CE1856D">
      <w:pPr>
        <w:numPr>
          <w:ilvl w:val="0"/>
          <w:numId w:val="6"/>
        </w:numPr>
        <w:spacing w:line="600" w:lineRule="exact"/>
        <w:ind w:firstLine="660" w:firstLineChars="150"/>
        <w:jc w:val="center"/>
        <w:outlineLvl w:val="0"/>
        <w:rPr>
          <w:rStyle w:val="28"/>
          <w:rFonts w:ascii="黑体" w:hAnsi="黑体" w:eastAsia="黑体"/>
          <w:b w:val="0"/>
        </w:rPr>
      </w:pPr>
      <w:bookmarkStart w:id="52" w:name="_Toc15396613"/>
      <w:bookmarkStart w:id="53" w:name="_Toc15377225"/>
      <w:r>
        <w:rPr>
          <w:rFonts w:hint="eastAsia" w:ascii="黑体" w:hAnsi="黑体" w:eastAsia="黑体"/>
          <w:sz w:val="44"/>
          <w:szCs w:val="44"/>
        </w:rPr>
        <w:t>名</w:t>
      </w:r>
      <w:r>
        <w:rPr>
          <w:rStyle w:val="28"/>
          <w:rFonts w:hint="eastAsia" w:ascii="黑体" w:hAnsi="黑体" w:eastAsia="黑体"/>
          <w:b w:val="0"/>
        </w:rPr>
        <w:t>词解释</w:t>
      </w:r>
      <w:bookmarkEnd w:id="52"/>
      <w:bookmarkEnd w:id="53"/>
    </w:p>
    <w:p w14:paraId="7DFF4BB4">
      <w:pPr>
        <w:spacing w:line="600" w:lineRule="exact"/>
        <w:jc w:val="left"/>
        <w:rPr>
          <w:rFonts w:ascii="宋体"/>
          <w:b/>
          <w:sz w:val="44"/>
          <w:szCs w:val="44"/>
        </w:rPr>
      </w:pPr>
    </w:p>
    <w:p w14:paraId="613D115B">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2F4F78B3">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298CC0B8">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216B13EF">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61BD0D10">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使用非财政拨款结余（含专用结余）：指事业单位使用以前年度积累的非财政拨款结余弥补当年收支差额的金额。</w:t>
      </w:r>
      <w:r>
        <w:rPr>
          <w:rFonts w:ascii="仿宋_GB2312" w:eastAsia="仿宋_GB2312"/>
          <w:color w:val="auto"/>
          <w:sz w:val="32"/>
          <w:szCs w:val="32"/>
        </w:rPr>
        <w:t xml:space="preserve"> </w:t>
      </w:r>
    </w:p>
    <w:p w14:paraId="2A865531">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722C06EC">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22353FB1">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42988E29">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9.国防（类）国防动员（款）兵役征集（项）：反映国防教育支出。</w:t>
      </w:r>
    </w:p>
    <w:p w14:paraId="0B9DA6A9">
      <w:pPr>
        <w:ind w:firstLine="640" w:firstLineChars="200"/>
        <w:rPr>
          <w:rFonts w:ascii="仿宋_GB2312" w:eastAsia="仿宋_GB2312"/>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sz w:val="32"/>
          <w:szCs w:val="32"/>
        </w:rPr>
        <w:t>教育支出（类）教育管理事务（款）行政运行（项）：指反映行政单位（包括实行公务员管理的事业单位）的基本支出。</w:t>
      </w:r>
    </w:p>
    <w:p w14:paraId="44464454">
      <w:pPr>
        <w:pStyle w:val="2"/>
        <w:spacing w:before="93"/>
      </w:pPr>
      <w:r>
        <w:rPr>
          <w:rFonts w:hint="eastAsia"/>
        </w:rPr>
        <w:t xml:space="preserve">    </w:t>
      </w:r>
      <w:r>
        <w:rPr>
          <w:rFonts w:hint="eastAsia"/>
          <w:sz w:val="32"/>
          <w:szCs w:val="32"/>
        </w:rPr>
        <w:t>11</w:t>
      </w:r>
      <w:r>
        <w:rPr>
          <w:sz w:val="32"/>
          <w:szCs w:val="32"/>
        </w:rPr>
        <w:t>.</w:t>
      </w:r>
      <w:r>
        <w:rPr>
          <w:rFonts w:hint="eastAsia"/>
          <w:sz w:val="32"/>
          <w:szCs w:val="32"/>
        </w:rPr>
        <w:t>教育支出（类）教育管理事务（款）一般行政管理事务（项）：指反映行政单位（包括实行公务员管理的事业单位）的未单独设置项级科目的其他项目支出。</w:t>
      </w:r>
    </w:p>
    <w:p w14:paraId="59440839">
      <w:pPr>
        <w:spacing w:line="580" w:lineRule="exact"/>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教育支出（类）普通教育（款）其他普通教育支出（项）:指反映除上述项目以外其他用于普通教育方面的支出。</w:t>
      </w:r>
    </w:p>
    <w:p w14:paraId="5ED92A4E">
      <w:pPr>
        <w:spacing w:line="580" w:lineRule="exact"/>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教育支出（类）职业教育（款）中等职业教育（项）:指反映各部门举办的中等职业教育支出。政府各部门对社会组织等举办的初等职业学校的资助，如捐赠、补贴等。</w:t>
      </w:r>
    </w:p>
    <w:p w14:paraId="54A1E812">
      <w:pPr>
        <w:spacing w:line="580" w:lineRule="exact"/>
        <w:ind w:firstLine="640" w:firstLineChars="200"/>
        <w:rPr>
          <w:rFonts w:ascii="仿宋_GB2312" w:eastAsia="仿宋_GB2312"/>
          <w:sz w:val="32"/>
          <w:szCs w:val="32"/>
        </w:rPr>
      </w:pPr>
      <w:r>
        <w:rPr>
          <w:rFonts w:hint="eastAsia" w:ascii="仿宋_GB2312" w:eastAsia="仿宋_GB2312"/>
          <w:sz w:val="32"/>
          <w:szCs w:val="32"/>
        </w:rPr>
        <w:t>14.教育支出（类）教育费附加安排的支出（款）其他教育费附加安排的支出（项）: 指反映除上述项目以外的教育费附加支出。</w:t>
      </w:r>
    </w:p>
    <w:p w14:paraId="52D82B41">
      <w:pPr>
        <w:spacing w:line="580" w:lineRule="exact"/>
        <w:ind w:firstLine="640" w:firstLineChars="200"/>
        <w:rPr>
          <w:rFonts w:ascii="仿宋_GB2312" w:eastAsia="仿宋_GB2312"/>
          <w:sz w:val="32"/>
          <w:szCs w:val="32"/>
        </w:rPr>
      </w:pPr>
      <w:r>
        <w:rPr>
          <w:rFonts w:hint="eastAsia" w:ascii="仿宋_GB2312" w:eastAsia="仿宋_GB2312"/>
          <w:sz w:val="32"/>
          <w:szCs w:val="32"/>
        </w:rPr>
        <w:t>15.社会保障和就业支出（类）行政事业单位养老（款）机关事业单位基本养老保险缴费支出（项）: 指反映机关事业单位实施养老保险制度由单位缴纳的基本养老保险费支出。</w:t>
      </w:r>
    </w:p>
    <w:p w14:paraId="26C40356">
      <w:pPr>
        <w:spacing w:line="580" w:lineRule="exact"/>
        <w:ind w:firstLine="640" w:firstLineChars="200"/>
        <w:rPr>
          <w:rFonts w:ascii="仿宋_GB2312" w:eastAsia="仿宋_GB2312"/>
          <w:sz w:val="32"/>
          <w:szCs w:val="32"/>
        </w:rPr>
      </w:pPr>
      <w:r>
        <w:rPr>
          <w:rFonts w:hint="eastAsia" w:ascii="仿宋_GB2312" w:eastAsia="仿宋_GB2312"/>
          <w:sz w:val="32"/>
          <w:szCs w:val="32"/>
        </w:rPr>
        <w:t>16.社会保障和就业支出（类）行政事业单位养老（款）机关事业单位职业年金缴费支出（项）: 指反映机关事业单位实施养老保险制度由单位缴纳的职业年金支出。</w:t>
      </w:r>
    </w:p>
    <w:p w14:paraId="5784C69A">
      <w:pPr>
        <w:spacing w:line="580" w:lineRule="exact"/>
        <w:ind w:firstLine="640" w:firstLineChars="200"/>
        <w:rPr>
          <w:rFonts w:ascii="仿宋_GB2312" w:eastAsia="仿宋_GB2312"/>
          <w:sz w:val="32"/>
          <w:szCs w:val="32"/>
        </w:rPr>
      </w:pPr>
      <w:r>
        <w:rPr>
          <w:rFonts w:hint="eastAsia" w:ascii="仿宋_GB2312" w:eastAsia="仿宋_GB2312"/>
          <w:sz w:val="32"/>
          <w:szCs w:val="32"/>
        </w:rPr>
        <w:t>17. 社会保障和就业支出（类）抚恤（款）死亡抚恤（项）:指反映按规定用于烈士和牺牲、病故人员家属的一次性和定期抚恤金、丧葬补助费以及烈士褒扬金。</w:t>
      </w:r>
    </w:p>
    <w:p w14:paraId="182F488C">
      <w:pPr>
        <w:spacing w:line="580" w:lineRule="exact"/>
        <w:ind w:firstLine="640" w:firstLineChars="200"/>
        <w:rPr>
          <w:rFonts w:ascii="仿宋_GB2312" w:eastAsia="仿宋_GB2312"/>
          <w:sz w:val="32"/>
          <w:szCs w:val="32"/>
        </w:rPr>
      </w:pPr>
      <w:r>
        <w:rPr>
          <w:rFonts w:hint="eastAsia" w:ascii="仿宋_GB2312" w:eastAsia="仿宋_GB2312"/>
          <w:sz w:val="32"/>
          <w:szCs w:val="32"/>
        </w:rPr>
        <w:t>18.社会保障和就业支出（类）其他社会保障就业支出（款）其他社会保障就业支出（项）:指反映除上述项目以外其他用于社会保障和就业方面的支出。</w:t>
      </w:r>
    </w:p>
    <w:p w14:paraId="282D4E77">
      <w:pPr>
        <w:spacing w:line="580" w:lineRule="exact"/>
        <w:ind w:firstLine="640" w:firstLineChars="200"/>
        <w:rPr>
          <w:rFonts w:ascii="仿宋_GB2312" w:eastAsia="仿宋_GB2312"/>
          <w:sz w:val="32"/>
          <w:szCs w:val="32"/>
        </w:rPr>
      </w:pPr>
      <w:r>
        <w:rPr>
          <w:rFonts w:hint="eastAsia" w:ascii="仿宋_GB2312" w:eastAsia="仿宋_GB2312"/>
          <w:sz w:val="32"/>
          <w:szCs w:val="32"/>
        </w:rPr>
        <w:t>19.卫生健康支出（类）行政事业单位医疗（款）行政单位医疗（项）:指反映财政部门集中安排的行政单位（包括实行公务员管理的事业单位）基本医疗保险缴费经费，未参加医疗保险的行政单位的公费医疗经费，按国家规定享受离休人员、红军老战士待遇人员的医疗经费。</w:t>
      </w:r>
    </w:p>
    <w:p w14:paraId="0003BF66">
      <w:pPr>
        <w:pStyle w:val="2"/>
        <w:spacing w:before="93"/>
        <w:ind w:firstLine="640" w:firstLineChars="200"/>
      </w:pPr>
      <w:r>
        <w:rPr>
          <w:rFonts w:hint="eastAsia"/>
          <w:sz w:val="32"/>
          <w:szCs w:val="32"/>
        </w:rPr>
        <w:t>20.卫生健康支出（类）行政事业单位医疗（款）公务员医疗补助（项）:指反财政总计安排的公务员医疗补助经费。</w:t>
      </w:r>
    </w:p>
    <w:p w14:paraId="1FC4A850">
      <w:pPr>
        <w:spacing w:line="580" w:lineRule="exact"/>
        <w:ind w:firstLine="640" w:firstLineChars="200"/>
        <w:rPr>
          <w:rFonts w:ascii="仿宋_GB2312" w:eastAsia="仿宋_GB2312"/>
          <w:sz w:val="32"/>
          <w:szCs w:val="32"/>
        </w:rPr>
      </w:pPr>
      <w:r>
        <w:rPr>
          <w:rFonts w:hint="eastAsia" w:ascii="仿宋_GB2312" w:eastAsia="仿宋_GB2312"/>
          <w:sz w:val="32"/>
          <w:szCs w:val="32"/>
        </w:rPr>
        <w:t>21.住房保障支出（类）住房改革支出（款）住房公积金（项）: 指反映行政事业单位按人力资源和社会保障部、财政部规定的基本工资和津贴补贴以及规定比例为职工缴纳的住房公积金。</w:t>
      </w:r>
    </w:p>
    <w:p w14:paraId="107A58DE">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43CC5D92">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7E07DB22">
      <w:pPr>
        <w:ind w:firstLine="640" w:firstLineChars="200"/>
        <w:rPr>
          <w:rFonts w:ascii="仿宋_GB2312" w:eastAsia="仿宋_GB2312"/>
          <w:sz w:val="32"/>
          <w:szCs w:val="32"/>
        </w:rPr>
      </w:pPr>
      <w:r>
        <w:rPr>
          <w:rFonts w:hint="eastAsia" w:ascii="仿宋_GB2312" w:eastAsia="仿宋_GB2312"/>
          <w:sz w:val="32"/>
          <w:szCs w:val="32"/>
        </w:rPr>
        <w:t>24</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2176A8C2">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25</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ACAF215">
      <w:pPr>
        <w:ind w:firstLine="640" w:firstLineChars="200"/>
        <w:rPr>
          <w:rFonts w:ascii="仿宋" w:hAnsi="仿宋" w:eastAsia="仿宋"/>
          <w:b/>
          <w:sz w:val="32"/>
          <w:szCs w:val="32"/>
        </w:rPr>
      </w:pPr>
      <w:r>
        <w:rPr>
          <w:rFonts w:hint="eastAsia" w:ascii="仿宋_GB2312" w:eastAsia="仿宋_GB2312"/>
          <w:color w:val="auto"/>
          <w:sz w:val="32"/>
          <w:szCs w:val="32"/>
          <w:lang w:val="en-US" w:eastAsia="zh-CN"/>
        </w:rPr>
        <w:t>26</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28AE7A2">
      <w:pPr>
        <w:spacing w:line="600" w:lineRule="exact"/>
        <w:jc w:val="center"/>
        <w:outlineLvl w:val="0"/>
        <w:rPr>
          <w:rStyle w:val="28"/>
          <w:rFonts w:ascii="黑体" w:hAnsi="黑体" w:eastAsia="黑体"/>
          <w:b w:val="0"/>
        </w:rPr>
      </w:pPr>
      <w:bookmarkStart w:id="54" w:name="_Toc15377226"/>
      <w:r>
        <w:rPr>
          <w:rFonts w:ascii="宋体"/>
          <w:b/>
          <w:sz w:val="44"/>
          <w:szCs w:val="44"/>
        </w:rPr>
        <w:br w:type="page"/>
      </w:r>
      <w:bookmarkStart w:id="55" w:name="_Toc15396614"/>
      <w:r>
        <w:rPr>
          <w:rFonts w:hint="eastAsia" w:ascii="黑体" w:hAnsi="黑体" w:eastAsia="黑体"/>
          <w:sz w:val="44"/>
          <w:szCs w:val="44"/>
        </w:rPr>
        <w:t>第</w:t>
      </w:r>
      <w:r>
        <w:rPr>
          <w:rStyle w:val="28"/>
          <w:rFonts w:hint="eastAsia" w:ascii="黑体" w:hAnsi="黑体" w:eastAsia="黑体"/>
          <w:b w:val="0"/>
        </w:rPr>
        <w:t>四部分 附件</w:t>
      </w:r>
      <w:bookmarkEnd w:id="55"/>
    </w:p>
    <w:p w14:paraId="5AC97C79">
      <w:pPr>
        <w:pStyle w:val="2"/>
        <w:spacing w:before="93"/>
        <w:rPr>
          <w:rFonts w:hAnsi="Calibri" w:cs="仿宋"/>
          <w:sz w:val="32"/>
          <w:szCs w:val="32"/>
        </w:rPr>
      </w:pPr>
      <w:r>
        <w:drawing>
          <wp:inline distT="0" distB="0" distL="0" distR="0">
            <wp:extent cx="6123305" cy="8303895"/>
            <wp:effectExtent l="0" t="0" r="3175"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0130" cy="8299591"/>
                    </a:xfrm>
                    <a:prstGeom prst="rect">
                      <a:avLst/>
                    </a:prstGeom>
                    <a:noFill/>
                    <a:ln>
                      <a:noFill/>
                    </a:ln>
                  </pic:spPr>
                </pic:pic>
              </a:graphicData>
            </a:graphic>
          </wp:inline>
        </w:drawing>
      </w:r>
    </w:p>
    <w:p w14:paraId="75216F82">
      <w:pPr>
        <w:pStyle w:val="2"/>
        <w:spacing w:before="93"/>
        <w:rPr>
          <w:rFonts w:hAnsi="Calibri" w:cs="仿宋"/>
          <w:sz w:val="32"/>
          <w:szCs w:val="32"/>
        </w:rPr>
      </w:pPr>
      <w:r>
        <w:drawing>
          <wp:inline distT="0" distB="0" distL="0" distR="0">
            <wp:extent cx="6113145" cy="8963025"/>
            <wp:effectExtent l="0" t="0" r="13335" b="133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120130" cy="8972643"/>
                    </a:xfrm>
                    <a:prstGeom prst="rect">
                      <a:avLst/>
                    </a:prstGeom>
                    <a:noFill/>
                    <a:ln>
                      <a:noFill/>
                    </a:ln>
                  </pic:spPr>
                </pic:pic>
              </a:graphicData>
            </a:graphic>
          </wp:inline>
        </w:drawing>
      </w:r>
    </w:p>
    <w:p w14:paraId="24C92538">
      <w:r>
        <w:drawing>
          <wp:inline distT="0" distB="0" distL="0" distR="0">
            <wp:extent cx="6123940" cy="8718550"/>
            <wp:effectExtent l="0" t="0" r="2540" b="139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0130" cy="8712686"/>
                    </a:xfrm>
                    <a:prstGeom prst="rect">
                      <a:avLst/>
                    </a:prstGeom>
                    <a:noFill/>
                    <a:ln>
                      <a:noFill/>
                    </a:ln>
                  </pic:spPr>
                </pic:pic>
              </a:graphicData>
            </a:graphic>
          </wp:inline>
        </w:drawing>
      </w:r>
    </w:p>
    <w:p w14:paraId="1ACD3774">
      <w:pPr>
        <w:pStyle w:val="2"/>
        <w:spacing w:before="93"/>
      </w:pPr>
      <w:r>
        <w:drawing>
          <wp:inline distT="0" distB="0" distL="0" distR="0">
            <wp:extent cx="6113145" cy="8739505"/>
            <wp:effectExtent l="0" t="0" r="13335" b="825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130" cy="8749125"/>
                    </a:xfrm>
                    <a:prstGeom prst="rect">
                      <a:avLst/>
                    </a:prstGeom>
                    <a:noFill/>
                    <a:ln>
                      <a:noFill/>
                    </a:ln>
                  </pic:spPr>
                </pic:pic>
              </a:graphicData>
            </a:graphic>
          </wp:inline>
        </w:drawing>
      </w:r>
    </w:p>
    <w:p w14:paraId="271E8987">
      <w:pPr>
        <w:pStyle w:val="2"/>
        <w:spacing w:before="93"/>
        <w:rPr>
          <w:rFonts w:hAnsi="Calibri" w:cs="仿宋"/>
          <w:sz w:val="32"/>
          <w:szCs w:val="32"/>
        </w:rPr>
      </w:pPr>
      <w:r>
        <w:drawing>
          <wp:inline distT="0" distB="0" distL="0" distR="0">
            <wp:extent cx="6123940" cy="8803640"/>
            <wp:effectExtent l="0" t="0" r="2540" b="508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120130" cy="8797688"/>
                    </a:xfrm>
                    <a:prstGeom prst="rect">
                      <a:avLst/>
                    </a:prstGeom>
                    <a:noFill/>
                    <a:ln>
                      <a:noFill/>
                    </a:ln>
                  </pic:spPr>
                </pic:pic>
              </a:graphicData>
            </a:graphic>
          </wp:inline>
        </w:drawing>
      </w:r>
    </w:p>
    <w:p w14:paraId="2120D852">
      <w:pPr>
        <w:pStyle w:val="2"/>
        <w:spacing w:before="93"/>
        <w:rPr>
          <w:rFonts w:hAnsi="Calibri" w:cs="仿宋"/>
          <w:sz w:val="32"/>
          <w:szCs w:val="32"/>
        </w:rPr>
      </w:pPr>
      <w:r>
        <w:drawing>
          <wp:inline distT="0" distB="0" distL="0" distR="0">
            <wp:extent cx="6123940" cy="8696960"/>
            <wp:effectExtent l="0" t="0" r="2540" b="508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120130" cy="8691436"/>
                    </a:xfrm>
                    <a:prstGeom prst="rect">
                      <a:avLst/>
                    </a:prstGeom>
                    <a:noFill/>
                    <a:ln>
                      <a:noFill/>
                    </a:ln>
                  </pic:spPr>
                </pic:pic>
              </a:graphicData>
            </a:graphic>
          </wp:inline>
        </w:drawing>
      </w:r>
    </w:p>
    <w:p w14:paraId="48E62A43">
      <w:pPr>
        <w:pStyle w:val="2"/>
        <w:spacing w:before="93"/>
      </w:pPr>
      <w:r>
        <w:drawing>
          <wp:inline distT="0" distB="0" distL="0" distR="0">
            <wp:extent cx="6113145" cy="8441690"/>
            <wp:effectExtent l="0" t="0" r="13335"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0130" cy="8451101"/>
                    </a:xfrm>
                    <a:prstGeom prst="rect">
                      <a:avLst/>
                    </a:prstGeom>
                    <a:noFill/>
                    <a:ln>
                      <a:noFill/>
                    </a:ln>
                  </pic:spPr>
                </pic:pic>
              </a:graphicData>
            </a:graphic>
          </wp:inline>
        </w:drawing>
      </w:r>
    </w:p>
    <w:p w14:paraId="3E99A46A">
      <w:pPr>
        <w:spacing w:line="600" w:lineRule="exact"/>
        <w:outlineLvl w:val="0"/>
        <w:rPr>
          <w:rFonts w:ascii="黑体" w:hAnsi="黑体" w:eastAsia="黑体"/>
          <w:sz w:val="44"/>
          <w:szCs w:val="44"/>
        </w:rPr>
      </w:pPr>
    </w:p>
    <w:p w14:paraId="525D93BE">
      <w:pPr>
        <w:pStyle w:val="2"/>
        <w:spacing w:before="93"/>
      </w:pPr>
      <w:r>
        <w:drawing>
          <wp:inline distT="0" distB="0" distL="0" distR="0">
            <wp:extent cx="6122035" cy="8346440"/>
            <wp:effectExtent l="0" t="0" r="4445" b="508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122598" cy="8346558"/>
                    </a:xfrm>
                    <a:prstGeom prst="rect">
                      <a:avLst/>
                    </a:prstGeom>
                    <a:noFill/>
                    <a:ln>
                      <a:noFill/>
                    </a:ln>
                  </pic:spPr>
                </pic:pic>
              </a:graphicData>
            </a:graphic>
          </wp:inline>
        </w:drawing>
      </w:r>
    </w:p>
    <w:p w14:paraId="213FCA4C">
      <w:pPr>
        <w:spacing w:line="600" w:lineRule="exact"/>
        <w:jc w:val="center"/>
        <w:outlineLvl w:val="0"/>
        <w:rPr>
          <w:rFonts w:ascii="黑体" w:hAnsi="黑体" w:eastAsia="黑体"/>
          <w:sz w:val="44"/>
          <w:szCs w:val="44"/>
        </w:rPr>
      </w:pPr>
    </w:p>
    <w:p w14:paraId="33321ABB">
      <w:pPr>
        <w:pStyle w:val="2"/>
        <w:spacing w:before="93"/>
      </w:pPr>
      <w:r>
        <w:drawing>
          <wp:inline distT="0" distB="0" distL="0" distR="0">
            <wp:extent cx="6113145" cy="8016875"/>
            <wp:effectExtent l="0" t="0" r="13335" b="1460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113721" cy="8016949"/>
                    </a:xfrm>
                    <a:prstGeom prst="rect">
                      <a:avLst/>
                    </a:prstGeom>
                    <a:noFill/>
                    <a:ln>
                      <a:noFill/>
                    </a:ln>
                  </pic:spPr>
                </pic:pic>
              </a:graphicData>
            </a:graphic>
          </wp:inline>
        </w:drawing>
      </w:r>
    </w:p>
    <w:p w14:paraId="6FE572F1">
      <w:pPr>
        <w:spacing w:line="600" w:lineRule="exact"/>
        <w:jc w:val="center"/>
        <w:outlineLvl w:val="0"/>
        <w:rPr>
          <w:rFonts w:ascii="黑体" w:hAnsi="黑体" w:eastAsia="黑体"/>
          <w:sz w:val="44"/>
          <w:szCs w:val="44"/>
        </w:rPr>
      </w:pPr>
    </w:p>
    <w:p w14:paraId="3B075758">
      <w:pPr>
        <w:pStyle w:val="2"/>
        <w:spacing w:before="93"/>
        <w:rPr>
          <w:rFonts w:hint="eastAsia"/>
        </w:rPr>
      </w:pPr>
      <w:r>
        <w:rPr>
          <w:rFonts w:hint="eastAsia"/>
        </w:rPr>
        <w:t xml:space="preserve"> </w:t>
      </w:r>
    </w:p>
    <w:p w14:paraId="6854256A">
      <w:r>
        <w:drawing>
          <wp:inline distT="0" distB="0" distL="0" distR="0">
            <wp:extent cx="6123940" cy="8282305"/>
            <wp:effectExtent l="0" t="0" r="2540" b="825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120130" cy="8277052"/>
                    </a:xfrm>
                    <a:prstGeom prst="rect">
                      <a:avLst/>
                    </a:prstGeom>
                    <a:noFill/>
                    <a:ln>
                      <a:noFill/>
                    </a:ln>
                  </pic:spPr>
                </pic:pic>
              </a:graphicData>
            </a:graphic>
          </wp:inline>
        </w:drawing>
      </w:r>
    </w:p>
    <w:p w14:paraId="76DB2AAD">
      <w:pPr>
        <w:spacing w:line="600" w:lineRule="exact"/>
        <w:jc w:val="center"/>
        <w:outlineLvl w:val="0"/>
        <w:rPr>
          <w:rFonts w:hint="eastAsia" w:ascii="黑体" w:hAnsi="黑体" w:eastAsia="黑体"/>
          <w:sz w:val="44"/>
          <w:szCs w:val="44"/>
        </w:rPr>
      </w:pPr>
    </w:p>
    <w:p w14:paraId="63BC16EC">
      <w:pPr>
        <w:pStyle w:val="2"/>
        <w:spacing w:before="93"/>
        <w:rPr>
          <w:rFonts w:hint="eastAsia"/>
        </w:rPr>
      </w:pPr>
      <w:r>
        <w:rPr>
          <w:rFonts w:hint="eastAsia"/>
        </w:rPr>
        <w:drawing>
          <wp:inline distT="0" distB="0" distL="0" distR="0">
            <wp:extent cx="6119495" cy="8250555"/>
            <wp:effectExtent l="0" t="0" r="6985" b="95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6120052" cy="8250865"/>
                    </a:xfrm>
                    <a:prstGeom prst="rect">
                      <a:avLst/>
                    </a:prstGeom>
                    <a:noFill/>
                    <a:ln>
                      <a:noFill/>
                    </a:ln>
                  </pic:spPr>
                </pic:pic>
              </a:graphicData>
            </a:graphic>
          </wp:inline>
        </w:drawing>
      </w:r>
    </w:p>
    <w:p w14:paraId="6402CF03">
      <w:pPr>
        <w:spacing w:line="600" w:lineRule="exact"/>
        <w:jc w:val="center"/>
        <w:outlineLvl w:val="0"/>
        <w:rPr>
          <w:rFonts w:hint="eastAsia" w:ascii="黑体" w:hAnsi="黑体" w:eastAsia="黑体"/>
          <w:sz w:val="44"/>
          <w:szCs w:val="44"/>
        </w:rPr>
      </w:pPr>
    </w:p>
    <w:p w14:paraId="76B9EE28">
      <w:pPr>
        <w:spacing w:line="600" w:lineRule="exact"/>
        <w:jc w:val="center"/>
        <w:outlineLvl w:val="0"/>
        <w:rPr>
          <w:rFonts w:ascii="仿宋" w:hAnsi="仿宋" w:eastAsia="仿宋"/>
        </w:rPr>
      </w:pPr>
      <w:bookmarkStart w:id="56" w:name="_Toc15396618"/>
      <w:r>
        <w:rPr>
          <w:rFonts w:hint="eastAsia" w:ascii="黑体" w:hAnsi="黑体" w:eastAsia="黑体"/>
          <w:sz w:val="44"/>
          <w:szCs w:val="44"/>
        </w:rPr>
        <w:t>第</w:t>
      </w:r>
      <w:r>
        <w:rPr>
          <w:rStyle w:val="28"/>
          <w:rFonts w:hint="eastAsia" w:ascii="黑体" w:hAnsi="黑体" w:eastAsia="黑体"/>
          <w:b w:val="0"/>
        </w:rPr>
        <w:t>五部分 附表</w:t>
      </w:r>
      <w:bookmarkEnd w:id="54"/>
      <w:bookmarkEnd w:id="56"/>
      <w:bookmarkStart w:id="57" w:name="_Toc15396619"/>
    </w:p>
    <w:p w14:paraId="3C676D6C">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7"/>
    </w:p>
    <w:p w14:paraId="5022A76D">
      <w:pPr>
        <w:pStyle w:val="4"/>
        <w:rPr>
          <w:rFonts w:ascii="仿宋" w:hAnsi="仿宋" w:eastAsia="仿宋"/>
        </w:rPr>
      </w:pPr>
      <w:bookmarkStart w:id="58" w:name="_Toc15396620"/>
      <w:r>
        <w:rPr>
          <w:rFonts w:hint="eastAsia" w:ascii="仿宋" w:hAnsi="仿宋" w:eastAsia="仿宋"/>
          <w:b w:val="0"/>
        </w:rPr>
        <w:t>二、收</w:t>
      </w:r>
      <w:r>
        <w:rPr>
          <w:rStyle w:val="29"/>
          <w:rFonts w:hint="eastAsia" w:ascii="仿宋" w:hAnsi="仿宋" w:eastAsia="仿宋"/>
          <w:b w:val="0"/>
          <w:bCs w:val="0"/>
        </w:rPr>
        <w:t>入决算表</w:t>
      </w:r>
      <w:bookmarkEnd w:id="58"/>
    </w:p>
    <w:p w14:paraId="59A6F7E7">
      <w:pPr>
        <w:pStyle w:val="4"/>
        <w:rPr>
          <w:rFonts w:ascii="仿宋" w:hAnsi="仿宋" w:eastAsia="仿宋"/>
        </w:rPr>
      </w:pPr>
      <w:bookmarkStart w:id="59"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9"/>
    </w:p>
    <w:p w14:paraId="36549333">
      <w:pPr>
        <w:pStyle w:val="4"/>
        <w:rPr>
          <w:rFonts w:ascii="仿宋" w:hAnsi="仿宋" w:eastAsia="仿宋"/>
          <w:b w:val="0"/>
        </w:rPr>
      </w:pPr>
      <w:bookmarkStart w:id="60"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60"/>
    </w:p>
    <w:p w14:paraId="7F4E3596">
      <w:pPr>
        <w:pStyle w:val="4"/>
        <w:rPr>
          <w:rStyle w:val="29"/>
          <w:rFonts w:ascii="仿宋" w:hAnsi="仿宋" w:eastAsia="仿宋"/>
          <w:b w:val="0"/>
          <w:bCs w:val="0"/>
        </w:rPr>
      </w:pPr>
      <w:bookmarkStart w:id="61"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61"/>
      <w:bookmarkStart w:id="62" w:name="_Toc15396624"/>
    </w:p>
    <w:p w14:paraId="3F7B7E81">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62"/>
    </w:p>
    <w:p w14:paraId="1AED4875">
      <w:pPr>
        <w:pStyle w:val="4"/>
        <w:rPr>
          <w:rFonts w:ascii="仿宋" w:hAnsi="仿宋" w:eastAsia="仿宋"/>
        </w:rPr>
      </w:pPr>
      <w:bookmarkStart w:id="63"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3"/>
    </w:p>
    <w:p w14:paraId="279E1479">
      <w:pPr>
        <w:pStyle w:val="4"/>
        <w:rPr>
          <w:rFonts w:ascii="仿宋" w:hAnsi="仿宋" w:eastAsia="仿宋"/>
        </w:rPr>
      </w:pPr>
      <w:bookmarkStart w:id="64"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4"/>
    </w:p>
    <w:p w14:paraId="251EDED9">
      <w:pPr>
        <w:pStyle w:val="4"/>
        <w:rPr>
          <w:rFonts w:ascii="仿宋" w:hAnsi="仿宋" w:eastAsia="仿宋"/>
        </w:rPr>
      </w:pPr>
      <w:bookmarkStart w:id="65"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5"/>
    </w:p>
    <w:p w14:paraId="3A5A13F9">
      <w:pPr>
        <w:pStyle w:val="4"/>
        <w:rPr>
          <w:rFonts w:ascii="仿宋" w:hAnsi="仿宋" w:eastAsia="仿宋"/>
        </w:rPr>
      </w:pPr>
      <w:bookmarkStart w:id="66" w:name="_Toc15396628"/>
      <w:r>
        <w:rPr>
          <w:rStyle w:val="29"/>
          <w:rFonts w:hint="eastAsia" w:ascii="仿宋" w:hAnsi="仿宋" w:eastAsia="仿宋"/>
          <w:b w:val="0"/>
          <w:bCs w:val="0"/>
        </w:rPr>
        <w:t>十、</w:t>
      </w:r>
      <w:bookmarkEnd w:id="66"/>
      <w:r>
        <w:rPr>
          <w:rFonts w:hint="eastAsia" w:ascii="仿宋" w:hAnsi="仿宋" w:eastAsia="仿宋"/>
          <w:b w:val="0"/>
        </w:rPr>
        <w:t>政</w:t>
      </w:r>
      <w:r>
        <w:rPr>
          <w:rStyle w:val="29"/>
          <w:rFonts w:hint="eastAsia" w:ascii="仿宋" w:hAnsi="仿宋" w:eastAsia="仿宋"/>
          <w:b w:val="0"/>
          <w:bCs w:val="0"/>
        </w:rPr>
        <w:t>府性基金预算财政拨款收入支出决算表</w:t>
      </w:r>
    </w:p>
    <w:p w14:paraId="41A9FB8A">
      <w:pPr>
        <w:pStyle w:val="4"/>
        <w:rPr>
          <w:rFonts w:ascii="仿宋" w:hAnsi="仿宋" w:eastAsia="仿宋"/>
        </w:rPr>
      </w:pPr>
      <w:bookmarkStart w:id="67" w:name="_Toc15396629"/>
      <w:r>
        <w:rPr>
          <w:rStyle w:val="29"/>
          <w:rFonts w:hint="eastAsia" w:ascii="仿宋" w:hAnsi="仿宋" w:eastAsia="仿宋"/>
          <w:b w:val="0"/>
          <w:bCs w:val="0"/>
        </w:rPr>
        <w:t>十一、</w:t>
      </w:r>
      <w:bookmarkEnd w:id="67"/>
      <w:r>
        <w:rPr>
          <w:rFonts w:hint="eastAsia" w:ascii="仿宋" w:hAnsi="仿宋" w:eastAsia="仿宋"/>
          <w:b w:val="0"/>
        </w:rPr>
        <w:t>国</w:t>
      </w:r>
      <w:r>
        <w:rPr>
          <w:rStyle w:val="29"/>
          <w:rFonts w:hint="eastAsia" w:ascii="仿宋" w:hAnsi="仿宋" w:eastAsia="仿宋"/>
          <w:b w:val="0"/>
          <w:bCs w:val="0"/>
        </w:rPr>
        <w:t>有资本经营预算财政拨款收入支出决算表</w:t>
      </w:r>
    </w:p>
    <w:p w14:paraId="14773BD4">
      <w:pPr>
        <w:pStyle w:val="4"/>
        <w:rPr>
          <w:rFonts w:ascii="仿宋" w:hAnsi="仿宋" w:eastAsia="仿宋"/>
        </w:rPr>
      </w:pPr>
      <w:bookmarkStart w:id="68" w:name="_Toc15396630"/>
      <w:r>
        <w:rPr>
          <w:rStyle w:val="29"/>
          <w:rFonts w:hint="eastAsia" w:ascii="仿宋" w:hAnsi="仿宋" w:eastAsia="仿宋"/>
          <w:b w:val="0"/>
          <w:bCs w:val="0"/>
        </w:rPr>
        <w:t>十二、</w:t>
      </w:r>
      <w:bookmarkEnd w:id="68"/>
      <w:r>
        <w:rPr>
          <w:rStyle w:val="29"/>
          <w:rFonts w:hint="eastAsia" w:ascii="仿宋" w:hAnsi="仿宋" w:eastAsia="仿宋"/>
          <w:b w:val="0"/>
          <w:bCs w:val="0"/>
        </w:rPr>
        <w:t>国有资本经营预算财政拨款支出决算表</w:t>
      </w:r>
    </w:p>
    <w:p w14:paraId="3AA80B31">
      <w:pPr>
        <w:pStyle w:val="4"/>
        <w:rPr>
          <w:rFonts w:eastAsia="仿宋"/>
        </w:rPr>
      </w:pPr>
      <w:bookmarkStart w:id="69" w:name="_Toc15396631"/>
      <w:r>
        <w:rPr>
          <w:rStyle w:val="29"/>
          <w:rFonts w:hint="eastAsia" w:ascii="仿宋" w:hAnsi="仿宋" w:eastAsia="仿宋"/>
          <w:b w:val="0"/>
          <w:bCs w:val="0"/>
        </w:rPr>
        <w:t>十三、</w:t>
      </w:r>
      <w:bookmarkEnd w:id="69"/>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134" w:right="1134" w:bottom="1134" w:left="1134" w:header="851" w:footer="992" w:gutter="0"/>
      <w:pgNumType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5DA438F">
        <w:pPr>
          <w:pStyle w:val="9"/>
          <w:jc w:val="center"/>
        </w:pPr>
        <w:r>
          <w:fldChar w:fldCharType="begin"/>
        </w:r>
        <w:r>
          <w:instrText xml:space="preserve">PAGE   \* MERGEFORMAT</w:instrText>
        </w:r>
        <w:r>
          <w:fldChar w:fldCharType="separate"/>
        </w:r>
        <w:r>
          <w:rPr>
            <w:lang w:val="zh-CN"/>
          </w:rPr>
          <w:t>10</w:t>
        </w:r>
        <w:r>
          <w:fldChar w:fldCharType="end"/>
        </w:r>
      </w:p>
    </w:sdtContent>
  </w:sdt>
  <w:p w14:paraId="500B1A4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15075">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abstractNum w:abstractNumId="4">
    <w:nsid w:val="4ABF4740"/>
    <w:multiLevelType w:val="multilevel"/>
    <w:tmpl w:val="4ABF4740"/>
    <w:lvl w:ilvl="0" w:tentative="0">
      <w:start w:val="1"/>
      <w:numFmt w:val="japaneseCounting"/>
      <w:lvlText w:val="（%1）"/>
      <w:lvlJc w:val="left"/>
      <w:pPr>
        <w:ind w:left="1401" w:hanging="1080"/>
      </w:pPr>
      <w:rPr>
        <w:rFonts w:hint="default"/>
      </w:rPr>
    </w:lvl>
    <w:lvl w:ilvl="1" w:tentative="0">
      <w:start w:val="1"/>
      <w:numFmt w:val="lowerLetter"/>
      <w:lvlText w:val="%2)"/>
      <w:lvlJc w:val="left"/>
      <w:pPr>
        <w:ind w:left="1161" w:hanging="420"/>
      </w:pPr>
    </w:lvl>
    <w:lvl w:ilvl="2" w:tentative="0">
      <w:start w:val="1"/>
      <w:numFmt w:val="lowerRoman"/>
      <w:lvlText w:val="%3."/>
      <w:lvlJc w:val="right"/>
      <w:pPr>
        <w:ind w:left="1581" w:hanging="420"/>
      </w:pPr>
    </w:lvl>
    <w:lvl w:ilvl="3" w:tentative="0">
      <w:start w:val="1"/>
      <w:numFmt w:val="decimal"/>
      <w:lvlText w:val="%4."/>
      <w:lvlJc w:val="left"/>
      <w:pPr>
        <w:ind w:left="2001" w:hanging="420"/>
      </w:pPr>
    </w:lvl>
    <w:lvl w:ilvl="4" w:tentative="0">
      <w:start w:val="1"/>
      <w:numFmt w:val="lowerLetter"/>
      <w:lvlText w:val="%5)"/>
      <w:lvlJc w:val="left"/>
      <w:pPr>
        <w:ind w:left="2421" w:hanging="420"/>
      </w:pPr>
    </w:lvl>
    <w:lvl w:ilvl="5" w:tentative="0">
      <w:start w:val="1"/>
      <w:numFmt w:val="lowerRoman"/>
      <w:lvlText w:val="%6."/>
      <w:lvlJc w:val="right"/>
      <w:pPr>
        <w:ind w:left="2841" w:hanging="420"/>
      </w:pPr>
    </w:lvl>
    <w:lvl w:ilvl="6" w:tentative="0">
      <w:start w:val="1"/>
      <w:numFmt w:val="decimal"/>
      <w:lvlText w:val="%7."/>
      <w:lvlJc w:val="left"/>
      <w:pPr>
        <w:ind w:left="3261" w:hanging="420"/>
      </w:pPr>
    </w:lvl>
    <w:lvl w:ilvl="7" w:tentative="0">
      <w:start w:val="1"/>
      <w:numFmt w:val="lowerLetter"/>
      <w:lvlText w:val="%8)"/>
      <w:lvlJc w:val="left"/>
      <w:pPr>
        <w:ind w:left="3681" w:hanging="420"/>
      </w:pPr>
    </w:lvl>
    <w:lvl w:ilvl="8" w:tentative="0">
      <w:start w:val="1"/>
      <w:numFmt w:val="lowerRoman"/>
      <w:lvlText w:val="%9."/>
      <w:lvlJc w:val="right"/>
      <w:pPr>
        <w:ind w:left="4101" w:hanging="420"/>
      </w:pPr>
    </w:lvl>
  </w:abstractNum>
  <w:abstractNum w:abstractNumId="5">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0A01"/>
    <w:rsid w:val="000B5923"/>
    <w:rsid w:val="000B5A48"/>
    <w:rsid w:val="000B6FF3"/>
    <w:rsid w:val="000C3467"/>
    <w:rsid w:val="000C3CA6"/>
    <w:rsid w:val="000D1267"/>
    <w:rsid w:val="000D1D50"/>
    <w:rsid w:val="000D5782"/>
    <w:rsid w:val="000E6613"/>
    <w:rsid w:val="000E7119"/>
    <w:rsid w:val="00114E9B"/>
    <w:rsid w:val="00117FF5"/>
    <w:rsid w:val="00130348"/>
    <w:rsid w:val="00142216"/>
    <w:rsid w:val="00144D6A"/>
    <w:rsid w:val="0014729F"/>
    <w:rsid w:val="00157BAB"/>
    <w:rsid w:val="001654D1"/>
    <w:rsid w:val="00174518"/>
    <w:rsid w:val="0018106D"/>
    <w:rsid w:val="001877A7"/>
    <w:rsid w:val="00191536"/>
    <w:rsid w:val="00196687"/>
    <w:rsid w:val="001A1DAD"/>
    <w:rsid w:val="001B6569"/>
    <w:rsid w:val="001C0962"/>
    <w:rsid w:val="001C5F75"/>
    <w:rsid w:val="001D7531"/>
    <w:rsid w:val="001E737D"/>
    <w:rsid w:val="001F0592"/>
    <w:rsid w:val="001F60B6"/>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A562E"/>
    <w:rsid w:val="002B2613"/>
    <w:rsid w:val="002B7298"/>
    <w:rsid w:val="002C5004"/>
    <w:rsid w:val="002D4EED"/>
    <w:rsid w:val="002D6D05"/>
    <w:rsid w:val="002F054C"/>
    <w:rsid w:val="002F1818"/>
    <w:rsid w:val="002F567B"/>
    <w:rsid w:val="003216A9"/>
    <w:rsid w:val="00325051"/>
    <w:rsid w:val="00335A74"/>
    <w:rsid w:val="00362916"/>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78E2"/>
    <w:rsid w:val="00406254"/>
    <w:rsid w:val="004223DE"/>
    <w:rsid w:val="00425C50"/>
    <w:rsid w:val="0043177C"/>
    <w:rsid w:val="00434489"/>
    <w:rsid w:val="00437085"/>
    <w:rsid w:val="00443880"/>
    <w:rsid w:val="004464F4"/>
    <w:rsid w:val="0046049C"/>
    <w:rsid w:val="00471401"/>
    <w:rsid w:val="00473F31"/>
    <w:rsid w:val="00475EF0"/>
    <w:rsid w:val="0048263A"/>
    <w:rsid w:val="00487E5D"/>
    <w:rsid w:val="004A711F"/>
    <w:rsid w:val="004B199D"/>
    <w:rsid w:val="004B4690"/>
    <w:rsid w:val="004E0A2D"/>
    <w:rsid w:val="004E206B"/>
    <w:rsid w:val="004E6DF7"/>
    <w:rsid w:val="004E7147"/>
    <w:rsid w:val="004F0FBD"/>
    <w:rsid w:val="00505A47"/>
    <w:rsid w:val="00512FDA"/>
    <w:rsid w:val="00513FA6"/>
    <w:rsid w:val="00520DA0"/>
    <w:rsid w:val="005533CF"/>
    <w:rsid w:val="005664BB"/>
    <w:rsid w:val="00566FFA"/>
    <w:rsid w:val="0057481D"/>
    <w:rsid w:val="0058486E"/>
    <w:rsid w:val="00585B33"/>
    <w:rsid w:val="0059014D"/>
    <w:rsid w:val="005958B6"/>
    <w:rsid w:val="005A0C49"/>
    <w:rsid w:val="005B5C64"/>
    <w:rsid w:val="005B6DA7"/>
    <w:rsid w:val="005B6E8A"/>
    <w:rsid w:val="005C5337"/>
    <w:rsid w:val="005C6BD0"/>
    <w:rsid w:val="005D1C8B"/>
    <w:rsid w:val="005D468D"/>
    <w:rsid w:val="005D5CED"/>
    <w:rsid w:val="005F10BC"/>
    <w:rsid w:val="005F1A4C"/>
    <w:rsid w:val="00605688"/>
    <w:rsid w:val="006070AF"/>
    <w:rsid w:val="00607E6C"/>
    <w:rsid w:val="006101B1"/>
    <w:rsid w:val="00614E44"/>
    <w:rsid w:val="0061652D"/>
    <w:rsid w:val="0062270A"/>
    <w:rsid w:val="00622830"/>
    <w:rsid w:val="00623DA0"/>
    <w:rsid w:val="006274A6"/>
    <w:rsid w:val="00630AEF"/>
    <w:rsid w:val="006325F8"/>
    <w:rsid w:val="00633463"/>
    <w:rsid w:val="00634C9A"/>
    <w:rsid w:val="00637250"/>
    <w:rsid w:val="006440E4"/>
    <w:rsid w:val="00655FC5"/>
    <w:rsid w:val="0066343B"/>
    <w:rsid w:val="00664777"/>
    <w:rsid w:val="006748A4"/>
    <w:rsid w:val="00681A31"/>
    <w:rsid w:val="00683E73"/>
    <w:rsid w:val="006A3141"/>
    <w:rsid w:val="006A5E34"/>
    <w:rsid w:val="006B2422"/>
    <w:rsid w:val="006B2B9A"/>
    <w:rsid w:val="006C1937"/>
    <w:rsid w:val="006D770C"/>
    <w:rsid w:val="006F020C"/>
    <w:rsid w:val="0071021A"/>
    <w:rsid w:val="007127B7"/>
    <w:rsid w:val="0071798E"/>
    <w:rsid w:val="0072771A"/>
    <w:rsid w:val="007416B6"/>
    <w:rsid w:val="00746F48"/>
    <w:rsid w:val="0075404D"/>
    <w:rsid w:val="0076182A"/>
    <w:rsid w:val="00767B7E"/>
    <w:rsid w:val="007770C3"/>
    <w:rsid w:val="00784D24"/>
    <w:rsid w:val="00785FBA"/>
    <w:rsid w:val="00786E4A"/>
    <w:rsid w:val="007875EB"/>
    <w:rsid w:val="0079426B"/>
    <w:rsid w:val="007B3D2D"/>
    <w:rsid w:val="007D1682"/>
    <w:rsid w:val="007D312A"/>
    <w:rsid w:val="007D3F19"/>
    <w:rsid w:val="007D402A"/>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40E4"/>
    <w:rsid w:val="00855221"/>
    <w:rsid w:val="00860645"/>
    <w:rsid w:val="00871F71"/>
    <w:rsid w:val="00872FD8"/>
    <w:rsid w:val="008808CE"/>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06B0"/>
    <w:rsid w:val="00946945"/>
    <w:rsid w:val="00951248"/>
    <w:rsid w:val="0095152F"/>
    <w:rsid w:val="00954C49"/>
    <w:rsid w:val="00955E37"/>
    <w:rsid w:val="0097099F"/>
    <w:rsid w:val="00971997"/>
    <w:rsid w:val="00971EE9"/>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05838"/>
    <w:rsid w:val="00A13CC1"/>
    <w:rsid w:val="00A16847"/>
    <w:rsid w:val="00A22BFF"/>
    <w:rsid w:val="00A237D8"/>
    <w:rsid w:val="00A268C4"/>
    <w:rsid w:val="00A307CD"/>
    <w:rsid w:val="00A331C8"/>
    <w:rsid w:val="00A34D53"/>
    <w:rsid w:val="00A40A00"/>
    <w:rsid w:val="00A40EA9"/>
    <w:rsid w:val="00A4142F"/>
    <w:rsid w:val="00A422EB"/>
    <w:rsid w:val="00A45BB7"/>
    <w:rsid w:val="00A56DF2"/>
    <w:rsid w:val="00A56E6E"/>
    <w:rsid w:val="00A645A6"/>
    <w:rsid w:val="00A67AB5"/>
    <w:rsid w:val="00A733B2"/>
    <w:rsid w:val="00A741C2"/>
    <w:rsid w:val="00A91760"/>
    <w:rsid w:val="00A93B00"/>
    <w:rsid w:val="00A93C21"/>
    <w:rsid w:val="00AB64C9"/>
    <w:rsid w:val="00AC3C6A"/>
    <w:rsid w:val="00AD3B24"/>
    <w:rsid w:val="00AD4AA0"/>
    <w:rsid w:val="00AD5620"/>
    <w:rsid w:val="00AD656B"/>
    <w:rsid w:val="00AD7C1B"/>
    <w:rsid w:val="00AE16BA"/>
    <w:rsid w:val="00AE1EBE"/>
    <w:rsid w:val="00AF5CDA"/>
    <w:rsid w:val="00B03C9D"/>
    <w:rsid w:val="00B060AE"/>
    <w:rsid w:val="00B10517"/>
    <w:rsid w:val="00B14E76"/>
    <w:rsid w:val="00B161B8"/>
    <w:rsid w:val="00B2048C"/>
    <w:rsid w:val="00B218F5"/>
    <w:rsid w:val="00B310B9"/>
    <w:rsid w:val="00B35F3F"/>
    <w:rsid w:val="00B36CBB"/>
    <w:rsid w:val="00B425E0"/>
    <w:rsid w:val="00B440AA"/>
    <w:rsid w:val="00B44B70"/>
    <w:rsid w:val="00B453E4"/>
    <w:rsid w:val="00B4718D"/>
    <w:rsid w:val="00B53C56"/>
    <w:rsid w:val="00B56CB5"/>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4620"/>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60D67"/>
    <w:rsid w:val="00D7035F"/>
    <w:rsid w:val="00DA634F"/>
    <w:rsid w:val="00DA65AC"/>
    <w:rsid w:val="00DB1913"/>
    <w:rsid w:val="00DC410D"/>
    <w:rsid w:val="00DC5A81"/>
    <w:rsid w:val="00DC68CA"/>
    <w:rsid w:val="00DC7CBA"/>
    <w:rsid w:val="00DD5C5E"/>
    <w:rsid w:val="00DD73B7"/>
    <w:rsid w:val="00DF28BC"/>
    <w:rsid w:val="00DF34B9"/>
    <w:rsid w:val="00E01053"/>
    <w:rsid w:val="00E07ACF"/>
    <w:rsid w:val="00E331A1"/>
    <w:rsid w:val="00E33202"/>
    <w:rsid w:val="00E336A9"/>
    <w:rsid w:val="00E472B1"/>
    <w:rsid w:val="00E50624"/>
    <w:rsid w:val="00E568DF"/>
    <w:rsid w:val="00E64269"/>
    <w:rsid w:val="00E70528"/>
    <w:rsid w:val="00E82267"/>
    <w:rsid w:val="00E853CE"/>
    <w:rsid w:val="00E867B6"/>
    <w:rsid w:val="00EA010F"/>
    <w:rsid w:val="00EA2381"/>
    <w:rsid w:val="00EA7745"/>
    <w:rsid w:val="00ED1B63"/>
    <w:rsid w:val="00ED3C1F"/>
    <w:rsid w:val="00ED4085"/>
    <w:rsid w:val="00ED420E"/>
    <w:rsid w:val="00ED6FBE"/>
    <w:rsid w:val="00EE2F57"/>
    <w:rsid w:val="00EF4C34"/>
    <w:rsid w:val="00EF77C6"/>
    <w:rsid w:val="00F05438"/>
    <w:rsid w:val="00F06270"/>
    <w:rsid w:val="00F1361C"/>
    <w:rsid w:val="00F156F0"/>
    <w:rsid w:val="00F160C7"/>
    <w:rsid w:val="00F20556"/>
    <w:rsid w:val="00F2408F"/>
    <w:rsid w:val="00F240E9"/>
    <w:rsid w:val="00F36D8F"/>
    <w:rsid w:val="00F417B1"/>
    <w:rsid w:val="00F45853"/>
    <w:rsid w:val="00F602DF"/>
    <w:rsid w:val="00F754A1"/>
    <w:rsid w:val="00F81FD9"/>
    <w:rsid w:val="00F841AA"/>
    <w:rsid w:val="00F84A94"/>
    <w:rsid w:val="00F87E96"/>
    <w:rsid w:val="00FA23E8"/>
    <w:rsid w:val="00FD3CC1"/>
    <w:rsid w:val="00FE2FB2"/>
    <w:rsid w:val="00FF1E02"/>
    <w:rsid w:val="00FF30B4"/>
    <w:rsid w:val="019B4930"/>
    <w:rsid w:val="02335BA7"/>
    <w:rsid w:val="03DC2831"/>
    <w:rsid w:val="081B5E94"/>
    <w:rsid w:val="0A2032A3"/>
    <w:rsid w:val="0B8A37D8"/>
    <w:rsid w:val="0F5FFB2F"/>
    <w:rsid w:val="0FFFCF60"/>
    <w:rsid w:val="10C055FF"/>
    <w:rsid w:val="118107EC"/>
    <w:rsid w:val="11DD6519"/>
    <w:rsid w:val="16BB723D"/>
    <w:rsid w:val="18015F3F"/>
    <w:rsid w:val="1BE8440E"/>
    <w:rsid w:val="1D155CEE"/>
    <w:rsid w:val="1DD15EA6"/>
    <w:rsid w:val="1EB93922"/>
    <w:rsid w:val="1F1825EA"/>
    <w:rsid w:val="1F393C07"/>
    <w:rsid w:val="1FDBBF84"/>
    <w:rsid w:val="20116D1B"/>
    <w:rsid w:val="205254D7"/>
    <w:rsid w:val="20F57F95"/>
    <w:rsid w:val="240371BF"/>
    <w:rsid w:val="25711CC6"/>
    <w:rsid w:val="25C741E6"/>
    <w:rsid w:val="27304C57"/>
    <w:rsid w:val="276F80C0"/>
    <w:rsid w:val="27842671"/>
    <w:rsid w:val="29FD04D3"/>
    <w:rsid w:val="2A2445CF"/>
    <w:rsid w:val="2A9D402A"/>
    <w:rsid w:val="2ABE7A3E"/>
    <w:rsid w:val="2AEA2C6D"/>
    <w:rsid w:val="2AFF09B6"/>
    <w:rsid w:val="2CA234A8"/>
    <w:rsid w:val="2EFA178C"/>
    <w:rsid w:val="2EFDF86C"/>
    <w:rsid w:val="2F9D17E1"/>
    <w:rsid w:val="30060575"/>
    <w:rsid w:val="30B46D73"/>
    <w:rsid w:val="319F7F4E"/>
    <w:rsid w:val="356A28F1"/>
    <w:rsid w:val="357C035A"/>
    <w:rsid w:val="35E5196C"/>
    <w:rsid w:val="368E000D"/>
    <w:rsid w:val="36ED5576"/>
    <w:rsid w:val="37930807"/>
    <w:rsid w:val="37B35C4A"/>
    <w:rsid w:val="383D272C"/>
    <w:rsid w:val="39AE70AB"/>
    <w:rsid w:val="3A4DCE41"/>
    <w:rsid w:val="3AD214CB"/>
    <w:rsid w:val="3BCB56FA"/>
    <w:rsid w:val="3BE739AC"/>
    <w:rsid w:val="3C0C0783"/>
    <w:rsid w:val="3C807FBA"/>
    <w:rsid w:val="3DBF5F29"/>
    <w:rsid w:val="3DDC372D"/>
    <w:rsid w:val="3E485247"/>
    <w:rsid w:val="3EE7C2F4"/>
    <w:rsid w:val="3F371B56"/>
    <w:rsid w:val="3F792ED8"/>
    <w:rsid w:val="3F9F3A96"/>
    <w:rsid w:val="3FECA4B2"/>
    <w:rsid w:val="3FF58C48"/>
    <w:rsid w:val="411920A0"/>
    <w:rsid w:val="414E679C"/>
    <w:rsid w:val="42FF6694"/>
    <w:rsid w:val="43850656"/>
    <w:rsid w:val="43D92440"/>
    <w:rsid w:val="44FB5388"/>
    <w:rsid w:val="45351042"/>
    <w:rsid w:val="45381F59"/>
    <w:rsid w:val="461C0398"/>
    <w:rsid w:val="48BF60AB"/>
    <w:rsid w:val="493C27E9"/>
    <w:rsid w:val="496F39ED"/>
    <w:rsid w:val="49FF41D3"/>
    <w:rsid w:val="4BE068DB"/>
    <w:rsid w:val="4BF6002B"/>
    <w:rsid w:val="4BFFC6BE"/>
    <w:rsid w:val="4DA471B5"/>
    <w:rsid w:val="4E722275"/>
    <w:rsid w:val="4ECE2238"/>
    <w:rsid w:val="51DB4B86"/>
    <w:rsid w:val="51F64DB0"/>
    <w:rsid w:val="51FF2E33"/>
    <w:rsid w:val="55333C3E"/>
    <w:rsid w:val="56011FB6"/>
    <w:rsid w:val="57400ADD"/>
    <w:rsid w:val="576B20BB"/>
    <w:rsid w:val="5A9B6FFD"/>
    <w:rsid w:val="5F67802D"/>
    <w:rsid w:val="5F7DC4F2"/>
    <w:rsid w:val="5FB36814"/>
    <w:rsid w:val="5FBB8E56"/>
    <w:rsid w:val="5FFB5535"/>
    <w:rsid w:val="60045493"/>
    <w:rsid w:val="62990147"/>
    <w:rsid w:val="632927BC"/>
    <w:rsid w:val="63502407"/>
    <w:rsid w:val="64CA39A1"/>
    <w:rsid w:val="65155D71"/>
    <w:rsid w:val="668D3003"/>
    <w:rsid w:val="68BC29F3"/>
    <w:rsid w:val="69630ADE"/>
    <w:rsid w:val="69BD5F13"/>
    <w:rsid w:val="69FB0B4B"/>
    <w:rsid w:val="6A6F71DF"/>
    <w:rsid w:val="6BFFE1FB"/>
    <w:rsid w:val="6C4A05C8"/>
    <w:rsid w:val="6CA965DB"/>
    <w:rsid w:val="6D3B1A89"/>
    <w:rsid w:val="6DB7D8A3"/>
    <w:rsid w:val="6EC78701"/>
    <w:rsid w:val="6F7A5481"/>
    <w:rsid w:val="6FFE07A9"/>
    <w:rsid w:val="71BF4EC2"/>
    <w:rsid w:val="72144C92"/>
    <w:rsid w:val="72734D90"/>
    <w:rsid w:val="73442A3C"/>
    <w:rsid w:val="73B65BF2"/>
    <w:rsid w:val="73E75B71"/>
    <w:rsid w:val="7412278C"/>
    <w:rsid w:val="75DDCDA9"/>
    <w:rsid w:val="75FF44B1"/>
    <w:rsid w:val="77670518"/>
    <w:rsid w:val="777FA627"/>
    <w:rsid w:val="77DF1B5F"/>
    <w:rsid w:val="77EF2D9D"/>
    <w:rsid w:val="79E7B28D"/>
    <w:rsid w:val="7A1A1682"/>
    <w:rsid w:val="7ACFF0C2"/>
    <w:rsid w:val="7AFB9108"/>
    <w:rsid w:val="7BD5340C"/>
    <w:rsid w:val="7BFB19D2"/>
    <w:rsid w:val="7BFD1750"/>
    <w:rsid w:val="7BFDAA1B"/>
    <w:rsid w:val="7CDF9A82"/>
    <w:rsid w:val="7CFFA1BD"/>
    <w:rsid w:val="7D2E3F7A"/>
    <w:rsid w:val="7DED9490"/>
    <w:rsid w:val="7DFF4872"/>
    <w:rsid w:val="7E195570"/>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qFormat/>
    <w:uiPriority w:val="0"/>
    <w:pPr>
      <w:ind w:left="400" w:leftChars="200" w:hanging="200" w:hangingChars="200"/>
    </w:pPr>
    <w:rPr>
      <w:rFonts w:ascii="Calibri" w:hAnsi="Calibri" w:cs="宋体"/>
      <w:szCs w:val="22"/>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font31"/>
    <w:basedOn w:val="16"/>
    <w:qFormat/>
    <w:uiPriority w:val="0"/>
    <w:rPr>
      <w:rFonts w:ascii="宋体" w:hAnsi="宋体" w:eastAsia="宋体" w:cs="宋体"/>
      <w:color w:val="000000"/>
      <w:sz w:val="18"/>
      <w:szCs w:val="18"/>
      <w:u w:val="none"/>
    </w:rPr>
  </w:style>
  <w:style w:type="character" w:customStyle="1" w:styleId="35">
    <w:name w:val="font71"/>
    <w:basedOn w:val="16"/>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7.emf"/><Relationship Id="rId21" Type="http://schemas.openxmlformats.org/officeDocument/2006/relationships/image" Target="media/image16.emf"/><Relationship Id="rId20" Type="http://schemas.openxmlformats.org/officeDocument/2006/relationships/image" Target="media/image15.emf"/><Relationship Id="rId2" Type="http://schemas.openxmlformats.org/officeDocument/2006/relationships/settings" Target="settings.xml"/><Relationship Id="rId19" Type="http://schemas.openxmlformats.org/officeDocument/2006/relationships/image" Target="media/image14.emf"/><Relationship Id="rId18" Type="http://schemas.openxmlformats.org/officeDocument/2006/relationships/image" Target="media/image13.emf"/><Relationship Id="rId17" Type="http://schemas.openxmlformats.org/officeDocument/2006/relationships/image" Target="media/image12.emf"/><Relationship Id="rId16" Type="http://schemas.openxmlformats.org/officeDocument/2006/relationships/image" Target="media/image11.emf"/><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38F61-1862-4A85-8DE3-3B95916A6270}">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30</Pages>
  <Words>6835</Words>
  <Characters>7392</Characters>
  <Lines>60</Lines>
  <Paragraphs>17</Paragraphs>
  <TotalTime>0</TotalTime>
  <ScaleCrop>false</ScaleCrop>
  <LinksUpToDate>false</LinksUpToDate>
  <CharactersWithSpaces>7584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Administrator</cp:lastModifiedBy>
  <cp:lastPrinted>2023-08-03T02:35:00Z</cp:lastPrinted>
  <dcterms:modified xsi:type="dcterms:W3CDTF">2025-12-04T00:33:20Z</dcterms:modified>
  <dc:title>四川省***</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41952629B0B9491D875F314B49884837</vt:lpwstr>
  </property>
  <property fmtid="{D5CDD505-2E9C-101B-9397-08002B2CF9AE}" pid="4" name="KSOTemplateDocerSaveRecord">
    <vt:lpwstr>eyJoZGlkIjoiNjY1ZjhmYjM0MDVlMmI3Y2E4YmJmMDI4MGI0MjllMWUifQ==</vt:lpwstr>
  </property>
</Properties>
</file>