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E6CC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rPr>
      </w:pPr>
      <w:bookmarkStart w:id="0" w:name="_Toc15377425"/>
      <w:bookmarkStart w:id="1" w:name="_Toc15396597"/>
      <w:bookmarkStart w:id="2" w:name="_Toc15306267"/>
      <w:bookmarkStart w:id="3" w:name="_Toc15378441"/>
      <w:bookmarkStart w:id="4" w:name="_Toc15377193"/>
      <w:bookmarkStart w:id="5" w:name="_Toc15396475"/>
    </w:p>
    <w:p w14:paraId="7DAD079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rPr>
      </w:pPr>
    </w:p>
    <w:p w14:paraId="16EA4E68">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202</w:t>
      </w:r>
      <w:r>
        <w:rPr>
          <w:rFonts w:hint="eastAsia" w:ascii="方正小标宋简体" w:hAnsi="方正小标宋简体" w:eastAsia="方正小标宋简体" w:cs="方正小标宋简体"/>
          <w:color w:val="auto"/>
          <w:sz w:val="72"/>
          <w:szCs w:val="72"/>
          <w:lang w:val="en-US" w:eastAsia="zh-CN"/>
        </w:rPr>
        <w:t>4</w:t>
      </w:r>
      <w:r>
        <w:rPr>
          <w:rFonts w:hint="eastAsia" w:ascii="方正小标宋简体" w:hAnsi="方正小标宋简体" w:eastAsia="方正小标宋简体" w:cs="方正小标宋简体"/>
          <w:color w:val="auto"/>
          <w:sz w:val="72"/>
          <w:szCs w:val="72"/>
        </w:rPr>
        <w:t>年度</w:t>
      </w:r>
    </w:p>
    <w:p w14:paraId="3F140FA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lang w:val="en-US" w:eastAsia="zh-CN"/>
        </w:rPr>
      </w:pPr>
      <w:r>
        <w:rPr>
          <w:rFonts w:hint="eastAsia" w:ascii="方正小标宋简体" w:hAnsi="方正小标宋简体" w:eastAsia="方正小标宋简体" w:cs="方正小标宋简体"/>
          <w:color w:val="auto"/>
          <w:sz w:val="72"/>
          <w:szCs w:val="72"/>
        </w:rPr>
        <w:t>四川省</w:t>
      </w:r>
      <w:r>
        <w:rPr>
          <w:rFonts w:hint="eastAsia" w:ascii="方正小标宋简体" w:hAnsi="方正小标宋简体" w:eastAsia="方正小标宋简体" w:cs="方正小标宋简体"/>
          <w:color w:val="auto"/>
          <w:sz w:val="72"/>
          <w:szCs w:val="72"/>
          <w:lang w:eastAsia="zh-CN"/>
        </w:rPr>
        <w:t>乐山市</w:t>
      </w:r>
      <w:r>
        <w:rPr>
          <w:rFonts w:hint="eastAsia" w:ascii="方正小标宋简体" w:hAnsi="方正小标宋简体" w:eastAsia="方正小标宋简体" w:cs="方正小标宋简体"/>
          <w:color w:val="auto"/>
          <w:sz w:val="72"/>
          <w:szCs w:val="72"/>
          <w:lang w:val="en-US" w:eastAsia="zh-CN"/>
        </w:rPr>
        <w:t>峨眉山市</w:t>
      </w:r>
    </w:p>
    <w:p w14:paraId="041B5DB5">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lang w:val="en-US" w:eastAsia="zh-CN"/>
        </w:rPr>
      </w:pPr>
      <w:r>
        <w:rPr>
          <w:rFonts w:hint="eastAsia" w:ascii="方正小标宋简体" w:hAnsi="方正小标宋简体" w:eastAsia="方正小标宋简体" w:cs="方正小标宋简体"/>
          <w:color w:val="auto"/>
          <w:sz w:val="72"/>
          <w:szCs w:val="72"/>
          <w:lang w:val="en-US" w:eastAsia="zh-CN"/>
        </w:rPr>
        <w:t>双福镇第二小学校</w:t>
      </w:r>
    </w:p>
    <w:p w14:paraId="320E2653">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单位决算</w:t>
      </w:r>
    </w:p>
    <w:p w14:paraId="6C1753D1">
      <w:pPr>
        <w:pStyle w:val="20"/>
        <w:rPr>
          <w:rFonts w:ascii="Times New Roman" w:hAnsi="Times New Roman"/>
          <w:color w:val="auto"/>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ACB01C8">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8607099">
      <w:pPr>
        <w:widowControl/>
        <w:jc w:val="center"/>
        <w:rPr>
          <w:rFonts w:ascii="Times New Roman" w:hAnsi="Times New Roman" w:eastAsia="黑体" w:cstheme="minorBidi"/>
          <w:color w:val="auto"/>
          <w:sz w:val="28"/>
          <w:szCs w:val="28"/>
          <w:highlight w:val="none"/>
        </w:rPr>
      </w:pPr>
    </w:p>
    <w:p w14:paraId="417D2017">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6C0B9403">
      <w:pPr>
        <w:rPr>
          <w:rFonts w:ascii="Times New Roman" w:hAnsi="Times New Roman"/>
          <w:color w:val="auto"/>
          <w:highlight w:val="none"/>
        </w:rPr>
      </w:pPr>
    </w:p>
    <w:p w14:paraId="770155BB">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0C59B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w:t>
      </w:r>
    </w:p>
    <w:p w14:paraId="276938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5E7377E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9</w:t>
      </w:r>
    </w:p>
    <w:p w14:paraId="1F6D09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223063D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46FFFA8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64834B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6E98047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776E707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1D07B2A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15</w:t>
      </w:r>
    </w:p>
    <w:p w14:paraId="3C6AE9A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0E1B456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7C6AEF4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14:paraId="7832C252">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0E7FE816">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20</w:t>
      </w:r>
    </w:p>
    <w:p w14:paraId="6C2EB213">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32</w:t>
      </w:r>
    </w:p>
    <w:p w14:paraId="4EA6790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469D8A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57EBB8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6D7305B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2BA6E4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4FFD347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29BE080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26852D7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0AF3D54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3387CD0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1422699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2B5030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38C77BA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6F6BC11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5021593D">
      <w:pPr>
        <w:pStyle w:val="2"/>
        <w:jc w:val="center"/>
        <w:rPr>
          <w:rFonts w:hint="eastAsia" w:ascii="Times New Roman" w:hAnsi="Times New Roman" w:eastAsia="方正小标宋简体" w:cs="方正小标宋简体"/>
          <w:b w:val="0"/>
          <w:color w:val="auto"/>
          <w:highlight w:val="none"/>
        </w:rPr>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6E686FF9">
      <w:pPr>
        <w:pStyle w:val="2"/>
        <w:jc w:val="center"/>
        <w:rPr>
          <w:rStyle w:val="29"/>
          <w:rFonts w:hint="default" w:ascii="Times New Roman" w:hAnsi="Times New Roman" w:eastAsia="方正小标宋简体" w:cs="方正小标宋简体"/>
          <w:b/>
          <w:bCs w:val="0"/>
          <w:color w:val="auto"/>
          <w:highlight w:val="none"/>
          <w:lang w:val="en-US" w:eastAsia="zh-CN"/>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438EA0FE">
      <w:pPr>
        <w:widowControl/>
        <w:jc w:val="left"/>
        <w:rPr>
          <w:rFonts w:ascii="Times New Roman" w:hAnsi="Times New Roman" w:eastAsia="黑体"/>
          <w:color w:val="auto"/>
          <w:sz w:val="32"/>
          <w:szCs w:val="32"/>
          <w:highlight w:val="none"/>
        </w:rPr>
      </w:pPr>
    </w:p>
    <w:p w14:paraId="5C80E754">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1BA1A5F">
      <w:pPr>
        <w:numPr>
          <w:ilvl w:val="0"/>
          <w:numId w:val="0"/>
        </w:numPr>
        <w:ind w:firstLine="643" w:firstLineChars="200"/>
        <w:rPr>
          <w:rFonts w:hint="eastAsia" w:ascii="仿宋" w:hAnsi="仿宋" w:eastAsia="仿宋" w:cs="仿宋"/>
          <w:b w:val="0"/>
          <w:bCs w:val="0"/>
          <w:color w:val="auto"/>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58793B15">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实施小学义务教育，促进基础教育发展，从事小学学历教育</w:t>
      </w:r>
      <w:r>
        <w:rPr>
          <w:rFonts w:hint="eastAsia" w:ascii="仿宋" w:hAnsi="仿宋" w:eastAsia="仿宋" w:cs="仿宋"/>
          <w:b w:val="0"/>
          <w:bCs w:val="0"/>
          <w:color w:val="auto"/>
          <w:sz w:val="32"/>
          <w:szCs w:val="32"/>
        </w:rPr>
        <w:t>。</w:t>
      </w:r>
    </w:p>
    <w:p w14:paraId="03D66E09">
      <w:pPr>
        <w:numPr>
          <w:ilvl w:val="0"/>
          <w:numId w:val="0"/>
        </w:numPr>
        <w:ind w:firstLine="643" w:firstLineChars="200"/>
        <w:rPr>
          <w:rFonts w:hint="eastAsia" w:ascii="仿宋" w:hAnsi="仿宋" w:eastAsia="仿宋" w:cs="仿宋"/>
          <w:b w:val="0"/>
          <w:bCs w:val="0"/>
          <w:color w:val="auto"/>
          <w:sz w:val="32"/>
          <w:szCs w:val="32"/>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r>
        <w:rPr>
          <w:rFonts w:hint="eastAsia" w:ascii="仿宋" w:hAnsi="仿宋" w:eastAsia="仿宋" w:cs="仿宋"/>
          <w:b w:val="0"/>
          <w:bCs w:val="0"/>
          <w:color w:val="auto"/>
          <w:sz w:val="32"/>
          <w:szCs w:val="32"/>
        </w:rPr>
        <w:t xml:space="preserve"> </w:t>
      </w:r>
    </w:p>
    <w:p w14:paraId="6054485C">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rPr>
        <w:t>增强责任意识，确保校园安全。</w:t>
      </w:r>
    </w:p>
    <w:p w14:paraId="272258DD">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健全安全工作机制。学校在开学初就成立了安全工作领导小组。明确安全分工，各负其责，做到管理到位。安全值班专人负责，检查到位，每天晨午晚检规范到位，学生缺勤台账记录有序，门卫出入登记记录详实。签定安全责任书，发放告家长书，以此夯实了安全管理的责任。</w:t>
      </w:r>
    </w:p>
    <w:p w14:paraId="4B2062D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加强学校安全设施，增强安全责任意识。学校每月开展应急疏散演练。建立安全隐患排查整改台帐，坚持每天晨检制度。对校园内外安全状况做到每月检查，对隐患的排查与整改及时到位。</w:t>
      </w:r>
    </w:p>
    <w:p w14:paraId="2494FD7D">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学校始终坚持“领导值班制”，与教师签订《安全责任书》《廉洁从教责任书》，发放了告家长通知书，与幼儿家长签定安全责任状，确保了安全事故零发生。</w:t>
      </w:r>
    </w:p>
    <w:p w14:paraId="557F0A95">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学校有专人负责记录《安全工作日志》，记录当天学校的安全工作情况，坚持安全日查制。</w:t>
      </w:r>
    </w:p>
    <w:p w14:paraId="7F22199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坚持安全隐患排查制度。教师向学校、学校向教育局逐级上报，杜绝瞒报或迟报。</w:t>
      </w:r>
    </w:p>
    <w:p w14:paraId="78B8B95B">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坚持每天晨读与下午第一节课清点学生，及时与家长联系。</w:t>
      </w:r>
    </w:p>
    <w:p w14:paraId="179B3ED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每学期初都要对乘坐接送车的学生进行排查摸底，召开乘车学生家长会，教育家长不坐“三无”车辆，并提醒家长与乘车司机签订安全协议。</w:t>
      </w:r>
    </w:p>
    <w:p w14:paraId="74B9B55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制定了地震应急演练、突发事件等各种安全应急预案和实施方案，开学初组织了地震应急演练，提高了全体师生的防范意识。</w:t>
      </w:r>
    </w:p>
    <w:p w14:paraId="3D4226E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利用周会、广播、国旗下讲话进行安全教育。</w:t>
      </w:r>
    </w:p>
    <w:p w14:paraId="4452326A">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一年来，经过全体师生的共同努力，全校无一例安全事故发生。</w:t>
      </w:r>
    </w:p>
    <w:p w14:paraId="17C0A1B2">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rPr>
        <w:t>加强党建工作、队伍建设，意识形态工作，转变工作作风。</w:t>
      </w:r>
    </w:p>
    <w:p w14:paraId="7A3470C7">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进一步加强了党建工作，认真落实好三会一课，认真加强意识形态工作，对意识形态工作每季度认真研判，半年认真总结。一学期来，我校经常利用每周的例会组织教师认真学习《中小学教师职业道德规范》、《严禁教师有偿家教》等文件；并组织教师以“怎样做一名合格的教师”为主题开展了讨论，努力使每一位教师真正成为自尊、自信、为人师表、爱岗敬业、</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"http://www.gkstk.com/article/zhiyeguihua.htm" \o "职业"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职业</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思想过硬的高素质教师。在今年的师德师风征文比赛中，我校教师荣获师德师风征文一等奖。</w:t>
      </w:r>
    </w:p>
    <w:p w14:paraId="2D3E97F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教学、教研工作</w:t>
      </w:r>
    </w:p>
    <w:p w14:paraId="0D45E17E">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教学方面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科学、合理地安排课程表，做到按照部颁标准，开齐课程，开足课时。</w:t>
      </w:r>
    </w:p>
    <w:p w14:paraId="71116762">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组织好一年级新生入学工作，建立学生学籍簿，填写学籍登记表，做好电子档案储备工作。</w:t>
      </w:r>
    </w:p>
    <w:p w14:paraId="2677BBBF">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严格按上级下发的小学生学籍管理有关规定的程序和要求执行转学、休学，对学生变动资料及时收集、填写、完善。</w:t>
      </w:r>
    </w:p>
    <w:p w14:paraId="7650222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开学初制定各类计划：如教学工作计划、班主任工作计划、集体备课计划、校本教研计划、政教工作计划等。</w:t>
      </w:r>
    </w:p>
    <w:p w14:paraId="62398D2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定期检查教案和作业本、练习册，做到规范、整洁、统一，并做好记录，做出评价，同时做一期专题</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"http://www.gkstk.com/article/1422629138339.html" \o "汇报"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汇报</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，肯定优点，指出不足。</w:t>
      </w:r>
    </w:p>
    <w:p w14:paraId="0478A8D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控辍保学成效明显，学校开学初拟定详细计划、方案、对所有学生进行研判分析，及时和家长沟通，致使我校无一学生辍学。</w:t>
      </w:r>
    </w:p>
    <w:p w14:paraId="4F84669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教研方面</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加强常规教学管理，建立了管理制度，制订了详细的考核细则，从教学计划、教案设计、作业批改、教学成绩等方面对教师进行评价。</w:t>
      </w:r>
    </w:p>
    <w:p w14:paraId="7C04F0BB">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重新建立了教研组织体系，制订了教研组长制度。我校设有语文、数学艺体、综合科教研组，均有专人担任组长，组长教研活动。教研组长在开学初就制定好教研计划和教研活动安排，做到“三明确”（时间、地点、主题）。</w:t>
      </w:r>
    </w:p>
    <w:p w14:paraId="794E9BD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构建模式，试点课改。通过调研、探索，初步构建体现“三动”（课堂教学中要体现学生的主动学习、互动学习、能动学习）、 “四个学习环节”（预学、互学、固学、延学）的“3+4”课堂模式。 并以五年级为实验年级，推行课堂教学改革，将新的课堂教学模式逐步应用到课堂教学中，全面培养学生自主学习、合作探究、实践创新的能力，并对课改工作不断总结完善。</w:t>
      </w:r>
    </w:p>
    <w:p w14:paraId="2A5F4501">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我校的课型结构形式多样：有新调入教师过关课；青年教师提升课；师徒结对课；同课异构课；优秀教师的优质课；省市骨干教师示范课，还有每位教师自选优秀教师的随堂课。要求每学期教师听课次数不少于10节。</w:t>
      </w:r>
    </w:p>
    <w:p w14:paraId="108BA22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积极开展丰富多彩的教研活动：每期分学科组织教研活动、教师赛课等。</w:t>
      </w:r>
    </w:p>
    <w:p w14:paraId="66CEB13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认真开展六认真检查，规范教师语言、书写、板书。</w:t>
      </w:r>
    </w:p>
    <w:p w14:paraId="0FC1F51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积极组织教师参加一师一优课、微型课题的活动。</w:t>
      </w:r>
    </w:p>
    <w:p w14:paraId="54D9B3D2">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教师培训</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本学期，我校充分利用培训机会，多渠道进行教师培训。组织教师外出学习，先后有10多人次教师参加教研组长培训、，联盟内骨干教师展示课。真正做到取其精华，为我所用之目的。</w:t>
      </w:r>
    </w:p>
    <w:p w14:paraId="7E4E88C7">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德育工作</w:t>
      </w:r>
    </w:p>
    <w:p w14:paraId="0A3205FF">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根据教育局德育要求，结合我校实际，每月制定主题活动，比如三月份是学雷锋、树新风和缅怀革命先烈教育活动；四月份为诚信</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"http://www.gkstk.com/article/liyi.htm" \o "礼仪"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礼仪</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教育；五月份是环境保护教育、卫生健康教育等。</w:t>
      </w:r>
    </w:p>
    <w:p w14:paraId="31D3236B">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积极参加了峨眉山市教育局组织的书画比赛。</w:t>
      </w:r>
    </w:p>
    <w:p w14:paraId="4E15CF0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发挥橱窗、走廊、公示栏、黑板报、图书室（角）等宣传阵地的教育功能。每项活动开展之前要宣传到位，结束之后要进行信息反馈，让学生谈谈体会，宣传栏做到“周周有新意，月月换主题”。</w:t>
      </w:r>
    </w:p>
    <w:p w14:paraId="46C18E83">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开展丰富多彩的实践活动，让学生感受家乡美。。</w:t>
      </w:r>
    </w:p>
    <w:p w14:paraId="50E8BC55">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开展丰富多彩的“庆六一”系列活动。</w:t>
      </w:r>
    </w:p>
    <w:p w14:paraId="18874C11">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借助课后服务这个平台，成立了学生合唱团、书法、绘画、棋类、等兴趣小组’，利用课余时间进行教学，丰富了学生的课余生活。</w:t>
      </w:r>
    </w:p>
    <w:p w14:paraId="342FA22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加强班主任管理工作，制定了班主任考核细则，班级管理细则，定期或不定期召开班主任会议，研讨班级教学情况，交流班级管理经验等，提升了班主任的管理水平。</w:t>
      </w:r>
    </w:p>
    <w:p w14:paraId="7A1FE92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后勤管理。</w:t>
      </w:r>
    </w:p>
    <w:p w14:paraId="46BE3177">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在后勤管理上，我们严格按照市教育局的要求，对后勤工作实行台账管理，重点是抓食品卫生及食堂操作流程的管理，在过程上做文章，多次召开后勤人员工作会议，增强服务及安全意识。</w:t>
      </w:r>
    </w:p>
    <w:p w14:paraId="184C2A15">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为赢得社会和家长的认可，提高满意度，我们继续深入开展“师生同吃一锅菜”的活动，广泛听取家长对学校后勤工作的意见和建议，收到良好的效果，获得了社会和家长的好评。食堂已经被拟申报A级食堂。</w:t>
      </w:r>
    </w:p>
    <w:p w14:paraId="26A1ECF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顺利接受了纪委校园餐的审计。</w:t>
      </w:r>
    </w:p>
    <w:p w14:paraId="058466CF">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顺利完成对贫困生的资助工作。</w:t>
      </w:r>
    </w:p>
    <w:p w14:paraId="7AB98D76">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抓校园文化，提升学校内涵</w:t>
      </w:r>
    </w:p>
    <w:p w14:paraId="22910DBC">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文化建设是教育科学和谐发展的必然要求，是学校存在的根本价值所在，是教育教学改革的强大动力，是创建学校品牌形成核心竞争力的需要。2015年，我们确立“净、雅”作为校园文化年的主题，力争让每面墙，每个角落都说话。</w:t>
      </w:r>
    </w:p>
    <w:p w14:paraId="3A4A5B1E">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提高软硬件质量，打造精品幼儿园。</w:t>
      </w:r>
    </w:p>
    <w:p w14:paraId="673CB162">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为提高幼儿教师素质，我校特派幼儿教师前往双福幼儿园，城区幼儿园等学习先进的管理及教学经验，力争与城区学校进行接轨。</w:t>
      </w:r>
    </w:p>
    <w:p w14:paraId="1CDE1A2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为深入贯彻《国家中长期教育改革和发展</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"http://www.gkstk.com/article/zhiyeguihua.htm" \o "规划"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规划</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刚要》，指导幼儿园和家庭实施科学的保育和教育，促进幼儿身心全面和谐发展。本学期，我校认真组织了全体幼儿教师和家长认真学习“3—6岁儿童学习与发展指南”，从健康、语言、社会、科学、艺术五个领域明确幼儿学习与发展的具体方向。</w:t>
      </w:r>
    </w:p>
    <w:p w14:paraId="1440B15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增强服务意识，构建育人平台。本学期，我校主抓幼儿园一日常规活动，从幼儿生活、学习、习惯、活动等方面，让每一位幼儿都能在老师的爱护下快乐成长。</w:t>
      </w:r>
    </w:p>
    <w:p w14:paraId="51610A3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定期开幼儿学生家长会。</w:t>
      </w:r>
    </w:p>
    <w:p w14:paraId="05ACD1D6">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工会工作</w:t>
      </w:r>
    </w:p>
    <w:p w14:paraId="2393DF1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开学初，完善了档案材料，各小组制定了工作计划。</w:t>
      </w:r>
    </w:p>
    <w:p w14:paraId="644A799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在三八节、等节日组织工会成员组织活动。</w:t>
      </w:r>
    </w:p>
    <w:p w14:paraId="166B41A8">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为女职工办理了医疗保险。</w:t>
      </w:r>
    </w:p>
    <w:p w14:paraId="480825C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对生病住院的教师进行看望。</w:t>
      </w:r>
    </w:p>
    <w:p w14:paraId="54014DF7">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党风廉政建设方面。</w:t>
      </w:r>
    </w:p>
    <w:p w14:paraId="4341554D">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在教育局的正确指导下，严于律己，廉洁行政，认真履行岗位职责，深入学习《党章》与“</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"http://www.gkstk.com/article/jiaoxueguanli/yanjianggao/20121108212614.html" \o "十八大"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二十大</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精神”、学习党的群众路线实践活动，牢固树立为人民群众服务思想，为教职工和人民群众办实事。</w:t>
      </w:r>
      <w:bookmarkStart w:id="8" w:name="gkstk1"/>
      <w:bookmarkEnd w:id="8"/>
      <w:r>
        <w:rPr>
          <w:rFonts w:hint="eastAsia" w:ascii="仿宋" w:hAnsi="仿宋" w:eastAsia="仿宋" w:cs="仿宋"/>
          <w:b w:val="0"/>
          <w:bCs w:val="0"/>
          <w:color w:val="auto"/>
          <w:sz w:val="32"/>
          <w:szCs w:val="32"/>
        </w:rPr>
        <w:t xml:space="preserve"> </w:t>
      </w:r>
    </w:p>
    <w:p w14:paraId="6DE924E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加强财务管理，每学期放假时，定期向教师进行财务公开，给教师们一个明白，还自己一个清白。</w:t>
      </w:r>
    </w:p>
    <w:p w14:paraId="1C376582">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的“评优、晋职、晋级”等有关教师切身利益的事，也必须依据上级文件精神和学校规章制度、考核办法，通过教代会、研究讨论，从不擅自作主，妄下定论，从而做到公平、公正，确保学校上一条心，共同做好学校的一切工作。</w:t>
      </w:r>
    </w:p>
    <w:p w14:paraId="0A1732C9">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学校成立了规范办学行为领导组，制定了实施方案。</w:t>
      </w:r>
    </w:p>
    <w:p w14:paraId="35D6BAF5">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学校与每位教师和各部门签订了责任书。</w:t>
      </w:r>
    </w:p>
    <w:p w14:paraId="2B5776F7">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开学初通过告家长通知书和召开家长会的形式，向家长宣传收费政策，希望家长和社会监督学校和老师。</w:t>
      </w:r>
    </w:p>
    <w:p w14:paraId="6C579E4C">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严禁教师乱收费，乱办班，乱补课，乱订资料等行为，一经发现按责任实施处罚，并与绩效工资和晋级、评先选优等直接挂钩，。</w:t>
      </w:r>
    </w:p>
    <w:p w14:paraId="6DCF3994">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学校按规定落实各项收费政策，从不违规收费，每次收费都进行公示。</w:t>
      </w:r>
    </w:p>
    <w:p w14:paraId="270A24A0">
      <w:pPr>
        <w:numPr>
          <w:ilvl w:val="0"/>
          <w:numId w:val="0"/>
        </w:num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严格落实“八项规定”和关于狠刹“四风”的各项规定、禁令。定期召开</w:t>
      </w:r>
      <w:r>
        <w:rPr>
          <w:rFonts w:hint="eastAsia" w:ascii="仿宋" w:hAnsi="仿宋" w:eastAsia="仿宋" w:cs="仿宋"/>
          <w:b w:val="0"/>
          <w:bCs w:val="0"/>
          <w:color w:val="auto"/>
          <w:sz w:val="32"/>
          <w:szCs w:val="32"/>
        </w:rPr>
        <w:fldChar w:fldCharType="begin"/>
      </w:r>
      <w:r>
        <w:rPr>
          <w:rFonts w:hint="eastAsia" w:ascii="仿宋" w:hAnsi="仿宋" w:eastAsia="仿宋" w:cs="仿宋"/>
          <w:b w:val="0"/>
          <w:bCs w:val="0"/>
          <w:color w:val="auto"/>
          <w:sz w:val="32"/>
          <w:szCs w:val="32"/>
        </w:rPr>
        <w:instrText xml:space="preserve"> HYPERLINK "http://www.gkstk.com/article/minzhushenghuohui.html" \o "民主生活会" </w:instrText>
      </w:r>
      <w:r>
        <w:rPr>
          <w:rFonts w:hint="eastAsia" w:ascii="仿宋" w:hAnsi="仿宋" w:eastAsia="仿宋" w:cs="仿宋"/>
          <w:b w:val="0"/>
          <w:bCs w:val="0"/>
          <w:color w:val="auto"/>
          <w:sz w:val="32"/>
          <w:szCs w:val="32"/>
        </w:rPr>
        <w:fldChar w:fldCharType="separate"/>
      </w:r>
      <w:r>
        <w:rPr>
          <w:rFonts w:hint="eastAsia" w:ascii="仿宋" w:hAnsi="仿宋" w:eastAsia="仿宋" w:cs="仿宋"/>
          <w:b w:val="0"/>
          <w:bCs w:val="0"/>
          <w:color w:val="auto"/>
          <w:sz w:val="32"/>
          <w:szCs w:val="32"/>
        </w:rPr>
        <w:t>民主生活会</w:t>
      </w:r>
      <w:r>
        <w:rPr>
          <w:rFonts w:hint="eastAsia" w:ascii="仿宋" w:hAnsi="仿宋" w:eastAsia="仿宋" w:cs="仿宋"/>
          <w:b w:val="0"/>
          <w:bCs w:val="0"/>
          <w:color w:val="auto"/>
          <w:sz w:val="32"/>
          <w:szCs w:val="32"/>
        </w:rPr>
        <w:fldChar w:fldCharType="end"/>
      </w:r>
      <w:r>
        <w:rPr>
          <w:rFonts w:hint="eastAsia" w:ascii="仿宋" w:hAnsi="仿宋" w:eastAsia="仿宋" w:cs="仿宋"/>
          <w:b w:val="0"/>
          <w:bCs w:val="0"/>
          <w:color w:val="auto"/>
          <w:sz w:val="32"/>
          <w:szCs w:val="32"/>
        </w:rPr>
        <w:t>。</w:t>
      </w:r>
    </w:p>
    <w:p w14:paraId="6BC76B46">
      <w:pPr>
        <w:numPr>
          <w:ilvl w:val="0"/>
          <w:numId w:val="0"/>
        </w:numPr>
        <w:rPr>
          <w:rFonts w:hint="eastAsia"/>
          <w:color w:val="auto"/>
          <w:lang w:eastAsia="zh-CN"/>
        </w:rPr>
      </w:pPr>
    </w:p>
    <w:p w14:paraId="289159EA">
      <w:pPr>
        <w:pStyle w:val="3"/>
        <w:rPr>
          <w:rStyle w:val="30"/>
          <w:rFonts w:ascii="Times New Roman" w:hAnsi="Times New Roman"/>
          <w:b w:val="0"/>
          <w:bCs w:val="0"/>
          <w:color w:val="auto"/>
          <w:highlight w:val="none"/>
        </w:rPr>
      </w:pPr>
      <w:bookmarkStart w:id="9" w:name="_Toc15396601"/>
      <w:bookmarkStart w:id="10"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9"/>
      <w:bookmarkEnd w:id="10"/>
    </w:p>
    <w:p w14:paraId="40F303F0">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峨眉山市双福镇第二小学校</w:t>
      </w:r>
      <w:r>
        <w:rPr>
          <w:rFonts w:hint="eastAsia" w:ascii="仿宋" w:hAnsi="仿宋" w:eastAsia="仿宋"/>
          <w:color w:val="auto"/>
          <w:sz w:val="32"/>
          <w:szCs w:val="32"/>
        </w:rPr>
        <w:t>属于</w:t>
      </w:r>
      <w:r>
        <w:rPr>
          <w:rFonts w:hint="eastAsia" w:ascii="仿宋" w:hAnsi="仿宋" w:eastAsia="仿宋"/>
          <w:color w:val="auto"/>
          <w:sz w:val="32"/>
          <w:szCs w:val="32"/>
          <w:lang w:eastAsia="zh-CN"/>
        </w:rPr>
        <w:t>峨眉山市教育局</w:t>
      </w:r>
      <w:r>
        <w:rPr>
          <w:rFonts w:hint="eastAsia" w:ascii="仿宋" w:hAnsi="仿宋" w:eastAsia="仿宋"/>
          <w:color w:val="auto"/>
          <w:sz w:val="32"/>
          <w:szCs w:val="32"/>
        </w:rPr>
        <w:t>部门下属的二级预算单位，下设独立编制机构</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个，其中行政机构</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个，参照公务员法管理的事业机构</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个，其他事业机构</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r>
        <w:rPr>
          <w:rFonts w:hint="eastAsia" w:ascii="Times New Roman" w:hAnsi="Times New Roman" w:eastAsia="仿宋_GB2312" w:cs="仿宋_GB2312"/>
          <w:color w:val="auto"/>
          <w:sz w:val="32"/>
          <w:szCs w:val="32"/>
          <w:highlight w:val="none"/>
        </w:rPr>
        <w:t>。</w:t>
      </w:r>
    </w:p>
    <w:p w14:paraId="7A472351">
      <w:pPr>
        <w:pStyle w:val="5"/>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rPr>
        <w:t>峨眉山市双福镇第二小学校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5"/>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峨眉山市双福镇第二小学校</w:t>
      </w:r>
      <w:r>
        <w:rPr>
          <w:rFonts w:hint="eastAsia" w:ascii="仿宋" w:hAnsi="仿宋" w:eastAsia="仿宋"/>
          <w:color w:val="auto"/>
          <w:sz w:val="32"/>
          <w:szCs w:val="32"/>
          <w:lang w:eastAsia="zh-CN"/>
        </w:rPr>
        <w:t>。</w:t>
      </w:r>
    </w:p>
    <w:p w14:paraId="3A252D24">
      <w:pPr>
        <w:widowControl/>
        <w:jc w:val="both"/>
        <w:rPr>
          <w:rFonts w:ascii="Times New Roman" w:hAnsi="Times New Roman" w:eastAsia="仿宋"/>
          <w:color w:val="auto"/>
          <w:kern w:val="0"/>
          <w:sz w:val="32"/>
          <w:szCs w:val="32"/>
          <w:highlight w:val="none"/>
        </w:rPr>
      </w:pPr>
    </w:p>
    <w:p w14:paraId="46BE7A04">
      <w:pPr>
        <w:pStyle w:val="2"/>
        <w:jc w:val="center"/>
        <w:rPr>
          <w:rFonts w:hint="eastAsia" w:ascii="Times New Roman" w:hAnsi="Times New Roman" w:eastAsia="方正小标宋简体" w:cs="方正小标宋简体"/>
          <w:b w:val="0"/>
          <w:color w:val="auto"/>
          <w:highlight w:val="none"/>
        </w:rPr>
      </w:pPr>
      <w:bookmarkStart w:id="11" w:name="_Toc15377204"/>
      <w:bookmarkStart w:id="12"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p>
    <w:p w14:paraId="3E6B3141">
      <w:pPr>
        <w:rPr>
          <w:rFonts w:ascii="Times New Roman" w:hAnsi="Times New Roman"/>
          <w:color w:val="auto"/>
          <w:highlight w:val="none"/>
        </w:rPr>
      </w:pPr>
    </w:p>
    <w:p w14:paraId="61307CB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3" w:name="_Toc15396603"/>
      <w:bookmarkStart w:id="1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3"/>
      <w:bookmarkEnd w:id="14"/>
    </w:p>
    <w:p w14:paraId="4097F5D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rPr>
        <w:t>588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35.73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5.72</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lang w:eastAsia="zh-CN"/>
        </w:rPr>
        <w:t>本年度人员经费</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lang w:eastAsia="zh-CN"/>
        </w:rPr>
        <w:t>。</w:t>
      </w:r>
    </w:p>
    <w:p w14:paraId="5FA91B2B">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730750" cy="2865120"/>
            <wp:effectExtent l="0" t="0" r="12700" b="1143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4730750" cy="2865120"/>
                    </a:xfrm>
                    <a:prstGeom prst="rect">
                      <a:avLst/>
                    </a:prstGeom>
                  </pic:spPr>
                </pic:pic>
              </a:graphicData>
            </a:graphic>
          </wp:inline>
        </w:drawing>
      </w:r>
    </w:p>
    <w:p w14:paraId="79BAA4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442F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6764B8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5" w:name="_Toc15377206"/>
      <w:bookmarkStart w:id="16" w:name="_Toc15396604"/>
      <w:r>
        <w:rPr>
          <w:rFonts w:hint="eastAsia" w:ascii="Times New Roman" w:hAnsi="Times New Roman" w:eastAsia="黑体"/>
          <w:color w:val="auto"/>
          <w:sz w:val="32"/>
          <w:szCs w:val="32"/>
          <w:highlight w:val="none"/>
          <w:lang w:eastAsia="zh-CN"/>
        </w:rPr>
        <w:t>二、收入决算情况说明</w:t>
      </w:r>
      <w:bookmarkEnd w:id="15"/>
      <w:bookmarkEnd w:id="16"/>
    </w:p>
    <w:p w14:paraId="6CA0A9D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rPr>
        <w:t>586.61万元，其中：一般公共预算财政拨款收入579.65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98.81</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color w:val="auto"/>
          <w:sz w:val="32"/>
          <w:szCs w:val="32"/>
        </w:rPr>
        <w:t>6.97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180052D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682240"/>
            <wp:effectExtent l="0" t="0" r="8255" b="381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3"/>
                    <a:stretch>
                      <a:fillRect/>
                    </a:stretch>
                  </pic:blipFill>
                  <pic:spPr>
                    <a:xfrm>
                      <a:off x="0" y="0"/>
                      <a:ext cx="4011295" cy="2682240"/>
                    </a:xfrm>
                    <a:prstGeom prst="rect">
                      <a:avLst/>
                    </a:prstGeom>
                  </pic:spPr>
                </pic:pic>
              </a:graphicData>
            </a:graphic>
          </wp:inline>
        </w:drawing>
      </w:r>
    </w:p>
    <w:p w14:paraId="42B7A65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878B947">
      <w:pPr>
        <w:ind w:firstLine="800" w:firstLineChars="250"/>
        <w:rPr>
          <w:rFonts w:hint="eastAsia" w:ascii="Times New Roman" w:hAnsi="Times New Roman" w:eastAsia="仿宋_GB2312" w:cs="仿宋_GB2312"/>
          <w:color w:val="auto"/>
          <w:sz w:val="32"/>
          <w:szCs w:val="32"/>
          <w:highlight w:val="none"/>
          <w:lang w:eastAsia="zh-CN"/>
        </w:rPr>
      </w:pPr>
    </w:p>
    <w:p w14:paraId="6D4FABB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7" w:name="_Toc15396605"/>
      <w:bookmarkStart w:id="1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7"/>
      <w:bookmarkEnd w:id="18"/>
    </w:p>
    <w:p w14:paraId="410440F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rPr>
        <w:t>586.77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rPr>
        <w:t>528.3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90.0</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rPr>
        <w:t>58.47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rPr>
        <w:t>9.96</w:t>
      </w:r>
      <w:r>
        <w:rPr>
          <w:rFonts w:hint="eastAsia" w:ascii="仿宋_GB2312" w:hAnsi="仿宋_GB2312" w:eastAsia="仿宋_GB2312" w:cs="仿宋_GB2312"/>
          <w:color w:val="auto"/>
          <w:sz w:val="32"/>
          <w:szCs w:val="32"/>
          <w:highlight w:val="none"/>
          <w:lang w:eastAsia="zh-CN"/>
        </w:rPr>
        <w:t>%。</w:t>
      </w:r>
    </w:p>
    <w:p w14:paraId="3C6A336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755265"/>
            <wp:effectExtent l="0" t="0" r="8255" b="6985"/>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4"/>
                    <a:stretch>
                      <a:fillRect/>
                    </a:stretch>
                  </pic:blipFill>
                  <pic:spPr>
                    <a:xfrm>
                      <a:off x="0" y="0"/>
                      <a:ext cx="4011295" cy="2755265"/>
                    </a:xfrm>
                    <a:prstGeom prst="rect">
                      <a:avLst/>
                    </a:prstGeom>
                  </pic:spPr>
                </pic:pic>
              </a:graphicData>
            </a:graphic>
          </wp:inline>
        </w:drawing>
      </w:r>
    </w:p>
    <w:p w14:paraId="79BEC18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DD2811E">
      <w:pPr>
        <w:ind w:firstLine="800" w:firstLineChars="250"/>
        <w:rPr>
          <w:rFonts w:hint="eastAsia" w:ascii="Times New Roman" w:hAnsi="Times New Roman" w:eastAsia="仿宋_GB2312" w:cs="仿宋_GB2312"/>
          <w:color w:val="auto"/>
          <w:sz w:val="32"/>
          <w:szCs w:val="32"/>
          <w:highlight w:val="none"/>
          <w:lang w:eastAsia="zh-CN"/>
        </w:rPr>
      </w:pPr>
    </w:p>
    <w:p w14:paraId="7C459736">
      <w:pPr>
        <w:spacing w:line="600" w:lineRule="exact"/>
        <w:ind w:firstLine="640" w:firstLineChars="200"/>
        <w:outlineLvl w:val="1"/>
        <w:rPr>
          <w:rStyle w:val="30"/>
          <w:rFonts w:ascii="Times New Roman" w:hAnsi="Times New Roman" w:eastAsia="黑体"/>
          <w:b w:val="0"/>
          <w:color w:val="auto"/>
          <w:highlight w:val="none"/>
        </w:rPr>
      </w:pPr>
      <w:bookmarkStart w:id="19" w:name="_Toc15396606"/>
      <w:bookmarkStart w:id="20"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9"/>
      <w:bookmarkEnd w:id="20"/>
    </w:p>
    <w:p w14:paraId="3FEC384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color w:val="auto"/>
          <w:sz w:val="32"/>
          <w:szCs w:val="32"/>
        </w:rPr>
        <w:t>579.65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34.91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5.68</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是人员经费减少。</w:t>
      </w:r>
    </w:p>
    <w:p w14:paraId="764899DB">
      <w:pPr>
        <w:spacing w:line="240" w:lineRule="auto"/>
        <w:ind w:firstLine="640"/>
        <w:rPr>
          <w:rFonts w:hint="default" w:eastAsia="仿宋_GB2312" w:cs="仿宋_GB2312"/>
          <w:color w:val="auto"/>
          <w:kern w:val="2"/>
          <w:sz w:val="32"/>
          <w:szCs w:val="32"/>
          <w:highlight w:val="none"/>
          <w:lang w:val="en-US" w:eastAsia="zh-CN" w:bidi="ar-SA"/>
        </w:rPr>
      </w:pPr>
      <w:r>
        <w:rPr>
          <w:rFonts w:hint="default" w:eastAsia="仿宋_GB2312" w:cs="仿宋_GB2312"/>
          <w:color w:val="auto"/>
          <w:kern w:val="2"/>
          <w:sz w:val="32"/>
          <w:szCs w:val="32"/>
          <w:highlight w:val="none"/>
          <w:lang w:val="en-US" w:eastAsia="zh-CN" w:bidi="ar-SA"/>
        </w:rPr>
        <w:drawing>
          <wp:inline distT="0" distB="0" distL="114300" distR="114300">
            <wp:extent cx="4011295" cy="2773680"/>
            <wp:effectExtent l="0" t="0" r="8255" b="7620"/>
            <wp:docPr id="4"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1"/>
                    </pic:cNvPicPr>
                  </pic:nvPicPr>
                  <pic:blipFill>
                    <a:blip r:embed="rId15"/>
                    <a:stretch>
                      <a:fillRect/>
                    </a:stretch>
                  </pic:blipFill>
                  <pic:spPr>
                    <a:xfrm>
                      <a:off x="0" y="0"/>
                      <a:ext cx="4011295" cy="2773680"/>
                    </a:xfrm>
                    <a:prstGeom prst="rect">
                      <a:avLst/>
                    </a:prstGeom>
                  </pic:spPr>
                </pic:pic>
              </a:graphicData>
            </a:graphic>
          </wp:inline>
        </w:drawing>
      </w:r>
    </w:p>
    <w:p w14:paraId="43F97BD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B22C8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B48AAB3">
      <w:pPr>
        <w:spacing w:line="600" w:lineRule="exact"/>
        <w:ind w:firstLine="640" w:firstLineChars="200"/>
        <w:outlineLvl w:val="1"/>
        <w:rPr>
          <w:rStyle w:val="30"/>
          <w:rFonts w:ascii="Times New Roman" w:hAnsi="Times New Roman" w:eastAsia="黑体"/>
          <w:b w:val="0"/>
          <w:color w:val="auto"/>
          <w:highlight w:val="none"/>
        </w:rPr>
      </w:pPr>
      <w:bookmarkStart w:id="21" w:name="_Toc15396607"/>
      <w:bookmarkStart w:id="22"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1"/>
      <w:bookmarkEnd w:id="22"/>
    </w:p>
    <w:p w14:paraId="0659EE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3"/>
    </w:p>
    <w:p w14:paraId="3E9926A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579.65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98.78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%。与2023年度相比，一般公共预算财政拨款支出减少31.11万元，下降5.09%。主要变动原因是人员经费减少。</w:t>
      </w:r>
    </w:p>
    <w:p w14:paraId="02F3854F">
      <w:pPr>
        <w:spacing w:line="240" w:lineRule="auto"/>
        <w:ind w:firstLine="64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drawing>
          <wp:inline distT="0" distB="0" distL="114300" distR="114300">
            <wp:extent cx="4797425" cy="3273425"/>
            <wp:effectExtent l="0" t="0" r="3175" b="3175"/>
            <wp:docPr id="5" name="图片 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1"/>
                    </pic:cNvPicPr>
                  </pic:nvPicPr>
                  <pic:blipFill>
                    <a:blip r:embed="rId16"/>
                    <a:stretch>
                      <a:fillRect/>
                    </a:stretch>
                  </pic:blipFill>
                  <pic:spPr>
                    <a:xfrm>
                      <a:off x="0" y="0"/>
                      <a:ext cx="4797425" cy="3273425"/>
                    </a:xfrm>
                    <a:prstGeom prst="rect">
                      <a:avLst/>
                    </a:prstGeom>
                  </pic:spPr>
                </pic:pic>
              </a:graphicData>
            </a:graphic>
          </wp:inline>
        </w:drawing>
      </w:r>
    </w:p>
    <w:p w14:paraId="02DE2C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321A6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A4059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4"/>
    </w:p>
    <w:p w14:paraId="4EFB317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color w:val="auto"/>
          <w:sz w:val="32"/>
          <w:szCs w:val="32"/>
        </w:rPr>
        <w:t>579.65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教育支出443.99万元，占</w:t>
      </w:r>
      <w:r>
        <w:rPr>
          <w:rFonts w:hint="eastAsia" w:eastAsia="仿宋_GB2312" w:cs="仿宋_GB2312"/>
          <w:color w:val="auto"/>
          <w:kern w:val="2"/>
          <w:sz w:val="32"/>
          <w:szCs w:val="32"/>
          <w:highlight w:val="none"/>
          <w:lang w:val="en-US" w:eastAsia="zh-CN" w:bidi="ar-SA"/>
        </w:rPr>
        <w:t>76.59</w:t>
      </w:r>
      <w:r>
        <w:rPr>
          <w:rFonts w:hint="eastAsia" w:ascii="Times New Roman" w:hAnsi="Times New Roman" w:eastAsia="仿宋_GB2312" w:cs="仿宋_GB2312"/>
          <w:color w:val="auto"/>
          <w:kern w:val="2"/>
          <w:sz w:val="32"/>
          <w:szCs w:val="32"/>
          <w:highlight w:val="none"/>
          <w:lang w:val="en-US" w:eastAsia="zh-CN" w:bidi="ar-SA"/>
        </w:rPr>
        <w:t>%；社会保障和就业支出79.53万元，占</w:t>
      </w:r>
      <w:r>
        <w:rPr>
          <w:rFonts w:hint="eastAsia" w:eastAsia="仿宋_GB2312" w:cs="仿宋_GB2312"/>
          <w:color w:val="auto"/>
          <w:kern w:val="2"/>
          <w:sz w:val="32"/>
          <w:szCs w:val="32"/>
          <w:highlight w:val="none"/>
          <w:lang w:val="en-US" w:eastAsia="zh-CN" w:bidi="ar-SA"/>
        </w:rPr>
        <w:t>13.72</w:t>
      </w:r>
      <w:r>
        <w:rPr>
          <w:rFonts w:hint="eastAsia" w:ascii="Times New Roman" w:hAnsi="Times New Roman" w:eastAsia="仿宋_GB2312" w:cs="仿宋_GB2312"/>
          <w:color w:val="auto"/>
          <w:kern w:val="2"/>
          <w:sz w:val="32"/>
          <w:szCs w:val="32"/>
          <w:highlight w:val="none"/>
          <w:lang w:val="en-US" w:eastAsia="zh-CN" w:bidi="ar-SA"/>
        </w:rPr>
        <w:t>%；卫生健康支出16.55万元，占</w:t>
      </w:r>
      <w:r>
        <w:rPr>
          <w:rFonts w:hint="eastAsia" w:eastAsia="仿宋_GB2312" w:cs="仿宋_GB2312"/>
          <w:color w:val="auto"/>
          <w:kern w:val="2"/>
          <w:sz w:val="32"/>
          <w:szCs w:val="32"/>
          <w:highlight w:val="none"/>
          <w:lang w:val="en-US" w:eastAsia="zh-CN" w:bidi="ar-SA"/>
        </w:rPr>
        <w:t>2.86</w:t>
      </w:r>
      <w:r>
        <w:rPr>
          <w:rFonts w:hint="eastAsia" w:ascii="Times New Roman" w:hAnsi="Times New Roman" w:eastAsia="仿宋_GB2312" w:cs="仿宋_GB2312"/>
          <w:color w:val="auto"/>
          <w:kern w:val="2"/>
          <w:sz w:val="32"/>
          <w:szCs w:val="32"/>
          <w:highlight w:val="none"/>
          <w:lang w:val="en-US" w:eastAsia="zh-CN" w:bidi="ar-SA"/>
        </w:rPr>
        <w:t>%；住房保障支出39.58万元，占</w:t>
      </w:r>
      <w:r>
        <w:rPr>
          <w:rFonts w:hint="eastAsia" w:eastAsia="仿宋_GB2312" w:cs="仿宋_GB2312"/>
          <w:color w:val="auto"/>
          <w:kern w:val="2"/>
          <w:sz w:val="32"/>
          <w:szCs w:val="32"/>
          <w:highlight w:val="none"/>
          <w:lang w:val="en-US" w:eastAsia="zh-CN" w:bidi="ar-SA"/>
        </w:rPr>
        <w:t>6.83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2CD521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48530" cy="3048000"/>
            <wp:effectExtent l="0" t="0" r="13970" b="0"/>
            <wp:docPr id="6" name="图片 6"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1"/>
                    </pic:cNvPicPr>
                  </pic:nvPicPr>
                  <pic:blipFill>
                    <a:blip r:embed="rId17"/>
                    <a:stretch>
                      <a:fillRect/>
                    </a:stretch>
                  </pic:blipFill>
                  <pic:spPr>
                    <a:xfrm>
                      <a:off x="0" y="0"/>
                      <a:ext cx="4748530" cy="3048000"/>
                    </a:xfrm>
                    <a:prstGeom prst="rect">
                      <a:avLst/>
                    </a:prstGeom>
                  </pic:spPr>
                </pic:pic>
              </a:graphicData>
            </a:graphic>
          </wp:inline>
        </w:drawing>
      </w:r>
    </w:p>
    <w:p w14:paraId="1AE2DB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68B88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E6E79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5"/>
    </w:p>
    <w:p w14:paraId="564A42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6" w:name="_Toc15378460"/>
      <w:bookmarkStart w:id="27" w:name="_Toc15377213"/>
      <w:bookmarkStart w:id="28"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rPr>
        <w:t>579.65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6"/>
      <w:bookmarkEnd w:id="27"/>
      <w:bookmarkEnd w:id="28"/>
    </w:p>
    <w:p w14:paraId="08218CC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auto"/>
          <w:kern w:val="2"/>
          <w:sz w:val="32"/>
          <w:szCs w:val="32"/>
          <w:highlight w:val="none"/>
          <w:lang w:val="en-US" w:eastAsia="zh-CN" w:bidi="ar-SA"/>
        </w:rPr>
        <w:t>（类）普通教育（款）学前教育（项）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支出决算为18.80万元，完成预算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FBF76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auto"/>
          <w:kern w:val="2"/>
          <w:sz w:val="32"/>
          <w:szCs w:val="32"/>
          <w:highlight w:val="none"/>
          <w:lang w:val="en-US" w:eastAsia="zh-CN" w:bidi="ar-SA"/>
        </w:rPr>
        <w:t>（类）普通教育（款）小学教育（项）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支出决算为273.04万元，完成预算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DFF4E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auto"/>
          <w:kern w:val="2"/>
          <w:sz w:val="32"/>
          <w:szCs w:val="32"/>
          <w:highlight w:val="none"/>
          <w:lang w:val="en-US" w:eastAsia="zh-CN" w:bidi="ar-SA"/>
        </w:rPr>
        <w:t>（类）普通教育（款）其他普通教育支出（项）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支出决算为136.78万元，完成预算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1A6A9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auto"/>
          <w:kern w:val="2"/>
          <w:sz w:val="32"/>
          <w:szCs w:val="32"/>
          <w:highlight w:val="none"/>
          <w:lang w:val="en-US" w:eastAsia="zh-CN" w:bidi="ar-SA"/>
        </w:rPr>
        <w:t>（类）教育费附加安排的支出（款）其他教育费附加安排的支出（项）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支出决算为15.38万元，完成预算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21636E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支出决算为40.20万元，完成预算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8E264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支出决算为20.10万元，完成预算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110A49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支出决算为6.70万元，完成预算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65452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8.社会保障和就业支出（类）抚恤（款）其他优抚支出（项）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支出决算为4.19万元，完成预算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2B591A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9.社会保障和就业支出（类）其他社会保障和就业支出（款）其他社会保障和就业支出（项）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支出决算为8.33万元，完成预算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5BDB8E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支出决算为16.55万元，完成预算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0C2C5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支出决算为39.58万元，完成预算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0559DD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C0A877E">
      <w:pPr>
        <w:tabs>
          <w:tab w:val="right" w:pos="8306"/>
        </w:tabs>
        <w:spacing w:line="600" w:lineRule="exact"/>
        <w:ind w:firstLine="640"/>
        <w:outlineLvl w:val="1"/>
        <w:rPr>
          <w:rStyle w:val="30"/>
          <w:rFonts w:ascii="Times New Roman" w:hAnsi="Times New Roman"/>
          <w:color w:val="auto"/>
          <w:highlight w:val="none"/>
        </w:rPr>
      </w:pPr>
      <w:bookmarkStart w:id="29" w:name="_Toc15396608"/>
      <w:bookmarkStart w:id="3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9"/>
      <w:bookmarkEnd w:id="30"/>
      <w:r>
        <w:rPr>
          <w:rStyle w:val="30"/>
          <w:rFonts w:ascii="Times New Roman" w:hAnsi="Times New Roman" w:eastAsia="黑体"/>
          <w:b w:val="0"/>
          <w:color w:val="auto"/>
          <w:highlight w:val="none"/>
        </w:rPr>
        <w:tab/>
      </w:r>
    </w:p>
    <w:p w14:paraId="3206E6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rPr>
        <w:t>528.3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24390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rPr>
        <w:t>501.53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w:t>
      </w:r>
      <w:r>
        <w:rPr>
          <w:rFonts w:hint="eastAsia" w:eastAsia="仿宋_GB2312" w:cs="仿宋_GB2312"/>
          <w:color w:val="auto"/>
          <w:kern w:val="2"/>
          <w:sz w:val="32"/>
          <w:szCs w:val="32"/>
          <w:highlight w:val="none"/>
          <w:lang w:val="en-US" w:eastAsia="zh-CN" w:bidi="ar-SA"/>
        </w:rPr>
        <w:t>、津贴补贴、绩效工资、机关事业单位基本养老保险费、职业年金缴费、职工基本医疗保险缴费、其他社会保障缴费、住房公积金、其他工资福利支出、对个人和家庭的补助、抚恤金、生活补助、奖励金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color w:val="auto"/>
          <w:sz w:val="32"/>
          <w:szCs w:val="32"/>
        </w:rPr>
        <w:t>26.77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、水费、电费、邮电费、物业管理费、差旅费、维修（护）费、培训费、专用材料费、劳务费、工会经费、其他商品和服务支出</w:t>
      </w:r>
      <w:r>
        <w:rPr>
          <w:rFonts w:hint="eastAsia" w:ascii="Times New Roman" w:hAnsi="Times New Roman" w:eastAsia="仿宋_GB2312" w:cs="仿宋_GB2312"/>
          <w:color w:val="auto"/>
          <w:kern w:val="2"/>
          <w:sz w:val="32"/>
          <w:szCs w:val="32"/>
          <w:highlight w:val="none"/>
          <w:lang w:val="en-US" w:eastAsia="zh-CN" w:bidi="ar-SA"/>
        </w:rPr>
        <w:t>等。</w:t>
      </w:r>
    </w:p>
    <w:p w14:paraId="6BE3DF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15AB4EC">
      <w:pPr>
        <w:spacing w:line="600" w:lineRule="exact"/>
        <w:ind w:firstLine="640"/>
        <w:outlineLvl w:val="1"/>
        <w:rPr>
          <w:rStyle w:val="30"/>
          <w:rFonts w:ascii="Times New Roman" w:hAnsi="Times New Roman" w:eastAsia="黑体"/>
          <w:b w:val="0"/>
          <w:color w:val="auto"/>
          <w:highlight w:val="none"/>
        </w:rPr>
      </w:pPr>
      <w:bookmarkStart w:id="31" w:name="_Toc15396609"/>
      <w:bookmarkStart w:id="32"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1"/>
      <w:bookmarkEnd w:id="32"/>
    </w:p>
    <w:p w14:paraId="0BFECAD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3"/>
    </w:p>
    <w:p w14:paraId="00EB483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 w:hAnsi="仿宋" w:eastAsia="仿宋"/>
          <w:color w:val="auto"/>
          <w:sz w:val="32"/>
          <w:szCs w:val="32"/>
        </w:rPr>
        <w:t>“三公”经费财政拨款支出决算为</w:t>
      </w:r>
      <w:r>
        <w:rPr>
          <w:rFonts w:ascii="仿宋" w:hAnsi="仿宋" w:eastAsia="仿宋"/>
          <w:b/>
          <w:color w:val="auto"/>
          <w:sz w:val="32"/>
          <w:szCs w:val="32"/>
        </w:rPr>
        <w:t>0</w:t>
      </w:r>
      <w:r>
        <w:rPr>
          <w:rFonts w:hint="eastAsia" w:ascii="仿宋" w:hAnsi="仿宋" w:eastAsia="仿宋"/>
          <w:color w:val="auto"/>
          <w:sz w:val="32"/>
          <w:szCs w:val="32"/>
        </w:rPr>
        <w:t>万元，完成预算</w:t>
      </w:r>
      <w:r>
        <w:rPr>
          <w:rFonts w:ascii="仿宋" w:hAnsi="仿宋" w:eastAsia="仿宋"/>
          <w:b/>
          <w:color w:val="auto"/>
          <w:sz w:val="32"/>
          <w:szCs w:val="32"/>
        </w:rPr>
        <w:t>0</w:t>
      </w:r>
      <w:r>
        <w:rPr>
          <w:rFonts w:ascii="仿宋" w:hAnsi="仿宋" w:eastAsia="仿宋"/>
          <w:color w:val="auto"/>
          <w:sz w:val="32"/>
          <w:szCs w:val="32"/>
        </w:rPr>
        <w:t>%</w:t>
      </w:r>
      <w:r>
        <w:rPr>
          <w:rFonts w:hint="eastAsia" w:ascii="仿宋" w:hAnsi="仿宋" w:eastAsia="仿宋"/>
          <w:color w:val="auto"/>
          <w:sz w:val="32"/>
          <w:szCs w:val="32"/>
        </w:rPr>
        <w:t>，较上年度</w:t>
      </w:r>
      <w:r>
        <w:rPr>
          <w:rFonts w:hint="eastAsia" w:ascii="仿宋" w:hAnsi="仿宋" w:eastAsia="仿宋"/>
          <w:color w:val="auto"/>
          <w:sz w:val="32"/>
          <w:szCs w:val="32"/>
          <w:lang w:val="en-US" w:eastAsia="zh-CN"/>
        </w:rPr>
        <w:t>无变化</w:t>
      </w:r>
      <w:r>
        <w:rPr>
          <w:rFonts w:hint="eastAsia" w:ascii="仿宋" w:hAnsi="仿宋" w:eastAsia="仿宋"/>
          <w:color w:val="auto"/>
          <w:sz w:val="32"/>
          <w:szCs w:val="32"/>
        </w:rPr>
        <w:t>。</w:t>
      </w:r>
    </w:p>
    <w:p w14:paraId="3E53E2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4"/>
    </w:p>
    <w:p w14:paraId="2BA40EC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2C05302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单位2024年没有</w:t>
      </w:r>
      <w:r>
        <w:rPr>
          <w:rFonts w:hint="eastAsia" w:ascii="Times New Roman" w:hAnsi="Times New Roman" w:eastAsia="仿宋_GB2312" w:cs="仿宋_GB2312"/>
          <w:color w:val="auto"/>
          <w:kern w:val="2"/>
          <w:sz w:val="32"/>
          <w:szCs w:val="32"/>
          <w:highlight w:val="none"/>
          <w:lang w:val="en-US" w:eastAsia="zh-CN" w:bidi="ar-SA"/>
        </w:rPr>
        <w:t>因公出国（境）安排。</w:t>
      </w:r>
    </w:p>
    <w:p w14:paraId="0175EF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5367BD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DAD17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4C227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0DCCC9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0C7762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C9FCD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96610"/>
      <w:bookmarkStart w:id="36" w:name="_Toc15377218"/>
    </w:p>
    <w:p w14:paraId="140BDB64">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5"/>
      <w:bookmarkEnd w:id="36"/>
    </w:p>
    <w:p w14:paraId="2EEB8B6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2024年没有政府性基金预算支出安排。</w:t>
      </w:r>
    </w:p>
    <w:p w14:paraId="5BA17732">
      <w:pPr>
        <w:spacing w:line="600" w:lineRule="exact"/>
        <w:ind w:firstLine="640"/>
        <w:rPr>
          <w:rFonts w:hint="eastAsia" w:eastAsia="仿宋_GB2312" w:cs="仿宋_GB2312"/>
          <w:color w:val="auto"/>
          <w:kern w:val="2"/>
          <w:sz w:val="32"/>
          <w:szCs w:val="32"/>
          <w:highlight w:val="none"/>
          <w:lang w:val="en-US" w:eastAsia="zh-CN" w:bidi="ar-SA"/>
        </w:rPr>
      </w:pPr>
    </w:p>
    <w:p w14:paraId="78660B80">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7" w:name="_Toc15396611"/>
      <w:bookmarkStart w:id="38"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7"/>
      <w:bookmarkEnd w:id="38"/>
    </w:p>
    <w:p w14:paraId="703476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0BC100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8633FD">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9" w:name="_Toc15377221"/>
      <w:bookmarkStart w:id="40"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9"/>
      <w:bookmarkEnd w:id="40"/>
    </w:p>
    <w:p w14:paraId="4F8579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2"/>
      <w:r>
        <w:rPr>
          <w:rFonts w:hint="eastAsia" w:ascii="Times New Roman" w:hAnsi="Times New Roman" w:eastAsia="楷体_GB2312" w:cs="楷体_GB2312"/>
          <w:b/>
          <w:color w:val="auto"/>
          <w:sz w:val="32"/>
          <w:szCs w:val="32"/>
          <w:highlight w:val="none"/>
        </w:rPr>
        <w:t>（一）机关运行经费支出情况</w:t>
      </w:r>
      <w:bookmarkEnd w:id="41"/>
    </w:p>
    <w:p w14:paraId="48FD88B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rPr>
        <w:t>峨眉山市双福镇第二小学校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CA8A5C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3"/>
      <w:r>
        <w:rPr>
          <w:rFonts w:hint="eastAsia" w:ascii="Times New Roman" w:hAnsi="Times New Roman" w:eastAsia="楷体_GB2312" w:cs="楷体_GB2312"/>
          <w:b/>
          <w:color w:val="auto"/>
          <w:sz w:val="32"/>
          <w:szCs w:val="32"/>
          <w:highlight w:val="none"/>
        </w:rPr>
        <w:t>（二）政府采购支出情况</w:t>
      </w:r>
      <w:bookmarkEnd w:id="42"/>
    </w:p>
    <w:p w14:paraId="3CF5307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sz w:val="32"/>
          <w:szCs w:val="32"/>
        </w:rPr>
        <w:t>峨眉山市双福镇第二小学校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AC938ED">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0C6115C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4"/>
      <w:r>
        <w:rPr>
          <w:rFonts w:hint="eastAsia" w:ascii="Times New Roman" w:hAnsi="Times New Roman" w:eastAsia="楷体_GB2312" w:cs="楷体_GB2312"/>
          <w:b/>
          <w:color w:val="auto"/>
          <w:sz w:val="32"/>
          <w:szCs w:val="32"/>
          <w:highlight w:val="none"/>
        </w:rPr>
        <w:t>（三）国有资产占有使用情况</w:t>
      </w:r>
      <w:bookmarkEnd w:id="43"/>
    </w:p>
    <w:p w14:paraId="756F74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color w:val="auto"/>
          <w:sz w:val="32"/>
          <w:szCs w:val="32"/>
        </w:rPr>
        <w:t>峨眉山市双福镇第二小学校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7448EF6">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p>
    <w:p w14:paraId="556A25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7DC09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rPr>
        <w:t>峨眉山市双福镇第二小学校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 w:hAnsi="仿宋" w:eastAsia="仿宋" w:cs="仿宋"/>
          <w:color w:val="auto"/>
          <w:sz w:val="32"/>
          <w:szCs w:val="32"/>
          <w:lang w:val="en-US" w:eastAsia="zh-CN"/>
        </w:rPr>
        <w:t>城乡义务教育生均公用经费（小学）</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 w:hAnsi="仿宋" w:eastAsia="仿宋" w:cs="仿宋"/>
          <w:color w:val="auto"/>
          <w:sz w:val="32"/>
          <w:szCs w:val="32"/>
        </w:rPr>
        <w:t>绩效自评表详见第四部分附件</w:t>
      </w:r>
      <w:r>
        <w:rPr>
          <w:rFonts w:hint="eastAsia" w:ascii="Times New Roman" w:hAnsi="Times New Roman" w:eastAsia="仿宋_GB2312" w:cs="仿宋_GB2312"/>
          <w:color w:val="auto"/>
          <w:kern w:val="2"/>
          <w:sz w:val="32"/>
          <w:szCs w:val="32"/>
          <w:highlight w:val="none"/>
          <w:lang w:val="en-US" w:eastAsia="zh-CN" w:bidi="ar-SA"/>
        </w:rPr>
        <w:t>。</w:t>
      </w:r>
    </w:p>
    <w:p w14:paraId="605E9F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CE03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B67C6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4" w:name="_Toc15377225"/>
      <w:bookmarkStart w:id="45" w:name="_Toc15396613"/>
    </w:p>
    <w:p w14:paraId="228AE61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111BB4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311BC5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BDF89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4265B8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97689D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7F1C89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2BDBD8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B009E3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244F85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16E3AB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CB92D2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272BCC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F5F1E3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1F428E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B90952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EC14FE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4EFD03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6E58FA8">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4"/>
      <w:bookmarkEnd w:id="45"/>
    </w:p>
    <w:p w14:paraId="5055FBF2">
      <w:pPr>
        <w:spacing w:line="600" w:lineRule="exact"/>
        <w:jc w:val="left"/>
        <w:rPr>
          <w:rFonts w:ascii="Times New Roman" w:hAnsi="Times New Roman"/>
          <w:b/>
          <w:color w:val="auto"/>
          <w:sz w:val="44"/>
          <w:szCs w:val="44"/>
          <w:highlight w:val="none"/>
        </w:rPr>
      </w:pPr>
    </w:p>
    <w:p w14:paraId="2D30C520">
      <w:pPr>
        <w:pStyle w:val="27"/>
        <w:spacing w:line="560" w:lineRule="exact"/>
        <w:ind w:firstLine="640" w:firstLineChars="200"/>
        <w:outlineLvl w:val="1"/>
        <w:rPr>
          <w:rFonts w:hint="eastAsia" w:ascii="仿宋" w:hAnsi="仿宋" w:eastAsia="仿宋" w:cs="仿宋"/>
          <w:color w:val="auto"/>
          <w:sz w:val="32"/>
          <w:szCs w:val="32"/>
        </w:rPr>
      </w:pPr>
      <w:bookmarkStart w:id="46" w:name="_Toc29527"/>
      <w:r>
        <w:rPr>
          <w:rFonts w:hint="eastAsia" w:ascii="仿宋" w:hAnsi="仿宋" w:eastAsia="仿宋" w:cs="仿宋"/>
          <w:color w:val="auto"/>
          <w:sz w:val="32"/>
          <w:szCs w:val="32"/>
        </w:rPr>
        <w:t>1.财政拨款收入：指单位从同级财政部门取得的财政预算资金。</w:t>
      </w:r>
      <w:bookmarkEnd w:id="46"/>
    </w:p>
    <w:p w14:paraId="2B3EA1B2">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2.其他收入：指单位取得的除上述收入以外的各项收入。主要是</w:t>
      </w:r>
      <w:r>
        <w:rPr>
          <w:rFonts w:hint="eastAsia" w:ascii="仿宋" w:hAnsi="仿宋" w:eastAsia="仿宋" w:cs="仿宋"/>
          <w:color w:val="auto"/>
          <w:sz w:val="32"/>
          <w:szCs w:val="32"/>
          <w:lang w:val="en-US" w:eastAsia="zh-CN"/>
        </w:rPr>
        <w:t>午餐费、校服费等代管资金收入</w:t>
      </w:r>
      <w:r>
        <w:rPr>
          <w:rFonts w:hint="eastAsia" w:ascii="仿宋" w:hAnsi="仿宋" w:eastAsia="仿宋" w:cs="仿宋"/>
          <w:color w:val="auto"/>
          <w:sz w:val="32"/>
          <w:szCs w:val="32"/>
        </w:rPr>
        <w:t>等。</w:t>
      </w:r>
    </w:p>
    <w:p w14:paraId="3ACA912A">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年末结转和结余：指单位按有关规定结转到下年或以后年度继续使用的资金。</w:t>
      </w:r>
    </w:p>
    <w:p w14:paraId="598227BF">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.教育支出（类）普通教育（款）学前教育（项）：指反映</w:t>
      </w:r>
      <w:r>
        <w:rPr>
          <w:rFonts w:hint="eastAsia" w:ascii="仿宋" w:hAnsi="仿宋" w:eastAsia="仿宋" w:cs="仿宋"/>
          <w:color w:val="auto"/>
          <w:sz w:val="32"/>
          <w:szCs w:val="32"/>
          <w:lang w:val="en-US" w:eastAsia="zh-CN"/>
        </w:rPr>
        <w:t>学前</w:t>
      </w:r>
      <w:r>
        <w:rPr>
          <w:rFonts w:hint="eastAsia" w:ascii="仿宋" w:hAnsi="仿宋" w:eastAsia="仿宋" w:cs="仿宋"/>
          <w:color w:val="auto"/>
          <w:sz w:val="32"/>
          <w:szCs w:val="32"/>
        </w:rPr>
        <w:t>教育支出。</w:t>
      </w:r>
    </w:p>
    <w:p w14:paraId="4F922241">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.教育支出（类）普通教育（款）</w:t>
      </w:r>
      <w:r>
        <w:rPr>
          <w:rFonts w:hint="eastAsia" w:ascii="仿宋" w:hAnsi="仿宋" w:eastAsia="仿宋" w:cs="仿宋"/>
          <w:color w:val="auto"/>
          <w:sz w:val="32"/>
          <w:szCs w:val="32"/>
          <w:lang w:val="en-US" w:eastAsia="zh-CN"/>
        </w:rPr>
        <w:t>小学</w:t>
      </w:r>
      <w:r>
        <w:rPr>
          <w:rFonts w:hint="eastAsia" w:ascii="仿宋" w:hAnsi="仿宋" w:eastAsia="仿宋" w:cs="仿宋"/>
          <w:color w:val="auto"/>
          <w:sz w:val="32"/>
          <w:szCs w:val="32"/>
        </w:rPr>
        <w:t>教育（项）：指反映</w:t>
      </w:r>
      <w:r>
        <w:rPr>
          <w:rFonts w:hint="eastAsia" w:ascii="仿宋" w:hAnsi="仿宋" w:eastAsia="仿宋" w:cs="仿宋"/>
          <w:color w:val="auto"/>
          <w:sz w:val="32"/>
          <w:szCs w:val="32"/>
          <w:lang w:val="en-US" w:eastAsia="zh-CN"/>
        </w:rPr>
        <w:t>义务教育小学阶段</w:t>
      </w:r>
      <w:r>
        <w:rPr>
          <w:rFonts w:hint="eastAsia" w:ascii="仿宋" w:hAnsi="仿宋" w:eastAsia="仿宋" w:cs="仿宋"/>
          <w:color w:val="auto"/>
          <w:sz w:val="32"/>
          <w:szCs w:val="32"/>
        </w:rPr>
        <w:t xml:space="preserve">教育支出。 </w:t>
      </w:r>
    </w:p>
    <w:p w14:paraId="2C12A4E4">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.教育支出（类）普通教育（款）其他普通教育支出（项）：指反映除上述项目以外其他用于普通教育方面的支出。 </w:t>
      </w:r>
    </w:p>
    <w:p w14:paraId="316997BF">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.社会保障和就业支出（类）行政事业单位养老支出（款）机关事业单位基本养老保险缴费支出（项）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指反映机关事业单位实施养老保险制度由单位缴纳的基本养老保险费支出。 </w:t>
      </w:r>
    </w:p>
    <w:p w14:paraId="6414A324">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.社会保障和就业支出（类）行政事业单位离退休（款）机关事业单位职业年金缴费支出（项）：指反映机关事业单位实施养老保险制度由单位缴纳的职业年金支出。</w:t>
      </w:r>
    </w:p>
    <w:p w14:paraId="5D27CB83">
      <w:pPr>
        <w:pStyle w:val="27"/>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.社会保障和就业支出（类）抚恤（款）死亡抚恤（项）：指反映按规定用于烈士和牺牲、病故人员家属的一次性和定期抚恤金以及丧葬补助费。</w:t>
      </w:r>
    </w:p>
    <w:p w14:paraId="2373A30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10.社会保障和就业支出（类）抚恤（款）其他优抚支出（项）:指反映除上述项目以外其他用于优抚方面的支出。</w:t>
      </w:r>
    </w:p>
    <w:p w14:paraId="0A5B9476">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11.社会保障和就业支出（类）其他社会保障和就业支出（款）其他社会保障和就业支出（项）：指</w:t>
      </w:r>
      <w:r>
        <w:rPr>
          <w:rFonts w:hint="eastAsia" w:ascii="仿宋" w:hAnsi="仿宋" w:eastAsia="仿宋" w:cs="仿宋"/>
          <w:color w:val="auto"/>
          <w:sz w:val="36"/>
          <w:szCs w:val="36"/>
          <w:lang w:val="en-US" w:eastAsia="zh-CN"/>
        </w:rPr>
        <w:t>反映陈上述项目以外其他社会保障和就业方面的支出</w:t>
      </w:r>
      <w:r>
        <w:rPr>
          <w:rFonts w:hint="eastAsia" w:ascii="仿宋" w:hAnsi="仿宋" w:eastAsia="仿宋" w:cs="仿宋"/>
          <w:color w:val="auto"/>
          <w:sz w:val="32"/>
          <w:szCs w:val="32"/>
        </w:rPr>
        <w:t>。</w:t>
      </w:r>
    </w:p>
    <w:p w14:paraId="45B7B6CA">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w:t>
      </w:r>
      <w:r>
        <w:rPr>
          <w:rFonts w:hint="eastAsia" w:ascii="仿宋" w:hAnsi="仿宋" w:eastAsia="仿宋" w:cs="仿宋"/>
          <w:color w:val="auto"/>
          <w:sz w:val="32"/>
          <w:szCs w:val="32"/>
          <w:lang w:val="en-US" w:eastAsia="zh-CN"/>
        </w:rPr>
        <w:t>卫生健康支出</w:t>
      </w:r>
      <w:r>
        <w:rPr>
          <w:rFonts w:hint="eastAsia" w:ascii="仿宋" w:hAnsi="仿宋" w:eastAsia="仿宋" w:cs="仿宋"/>
          <w:color w:val="auto"/>
          <w:sz w:val="32"/>
          <w:szCs w:val="32"/>
        </w:rPr>
        <w:t>（类）行政事业单位医疗（款）事业单位医疗（项）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指反映财政部门集中安排的事业单位基本医疗保险缴费经费，未参加医疗保险的事业单位的公费医疗经费，按国家规定享受离休人员待遇的医疗经费。</w:t>
      </w:r>
    </w:p>
    <w:p w14:paraId="3DE33B0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13.住房保障支出（类）住房改革支出（款）住房公积金（项）：指指反映行政事业单位按人力资源和社会保障部、财政部规定的基本工资和津贴补贴以及规定比例为职工缴纳的住房公积金。</w:t>
      </w:r>
    </w:p>
    <w:p w14:paraId="6FCA4E8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14.基本支出：指为保障机构正常运转、完成日常工作任务而发生的人员支出和公用支出。</w:t>
      </w:r>
    </w:p>
    <w:p w14:paraId="04FE0851">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15.项目支出：指在基本支出之外为完成特定行政任务和事业发展目标所发生的支出。</w:t>
      </w:r>
    </w:p>
    <w:p w14:paraId="0C5A7F15">
      <w:pPr>
        <w:spacing w:line="600" w:lineRule="exact"/>
        <w:jc w:val="center"/>
        <w:rPr>
          <w:rStyle w:val="29"/>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7157A12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162"/>
        <w:gridCol w:w="1075"/>
        <w:gridCol w:w="1639"/>
        <w:gridCol w:w="420"/>
        <w:gridCol w:w="775"/>
        <w:gridCol w:w="420"/>
        <w:gridCol w:w="846"/>
        <w:gridCol w:w="486"/>
        <w:gridCol w:w="486"/>
        <w:gridCol w:w="637"/>
      </w:tblGrid>
      <w:tr w14:paraId="5F0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3904D8">
            <w:pPr>
              <w:keepNext w:val="0"/>
              <w:keepLines w:val="0"/>
              <w:widowControl/>
              <w:suppressLineNumbers w:val="0"/>
              <w:jc w:val="center"/>
              <w:textAlignment w:val="center"/>
              <w:rPr>
                <w:rFonts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1E19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4D1A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D048A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51118122T000005912050-双福二小项目经费</w:t>
            </w:r>
          </w:p>
        </w:tc>
      </w:tr>
      <w:tr w14:paraId="2A72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17F8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08DB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0D88CF2E">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A6B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3C51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A20B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18B4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F0B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94383">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568D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7F32">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7C1C4">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DB9B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学校安保经费、少年宫经费等项目经费，保障学校正常工作的开展。</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D2D3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306D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7D38">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40B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018EC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六一节日慰问支出。</w:t>
            </w:r>
          </w:p>
        </w:tc>
      </w:tr>
      <w:tr w14:paraId="2E12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A37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63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F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43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176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1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C6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BA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B3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7456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9F40">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C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96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05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0.39</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98D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F1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73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FB2F9">
            <w:pPr>
              <w:rPr>
                <w:rFonts w:hint="eastAsia" w:ascii="黑体" w:hAnsi="黑体" w:eastAsia="黑体" w:cs="黑体"/>
                <w:i/>
                <w:iCs/>
                <w:color w:val="auto"/>
                <w:sz w:val="18"/>
                <w:szCs w:val="18"/>
                <w:u w:val="none"/>
              </w:rPr>
            </w:pPr>
          </w:p>
        </w:tc>
      </w:tr>
      <w:tr w14:paraId="47ED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8B69">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56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21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D8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0.39</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665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7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ED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FE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5566">
            <w:pPr>
              <w:rPr>
                <w:rFonts w:hint="eastAsia" w:ascii="黑体" w:hAnsi="黑体" w:eastAsia="黑体" w:cs="黑体"/>
                <w:i/>
                <w:iCs/>
                <w:color w:val="auto"/>
                <w:sz w:val="18"/>
                <w:szCs w:val="18"/>
                <w:u w:val="none"/>
              </w:rPr>
            </w:pPr>
          </w:p>
        </w:tc>
      </w:tr>
      <w:tr w14:paraId="5878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C52A">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0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5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00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AE4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5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D0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1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A424E">
            <w:pPr>
              <w:rPr>
                <w:rFonts w:hint="eastAsia" w:ascii="黑体" w:hAnsi="黑体" w:eastAsia="黑体" w:cs="黑体"/>
                <w:i/>
                <w:iCs/>
                <w:color w:val="auto"/>
                <w:sz w:val="18"/>
                <w:szCs w:val="18"/>
                <w:u w:val="none"/>
              </w:rPr>
            </w:pPr>
          </w:p>
        </w:tc>
      </w:tr>
      <w:tr w14:paraId="1314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FDD9">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BC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9D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3D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762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C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68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B6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A347">
            <w:pPr>
              <w:rPr>
                <w:rFonts w:hint="eastAsia" w:ascii="黑体" w:hAnsi="黑体" w:eastAsia="黑体" w:cs="黑体"/>
                <w:i/>
                <w:iCs/>
                <w:color w:val="auto"/>
                <w:sz w:val="18"/>
                <w:szCs w:val="18"/>
                <w:u w:val="none"/>
              </w:rPr>
            </w:pPr>
          </w:p>
        </w:tc>
      </w:tr>
      <w:tr w14:paraId="49CC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E348">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71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5732">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3D32">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7BBE0">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559">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3D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08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C40B3">
            <w:pPr>
              <w:rPr>
                <w:rFonts w:hint="eastAsia" w:ascii="黑体" w:hAnsi="黑体" w:eastAsia="黑体" w:cs="黑体"/>
                <w:i/>
                <w:iCs/>
                <w:color w:val="auto"/>
                <w:sz w:val="18"/>
                <w:szCs w:val="18"/>
                <w:u w:val="none"/>
              </w:rPr>
            </w:pPr>
          </w:p>
        </w:tc>
      </w:tr>
      <w:tr w14:paraId="198A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DBA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F8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8F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4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5E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2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47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C9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D7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A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34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1DE2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DA6C">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1D7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5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0D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学习工作安全有序进行</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0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68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24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4E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F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70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FDB">
            <w:pPr>
              <w:jc w:val="center"/>
              <w:rPr>
                <w:rFonts w:hint="eastAsia" w:ascii="微软雅黑" w:hAnsi="微软雅黑" w:eastAsia="微软雅黑" w:cs="微软雅黑"/>
                <w:i/>
                <w:iCs/>
                <w:color w:val="auto"/>
                <w:sz w:val="16"/>
                <w:szCs w:val="16"/>
                <w:u w:val="none"/>
              </w:rPr>
            </w:pPr>
          </w:p>
        </w:tc>
      </w:tr>
      <w:tr w14:paraId="51E2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4087">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E5166">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0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BA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及时支付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A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8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13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0E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85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6E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641">
            <w:pPr>
              <w:jc w:val="center"/>
              <w:rPr>
                <w:rFonts w:hint="eastAsia" w:ascii="微软雅黑" w:hAnsi="微软雅黑" w:eastAsia="微软雅黑" w:cs="微软雅黑"/>
                <w:i/>
                <w:iCs/>
                <w:color w:val="auto"/>
                <w:sz w:val="16"/>
                <w:szCs w:val="16"/>
                <w:u w:val="none"/>
              </w:rPr>
            </w:pPr>
          </w:p>
        </w:tc>
      </w:tr>
      <w:tr w14:paraId="669D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1458">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CB8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91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E6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保障安保人员的工资福利待遇，保障学校工作正常运转安全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1D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16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C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5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5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54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0AD1">
            <w:pPr>
              <w:jc w:val="center"/>
              <w:rPr>
                <w:rFonts w:hint="eastAsia" w:ascii="微软雅黑" w:hAnsi="微软雅黑" w:eastAsia="微软雅黑" w:cs="微软雅黑"/>
                <w:i/>
                <w:iCs/>
                <w:color w:val="auto"/>
                <w:sz w:val="16"/>
                <w:szCs w:val="16"/>
                <w:u w:val="none"/>
              </w:rPr>
            </w:pPr>
          </w:p>
        </w:tc>
      </w:tr>
      <w:tr w14:paraId="331C4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15922">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0829">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E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6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保障安保人员的工资福利待遇，保障学校工作正常运转</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AF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7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90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26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D5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1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B185">
            <w:pPr>
              <w:jc w:val="center"/>
              <w:rPr>
                <w:rFonts w:hint="eastAsia" w:ascii="微软雅黑" w:hAnsi="微软雅黑" w:eastAsia="微软雅黑" w:cs="微软雅黑"/>
                <w:i/>
                <w:iCs/>
                <w:color w:val="auto"/>
                <w:sz w:val="16"/>
                <w:szCs w:val="16"/>
                <w:u w:val="none"/>
              </w:rPr>
            </w:pPr>
          </w:p>
        </w:tc>
      </w:tr>
      <w:tr w14:paraId="077D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3976">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85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D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31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家长社会师生满意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4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04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0B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28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D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D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188">
            <w:pPr>
              <w:jc w:val="center"/>
              <w:rPr>
                <w:rFonts w:hint="eastAsia" w:ascii="微软雅黑" w:hAnsi="微软雅黑" w:eastAsia="微软雅黑" w:cs="微软雅黑"/>
                <w:i/>
                <w:iCs/>
                <w:color w:val="auto"/>
                <w:sz w:val="16"/>
                <w:szCs w:val="16"/>
                <w:u w:val="none"/>
              </w:rPr>
            </w:pPr>
          </w:p>
        </w:tc>
      </w:tr>
      <w:tr w14:paraId="0A54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62CB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0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1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942">
            <w:pPr>
              <w:rPr>
                <w:rFonts w:hint="eastAsia" w:ascii="宋体" w:hAnsi="宋体" w:eastAsia="宋体" w:cs="宋体"/>
                <w:i w:val="0"/>
                <w:iCs w:val="0"/>
                <w:color w:val="auto"/>
                <w:sz w:val="18"/>
                <w:szCs w:val="18"/>
                <w:u w:val="none"/>
              </w:rPr>
            </w:pPr>
          </w:p>
        </w:tc>
      </w:tr>
      <w:tr w14:paraId="7480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25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9CB26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6FD8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8E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D641B">
            <w:pPr>
              <w:rPr>
                <w:rFonts w:hint="eastAsia" w:ascii="微软雅黑" w:hAnsi="微软雅黑" w:eastAsia="微软雅黑" w:cs="微软雅黑"/>
                <w:i/>
                <w:iCs/>
                <w:color w:val="auto"/>
                <w:sz w:val="16"/>
                <w:szCs w:val="16"/>
                <w:u w:val="none"/>
                <w:lang w:val="en-US" w:eastAsia="zh-CN"/>
              </w:rPr>
            </w:pPr>
            <w:r>
              <w:rPr>
                <w:rFonts w:hint="eastAsia" w:ascii="微软雅黑" w:hAnsi="微软雅黑" w:eastAsia="微软雅黑" w:cs="微软雅黑"/>
                <w:i/>
                <w:iCs/>
                <w:color w:val="auto"/>
                <w:sz w:val="16"/>
                <w:szCs w:val="16"/>
                <w:u w:val="none"/>
                <w:lang w:val="en-US" w:eastAsia="zh-CN"/>
              </w:rPr>
              <w:t>无。</w:t>
            </w:r>
          </w:p>
        </w:tc>
      </w:tr>
      <w:tr w14:paraId="18AB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C9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3B00C8">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73AD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3C1E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1FDC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r w14:paraId="2574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D9194E4">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6B41EBD0">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38799417">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452BDEF3">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57C2C49B">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6C8FE983">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2A81A6C3">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465031D9">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27FA9FDE">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565F62BE">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6B11DFEA">
            <w:pPr>
              <w:rPr>
                <w:rFonts w:hint="eastAsia" w:ascii="宋体" w:hAnsi="宋体" w:eastAsia="宋体" w:cs="宋体"/>
                <w:i w:val="0"/>
                <w:iCs w:val="0"/>
                <w:color w:val="auto"/>
                <w:sz w:val="18"/>
                <w:szCs w:val="18"/>
                <w:u w:val="none"/>
              </w:rPr>
            </w:pPr>
          </w:p>
        </w:tc>
      </w:tr>
      <w:tr w14:paraId="2D9A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201C51">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29B5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23EE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CCC3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51118123T000007903462-公办学校安保经费</w:t>
            </w:r>
          </w:p>
        </w:tc>
      </w:tr>
      <w:tr w14:paraId="57CF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4B99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A05F0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6E1D59D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A32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4022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E824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D00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CF9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C9249">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7405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0844">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DC14">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D7A2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目标1：维护学校安全秩序，保障学校师生财产和人身安全。　　　　　　　　　　　                                                           目标2：保障安保人员和宿管人员经费按时足额发放，维护安保和宿管人员稳定。</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03E8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7B2A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C825">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F20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5787F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保安工资保险等支出。</w:t>
            </w:r>
          </w:p>
        </w:tc>
      </w:tr>
      <w:tr w14:paraId="67C6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9B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2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27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6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6A7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8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EC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C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8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3837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FF12">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4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A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52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20.42</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AEE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D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2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20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D2FA">
            <w:pPr>
              <w:rPr>
                <w:rFonts w:hint="eastAsia" w:ascii="黑体" w:hAnsi="黑体" w:eastAsia="黑体" w:cs="黑体"/>
                <w:i/>
                <w:iCs/>
                <w:color w:val="auto"/>
                <w:sz w:val="18"/>
                <w:szCs w:val="18"/>
                <w:u w:val="none"/>
              </w:rPr>
            </w:pPr>
          </w:p>
        </w:tc>
      </w:tr>
      <w:tr w14:paraId="54AC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84E1">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1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F2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D1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20.42</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6F0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3C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3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84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B4D8">
            <w:pPr>
              <w:rPr>
                <w:rFonts w:hint="eastAsia" w:ascii="黑体" w:hAnsi="黑体" w:eastAsia="黑体" w:cs="黑体"/>
                <w:i/>
                <w:iCs/>
                <w:color w:val="auto"/>
                <w:sz w:val="18"/>
                <w:szCs w:val="18"/>
                <w:u w:val="none"/>
              </w:rPr>
            </w:pPr>
          </w:p>
        </w:tc>
      </w:tr>
      <w:tr w14:paraId="0A84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F5E8">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32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35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4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522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E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D6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F5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0CB4">
            <w:pPr>
              <w:rPr>
                <w:rFonts w:hint="eastAsia" w:ascii="黑体" w:hAnsi="黑体" w:eastAsia="黑体" w:cs="黑体"/>
                <w:i/>
                <w:iCs/>
                <w:color w:val="auto"/>
                <w:sz w:val="18"/>
                <w:szCs w:val="18"/>
                <w:u w:val="none"/>
              </w:rPr>
            </w:pPr>
          </w:p>
        </w:tc>
      </w:tr>
      <w:tr w14:paraId="688D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CD132">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98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7F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FC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935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1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89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4D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29C2">
            <w:pPr>
              <w:rPr>
                <w:rFonts w:hint="eastAsia" w:ascii="黑体" w:hAnsi="黑体" w:eastAsia="黑体" w:cs="黑体"/>
                <w:i/>
                <w:iCs/>
                <w:color w:val="auto"/>
                <w:sz w:val="18"/>
                <w:szCs w:val="18"/>
                <w:u w:val="none"/>
              </w:rPr>
            </w:pPr>
          </w:p>
        </w:tc>
      </w:tr>
      <w:tr w14:paraId="4A98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20A1">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62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6AE5">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0B2C">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FB747">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5D39">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BC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DF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A5BE">
            <w:pPr>
              <w:rPr>
                <w:rFonts w:hint="eastAsia" w:ascii="黑体" w:hAnsi="黑体" w:eastAsia="黑体" w:cs="黑体"/>
                <w:i/>
                <w:iCs/>
                <w:color w:val="auto"/>
                <w:sz w:val="18"/>
                <w:szCs w:val="18"/>
                <w:u w:val="none"/>
              </w:rPr>
            </w:pPr>
          </w:p>
        </w:tc>
      </w:tr>
      <w:tr w14:paraId="1BC5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B58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A6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6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60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3B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AB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EF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AC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27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25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38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19CA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3A4D">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77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6C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B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配备安保人员和宿管人员数量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C7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E7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02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E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CA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3D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C26D">
            <w:pPr>
              <w:jc w:val="center"/>
              <w:rPr>
                <w:rFonts w:hint="eastAsia" w:ascii="微软雅黑" w:hAnsi="微软雅黑" w:eastAsia="微软雅黑" w:cs="微软雅黑"/>
                <w:i/>
                <w:iCs/>
                <w:color w:val="auto"/>
                <w:sz w:val="16"/>
                <w:szCs w:val="16"/>
                <w:u w:val="none"/>
              </w:rPr>
            </w:pPr>
          </w:p>
        </w:tc>
      </w:tr>
      <w:tr w14:paraId="7DBC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863E">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011C">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093B">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88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学生人数99人，增减率控制范围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01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03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2F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53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6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3C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93A9">
            <w:pPr>
              <w:jc w:val="center"/>
              <w:rPr>
                <w:rFonts w:hint="eastAsia" w:ascii="微软雅黑" w:hAnsi="微软雅黑" w:eastAsia="微软雅黑" w:cs="微软雅黑"/>
                <w:i/>
                <w:iCs/>
                <w:color w:val="auto"/>
                <w:sz w:val="16"/>
                <w:szCs w:val="16"/>
                <w:u w:val="none"/>
              </w:rPr>
            </w:pPr>
          </w:p>
        </w:tc>
      </w:tr>
      <w:tr w14:paraId="2643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322D">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4584">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9DCC">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9C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足额保障率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E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5B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77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B7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9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E9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E1A">
            <w:pPr>
              <w:jc w:val="center"/>
              <w:rPr>
                <w:rFonts w:hint="eastAsia" w:ascii="微软雅黑" w:hAnsi="微软雅黑" w:eastAsia="微软雅黑" w:cs="微软雅黑"/>
                <w:i/>
                <w:iCs/>
                <w:color w:val="auto"/>
                <w:sz w:val="16"/>
                <w:szCs w:val="16"/>
                <w:u w:val="none"/>
              </w:rPr>
            </w:pPr>
          </w:p>
        </w:tc>
      </w:tr>
      <w:tr w14:paraId="08EB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2626">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43B8">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5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D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保障学校师生人身及财产安全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BD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D6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93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4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4E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C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D6B">
            <w:pPr>
              <w:jc w:val="center"/>
              <w:rPr>
                <w:rFonts w:hint="eastAsia" w:ascii="微软雅黑" w:hAnsi="微软雅黑" w:eastAsia="微软雅黑" w:cs="微软雅黑"/>
                <w:i/>
                <w:iCs/>
                <w:color w:val="auto"/>
                <w:sz w:val="16"/>
                <w:szCs w:val="16"/>
                <w:u w:val="none"/>
              </w:rPr>
            </w:pPr>
          </w:p>
        </w:tc>
      </w:tr>
      <w:tr w14:paraId="092A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7E1C">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E5EA">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A2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12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按时发放率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E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8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99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D5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C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D9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F9AA">
            <w:pPr>
              <w:jc w:val="center"/>
              <w:rPr>
                <w:rFonts w:hint="eastAsia" w:ascii="微软雅黑" w:hAnsi="微软雅黑" w:eastAsia="微软雅黑" w:cs="微软雅黑"/>
                <w:i/>
                <w:iCs/>
                <w:color w:val="auto"/>
                <w:sz w:val="16"/>
                <w:szCs w:val="16"/>
                <w:u w:val="none"/>
              </w:rPr>
            </w:pPr>
          </w:p>
        </w:tc>
      </w:tr>
      <w:tr w14:paraId="0E04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4BFB7">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FB4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5C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1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维持校园安全稳定，创造良好的校园安全环境</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B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EF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A0EB">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A3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15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C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36C">
            <w:pPr>
              <w:jc w:val="center"/>
              <w:rPr>
                <w:rFonts w:hint="eastAsia" w:ascii="微软雅黑" w:hAnsi="微软雅黑" w:eastAsia="微软雅黑" w:cs="微软雅黑"/>
                <w:i/>
                <w:iCs/>
                <w:color w:val="auto"/>
                <w:sz w:val="16"/>
                <w:szCs w:val="16"/>
                <w:u w:val="none"/>
              </w:rPr>
            </w:pPr>
          </w:p>
        </w:tc>
      </w:tr>
      <w:tr w14:paraId="2B9C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26DA">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1498">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E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E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确保学校安保工作的持续开展，逐年提升校园安保水平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C3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4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10C">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3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D3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F7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CC87">
            <w:pPr>
              <w:jc w:val="center"/>
              <w:rPr>
                <w:rFonts w:hint="eastAsia" w:ascii="微软雅黑" w:hAnsi="微软雅黑" w:eastAsia="微软雅黑" w:cs="微软雅黑"/>
                <w:i/>
                <w:iCs/>
                <w:color w:val="auto"/>
                <w:sz w:val="16"/>
                <w:szCs w:val="16"/>
                <w:u w:val="none"/>
              </w:rPr>
            </w:pPr>
          </w:p>
        </w:tc>
      </w:tr>
      <w:tr w14:paraId="7DD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DD0C">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2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9E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D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师生及家长对校园安全工作的满意度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C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5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2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E38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97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5F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8AE0">
            <w:pPr>
              <w:jc w:val="center"/>
              <w:rPr>
                <w:rFonts w:hint="eastAsia" w:ascii="微软雅黑" w:hAnsi="微软雅黑" w:eastAsia="微软雅黑" w:cs="微软雅黑"/>
                <w:i/>
                <w:iCs/>
                <w:color w:val="auto"/>
                <w:sz w:val="16"/>
                <w:szCs w:val="16"/>
                <w:u w:val="none"/>
              </w:rPr>
            </w:pPr>
          </w:p>
        </w:tc>
      </w:tr>
      <w:tr w14:paraId="6FCD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5672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7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EC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0F12">
            <w:pPr>
              <w:rPr>
                <w:rFonts w:hint="eastAsia" w:ascii="宋体" w:hAnsi="宋体" w:eastAsia="宋体" w:cs="宋体"/>
                <w:i w:val="0"/>
                <w:iCs w:val="0"/>
                <w:color w:val="auto"/>
                <w:sz w:val="18"/>
                <w:szCs w:val="18"/>
                <w:u w:val="none"/>
              </w:rPr>
            </w:pPr>
          </w:p>
        </w:tc>
      </w:tr>
      <w:tr w14:paraId="0574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9D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FC057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33BF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7B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E375A">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3428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0C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05BAC">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2DE6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C9EC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9D6CB0">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r w14:paraId="4509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BF2F678">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2DF77C22">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0391C68F">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44A613A9">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0C952883">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162102A2">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22F56025">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0C2CFB42">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3F4FA1AC">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0E5F3AC4">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337D9B08">
            <w:pPr>
              <w:rPr>
                <w:rFonts w:hint="eastAsia" w:ascii="宋体" w:hAnsi="宋体" w:eastAsia="宋体" w:cs="宋体"/>
                <w:i w:val="0"/>
                <w:iCs w:val="0"/>
                <w:color w:val="auto"/>
                <w:sz w:val="18"/>
                <w:szCs w:val="18"/>
                <w:u w:val="none"/>
              </w:rPr>
            </w:pPr>
          </w:p>
        </w:tc>
      </w:tr>
      <w:tr w14:paraId="69E4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08C4E67">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1F15BB6D">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4B5FF219">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0A041365">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5AB903D2">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1996C47C">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5911FA1A">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7D5044EC">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5D6ADDB7">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5AAA93CA">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3542A437">
            <w:pPr>
              <w:rPr>
                <w:rFonts w:hint="eastAsia" w:ascii="宋体" w:hAnsi="宋体" w:eastAsia="宋体" w:cs="宋体"/>
                <w:i w:val="0"/>
                <w:iCs w:val="0"/>
                <w:color w:val="auto"/>
                <w:sz w:val="18"/>
                <w:szCs w:val="18"/>
                <w:u w:val="none"/>
              </w:rPr>
            </w:pPr>
          </w:p>
        </w:tc>
      </w:tr>
      <w:tr w14:paraId="4004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D1CB7AB">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72D21302">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464308E1">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1DEB7B31">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0E735D5C">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09C8BD0F">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3B6C9469">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6DBDD2E2">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7C301872">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6442A1B4">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002A2241">
            <w:pPr>
              <w:rPr>
                <w:rFonts w:hint="eastAsia" w:ascii="宋体" w:hAnsi="宋体" w:eastAsia="宋体" w:cs="宋体"/>
                <w:i w:val="0"/>
                <w:iCs w:val="0"/>
                <w:color w:val="auto"/>
                <w:sz w:val="18"/>
                <w:szCs w:val="18"/>
                <w:u w:val="none"/>
              </w:rPr>
            </w:pPr>
          </w:p>
        </w:tc>
      </w:tr>
      <w:tr w14:paraId="4D78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1EC23A">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118C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F9B4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C1172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51118123T000008642365-城乡义务教育生均公用经费（小学）</w:t>
            </w:r>
          </w:p>
        </w:tc>
      </w:tr>
      <w:tr w14:paraId="3063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A2DF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2019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10D10CA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591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0452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5ADF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1B0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99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ABAEE">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2CFD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94DB">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FC71">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19F8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目标1：落实城乡义务教育经费保障机制。</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8AF9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0D5A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DC52">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BD5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D6AC2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义务教育是均公用经费支出。</w:t>
            </w:r>
          </w:p>
        </w:tc>
      </w:tr>
      <w:tr w14:paraId="29A4B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4EC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5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34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E4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B0FC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02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8A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BB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34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4BD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14A5">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26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A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AA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18.87</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D01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E4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61.94%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2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F9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2D897">
            <w:pPr>
              <w:rPr>
                <w:rFonts w:hint="eastAsia" w:ascii="黑体" w:hAnsi="黑体" w:eastAsia="黑体" w:cs="黑体"/>
                <w:i/>
                <w:iCs/>
                <w:color w:val="auto"/>
                <w:sz w:val="18"/>
                <w:szCs w:val="18"/>
                <w:u w:val="none"/>
              </w:rPr>
            </w:pPr>
          </w:p>
        </w:tc>
      </w:tr>
      <w:tr w14:paraId="5108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35F1">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26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ED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1.33</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34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18.87</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F9F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11.69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8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61.94%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A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55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E2BD">
            <w:pPr>
              <w:rPr>
                <w:rFonts w:hint="eastAsia" w:ascii="黑体" w:hAnsi="黑体" w:eastAsia="黑体" w:cs="黑体"/>
                <w:i/>
                <w:iCs/>
                <w:color w:val="auto"/>
                <w:sz w:val="18"/>
                <w:szCs w:val="18"/>
                <w:u w:val="none"/>
              </w:rPr>
            </w:pPr>
          </w:p>
        </w:tc>
      </w:tr>
      <w:tr w14:paraId="1F50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EB3AE">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D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6C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FE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25A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3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AB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51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F7D3">
            <w:pPr>
              <w:rPr>
                <w:rFonts w:hint="eastAsia" w:ascii="黑体" w:hAnsi="黑体" w:eastAsia="黑体" w:cs="黑体"/>
                <w:i/>
                <w:iCs/>
                <w:color w:val="auto"/>
                <w:sz w:val="18"/>
                <w:szCs w:val="18"/>
                <w:u w:val="none"/>
              </w:rPr>
            </w:pPr>
          </w:p>
        </w:tc>
      </w:tr>
      <w:tr w14:paraId="6702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93F9">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D4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85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1D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790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A0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8B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A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FF75">
            <w:pPr>
              <w:rPr>
                <w:rFonts w:hint="eastAsia" w:ascii="黑体" w:hAnsi="黑体" w:eastAsia="黑体" w:cs="黑体"/>
                <w:i/>
                <w:iCs/>
                <w:color w:val="auto"/>
                <w:sz w:val="18"/>
                <w:szCs w:val="18"/>
                <w:u w:val="none"/>
              </w:rPr>
            </w:pPr>
          </w:p>
        </w:tc>
      </w:tr>
      <w:tr w14:paraId="7FD5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313B">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DE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D82">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45D5">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3637D">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40EE">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74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0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A8E3E">
            <w:pPr>
              <w:rPr>
                <w:rFonts w:hint="eastAsia" w:ascii="黑体" w:hAnsi="黑体" w:eastAsia="黑体" w:cs="黑体"/>
                <w:i/>
                <w:iCs/>
                <w:color w:val="auto"/>
                <w:sz w:val="18"/>
                <w:szCs w:val="18"/>
                <w:u w:val="none"/>
              </w:rPr>
            </w:pPr>
          </w:p>
        </w:tc>
      </w:tr>
      <w:tr w14:paraId="4894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B75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F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2D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E7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2B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9A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5E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D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C5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C7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9B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98C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1BD9">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55E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5B2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C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享受免费义务教育学生76人，增减率控制范围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A2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94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97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F6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06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F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18E">
            <w:pPr>
              <w:jc w:val="center"/>
              <w:rPr>
                <w:rFonts w:hint="eastAsia" w:ascii="微软雅黑" w:hAnsi="微软雅黑" w:eastAsia="微软雅黑" w:cs="微软雅黑"/>
                <w:i/>
                <w:iCs/>
                <w:color w:val="auto"/>
                <w:sz w:val="16"/>
                <w:szCs w:val="16"/>
                <w:u w:val="none"/>
              </w:rPr>
            </w:pPr>
          </w:p>
        </w:tc>
      </w:tr>
      <w:tr w14:paraId="474F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F3BC">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1DED">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1C52">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75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义务教育学生入学率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A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4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CC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F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1B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E7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0B42">
            <w:pPr>
              <w:jc w:val="center"/>
              <w:rPr>
                <w:rFonts w:hint="eastAsia" w:ascii="微软雅黑" w:hAnsi="微软雅黑" w:eastAsia="微软雅黑" w:cs="微软雅黑"/>
                <w:i/>
                <w:iCs/>
                <w:color w:val="auto"/>
                <w:sz w:val="16"/>
                <w:szCs w:val="16"/>
                <w:u w:val="none"/>
              </w:rPr>
            </w:pPr>
          </w:p>
        </w:tc>
      </w:tr>
      <w:tr w14:paraId="0FCC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4AB1">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6944">
            <w:pPr>
              <w:jc w:val="center"/>
              <w:rPr>
                <w:rFonts w:hint="eastAsia" w:ascii="宋体" w:hAnsi="宋体" w:eastAsia="宋体" w:cs="宋体"/>
                <w:i w:val="0"/>
                <w:iCs w:val="0"/>
                <w:color w:val="auto"/>
                <w:sz w:val="18"/>
                <w:szCs w:val="18"/>
                <w:u w:val="none"/>
              </w:rPr>
            </w:pP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CC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1C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完成上级下达的教学目标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54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0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DA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7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26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33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2FE">
            <w:pPr>
              <w:jc w:val="center"/>
              <w:rPr>
                <w:rFonts w:hint="eastAsia" w:ascii="微软雅黑" w:hAnsi="微软雅黑" w:eastAsia="微软雅黑" w:cs="微软雅黑"/>
                <w:i/>
                <w:iCs/>
                <w:color w:val="auto"/>
                <w:sz w:val="16"/>
                <w:szCs w:val="16"/>
                <w:u w:val="none"/>
              </w:rPr>
            </w:pPr>
          </w:p>
        </w:tc>
      </w:tr>
      <w:tr w14:paraId="0DA6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270B">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F1716">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B7BB">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78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九年义务教育巩固率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CB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97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5E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C9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FC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A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020C">
            <w:pPr>
              <w:jc w:val="center"/>
              <w:rPr>
                <w:rFonts w:hint="eastAsia" w:ascii="微软雅黑" w:hAnsi="微软雅黑" w:eastAsia="微软雅黑" w:cs="微软雅黑"/>
                <w:i/>
                <w:iCs/>
                <w:color w:val="auto"/>
                <w:sz w:val="16"/>
                <w:szCs w:val="16"/>
                <w:u w:val="none"/>
              </w:rPr>
            </w:pPr>
          </w:p>
        </w:tc>
      </w:tr>
      <w:tr w14:paraId="1BC5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E8F0">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1420">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BB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B5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资金拨付周期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C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81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1C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87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38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5A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8E9">
            <w:pPr>
              <w:jc w:val="center"/>
              <w:rPr>
                <w:rFonts w:hint="eastAsia" w:ascii="微软雅黑" w:hAnsi="微软雅黑" w:eastAsia="微软雅黑" w:cs="微软雅黑"/>
                <w:i/>
                <w:iCs/>
                <w:color w:val="auto"/>
                <w:sz w:val="16"/>
                <w:szCs w:val="16"/>
                <w:u w:val="none"/>
              </w:rPr>
            </w:pPr>
          </w:p>
        </w:tc>
      </w:tr>
      <w:tr w14:paraId="5E6F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3D45">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BB1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C0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7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落实国家政策，保障适龄儿童全面接受义务教育</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44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47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E0FE">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2D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1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94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AFE">
            <w:pPr>
              <w:jc w:val="center"/>
              <w:rPr>
                <w:rFonts w:hint="eastAsia" w:ascii="微软雅黑" w:hAnsi="微软雅黑" w:eastAsia="微软雅黑" w:cs="微软雅黑"/>
                <w:i/>
                <w:iCs/>
                <w:color w:val="auto"/>
                <w:sz w:val="16"/>
                <w:szCs w:val="16"/>
                <w:u w:val="none"/>
              </w:rPr>
            </w:pPr>
          </w:p>
        </w:tc>
      </w:tr>
      <w:tr w14:paraId="52F8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FE309">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7A18">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F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07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促进义务教育健康发展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51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A1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BD5">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9B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6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ED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C21">
            <w:pPr>
              <w:jc w:val="center"/>
              <w:rPr>
                <w:rFonts w:hint="eastAsia" w:ascii="微软雅黑" w:hAnsi="微软雅黑" w:eastAsia="微软雅黑" w:cs="微软雅黑"/>
                <w:i/>
                <w:iCs/>
                <w:color w:val="auto"/>
                <w:sz w:val="16"/>
                <w:szCs w:val="16"/>
                <w:u w:val="none"/>
              </w:rPr>
            </w:pPr>
          </w:p>
        </w:tc>
      </w:tr>
      <w:tr w14:paraId="7279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8B66">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FA1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09B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60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家长和学生满意度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49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3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30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1A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9C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A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215F">
            <w:pPr>
              <w:jc w:val="center"/>
              <w:rPr>
                <w:rFonts w:hint="eastAsia" w:ascii="微软雅黑" w:hAnsi="微软雅黑" w:eastAsia="微软雅黑" w:cs="微软雅黑"/>
                <w:i/>
                <w:iCs/>
                <w:color w:val="auto"/>
                <w:sz w:val="16"/>
                <w:szCs w:val="16"/>
                <w:u w:val="none"/>
              </w:rPr>
            </w:pPr>
          </w:p>
        </w:tc>
      </w:tr>
      <w:tr w14:paraId="2A3C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DF58">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E0B4E">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5D92">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3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学校和教师满意度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2C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8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B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CF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FE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47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2B8">
            <w:pPr>
              <w:jc w:val="center"/>
              <w:rPr>
                <w:rFonts w:hint="eastAsia" w:ascii="微软雅黑" w:hAnsi="微软雅黑" w:eastAsia="微软雅黑" w:cs="微软雅黑"/>
                <w:i/>
                <w:iCs/>
                <w:color w:val="auto"/>
                <w:sz w:val="16"/>
                <w:szCs w:val="16"/>
                <w:u w:val="none"/>
              </w:rPr>
            </w:pPr>
          </w:p>
        </w:tc>
      </w:tr>
      <w:tr w14:paraId="111E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F997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17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36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E48F">
            <w:pPr>
              <w:rPr>
                <w:rFonts w:hint="eastAsia" w:ascii="宋体" w:hAnsi="宋体" w:eastAsia="宋体" w:cs="宋体"/>
                <w:i w:val="0"/>
                <w:iCs w:val="0"/>
                <w:color w:val="auto"/>
                <w:sz w:val="18"/>
                <w:szCs w:val="18"/>
                <w:u w:val="none"/>
              </w:rPr>
            </w:pPr>
          </w:p>
        </w:tc>
      </w:tr>
      <w:tr w14:paraId="4E63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6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D6846D">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7222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A2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F4FBCB">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0CE2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E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520EA8">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40E6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BE42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154F4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r w14:paraId="58A4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7ADC24E">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1EFDBE2F">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3A25F039">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1021869E">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0EEBFD74">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2CE78EFA">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34C9D064">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4DF026ED">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7EA1664D">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076F2E39">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1DD75048">
            <w:pPr>
              <w:rPr>
                <w:rFonts w:hint="eastAsia" w:ascii="宋体" w:hAnsi="宋体" w:eastAsia="宋体" w:cs="宋体"/>
                <w:i w:val="0"/>
                <w:iCs w:val="0"/>
                <w:color w:val="auto"/>
                <w:sz w:val="18"/>
                <w:szCs w:val="18"/>
                <w:u w:val="none"/>
              </w:rPr>
            </w:pPr>
          </w:p>
        </w:tc>
      </w:tr>
      <w:tr w14:paraId="028F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9E02FB">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2187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1C30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756D0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51118123T000008642747-义务教育阶段特殊教育学校和随班就读残疾学生生均公用经费</w:t>
            </w:r>
          </w:p>
        </w:tc>
      </w:tr>
      <w:tr w14:paraId="5BD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3E6A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26FD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9A0545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13F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3174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B7B0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CA69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633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0B55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659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F809">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3D59">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652C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目标：实施残疾人免费义务教育，保障残疾人享受特殊教育的正常运转，推进促进教育公平。全面推进教育事业发展。</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E609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57F8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3B0B">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67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73AA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义务教育阶段特殊教育学校和随班就读残疾学生生均公用经费支出。</w:t>
            </w:r>
          </w:p>
        </w:tc>
      </w:tr>
      <w:tr w14:paraId="135D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54F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A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C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BB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C4B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60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30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84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D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EC2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C2E41">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5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4D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D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0.60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5FF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46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9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9A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34251">
            <w:pPr>
              <w:rPr>
                <w:rFonts w:hint="eastAsia" w:ascii="黑体" w:hAnsi="黑体" w:eastAsia="黑体" w:cs="黑体"/>
                <w:i/>
                <w:iCs/>
                <w:color w:val="auto"/>
                <w:sz w:val="18"/>
                <w:szCs w:val="18"/>
                <w:u w:val="none"/>
              </w:rPr>
            </w:pPr>
          </w:p>
        </w:tc>
      </w:tr>
      <w:tr w14:paraId="5A06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BA88">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22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D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F3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0.60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0E6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F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E8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F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60E9">
            <w:pPr>
              <w:rPr>
                <w:rFonts w:hint="eastAsia" w:ascii="黑体" w:hAnsi="黑体" w:eastAsia="黑体" w:cs="黑体"/>
                <w:i/>
                <w:iCs/>
                <w:color w:val="auto"/>
                <w:sz w:val="18"/>
                <w:szCs w:val="18"/>
                <w:u w:val="none"/>
              </w:rPr>
            </w:pPr>
          </w:p>
        </w:tc>
      </w:tr>
      <w:tr w14:paraId="0E1C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67FE">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10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DC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E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39B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72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7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2F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62E2">
            <w:pPr>
              <w:rPr>
                <w:rFonts w:hint="eastAsia" w:ascii="黑体" w:hAnsi="黑体" w:eastAsia="黑体" w:cs="黑体"/>
                <w:i/>
                <w:iCs/>
                <w:color w:val="auto"/>
                <w:sz w:val="18"/>
                <w:szCs w:val="18"/>
                <w:u w:val="none"/>
              </w:rPr>
            </w:pPr>
          </w:p>
        </w:tc>
      </w:tr>
      <w:tr w14:paraId="0B6D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55F2">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C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FF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71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C47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9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87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A8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4B0B">
            <w:pPr>
              <w:rPr>
                <w:rFonts w:hint="eastAsia" w:ascii="黑体" w:hAnsi="黑体" w:eastAsia="黑体" w:cs="黑体"/>
                <w:i/>
                <w:iCs/>
                <w:color w:val="auto"/>
                <w:sz w:val="18"/>
                <w:szCs w:val="18"/>
                <w:u w:val="none"/>
              </w:rPr>
            </w:pPr>
          </w:p>
        </w:tc>
      </w:tr>
      <w:tr w14:paraId="5D7A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B14D">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72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8E91">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FFD">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F2726">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9138">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8F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5E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8F131">
            <w:pPr>
              <w:rPr>
                <w:rFonts w:hint="eastAsia" w:ascii="黑体" w:hAnsi="黑体" w:eastAsia="黑体" w:cs="黑体"/>
                <w:i/>
                <w:iCs/>
                <w:color w:val="auto"/>
                <w:sz w:val="18"/>
                <w:szCs w:val="18"/>
                <w:u w:val="none"/>
              </w:rPr>
            </w:pPr>
          </w:p>
        </w:tc>
      </w:tr>
      <w:tr w14:paraId="0B01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B5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FF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D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A0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D1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A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9B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C5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D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94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33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879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0D28">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36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062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8E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享受免费教育残疾人学生人数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96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5E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0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8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01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1C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4DB">
            <w:pPr>
              <w:jc w:val="center"/>
              <w:rPr>
                <w:rFonts w:hint="eastAsia" w:ascii="微软雅黑" w:hAnsi="微软雅黑" w:eastAsia="微软雅黑" w:cs="微软雅黑"/>
                <w:i/>
                <w:iCs/>
                <w:color w:val="auto"/>
                <w:sz w:val="16"/>
                <w:szCs w:val="16"/>
                <w:u w:val="none"/>
              </w:rPr>
            </w:pPr>
          </w:p>
        </w:tc>
      </w:tr>
      <w:tr w14:paraId="490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A835">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BF2B">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052A">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21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义务教育残疾人学生入学率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35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32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01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BE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8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84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AD79">
            <w:pPr>
              <w:jc w:val="center"/>
              <w:rPr>
                <w:rFonts w:hint="eastAsia" w:ascii="微软雅黑" w:hAnsi="微软雅黑" w:eastAsia="微软雅黑" w:cs="微软雅黑"/>
                <w:i/>
                <w:iCs/>
                <w:color w:val="auto"/>
                <w:sz w:val="16"/>
                <w:szCs w:val="16"/>
                <w:u w:val="none"/>
              </w:rPr>
            </w:pPr>
          </w:p>
        </w:tc>
      </w:tr>
      <w:tr w14:paraId="7B1F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CE64">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316B">
            <w:pPr>
              <w:jc w:val="center"/>
              <w:rPr>
                <w:rFonts w:hint="eastAsia" w:ascii="宋体" w:hAnsi="宋体" w:eastAsia="宋体" w:cs="宋体"/>
                <w:i w:val="0"/>
                <w:iCs w:val="0"/>
                <w:color w:val="auto"/>
                <w:sz w:val="18"/>
                <w:szCs w:val="18"/>
                <w:u w:val="none"/>
              </w:rPr>
            </w:pP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1B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27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完成上级下达的教学目标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7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D5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F42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61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E6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5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A88">
            <w:pPr>
              <w:jc w:val="center"/>
              <w:rPr>
                <w:rFonts w:hint="eastAsia" w:ascii="微软雅黑" w:hAnsi="微软雅黑" w:eastAsia="微软雅黑" w:cs="微软雅黑"/>
                <w:i/>
                <w:iCs/>
                <w:color w:val="auto"/>
                <w:sz w:val="16"/>
                <w:szCs w:val="16"/>
                <w:u w:val="none"/>
              </w:rPr>
            </w:pPr>
          </w:p>
        </w:tc>
      </w:tr>
      <w:tr w14:paraId="0E96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DC07D">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993E">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6747C">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73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九年义务教育巩固率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D9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D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C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9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EC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C6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C986">
            <w:pPr>
              <w:jc w:val="center"/>
              <w:rPr>
                <w:rFonts w:hint="eastAsia" w:ascii="微软雅黑" w:hAnsi="微软雅黑" w:eastAsia="微软雅黑" w:cs="微软雅黑"/>
                <w:i/>
                <w:iCs/>
                <w:color w:val="auto"/>
                <w:sz w:val="16"/>
                <w:szCs w:val="16"/>
                <w:u w:val="none"/>
              </w:rPr>
            </w:pPr>
          </w:p>
        </w:tc>
      </w:tr>
      <w:tr w14:paraId="76A5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021E">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FFC8">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A6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07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当年内完成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1B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D4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D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6F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F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31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BCB0">
            <w:pPr>
              <w:jc w:val="center"/>
              <w:rPr>
                <w:rFonts w:hint="eastAsia" w:ascii="微软雅黑" w:hAnsi="微软雅黑" w:eastAsia="微软雅黑" w:cs="微软雅黑"/>
                <w:i/>
                <w:iCs/>
                <w:color w:val="auto"/>
                <w:sz w:val="16"/>
                <w:szCs w:val="16"/>
                <w:u w:val="none"/>
              </w:rPr>
            </w:pPr>
          </w:p>
        </w:tc>
      </w:tr>
      <w:tr w14:paraId="17F8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8BFEE">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070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CC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1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落实国家政策，保障残疾儿童全面接受义务教育</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E0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6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6AC">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D9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38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77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7AE2">
            <w:pPr>
              <w:jc w:val="center"/>
              <w:rPr>
                <w:rFonts w:hint="eastAsia" w:ascii="微软雅黑" w:hAnsi="微软雅黑" w:eastAsia="微软雅黑" w:cs="微软雅黑"/>
                <w:i/>
                <w:iCs/>
                <w:color w:val="auto"/>
                <w:sz w:val="16"/>
                <w:szCs w:val="16"/>
                <w:u w:val="none"/>
              </w:rPr>
            </w:pPr>
          </w:p>
        </w:tc>
      </w:tr>
      <w:tr w14:paraId="6E8A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8C66">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C44A">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6C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7C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促进义务教育健康发展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BC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E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F42A">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8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3A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33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FBB0">
            <w:pPr>
              <w:jc w:val="center"/>
              <w:rPr>
                <w:rFonts w:hint="eastAsia" w:ascii="微软雅黑" w:hAnsi="微软雅黑" w:eastAsia="微软雅黑" w:cs="微软雅黑"/>
                <w:i/>
                <w:iCs/>
                <w:color w:val="auto"/>
                <w:sz w:val="16"/>
                <w:szCs w:val="16"/>
                <w:u w:val="none"/>
              </w:rPr>
            </w:pPr>
          </w:p>
        </w:tc>
      </w:tr>
      <w:tr w14:paraId="4246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AC9F">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FF8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0DF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5D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学生和家长满意度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37D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90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E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2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2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D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DBC8">
            <w:pPr>
              <w:jc w:val="center"/>
              <w:rPr>
                <w:rFonts w:hint="eastAsia" w:ascii="微软雅黑" w:hAnsi="微软雅黑" w:eastAsia="微软雅黑" w:cs="微软雅黑"/>
                <w:i/>
                <w:iCs/>
                <w:color w:val="auto"/>
                <w:sz w:val="16"/>
                <w:szCs w:val="16"/>
                <w:u w:val="none"/>
              </w:rPr>
            </w:pPr>
          </w:p>
        </w:tc>
      </w:tr>
      <w:tr w14:paraId="0201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364D">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97C3">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1AB1">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5C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学校和教师满意度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48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F6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B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D4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8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C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D4BE">
            <w:pPr>
              <w:jc w:val="center"/>
              <w:rPr>
                <w:rFonts w:hint="eastAsia" w:ascii="微软雅黑" w:hAnsi="微软雅黑" w:eastAsia="微软雅黑" w:cs="微软雅黑"/>
                <w:i/>
                <w:iCs/>
                <w:color w:val="auto"/>
                <w:sz w:val="16"/>
                <w:szCs w:val="16"/>
                <w:u w:val="none"/>
              </w:rPr>
            </w:pPr>
          </w:p>
        </w:tc>
      </w:tr>
      <w:tr w14:paraId="5BAA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6AA4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E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9B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9BC">
            <w:pPr>
              <w:rPr>
                <w:rFonts w:hint="eastAsia" w:ascii="宋体" w:hAnsi="宋体" w:eastAsia="宋体" w:cs="宋体"/>
                <w:i w:val="0"/>
                <w:iCs w:val="0"/>
                <w:color w:val="auto"/>
                <w:sz w:val="18"/>
                <w:szCs w:val="18"/>
                <w:u w:val="none"/>
              </w:rPr>
            </w:pPr>
          </w:p>
        </w:tc>
      </w:tr>
      <w:tr w14:paraId="1E6C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B5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882C3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386F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8E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27B403">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141A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E6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CF593">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1C49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A0F10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6BBD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r w14:paraId="0A38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AC1F5A0">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24BD2AE8">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0217D82D">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62888ECC">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093612F9">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5DC0ADDC">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59CBAE50">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49FFF018">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31AE2EA6">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72D96466">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447D15A1">
            <w:pPr>
              <w:rPr>
                <w:rFonts w:hint="eastAsia" w:ascii="宋体" w:hAnsi="宋体" w:eastAsia="宋体" w:cs="宋体"/>
                <w:i w:val="0"/>
                <w:iCs w:val="0"/>
                <w:color w:val="auto"/>
                <w:sz w:val="18"/>
                <w:szCs w:val="18"/>
                <w:u w:val="none"/>
              </w:rPr>
            </w:pPr>
          </w:p>
        </w:tc>
      </w:tr>
      <w:tr w14:paraId="1B41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E316D10">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0B3C2AE6">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746D9100">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063DC212">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02BAB819">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0BC58EA0">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5F94EC42">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52E0D9FB">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51EA84D8">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3D07DB6A">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3D91249A">
            <w:pPr>
              <w:rPr>
                <w:rFonts w:hint="eastAsia" w:ascii="宋体" w:hAnsi="宋体" w:eastAsia="宋体" w:cs="宋体"/>
                <w:i w:val="0"/>
                <w:iCs w:val="0"/>
                <w:color w:val="auto"/>
                <w:sz w:val="18"/>
                <w:szCs w:val="18"/>
                <w:u w:val="none"/>
              </w:rPr>
            </w:pPr>
          </w:p>
        </w:tc>
      </w:tr>
      <w:tr w14:paraId="68B1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B50DD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6BD2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7D0E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60B58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51118123T000009001352-（春节前）工程款</w:t>
            </w:r>
          </w:p>
        </w:tc>
      </w:tr>
      <w:tr w14:paraId="5F9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5593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DC14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F730C7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B06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2754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BEE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000E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1E2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EB5F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05D8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0742">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58A45">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2542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保障学校校舍安全 ，改善学校办学条件，提升本校办学水平。</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1C65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065F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3164">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F74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E0AF7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学校改善办学条件支出。</w:t>
            </w:r>
          </w:p>
        </w:tc>
      </w:tr>
      <w:tr w14:paraId="0C79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4B4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D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9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4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C16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43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D5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DC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DA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2E1E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7278">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C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2D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9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AD2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9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7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F9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E581F">
            <w:pPr>
              <w:rPr>
                <w:rFonts w:hint="eastAsia" w:ascii="黑体" w:hAnsi="黑体" w:eastAsia="黑体" w:cs="黑体"/>
                <w:i/>
                <w:iCs/>
                <w:color w:val="auto"/>
                <w:sz w:val="18"/>
                <w:szCs w:val="18"/>
                <w:u w:val="none"/>
              </w:rPr>
            </w:pPr>
          </w:p>
        </w:tc>
      </w:tr>
      <w:tr w14:paraId="65ED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CAEF">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B8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C2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CB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F07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9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B7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4E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D4C5">
            <w:pPr>
              <w:rPr>
                <w:rFonts w:hint="eastAsia" w:ascii="黑体" w:hAnsi="黑体" w:eastAsia="黑体" w:cs="黑体"/>
                <w:i/>
                <w:iCs/>
                <w:color w:val="auto"/>
                <w:sz w:val="18"/>
                <w:szCs w:val="18"/>
                <w:u w:val="none"/>
              </w:rPr>
            </w:pPr>
          </w:p>
        </w:tc>
      </w:tr>
      <w:tr w14:paraId="3C89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400C3">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56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87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0E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9CB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CC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81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D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53FF4">
            <w:pPr>
              <w:rPr>
                <w:rFonts w:hint="eastAsia" w:ascii="黑体" w:hAnsi="黑体" w:eastAsia="黑体" w:cs="黑体"/>
                <w:i/>
                <w:iCs/>
                <w:color w:val="auto"/>
                <w:sz w:val="18"/>
                <w:szCs w:val="18"/>
                <w:u w:val="none"/>
              </w:rPr>
            </w:pPr>
          </w:p>
        </w:tc>
      </w:tr>
      <w:tr w14:paraId="6D805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4C40">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0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87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4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10D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C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27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A2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2048">
            <w:pPr>
              <w:rPr>
                <w:rFonts w:hint="eastAsia" w:ascii="黑体" w:hAnsi="黑体" w:eastAsia="黑体" w:cs="黑体"/>
                <w:i/>
                <w:iCs/>
                <w:color w:val="auto"/>
                <w:sz w:val="18"/>
                <w:szCs w:val="18"/>
                <w:u w:val="none"/>
              </w:rPr>
            </w:pPr>
          </w:p>
        </w:tc>
      </w:tr>
      <w:tr w14:paraId="0D81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58944">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B3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1C81">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299">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99058">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4AED">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13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1D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0E14">
            <w:pPr>
              <w:rPr>
                <w:rFonts w:hint="eastAsia" w:ascii="黑体" w:hAnsi="黑体" w:eastAsia="黑体" w:cs="黑体"/>
                <w:i/>
                <w:iCs/>
                <w:color w:val="auto"/>
                <w:sz w:val="18"/>
                <w:szCs w:val="18"/>
                <w:u w:val="none"/>
              </w:rPr>
            </w:pPr>
          </w:p>
        </w:tc>
      </w:tr>
      <w:tr w14:paraId="3772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1B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95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90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A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96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A8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1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6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2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6F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77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4C61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8643">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00E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32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69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建筑改造面积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D9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4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2800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D1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D6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6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A8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33B8">
            <w:pPr>
              <w:jc w:val="center"/>
              <w:rPr>
                <w:rFonts w:hint="eastAsia" w:ascii="微软雅黑" w:hAnsi="微软雅黑" w:eastAsia="微软雅黑" w:cs="微软雅黑"/>
                <w:i/>
                <w:iCs/>
                <w:color w:val="auto"/>
                <w:sz w:val="16"/>
                <w:szCs w:val="16"/>
                <w:u w:val="none"/>
              </w:rPr>
            </w:pPr>
          </w:p>
        </w:tc>
      </w:tr>
      <w:tr w14:paraId="3C80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0A3E">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067A">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CB75">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4A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受益学生数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A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6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18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F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87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6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931">
            <w:pPr>
              <w:jc w:val="center"/>
              <w:rPr>
                <w:rFonts w:hint="eastAsia" w:ascii="微软雅黑" w:hAnsi="微软雅黑" w:eastAsia="微软雅黑" w:cs="微软雅黑"/>
                <w:i/>
                <w:iCs/>
                <w:color w:val="auto"/>
                <w:sz w:val="16"/>
                <w:szCs w:val="16"/>
                <w:u w:val="none"/>
              </w:rPr>
            </w:pPr>
          </w:p>
        </w:tc>
      </w:tr>
      <w:tr w14:paraId="33E5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4501">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17DA">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84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47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工程验收合格率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8D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22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0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7CC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9B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8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AD17">
            <w:pPr>
              <w:jc w:val="center"/>
              <w:rPr>
                <w:rFonts w:hint="eastAsia" w:ascii="微软雅黑" w:hAnsi="微软雅黑" w:eastAsia="微软雅黑" w:cs="微软雅黑"/>
                <w:i/>
                <w:iCs/>
                <w:color w:val="auto"/>
                <w:sz w:val="16"/>
                <w:szCs w:val="16"/>
                <w:u w:val="none"/>
              </w:rPr>
            </w:pPr>
          </w:p>
        </w:tc>
      </w:tr>
      <w:tr w14:paraId="6A09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B756">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A851">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E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A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工程按期完成率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0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2F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C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8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4C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0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643">
            <w:pPr>
              <w:jc w:val="center"/>
              <w:rPr>
                <w:rFonts w:hint="eastAsia" w:ascii="微软雅黑" w:hAnsi="微软雅黑" w:eastAsia="微软雅黑" w:cs="微软雅黑"/>
                <w:i/>
                <w:iCs/>
                <w:color w:val="auto"/>
                <w:sz w:val="16"/>
                <w:szCs w:val="16"/>
                <w:u w:val="none"/>
              </w:rPr>
            </w:pPr>
          </w:p>
        </w:tc>
      </w:tr>
      <w:tr w14:paraId="7169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3827A">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A6A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28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A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改善办学条件，保障校舍安全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70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9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95B7">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BF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46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79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8D8">
            <w:pPr>
              <w:jc w:val="center"/>
              <w:rPr>
                <w:rFonts w:hint="eastAsia" w:ascii="微软雅黑" w:hAnsi="微软雅黑" w:eastAsia="微软雅黑" w:cs="微软雅黑"/>
                <w:i/>
                <w:iCs/>
                <w:color w:val="auto"/>
                <w:sz w:val="16"/>
                <w:szCs w:val="16"/>
                <w:u w:val="none"/>
              </w:rPr>
            </w:pPr>
          </w:p>
        </w:tc>
      </w:tr>
      <w:tr w14:paraId="2799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E895">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D99A">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6B5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FF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持续提升本校办学水平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F8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F0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B25A">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97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D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5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8FD4">
            <w:pPr>
              <w:jc w:val="center"/>
              <w:rPr>
                <w:rFonts w:hint="eastAsia" w:ascii="微软雅黑" w:hAnsi="微软雅黑" w:eastAsia="微软雅黑" w:cs="微软雅黑"/>
                <w:i/>
                <w:iCs/>
                <w:color w:val="auto"/>
                <w:sz w:val="16"/>
                <w:szCs w:val="16"/>
                <w:u w:val="none"/>
              </w:rPr>
            </w:pPr>
          </w:p>
        </w:tc>
      </w:tr>
      <w:tr w14:paraId="710D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98DC">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5B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C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EC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学校.学生.和家长满意度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42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0B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B2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8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4B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5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57AA">
            <w:pPr>
              <w:jc w:val="center"/>
              <w:rPr>
                <w:rFonts w:hint="eastAsia" w:ascii="微软雅黑" w:hAnsi="微软雅黑" w:eastAsia="微软雅黑" w:cs="微软雅黑"/>
                <w:i/>
                <w:iCs/>
                <w:color w:val="auto"/>
                <w:sz w:val="16"/>
                <w:szCs w:val="16"/>
                <w:u w:val="none"/>
              </w:rPr>
            </w:pPr>
          </w:p>
        </w:tc>
      </w:tr>
      <w:tr w14:paraId="44D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8FE5">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3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E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经济成本指标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A03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经费控制在预算下达范围内</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F7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1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E5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78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153800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80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44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E5E">
            <w:pPr>
              <w:jc w:val="center"/>
              <w:rPr>
                <w:rFonts w:hint="eastAsia" w:ascii="微软雅黑" w:hAnsi="微软雅黑" w:eastAsia="微软雅黑" w:cs="微软雅黑"/>
                <w:i/>
                <w:iCs/>
                <w:color w:val="auto"/>
                <w:sz w:val="16"/>
                <w:szCs w:val="16"/>
                <w:u w:val="none"/>
              </w:rPr>
            </w:pPr>
          </w:p>
        </w:tc>
      </w:tr>
      <w:tr w14:paraId="78FB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D3AE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B69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E2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BE1A">
            <w:pPr>
              <w:rPr>
                <w:rFonts w:hint="eastAsia" w:ascii="宋体" w:hAnsi="宋体" w:eastAsia="宋体" w:cs="宋体"/>
                <w:i w:val="0"/>
                <w:iCs w:val="0"/>
                <w:color w:val="auto"/>
                <w:sz w:val="18"/>
                <w:szCs w:val="18"/>
                <w:u w:val="none"/>
              </w:rPr>
            </w:pPr>
          </w:p>
        </w:tc>
      </w:tr>
      <w:tr w14:paraId="611B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C6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91609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5C70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F7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C4E655">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6B26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9B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686A93">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0099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0334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CF07C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r w14:paraId="1064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2F22C5A">
            <w:pPr>
              <w:rPr>
                <w:rFonts w:hint="eastAsia" w:ascii="宋体" w:hAnsi="宋体" w:eastAsia="宋体" w:cs="宋体"/>
                <w:i w:val="0"/>
                <w:iCs w:val="0"/>
                <w:color w:val="auto"/>
                <w:sz w:val="18"/>
                <w:szCs w:val="18"/>
                <w:u w:val="none"/>
              </w:rPr>
            </w:pPr>
          </w:p>
        </w:tc>
        <w:tc>
          <w:tcPr>
            <w:tcW w:w="1162" w:type="dxa"/>
            <w:tcBorders>
              <w:top w:val="nil"/>
              <w:left w:val="nil"/>
              <w:bottom w:val="nil"/>
              <w:right w:val="nil"/>
            </w:tcBorders>
            <w:shd w:val="clear" w:color="auto" w:fill="auto"/>
            <w:vAlign w:val="center"/>
          </w:tcPr>
          <w:p w14:paraId="13CB9F6A">
            <w:pPr>
              <w:rPr>
                <w:rFonts w:hint="eastAsia" w:ascii="宋体" w:hAnsi="宋体" w:eastAsia="宋体" w:cs="宋体"/>
                <w:i w:val="0"/>
                <w:iCs w:val="0"/>
                <w:color w:val="auto"/>
                <w:sz w:val="18"/>
                <w:szCs w:val="18"/>
                <w:u w:val="none"/>
              </w:rPr>
            </w:pPr>
          </w:p>
        </w:tc>
        <w:tc>
          <w:tcPr>
            <w:tcW w:w="1075" w:type="dxa"/>
            <w:tcBorders>
              <w:top w:val="nil"/>
              <w:left w:val="nil"/>
              <w:bottom w:val="nil"/>
              <w:right w:val="nil"/>
            </w:tcBorders>
            <w:shd w:val="clear" w:color="auto" w:fill="auto"/>
            <w:vAlign w:val="center"/>
          </w:tcPr>
          <w:p w14:paraId="001AFEC5">
            <w:pPr>
              <w:rPr>
                <w:rFonts w:hint="eastAsia" w:ascii="宋体" w:hAnsi="宋体" w:eastAsia="宋体" w:cs="宋体"/>
                <w:i w:val="0"/>
                <w:iCs w:val="0"/>
                <w:color w:val="auto"/>
                <w:sz w:val="18"/>
                <w:szCs w:val="18"/>
                <w:u w:val="none"/>
              </w:rPr>
            </w:pPr>
          </w:p>
        </w:tc>
        <w:tc>
          <w:tcPr>
            <w:tcW w:w="1639" w:type="dxa"/>
            <w:tcBorders>
              <w:top w:val="nil"/>
              <w:left w:val="nil"/>
              <w:bottom w:val="nil"/>
              <w:right w:val="nil"/>
            </w:tcBorders>
            <w:shd w:val="clear" w:color="auto" w:fill="auto"/>
            <w:vAlign w:val="center"/>
          </w:tcPr>
          <w:p w14:paraId="69BB0108">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21B8A0AB">
            <w:pPr>
              <w:rPr>
                <w:rFonts w:hint="eastAsia" w:ascii="宋体" w:hAnsi="宋体" w:eastAsia="宋体" w:cs="宋体"/>
                <w:i w:val="0"/>
                <w:iCs w:val="0"/>
                <w:color w:val="auto"/>
                <w:sz w:val="18"/>
                <w:szCs w:val="18"/>
                <w:u w:val="none"/>
              </w:rPr>
            </w:pPr>
          </w:p>
        </w:tc>
        <w:tc>
          <w:tcPr>
            <w:tcW w:w="775" w:type="dxa"/>
            <w:tcBorders>
              <w:top w:val="nil"/>
              <w:left w:val="nil"/>
              <w:bottom w:val="nil"/>
              <w:right w:val="nil"/>
            </w:tcBorders>
            <w:shd w:val="clear" w:color="auto" w:fill="auto"/>
            <w:vAlign w:val="center"/>
          </w:tcPr>
          <w:p w14:paraId="43F22194">
            <w:pPr>
              <w:rPr>
                <w:rFonts w:hint="eastAsia" w:ascii="宋体" w:hAnsi="宋体" w:eastAsia="宋体" w:cs="宋体"/>
                <w:i w:val="0"/>
                <w:iCs w:val="0"/>
                <w:color w:val="auto"/>
                <w:sz w:val="18"/>
                <w:szCs w:val="18"/>
                <w:u w:val="none"/>
              </w:rPr>
            </w:pPr>
          </w:p>
        </w:tc>
        <w:tc>
          <w:tcPr>
            <w:tcW w:w="420" w:type="dxa"/>
            <w:tcBorders>
              <w:top w:val="nil"/>
              <w:left w:val="nil"/>
              <w:bottom w:val="nil"/>
              <w:right w:val="nil"/>
            </w:tcBorders>
            <w:shd w:val="clear" w:color="auto" w:fill="auto"/>
            <w:vAlign w:val="center"/>
          </w:tcPr>
          <w:p w14:paraId="35BE8CB9">
            <w:pPr>
              <w:rPr>
                <w:rFonts w:hint="eastAsia" w:ascii="宋体" w:hAnsi="宋体" w:eastAsia="宋体" w:cs="宋体"/>
                <w:i w:val="0"/>
                <w:iCs w:val="0"/>
                <w:color w:val="auto"/>
                <w:sz w:val="18"/>
                <w:szCs w:val="18"/>
                <w:u w:val="none"/>
              </w:rPr>
            </w:pPr>
          </w:p>
        </w:tc>
        <w:tc>
          <w:tcPr>
            <w:tcW w:w="846" w:type="dxa"/>
            <w:tcBorders>
              <w:top w:val="nil"/>
              <w:left w:val="nil"/>
              <w:bottom w:val="nil"/>
              <w:right w:val="nil"/>
            </w:tcBorders>
            <w:shd w:val="clear" w:color="auto" w:fill="auto"/>
            <w:vAlign w:val="center"/>
          </w:tcPr>
          <w:p w14:paraId="69385CD2">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2568632F">
            <w:pPr>
              <w:rPr>
                <w:rFonts w:hint="eastAsia" w:ascii="宋体" w:hAnsi="宋体" w:eastAsia="宋体" w:cs="宋体"/>
                <w:i w:val="0"/>
                <w:iCs w:val="0"/>
                <w:color w:val="auto"/>
                <w:sz w:val="18"/>
                <w:szCs w:val="18"/>
                <w:u w:val="none"/>
              </w:rPr>
            </w:pPr>
          </w:p>
        </w:tc>
        <w:tc>
          <w:tcPr>
            <w:tcW w:w="486" w:type="dxa"/>
            <w:tcBorders>
              <w:top w:val="nil"/>
              <w:left w:val="nil"/>
              <w:bottom w:val="nil"/>
              <w:right w:val="nil"/>
            </w:tcBorders>
            <w:shd w:val="clear" w:color="auto" w:fill="auto"/>
            <w:vAlign w:val="center"/>
          </w:tcPr>
          <w:p w14:paraId="17666935">
            <w:pPr>
              <w:rPr>
                <w:rFonts w:hint="eastAsia" w:ascii="宋体" w:hAnsi="宋体" w:eastAsia="宋体" w:cs="宋体"/>
                <w:i w:val="0"/>
                <w:iCs w:val="0"/>
                <w:color w:val="auto"/>
                <w:sz w:val="18"/>
                <w:szCs w:val="18"/>
                <w:u w:val="none"/>
              </w:rPr>
            </w:pPr>
          </w:p>
        </w:tc>
        <w:tc>
          <w:tcPr>
            <w:tcW w:w="637" w:type="dxa"/>
            <w:tcBorders>
              <w:top w:val="nil"/>
              <w:left w:val="nil"/>
              <w:bottom w:val="nil"/>
              <w:right w:val="nil"/>
            </w:tcBorders>
            <w:shd w:val="clear" w:color="auto" w:fill="auto"/>
            <w:vAlign w:val="center"/>
          </w:tcPr>
          <w:p w14:paraId="54382D1A">
            <w:pPr>
              <w:rPr>
                <w:rFonts w:hint="eastAsia" w:ascii="宋体" w:hAnsi="宋体" w:eastAsia="宋体" w:cs="宋体"/>
                <w:i w:val="0"/>
                <w:iCs w:val="0"/>
                <w:color w:val="auto"/>
                <w:sz w:val="18"/>
                <w:szCs w:val="18"/>
                <w:u w:val="none"/>
              </w:rPr>
            </w:pPr>
          </w:p>
        </w:tc>
      </w:tr>
      <w:tr w14:paraId="6AB4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6DFF2E">
            <w:pPr>
              <w:keepNext w:val="0"/>
              <w:keepLines w:val="0"/>
              <w:widowControl/>
              <w:suppressLineNumbers w:val="0"/>
              <w:jc w:val="center"/>
              <w:textAlignment w:val="center"/>
              <w:rPr>
                <w:rFonts w:hint="eastAsia" w:ascii="黑体" w:hAnsi="宋体" w:eastAsia="黑体" w:cs="黑体"/>
                <w:b/>
                <w:bCs/>
                <w:i w:val="0"/>
                <w:iCs w:val="0"/>
                <w:color w:val="auto"/>
                <w:sz w:val="30"/>
                <w:szCs w:val="30"/>
                <w:u w:val="none"/>
              </w:rPr>
            </w:pPr>
            <w:r>
              <w:rPr>
                <w:rFonts w:hint="eastAsia" w:ascii="黑体" w:hAnsi="宋体" w:eastAsia="黑体" w:cs="黑体"/>
                <w:b/>
                <w:bCs/>
                <w:i w:val="0"/>
                <w:iCs w:val="0"/>
                <w:color w:val="auto"/>
                <w:kern w:val="0"/>
                <w:sz w:val="30"/>
                <w:szCs w:val="30"/>
                <w:u w:val="none"/>
                <w:lang w:val="en-US" w:eastAsia="zh-CN" w:bidi="ar"/>
              </w:rPr>
              <w:t>部门预算项目支出绩效自评表（2024年度）</w:t>
            </w:r>
          </w:p>
        </w:tc>
      </w:tr>
      <w:tr w14:paraId="05EB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EE60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项目名称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A691D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51118124T000010101269-学前公办幼儿园生均公用经费</w:t>
            </w:r>
          </w:p>
        </w:tc>
      </w:tr>
      <w:tr w14:paraId="1FEF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1FB5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主管部门</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2772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5B2A619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实施单位 （盖章）</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340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峨眉山市双福镇第二小学校</w:t>
            </w:r>
          </w:p>
        </w:tc>
      </w:tr>
      <w:tr w14:paraId="1E22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65E0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项目基本情况</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467B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1.项目年度目标完成情况</w:t>
            </w: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552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项目年度目标</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1484F8">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年度目标完成情况</w:t>
            </w:r>
          </w:p>
        </w:tc>
      </w:tr>
      <w:tr w14:paraId="47CA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8921">
            <w:pP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BEA1">
            <w:pPr>
              <w:rPr>
                <w:rFonts w:hint="eastAsia" w:ascii="宋体" w:hAnsi="宋体" w:eastAsia="宋体" w:cs="宋体"/>
                <w:i w:val="0"/>
                <w:iCs w:val="0"/>
                <w:color w:val="auto"/>
                <w:sz w:val="18"/>
                <w:szCs w:val="18"/>
                <w:u w:val="none"/>
              </w:rPr>
            </w:pPr>
          </w:p>
        </w:tc>
        <w:tc>
          <w:tcPr>
            <w:tcW w:w="4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7531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目标:1：完成上级下达的教学目标</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目标2：保障幼儿园教育教学秩序正常运转，教育教学活动持续开展，提高教育教学质量，提升幼儿办学水平，全面发展幼儿教育事业</w:t>
            </w:r>
          </w:p>
        </w:tc>
        <w:tc>
          <w:tcPr>
            <w:tcW w:w="2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09D4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严格执行相关政策，足额发放，预算执行率为100%，全面完成预期目标。</w:t>
            </w:r>
          </w:p>
        </w:tc>
      </w:tr>
      <w:tr w14:paraId="1EDF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D485">
            <w:pP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7D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2.项目实施内容及过程概述</w:t>
            </w:r>
          </w:p>
        </w:tc>
        <w:tc>
          <w:tcPr>
            <w:tcW w:w="67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EA51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幼儿园公用经费支出。</w:t>
            </w:r>
          </w:p>
        </w:tc>
      </w:tr>
      <w:tr w14:paraId="442F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3CA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预算执行情况（10分）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A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年度预算数（万元）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F8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年初预算</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48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调整后预算数</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97E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AB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6D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F5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8D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原因</w:t>
            </w:r>
          </w:p>
        </w:tc>
      </w:tr>
      <w:tr w14:paraId="0B96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5A29">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D5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E8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94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3.04</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DCD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AD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DB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6C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1E170">
            <w:pPr>
              <w:rPr>
                <w:rFonts w:hint="eastAsia" w:ascii="黑体" w:hAnsi="黑体" w:eastAsia="黑体" w:cs="黑体"/>
                <w:i/>
                <w:iCs/>
                <w:color w:val="auto"/>
                <w:sz w:val="18"/>
                <w:szCs w:val="18"/>
                <w:u w:val="none"/>
              </w:rPr>
            </w:pPr>
          </w:p>
        </w:tc>
      </w:tr>
      <w:tr w14:paraId="6B1A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305A">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E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27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4.14</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84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3.04</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DA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9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F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7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D6B1">
            <w:pPr>
              <w:rPr>
                <w:rFonts w:hint="eastAsia" w:ascii="黑体" w:hAnsi="黑体" w:eastAsia="黑体" w:cs="黑体"/>
                <w:i/>
                <w:iCs/>
                <w:color w:val="auto"/>
                <w:sz w:val="18"/>
                <w:szCs w:val="18"/>
                <w:u w:val="none"/>
              </w:rPr>
            </w:pPr>
          </w:p>
        </w:tc>
      </w:tr>
      <w:tr w14:paraId="2FED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693D">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8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C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DE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8CEE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E2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EF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76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BBDA">
            <w:pPr>
              <w:rPr>
                <w:rFonts w:hint="eastAsia" w:ascii="黑体" w:hAnsi="黑体" w:eastAsia="黑体" w:cs="黑体"/>
                <w:i/>
                <w:iCs/>
                <w:color w:val="auto"/>
                <w:sz w:val="18"/>
                <w:szCs w:val="18"/>
                <w:u w:val="none"/>
              </w:rPr>
            </w:pPr>
          </w:p>
        </w:tc>
      </w:tr>
      <w:tr w14:paraId="46CA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40A5">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A3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7D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C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8FC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2C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37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65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842E">
            <w:pPr>
              <w:rPr>
                <w:rFonts w:hint="eastAsia" w:ascii="黑体" w:hAnsi="黑体" w:eastAsia="黑体" w:cs="黑体"/>
                <w:i/>
                <w:iCs/>
                <w:color w:val="auto"/>
                <w:sz w:val="18"/>
                <w:szCs w:val="18"/>
                <w:u w:val="none"/>
              </w:rPr>
            </w:pPr>
          </w:p>
        </w:tc>
      </w:tr>
      <w:tr w14:paraId="0178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AC87">
            <w:pPr>
              <w:jc w:val="center"/>
              <w:rPr>
                <w:rFonts w:hint="eastAsia" w:ascii="宋体" w:hAnsi="宋体" w:eastAsia="宋体" w:cs="宋体"/>
                <w:i w:val="0"/>
                <w:iCs w:val="0"/>
                <w:color w:val="auto"/>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20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EEA">
            <w:pPr>
              <w:jc w:val="center"/>
              <w:rPr>
                <w:rFonts w:hint="eastAsia" w:ascii="微软雅黑" w:hAnsi="微软雅黑" w:eastAsia="微软雅黑" w:cs="微软雅黑"/>
                <w:i/>
                <w:iCs/>
                <w:color w:val="auto"/>
                <w:sz w:val="16"/>
                <w:szCs w:val="16"/>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ADF4">
            <w:pPr>
              <w:jc w:val="center"/>
              <w:rPr>
                <w:rFonts w:hint="eastAsia" w:ascii="微软雅黑" w:hAnsi="微软雅黑" w:eastAsia="微软雅黑" w:cs="微软雅黑"/>
                <w:i/>
                <w:iCs/>
                <w:color w:val="auto"/>
                <w:sz w:val="16"/>
                <w:szCs w:val="16"/>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BA714">
            <w:pPr>
              <w:jc w:val="center"/>
              <w:rPr>
                <w:rFonts w:hint="eastAsia" w:ascii="微软雅黑" w:hAnsi="微软雅黑" w:eastAsia="微软雅黑" w:cs="微软雅黑"/>
                <w:i/>
                <w:iCs/>
                <w:color w:val="auto"/>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70D7">
            <w:pPr>
              <w:jc w:val="center"/>
              <w:rPr>
                <w:rFonts w:hint="eastAsia" w:ascii="微软雅黑" w:hAnsi="微软雅黑" w:eastAsia="微软雅黑" w:cs="微软雅黑"/>
                <w:i/>
                <w:iCs/>
                <w:color w:val="auto"/>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01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55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ACA9">
            <w:pPr>
              <w:rPr>
                <w:rFonts w:hint="eastAsia" w:ascii="黑体" w:hAnsi="黑体" w:eastAsia="黑体" w:cs="黑体"/>
                <w:i/>
                <w:iCs/>
                <w:color w:val="auto"/>
                <w:sz w:val="18"/>
                <w:szCs w:val="18"/>
                <w:u w:val="none"/>
              </w:rPr>
            </w:pPr>
          </w:p>
        </w:tc>
      </w:tr>
      <w:tr w14:paraId="7233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04B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绩效指标（90分）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C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22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00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EC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指标性质</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F2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8E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0A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CA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6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F3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未完成原因分析</w:t>
            </w:r>
          </w:p>
        </w:tc>
      </w:tr>
      <w:tr w14:paraId="332D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98EB">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C7A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BF4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7AB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幼儿园学生人数25人，增减率控制范围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C4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29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5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3E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C9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8AC">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F55">
            <w:pPr>
              <w:jc w:val="center"/>
              <w:rPr>
                <w:rFonts w:hint="eastAsia" w:ascii="微软雅黑" w:hAnsi="微软雅黑" w:eastAsia="微软雅黑" w:cs="微软雅黑"/>
                <w:i/>
                <w:iCs/>
                <w:color w:val="auto"/>
                <w:sz w:val="16"/>
                <w:szCs w:val="16"/>
                <w:u w:val="none"/>
              </w:rPr>
            </w:pPr>
          </w:p>
        </w:tc>
      </w:tr>
      <w:tr w14:paraId="1D5F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58295">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D242">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4906">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25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幼儿园教师人数</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70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C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B0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C6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C9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90B6">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4F9">
            <w:pPr>
              <w:jc w:val="center"/>
              <w:rPr>
                <w:rFonts w:hint="eastAsia" w:ascii="微软雅黑" w:hAnsi="微软雅黑" w:eastAsia="微软雅黑" w:cs="微软雅黑"/>
                <w:i/>
                <w:iCs/>
                <w:color w:val="auto"/>
                <w:sz w:val="16"/>
                <w:szCs w:val="16"/>
                <w:u w:val="none"/>
              </w:rPr>
            </w:pPr>
          </w:p>
        </w:tc>
      </w:tr>
      <w:tr w14:paraId="12E3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8A76">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BB99">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F7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5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完成上级下达的教学目标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3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59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B7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5E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CA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1A82">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A609">
            <w:pPr>
              <w:jc w:val="center"/>
              <w:rPr>
                <w:rFonts w:hint="eastAsia" w:ascii="微软雅黑" w:hAnsi="微软雅黑" w:eastAsia="微软雅黑" w:cs="微软雅黑"/>
                <w:i/>
                <w:iCs/>
                <w:color w:val="auto"/>
                <w:sz w:val="16"/>
                <w:szCs w:val="16"/>
                <w:u w:val="none"/>
              </w:rPr>
            </w:pPr>
          </w:p>
        </w:tc>
      </w:tr>
      <w:tr w14:paraId="6F49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1F98">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FE2E">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0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D9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当年内完成</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588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7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DD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F6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B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E741">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4ECB">
            <w:pPr>
              <w:jc w:val="center"/>
              <w:rPr>
                <w:rFonts w:hint="eastAsia" w:ascii="微软雅黑" w:hAnsi="微软雅黑" w:eastAsia="微软雅黑" w:cs="微软雅黑"/>
                <w:i/>
                <w:iCs/>
                <w:color w:val="auto"/>
                <w:sz w:val="16"/>
                <w:szCs w:val="16"/>
                <w:u w:val="none"/>
              </w:rPr>
            </w:pPr>
          </w:p>
        </w:tc>
      </w:tr>
      <w:tr w14:paraId="7511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0FAE">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9B8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92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F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提高教育教学质量，提升幼儿办学水平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EB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1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76D9">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B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07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CF7D">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48F8">
            <w:pPr>
              <w:jc w:val="center"/>
              <w:rPr>
                <w:rFonts w:hint="eastAsia" w:ascii="微软雅黑" w:hAnsi="微软雅黑" w:eastAsia="微软雅黑" w:cs="微软雅黑"/>
                <w:i/>
                <w:iCs/>
                <w:color w:val="auto"/>
                <w:sz w:val="16"/>
                <w:szCs w:val="16"/>
                <w:u w:val="none"/>
              </w:rPr>
            </w:pPr>
          </w:p>
        </w:tc>
      </w:tr>
      <w:tr w14:paraId="1501A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92CE9">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391C">
            <w:pPr>
              <w:jc w:val="center"/>
              <w:rPr>
                <w:rFonts w:hint="eastAsia" w:ascii="宋体" w:hAnsi="宋体" w:eastAsia="宋体" w:cs="宋体"/>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00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可持续发展指标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29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促进幼儿教育健康发展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1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59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优良</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EF1">
            <w:pPr>
              <w:jc w:val="center"/>
              <w:rPr>
                <w:rFonts w:hint="eastAsia" w:ascii="宋体" w:hAnsi="宋体" w:eastAsia="宋体" w:cs="宋体"/>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74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2A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0A2">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3D4">
            <w:pPr>
              <w:jc w:val="center"/>
              <w:rPr>
                <w:rFonts w:hint="eastAsia" w:ascii="微软雅黑" w:hAnsi="微软雅黑" w:eastAsia="微软雅黑" w:cs="微软雅黑"/>
                <w:i/>
                <w:iCs/>
                <w:color w:val="auto"/>
                <w:sz w:val="16"/>
                <w:szCs w:val="16"/>
                <w:u w:val="none"/>
              </w:rPr>
            </w:pPr>
          </w:p>
        </w:tc>
      </w:tr>
      <w:tr w14:paraId="7C94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3F4A5">
            <w:pPr>
              <w:jc w:val="center"/>
              <w:rPr>
                <w:rFonts w:hint="eastAsia" w:ascii="宋体" w:hAnsi="宋体" w:eastAsia="宋体" w:cs="宋体"/>
                <w:i w:val="0"/>
                <w:iCs w:val="0"/>
                <w:color w:val="auto"/>
                <w:sz w:val="18"/>
                <w:szCs w:val="18"/>
                <w:u w:val="none"/>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055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AE9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AC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学校和教师满意度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01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A6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CB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E6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63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52C">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E6BC">
            <w:pPr>
              <w:jc w:val="center"/>
              <w:rPr>
                <w:rFonts w:hint="eastAsia" w:ascii="微软雅黑" w:hAnsi="微软雅黑" w:eastAsia="微软雅黑" w:cs="微软雅黑"/>
                <w:i/>
                <w:iCs/>
                <w:color w:val="auto"/>
                <w:sz w:val="16"/>
                <w:szCs w:val="16"/>
                <w:u w:val="none"/>
              </w:rPr>
            </w:pPr>
          </w:p>
        </w:tc>
      </w:tr>
      <w:tr w14:paraId="203A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0E7D">
            <w:pPr>
              <w:jc w:val="center"/>
              <w:rPr>
                <w:rFonts w:hint="eastAsia" w:ascii="宋体" w:hAnsi="宋体" w:eastAsia="宋体" w:cs="宋体"/>
                <w:i w:val="0"/>
                <w:iCs w:val="0"/>
                <w:color w:val="auto"/>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17DF">
            <w:pPr>
              <w:jc w:val="center"/>
              <w:rPr>
                <w:rFonts w:hint="eastAsia" w:ascii="宋体" w:hAnsi="宋体" w:eastAsia="宋体" w:cs="宋体"/>
                <w:i w:val="0"/>
                <w:iCs w:val="0"/>
                <w:color w:val="auto"/>
                <w:sz w:val="18"/>
                <w:szCs w:val="18"/>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63B7">
            <w:pPr>
              <w:jc w:val="center"/>
              <w:rPr>
                <w:rFonts w:hint="eastAsia" w:ascii="宋体" w:hAnsi="宋体" w:eastAsia="宋体" w:cs="宋体"/>
                <w:i w:val="0"/>
                <w:iCs w:val="0"/>
                <w:color w:val="auto"/>
                <w:sz w:val="18"/>
                <w:szCs w:val="18"/>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2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家长和学生满意度</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C9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B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3F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8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3A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712">
            <w:pPr>
              <w:jc w:val="cente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1D3B">
            <w:pPr>
              <w:jc w:val="center"/>
              <w:rPr>
                <w:rFonts w:hint="eastAsia" w:ascii="微软雅黑" w:hAnsi="微软雅黑" w:eastAsia="微软雅黑" w:cs="微软雅黑"/>
                <w:i/>
                <w:iCs/>
                <w:color w:val="auto"/>
                <w:sz w:val="16"/>
                <w:szCs w:val="16"/>
                <w:u w:val="none"/>
              </w:rPr>
            </w:pPr>
          </w:p>
        </w:tc>
      </w:tr>
      <w:tr w14:paraId="1910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8040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4A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2A92">
            <w:pPr>
              <w:rPr>
                <w:rFonts w:hint="eastAsia" w:ascii="宋体" w:hAnsi="宋体" w:eastAsia="宋体" w:cs="宋体"/>
                <w:i w:val="0"/>
                <w:iCs w:val="0"/>
                <w:color w:val="auto"/>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567">
            <w:pPr>
              <w:rPr>
                <w:rFonts w:hint="eastAsia" w:ascii="宋体" w:hAnsi="宋体" w:eastAsia="宋体" w:cs="宋体"/>
                <w:i w:val="0"/>
                <w:iCs w:val="0"/>
                <w:color w:val="auto"/>
                <w:sz w:val="18"/>
                <w:szCs w:val="18"/>
                <w:u w:val="none"/>
              </w:rPr>
            </w:pPr>
          </w:p>
        </w:tc>
      </w:tr>
      <w:tr w14:paraId="2718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6A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B80A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kern w:val="0"/>
                <w:sz w:val="16"/>
                <w:szCs w:val="16"/>
                <w:u w:val="none"/>
                <w:lang w:val="en-US" w:eastAsia="zh-CN" w:bidi="ar"/>
              </w:rPr>
              <w:t>此预算项目执行率为100%，项目自评总分为100分，该项目实施取得了良好的成效。</w:t>
            </w:r>
          </w:p>
        </w:tc>
      </w:tr>
      <w:tr w14:paraId="55DF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96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11B24B">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6C7A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2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87D79F">
            <w:pP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iCs/>
                <w:color w:val="auto"/>
                <w:sz w:val="16"/>
                <w:szCs w:val="16"/>
                <w:u w:val="none"/>
                <w:lang w:val="en-US" w:eastAsia="zh-CN"/>
              </w:rPr>
              <w:t>无。</w:t>
            </w:r>
          </w:p>
        </w:tc>
      </w:tr>
      <w:tr w14:paraId="77A9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301D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项目负责人：彭勇</w:t>
            </w:r>
          </w:p>
        </w:tc>
        <w:tc>
          <w:tcPr>
            <w:tcW w:w="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2FCAF">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财务负责人：骆红霞</w:t>
            </w:r>
          </w:p>
        </w:tc>
      </w:tr>
    </w:tbl>
    <w:p w14:paraId="63CC8C01">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4F9C3D0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14:paraId="1A9C5FD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color w:val="auto"/>
          <w:kern w:val="0"/>
          <w:position w:val="0"/>
          <w:sz w:val="32"/>
          <w:szCs w:val="32"/>
          <w:highlight w:val="none"/>
          <w:lang w:val="en-US" w:eastAsia="zh-CN" w:bidi="ar-SA"/>
        </w:rPr>
        <w:br w:type="page"/>
      </w:r>
    </w:p>
    <w:p w14:paraId="703D9C1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9"/>
      <w:bookmarkStart w:id="50" w:name="_Toc15396619"/>
    </w:p>
    <w:p w14:paraId="09FD3C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D56AA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6DB8FE7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7672717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77E16AF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4AD82F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02248E1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3BAE585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0C324E6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13C585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5D1522D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3129912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22953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6429B25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57D296DA">
      <w:pPr>
        <w:rPr>
          <w:rFonts w:hint="eastAsia" w:ascii="Times New Roman" w:hAnsi="Times New Roman"/>
          <w:color w:val="auto"/>
          <w:lang w:eastAsia="zh-CN"/>
        </w:rPr>
      </w:pPr>
    </w:p>
    <w:sectPr>
      <w:footerReference r:id="rId10" w:type="first"/>
      <w:footerReference r:id="rId9"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C042">
    <w:pPr>
      <w:pStyle w:val="10"/>
      <w:jc w:val="center"/>
    </w:pPr>
  </w:p>
  <w:p w14:paraId="30AB0F1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F1B9">
    <w:pPr>
      <w:pStyle w:val="10"/>
      <w:jc w:val="center"/>
    </w:pPr>
  </w:p>
  <w:p w14:paraId="5B26165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A29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1875">
    <w:pPr>
      <w:pStyle w:val="10"/>
      <w:jc w:val="center"/>
    </w:pPr>
  </w:p>
  <w:p w14:paraId="53A8E7CF">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434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C40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C6A0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FC6A0A">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7F764E48">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BF3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97D0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9197D0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547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
    <w:nsid w:val="67C05098"/>
    <w:multiLevelType w:val="singleLevel"/>
    <w:tmpl w:val="67C050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AC2379"/>
    <w:rsid w:val="07DFD8BA"/>
    <w:rsid w:val="09867E8F"/>
    <w:rsid w:val="0A2032A3"/>
    <w:rsid w:val="0CA8290A"/>
    <w:rsid w:val="0D35B1ED"/>
    <w:rsid w:val="0DF55EB4"/>
    <w:rsid w:val="0E254B6B"/>
    <w:rsid w:val="0F98263C"/>
    <w:rsid w:val="101860EC"/>
    <w:rsid w:val="101F47CC"/>
    <w:rsid w:val="10C055FF"/>
    <w:rsid w:val="11694EBD"/>
    <w:rsid w:val="11772AA4"/>
    <w:rsid w:val="118107EC"/>
    <w:rsid w:val="12E24EE2"/>
    <w:rsid w:val="13D50BC4"/>
    <w:rsid w:val="14B17F78"/>
    <w:rsid w:val="165E0673"/>
    <w:rsid w:val="16A346EB"/>
    <w:rsid w:val="16B831D5"/>
    <w:rsid w:val="16BB723D"/>
    <w:rsid w:val="17E50567"/>
    <w:rsid w:val="186504BB"/>
    <w:rsid w:val="186F0EB5"/>
    <w:rsid w:val="18D71E71"/>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6BB21C8"/>
    <w:rsid w:val="281408E2"/>
    <w:rsid w:val="29D84E40"/>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1C19F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D57C1A"/>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23653AC"/>
    <w:rsid w:val="534F1C93"/>
    <w:rsid w:val="537E6D0A"/>
    <w:rsid w:val="53F74C96"/>
    <w:rsid w:val="55170BA8"/>
    <w:rsid w:val="553218C9"/>
    <w:rsid w:val="555666D4"/>
    <w:rsid w:val="567E1AA5"/>
    <w:rsid w:val="56E47B74"/>
    <w:rsid w:val="57175D52"/>
    <w:rsid w:val="57BD3DD4"/>
    <w:rsid w:val="5AEE1341"/>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6A7088"/>
    <w:rsid w:val="62BF3928"/>
    <w:rsid w:val="63B3701E"/>
    <w:rsid w:val="647F5392"/>
    <w:rsid w:val="65E66580"/>
    <w:rsid w:val="66481F37"/>
    <w:rsid w:val="664B1D71"/>
    <w:rsid w:val="664B4E8E"/>
    <w:rsid w:val="67277B67"/>
    <w:rsid w:val="67AA3209"/>
    <w:rsid w:val="68B600B4"/>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2D6624"/>
    <w:rsid w:val="70484440"/>
    <w:rsid w:val="712A28F1"/>
    <w:rsid w:val="715C0E4B"/>
    <w:rsid w:val="71992E7C"/>
    <w:rsid w:val="71D21478"/>
    <w:rsid w:val="72233669"/>
    <w:rsid w:val="72734D90"/>
    <w:rsid w:val="73160E6D"/>
    <w:rsid w:val="7332FE48"/>
    <w:rsid w:val="738E5DA5"/>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B53C86"/>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C147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9171</Words>
  <Characters>9970</Characters>
  <Lines>61</Lines>
  <Paragraphs>17</Paragraphs>
  <TotalTime>2</TotalTime>
  <ScaleCrop>false</ScaleCrop>
  <LinksUpToDate>false</LinksUpToDate>
  <CharactersWithSpaces>10138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2025-11-27T03:52:00Z</cp:lastPrinted>
  <dcterms:modified xsi:type="dcterms:W3CDTF">2025-12-04T00:23:31Z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