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BA30A">
      <w:pPr>
        <w:pStyle w:val="5"/>
        <w:spacing w:before="93"/>
        <w:jc w:val="center"/>
        <w:rPr>
          <w:rFonts w:ascii="Times New Roman" w:eastAsia="方正小标宋简体"/>
          <w:kern w:val="2"/>
          <w:sz w:val="44"/>
          <w:szCs w:val="44"/>
        </w:rPr>
      </w:pPr>
      <w:bookmarkStart w:id="0" w:name="_Toc15396475"/>
      <w:bookmarkStart w:id="1" w:name="_Toc15377425"/>
      <w:bookmarkStart w:id="2" w:name="_Toc15396597"/>
      <w:bookmarkStart w:id="3" w:name="_Toc15378441"/>
      <w:bookmarkStart w:id="4" w:name="_Toc15377193"/>
      <w:bookmarkStart w:id="5" w:name="_Toc15306267"/>
    </w:p>
    <w:p w14:paraId="123A4E07">
      <w:pPr>
        <w:pStyle w:val="5"/>
        <w:spacing w:before="93"/>
        <w:jc w:val="center"/>
        <w:rPr>
          <w:rFonts w:ascii="Times New Roman" w:eastAsia="方正小标宋简体"/>
          <w:kern w:val="2"/>
          <w:sz w:val="44"/>
          <w:szCs w:val="44"/>
        </w:rPr>
      </w:pPr>
    </w:p>
    <w:p w14:paraId="3C3C7B25">
      <w:pPr>
        <w:pStyle w:val="5"/>
        <w:spacing w:before="93"/>
        <w:jc w:val="center"/>
        <w:rPr>
          <w:rFonts w:ascii="Times New Roman" w:eastAsia="方正小标宋简体"/>
          <w:kern w:val="2"/>
          <w:sz w:val="44"/>
          <w:szCs w:val="44"/>
        </w:rPr>
      </w:pPr>
    </w:p>
    <w:p w14:paraId="5473057D">
      <w:pPr>
        <w:pStyle w:val="5"/>
        <w:spacing w:before="93"/>
        <w:jc w:val="center"/>
        <w:rPr>
          <w:rFonts w:ascii="Times New Roman" w:eastAsia="方正小标宋简体"/>
          <w:kern w:val="2"/>
          <w:sz w:val="44"/>
          <w:szCs w:val="44"/>
        </w:rPr>
      </w:pPr>
    </w:p>
    <w:bookmarkEnd w:id="0"/>
    <w:bookmarkEnd w:id="1"/>
    <w:bookmarkEnd w:id="2"/>
    <w:bookmarkEnd w:id="3"/>
    <w:bookmarkEnd w:id="4"/>
    <w:p w14:paraId="4204C7FD">
      <w:pPr>
        <w:pStyle w:val="5"/>
        <w:spacing w:before="93"/>
        <w:jc w:val="center"/>
        <w:rPr>
          <w:rFonts w:ascii="Times New Roman" w:eastAsia="方正小标宋简体"/>
          <w:kern w:val="2"/>
          <w:sz w:val="72"/>
          <w:szCs w:val="72"/>
        </w:rPr>
      </w:pPr>
      <w:bookmarkStart w:id="6" w:name="_Toc15396476"/>
      <w:bookmarkStart w:id="7" w:name="_Toc15377426"/>
      <w:bookmarkStart w:id="8" w:name="_Toc15396598"/>
      <w:bookmarkStart w:id="9" w:name="_Toc15378442"/>
      <w:bookmarkStart w:id="10" w:name="_Toc15377194"/>
      <w:r>
        <w:rPr>
          <w:rFonts w:hint="eastAsia" w:ascii="Times New Roman" w:eastAsia="方正小标宋简体"/>
          <w:kern w:val="2"/>
          <w:sz w:val="72"/>
          <w:szCs w:val="72"/>
        </w:rPr>
        <w:t>2024年度</w:t>
      </w:r>
    </w:p>
    <w:p w14:paraId="74DCFFF9">
      <w:pPr>
        <w:pStyle w:val="5"/>
        <w:spacing w:before="93"/>
        <w:jc w:val="center"/>
        <w:rPr>
          <w:rFonts w:hint="eastAsia" w:ascii="Times New Roman" w:eastAsia="方正小标宋简体"/>
          <w:kern w:val="2"/>
          <w:sz w:val="72"/>
          <w:szCs w:val="72"/>
        </w:rPr>
      </w:pPr>
      <w:r>
        <w:rPr>
          <w:rFonts w:hint="eastAsia" w:ascii="Times New Roman" w:eastAsia="方正小标宋简体"/>
          <w:kern w:val="2"/>
          <w:sz w:val="72"/>
          <w:szCs w:val="72"/>
        </w:rPr>
        <w:t>四川省</w:t>
      </w:r>
      <w:bookmarkEnd w:id="5"/>
      <w:bookmarkStart w:id="11" w:name="_Toc15306268"/>
      <w:r>
        <w:rPr>
          <w:rFonts w:hint="eastAsia" w:ascii="Times New Roman" w:eastAsia="方正小标宋简体"/>
          <w:kern w:val="2"/>
          <w:sz w:val="72"/>
          <w:szCs w:val="72"/>
          <w:lang w:eastAsia="zh-CN"/>
        </w:rPr>
        <w:t>乐山市</w:t>
      </w:r>
      <w:r>
        <w:rPr>
          <w:rFonts w:hint="eastAsia" w:ascii="Times New Roman" w:eastAsia="方正小标宋简体"/>
          <w:kern w:val="2"/>
          <w:sz w:val="72"/>
          <w:szCs w:val="72"/>
        </w:rPr>
        <w:t>峨眉山市</w:t>
      </w:r>
    </w:p>
    <w:p w14:paraId="6BEE8994">
      <w:pPr>
        <w:pStyle w:val="5"/>
        <w:spacing w:before="93"/>
        <w:jc w:val="center"/>
        <w:rPr>
          <w:rFonts w:hint="eastAsia" w:ascii="Times New Roman" w:eastAsia="方正小标宋简体"/>
          <w:kern w:val="2"/>
          <w:sz w:val="72"/>
          <w:szCs w:val="72"/>
        </w:rPr>
      </w:pPr>
      <w:r>
        <w:rPr>
          <w:rFonts w:hint="eastAsia" w:ascii="Times New Roman" w:eastAsia="方正小标宋简体"/>
          <w:kern w:val="2"/>
          <w:sz w:val="72"/>
          <w:szCs w:val="72"/>
          <w:lang w:eastAsia="zh-CN"/>
        </w:rPr>
        <w:t>龙门乡中心</w:t>
      </w:r>
      <w:r>
        <w:rPr>
          <w:rFonts w:hint="eastAsia" w:ascii="Times New Roman" w:eastAsia="方正小标宋简体"/>
          <w:kern w:val="2"/>
          <w:sz w:val="72"/>
          <w:szCs w:val="72"/>
        </w:rPr>
        <w:t>小学校</w:t>
      </w:r>
    </w:p>
    <w:p w14:paraId="2C2F7586">
      <w:pPr>
        <w:pStyle w:val="5"/>
        <w:spacing w:before="93"/>
        <w:jc w:val="center"/>
        <w:rPr>
          <w:rFonts w:ascii="Times New Roman" w:eastAsia="方正小标宋简体"/>
          <w:kern w:val="2"/>
          <w:sz w:val="72"/>
          <w:szCs w:val="72"/>
        </w:rPr>
      </w:pPr>
      <w:r>
        <w:rPr>
          <w:rFonts w:hint="eastAsia" w:ascii="Times New Roman" w:eastAsia="方正小标宋简体"/>
          <w:kern w:val="2"/>
          <w:sz w:val="72"/>
          <w:szCs w:val="72"/>
        </w:rPr>
        <w:t>单位决算</w:t>
      </w:r>
      <w:bookmarkEnd w:id="6"/>
      <w:bookmarkEnd w:id="7"/>
      <w:bookmarkEnd w:id="8"/>
      <w:bookmarkEnd w:id="9"/>
      <w:bookmarkEnd w:id="10"/>
      <w:bookmarkEnd w:id="11"/>
    </w:p>
    <w:p w14:paraId="4E2D1850">
      <w:pPr>
        <w:widowControl/>
        <w:jc w:val="center"/>
        <w:rPr>
          <w:rFonts w:eastAsia="黑体"/>
          <w:sz w:val="48"/>
          <w:szCs w:val="48"/>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550B6634">
      <w:pPr>
        <w:widowControl/>
        <w:jc w:val="center"/>
        <w:rPr>
          <w:rFonts w:eastAsia="黑体"/>
          <w:sz w:val="48"/>
          <w:szCs w:val="48"/>
        </w:rPr>
      </w:pPr>
      <w:r>
        <w:rPr>
          <w:rFonts w:hint="eastAsia" w:eastAsia="黑体"/>
          <w:sz w:val="48"/>
          <w:szCs w:val="48"/>
        </w:rPr>
        <w:t>目录</w:t>
      </w:r>
    </w:p>
    <w:p w14:paraId="75061C5A">
      <w:pPr>
        <w:widowControl/>
        <w:jc w:val="center"/>
        <w:rPr>
          <w:rFonts w:eastAsia="黑体" w:cstheme="minorBidi"/>
          <w:sz w:val="28"/>
          <w:szCs w:val="28"/>
        </w:rPr>
      </w:pPr>
    </w:p>
    <w:p w14:paraId="19F2D7E1">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年1</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 xml:space="preserve"> 月 </w:t>
      </w:r>
      <w:r>
        <w:rPr>
          <w:rFonts w:hint="eastAsia" w:ascii="Times New Roman" w:hAnsi="Times New Roman" w:eastAsia="仿宋_GB2312" w:cs="仿宋_GB2312"/>
          <w:sz w:val="32"/>
          <w:szCs w:val="32"/>
          <w:lang w:val="en-US" w:eastAsia="zh-CN"/>
        </w:rPr>
        <w:t>4</w:t>
      </w:r>
      <w:bookmarkStart w:id="67" w:name="_GoBack"/>
      <w:bookmarkEnd w:id="67"/>
      <w:r>
        <w:rPr>
          <w:rFonts w:hint="eastAsia" w:ascii="Times New Roman" w:hAnsi="Times New Roman" w:eastAsia="仿宋_GB2312" w:cs="仿宋_GB2312"/>
          <w:sz w:val="32"/>
          <w:szCs w:val="32"/>
        </w:rPr>
        <w:t xml:space="preserve"> 日</w:t>
      </w:r>
    </w:p>
    <w:p w14:paraId="0EBB1408"/>
    <w:p w14:paraId="00D1A5E6">
      <w:pPr>
        <w:pStyle w:val="12"/>
        <w:adjustRightInd w:val="0"/>
        <w:snapToGrid w:val="0"/>
        <w:spacing w:before="0" w:line="560" w:lineRule="exact"/>
        <w:jc w:val="left"/>
        <w:rPr>
          <w:rFonts w:ascii="Times New Roman" w:hAnsi="Times New Roman" w:cs="黑体"/>
          <w:sz w:val="32"/>
          <w:szCs w:val="32"/>
        </w:rPr>
      </w:pPr>
      <w:r>
        <w:rPr>
          <w:rFonts w:hint="eastAsia" w:ascii="Times New Roman" w:hAnsi="Times New Roman" w:eastAsia="黑体" w:cs="黑体"/>
          <w:sz w:val="32"/>
          <w:szCs w:val="32"/>
        </w:rPr>
        <w:t>第一部分 部门概况</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3</w:t>
      </w:r>
    </w:p>
    <w:p w14:paraId="4FC4FED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一、部门职责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3</w:t>
      </w:r>
    </w:p>
    <w:p w14:paraId="04ADB53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二、机构设置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7</w:t>
      </w:r>
    </w:p>
    <w:p w14:paraId="4716011A">
      <w:pPr>
        <w:pStyle w:val="12"/>
        <w:adjustRightInd w:val="0"/>
        <w:snapToGrid w:val="0"/>
        <w:spacing w:before="0" w:line="560" w:lineRule="exact"/>
        <w:jc w:val="left"/>
        <w:rPr>
          <w:rFonts w:hint="eastAsia" w:ascii="Times New Roman" w:hAnsi="Times New Roman" w:eastAsia="仿宋" w:cs="黑体"/>
          <w:sz w:val="32"/>
          <w:szCs w:val="32"/>
          <w:lang w:eastAsia="zh-CN"/>
        </w:rPr>
      </w:pPr>
      <w:r>
        <w:rPr>
          <w:rFonts w:hint="eastAsia" w:ascii="Times New Roman" w:hAnsi="Times New Roman" w:eastAsia="黑体" w:cs="黑体"/>
          <w:sz w:val="32"/>
          <w:szCs w:val="32"/>
        </w:rPr>
        <w:t>第二部分 2024年度部门决算情况说明</w:t>
      </w:r>
      <w:r>
        <w:rPr>
          <w:rFonts w:hint="eastAsia" w:ascii="黑体" w:hAnsi="黑体" w:eastAsia="黑体" w:cs="黑体"/>
          <w:sz w:val="32"/>
          <w:szCs w:val="32"/>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1"/>
          <w:szCs w:val="21"/>
          <w:lang w:val="en-US" w:eastAsia="zh-CN"/>
        </w:rPr>
        <w:t>8</w:t>
      </w:r>
    </w:p>
    <w:p w14:paraId="7788D532">
      <w:pPr>
        <w:pStyle w:val="12"/>
        <w:adjustRightInd w:val="0"/>
        <w:snapToGrid w:val="0"/>
        <w:spacing w:before="0" w:line="560" w:lineRule="exact"/>
        <w:ind w:firstLine="640" w:firstLineChars="200"/>
        <w:jc w:val="left"/>
        <w:rPr>
          <w:rFonts w:hint="eastAsia" w:ascii="Times New Roman" w:hAnsi="Times New Roman" w:eastAsia="仿宋" w:cs="黑体"/>
          <w:sz w:val="32"/>
          <w:szCs w:val="32"/>
          <w:lang w:eastAsia="zh-CN"/>
        </w:rPr>
      </w:pPr>
      <w:r>
        <w:rPr>
          <w:rFonts w:hint="eastAsia" w:ascii="Times New Roman" w:hAnsi="Times New Roman" w:eastAsia="仿宋_GB2312" w:cs="仿宋_GB2312"/>
          <w:sz w:val="32"/>
          <w:szCs w:val="32"/>
        </w:rPr>
        <w:t>一、收入支出决算总体情况说明</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1"/>
          <w:szCs w:val="21"/>
          <w:lang w:val="en-US" w:eastAsia="zh-CN"/>
        </w:rPr>
        <w:t>8</w:t>
      </w:r>
    </w:p>
    <w:p w14:paraId="4508CEDB">
      <w:pPr>
        <w:pStyle w:val="14"/>
        <w:adjustRightInd w:val="0"/>
        <w:snapToGrid w:val="0"/>
        <w:spacing w:line="560" w:lineRule="exact"/>
        <w:ind w:left="0" w:leftChars="0" w:firstLine="640" w:firstLineChars="200"/>
        <w:jc w:val="left"/>
        <w:rPr>
          <w:rFonts w:hint="eastAsia" w:eastAsia="宋体" w:cs="仿宋_GB2312"/>
          <w:sz w:val="32"/>
          <w:szCs w:val="32"/>
          <w:lang w:eastAsia="zh-CN"/>
        </w:rPr>
      </w:pPr>
      <w:r>
        <w:rPr>
          <w:rFonts w:hint="eastAsia" w:eastAsia="仿宋_GB2312" w:cs="仿宋_GB2312"/>
          <w:sz w:val="32"/>
          <w:szCs w:val="32"/>
        </w:rPr>
        <w:t xml:space="preserve">二、收入决算情况说明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Cs w:val="21"/>
          <w:lang w:val="en-US" w:eastAsia="zh-CN"/>
        </w:rPr>
        <w:t>8</w:t>
      </w:r>
    </w:p>
    <w:p w14:paraId="4D75667E">
      <w:pPr>
        <w:pStyle w:val="14"/>
        <w:adjustRightInd w:val="0"/>
        <w:snapToGrid w:val="0"/>
        <w:spacing w:line="560" w:lineRule="exact"/>
        <w:ind w:left="0" w:leftChars="0" w:firstLine="640" w:firstLineChars="200"/>
        <w:jc w:val="left"/>
        <w:rPr>
          <w:rFonts w:hint="eastAsia" w:eastAsia="宋体" w:cs="仿宋_GB2312"/>
          <w:sz w:val="32"/>
          <w:szCs w:val="32"/>
          <w:lang w:eastAsia="zh-CN"/>
        </w:rPr>
      </w:pPr>
      <w:r>
        <w:rPr>
          <w:rFonts w:hint="eastAsia" w:eastAsia="仿宋_GB2312" w:cs="仿宋_GB2312"/>
          <w:sz w:val="32"/>
          <w:szCs w:val="32"/>
        </w:rPr>
        <w:t xml:space="preserve">三、支出决算情况说明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lang w:val="en-US" w:eastAsia="zh-CN"/>
        </w:rPr>
        <w:t>9</w:t>
      </w:r>
    </w:p>
    <w:p w14:paraId="6F80DEB9">
      <w:pPr>
        <w:pStyle w:val="14"/>
        <w:adjustRightInd w:val="0"/>
        <w:snapToGrid w:val="0"/>
        <w:spacing w:line="560" w:lineRule="exact"/>
        <w:ind w:left="0" w:leftChars="0" w:firstLine="640" w:firstLineChars="200"/>
        <w:jc w:val="left"/>
        <w:rPr>
          <w:rFonts w:hint="eastAsia" w:eastAsia="宋体" w:cs="仿宋_GB2312"/>
          <w:sz w:val="32"/>
          <w:szCs w:val="32"/>
          <w:lang w:eastAsia="zh-CN"/>
        </w:rPr>
      </w:pPr>
      <w:r>
        <w:rPr>
          <w:rFonts w:hint="eastAsia" w:eastAsia="仿宋_GB2312" w:cs="仿宋_GB2312"/>
          <w:sz w:val="32"/>
          <w:szCs w:val="32"/>
        </w:rPr>
        <w:t>四、财政拨款收入支出决算总体情况说明</w:t>
      </w:r>
      <w:r>
        <w:rPr>
          <w:rFonts w:ascii="Arial" w:hAnsi="Arial"/>
          <w:sz w:val="24"/>
        </w:rPr>
        <w:t>…</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Cs w:val="21"/>
        </w:rPr>
        <w:t>1</w:t>
      </w:r>
      <w:r>
        <w:rPr>
          <w:rFonts w:hint="eastAsia" w:ascii="Arial" w:hAnsi="Arial" w:cs="Arial"/>
          <w:szCs w:val="21"/>
          <w:lang w:val="en-US" w:eastAsia="zh-CN"/>
        </w:rPr>
        <w:t>0</w:t>
      </w:r>
    </w:p>
    <w:p w14:paraId="208BD9E6">
      <w:pPr>
        <w:pStyle w:val="14"/>
        <w:adjustRightInd w:val="0"/>
        <w:snapToGrid w:val="0"/>
        <w:spacing w:line="560" w:lineRule="exact"/>
        <w:ind w:left="0" w:leftChars="0" w:firstLine="640" w:firstLineChars="200"/>
        <w:jc w:val="left"/>
        <w:rPr>
          <w:rFonts w:hint="eastAsia" w:eastAsia="宋体" w:cs="仿宋_GB2312"/>
          <w:sz w:val="32"/>
          <w:szCs w:val="32"/>
          <w:lang w:eastAsia="zh-CN"/>
        </w:rPr>
      </w:pPr>
      <w:r>
        <w:rPr>
          <w:rFonts w:hint="eastAsia" w:eastAsia="仿宋_GB2312" w:cs="仿宋_GB2312"/>
          <w:sz w:val="32"/>
          <w:szCs w:val="32"/>
        </w:rPr>
        <w:t xml:space="preserve">五、一般公共预算财政拨款支出决算情况说明 </w:t>
      </w:r>
      <w:r>
        <w:rPr>
          <w:rFonts w:ascii="Arial" w:hAnsi="Arial" w:cs="Arial"/>
          <w:sz w:val="24"/>
        </w:rPr>
        <w:t>…………</w:t>
      </w:r>
      <w:r>
        <w:rPr>
          <w:rFonts w:hint="eastAsia" w:ascii="Arial" w:hAnsi="Arial" w:cs="Arial"/>
          <w:szCs w:val="21"/>
        </w:rPr>
        <w:t>1</w:t>
      </w:r>
      <w:r>
        <w:rPr>
          <w:rFonts w:hint="eastAsia" w:ascii="Arial" w:hAnsi="Arial" w:cs="Arial"/>
          <w:szCs w:val="21"/>
          <w:lang w:val="en-US" w:eastAsia="zh-CN"/>
        </w:rPr>
        <w:t>0</w:t>
      </w:r>
    </w:p>
    <w:p w14:paraId="65A9772C">
      <w:pPr>
        <w:pStyle w:val="14"/>
        <w:adjustRightInd w:val="0"/>
        <w:snapToGrid w:val="0"/>
        <w:spacing w:line="560" w:lineRule="exact"/>
        <w:ind w:left="0" w:leftChars="0" w:firstLine="640" w:firstLineChars="200"/>
        <w:jc w:val="left"/>
        <w:rPr>
          <w:rFonts w:hint="eastAsia" w:eastAsia="宋体" w:cs="仿宋_GB2312"/>
          <w:sz w:val="32"/>
          <w:szCs w:val="32"/>
          <w:lang w:eastAsia="zh-CN"/>
        </w:rPr>
      </w:pPr>
      <w:r>
        <w:rPr>
          <w:rFonts w:hint="eastAsia" w:eastAsia="仿宋_GB2312" w:cs="仿宋_GB2312"/>
          <w:sz w:val="32"/>
          <w:szCs w:val="32"/>
        </w:rPr>
        <w:t xml:space="preserve">六、一般公共预算财政拨款基本支出决算情况说明 </w:t>
      </w:r>
      <w:r>
        <w:rPr>
          <w:rFonts w:ascii="Arial" w:hAnsi="Arial" w:cs="Arial"/>
          <w:sz w:val="24"/>
        </w:rPr>
        <w:t>…</w:t>
      </w:r>
      <w:r>
        <w:rPr>
          <w:rFonts w:hint="eastAsia" w:ascii="Arial" w:hAnsi="Arial" w:cs="Arial"/>
          <w:szCs w:val="21"/>
        </w:rPr>
        <w:t>1</w:t>
      </w:r>
      <w:r>
        <w:rPr>
          <w:rFonts w:hint="eastAsia" w:ascii="Arial" w:hAnsi="Arial" w:cs="Arial"/>
          <w:szCs w:val="21"/>
          <w:lang w:val="en-US" w:eastAsia="zh-CN"/>
        </w:rPr>
        <w:t>3</w:t>
      </w:r>
    </w:p>
    <w:p w14:paraId="78D1CC11">
      <w:pPr>
        <w:pStyle w:val="14"/>
        <w:adjustRightInd w:val="0"/>
        <w:snapToGrid w:val="0"/>
        <w:spacing w:line="560" w:lineRule="exact"/>
        <w:ind w:left="0" w:leftChars="0" w:firstLine="640" w:firstLineChars="200"/>
        <w:jc w:val="left"/>
        <w:rPr>
          <w:rFonts w:hint="eastAsia" w:eastAsia="宋体" w:cs="仿宋_GB2312"/>
          <w:sz w:val="32"/>
          <w:szCs w:val="32"/>
          <w:lang w:eastAsia="zh-CN"/>
        </w:rPr>
      </w:pPr>
      <w:r>
        <w:rPr>
          <w:rFonts w:hint="eastAsia" w:eastAsia="仿宋_GB2312" w:cs="仿宋_GB2312"/>
          <w:sz w:val="32"/>
          <w:szCs w:val="32"/>
        </w:rPr>
        <w:t xml:space="preserve">七、财政拨款“三公”经费支出决算情况说明 </w:t>
      </w:r>
      <w:r>
        <w:rPr>
          <w:rFonts w:ascii="Arial" w:hAnsi="Arial" w:cs="Arial"/>
          <w:sz w:val="24"/>
        </w:rPr>
        <w:t>…………</w:t>
      </w:r>
      <w:r>
        <w:rPr>
          <w:rFonts w:hint="eastAsia" w:ascii="Arial" w:hAnsi="Arial" w:cs="Arial"/>
          <w:szCs w:val="21"/>
        </w:rPr>
        <w:t>1</w:t>
      </w:r>
      <w:r>
        <w:rPr>
          <w:rFonts w:hint="eastAsia" w:ascii="Arial" w:hAnsi="Arial" w:cs="Arial"/>
          <w:szCs w:val="21"/>
          <w:lang w:val="en-US" w:eastAsia="zh-CN"/>
        </w:rPr>
        <w:t>4</w:t>
      </w:r>
    </w:p>
    <w:p w14:paraId="6386415F">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八、政府性基金预算支出决算情况说明  </w:t>
      </w:r>
      <w:r>
        <w:rPr>
          <w:rFonts w:ascii="Arial" w:hAnsi="Arial"/>
          <w:sz w:val="24"/>
        </w:rPr>
        <w:t>…</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Cs w:val="21"/>
        </w:rPr>
        <w:t>15</w:t>
      </w:r>
    </w:p>
    <w:p w14:paraId="6D10F17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ascii="Arial" w:hAnsi="Arial"/>
          <w:sz w:val="24"/>
        </w:rPr>
        <w:t>…</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Cs w:val="21"/>
        </w:rPr>
        <w:t>15</w:t>
      </w:r>
    </w:p>
    <w:p w14:paraId="063AA41F">
      <w:pPr>
        <w:pStyle w:val="14"/>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 xml:space="preserve">十、其他重要事项的情况说明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15</w:t>
      </w:r>
    </w:p>
    <w:p w14:paraId="2E7D708A">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 xml:space="preserve">第三部分 名词解释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1</w:t>
      </w:r>
      <w:r>
        <w:rPr>
          <w:rFonts w:hint="eastAsia" w:ascii="Arial" w:hAnsi="Arial" w:cs="Arial"/>
          <w:sz w:val="24"/>
          <w:lang w:val="en-US" w:eastAsia="zh-CN"/>
        </w:rPr>
        <w:t>7</w:t>
      </w:r>
      <w:r>
        <w:rPr>
          <w:rFonts w:hint="eastAsia" w:ascii="Times New Roman" w:hAnsi="Times New Roman" w:eastAsia="黑体" w:cs="黑体"/>
          <w:sz w:val="32"/>
          <w:szCs w:val="32"/>
        </w:rPr>
        <w:t xml:space="preserve">  </w:t>
      </w:r>
    </w:p>
    <w:p w14:paraId="7B885F69">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22</w:t>
      </w:r>
    </w:p>
    <w:p w14:paraId="2B125E27">
      <w:pPr>
        <w:pStyle w:val="12"/>
        <w:adjustRightInd w:val="0"/>
        <w:snapToGrid w:val="0"/>
        <w:spacing w:before="0" w:line="560" w:lineRule="exact"/>
        <w:jc w:val="left"/>
        <w:rPr>
          <w:rFonts w:hint="default" w:ascii="Times New Roman" w:hAnsi="Times New Roman" w:eastAsia="仿宋" w:cs="黑体"/>
          <w:sz w:val="32"/>
          <w:szCs w:val="32"/>
          <w:lang w:val="en-US" w:eastAsia="zh-CN"/>
        </w:rPr>
      </w:pPr>
      <w:r>
        <w:rPr>
          <w:rFonts w:hint="eastAsia" w:ascii="Times New Roman" w:hAnsi="Times New Roman" w:eastAsia="黑体" w:cs="黑体"/>
          <w:sz w:val="32"/>
          <w:szCs w:val="32"/>
        </w:rPr>
        <w:t>第五部分 附表</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30</w:t>
      </w:r>
    </w:p>
    <w:p w14:paraId="5AFA91EE">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 xml:space="preserve">一、收入支出决算总表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30</w:t>
      </w:r>
    </w:p>
    <w:p w14:paraId="655F3918">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 xml:space="preserve">二、收入决算表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30</w:t>
      </w:r>
    </w:p>
    <w:p w14:paraId="52B29C5D">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 xml:space="preserve">三、支出决算表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30</w:t>
      </w:r>
    </w:p>
    <w:p w14:paraId="4FDFFBBF">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 xml:space="preserve">四、财政拨款收入支出决算总表 </w:t>
      </w:r>
      <w:r>
        <w:rPr>
          <w:rFonts w:hint="eastAsia" w:ascii="Arial" w:hAnsi="Arial" w:cs="Arial"/>
          <w:sz w:val="24"/>
        </w:rPr>
        <w:t xml:space="preserve">  </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30</w:t>
      </w:r>
    </w:p>
    <w:p w14:paraId="571CBE9E">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 xml:space="preserve">五、财政拨款支出决算明细表  </w:t>
      </w:r>
      <w:r>
        <w:rPr>
          <w:rFonts w:hint="eastAsia" w:ascii="Arial" w:hAnsi="Arial" w:cs="Arial"/>
          <w:sz w:val="24"/>
        </w:rPr>
        <w:t xml:space="preserve"> </w:t>
      </w:r>
      <w:r>
        <w:rPr>
          <w:rFonts w:ascii="Arial" w:hAnsi="Arial" w:cs="Arial"/>
          <w:sz w:val="24"/>
        </w:rPr>
        <w:t>……………………………</w:t>
      </w:r>
      <w:r>
        <w:rPr>
          <w:rFonts w:hint="eastAsia" w:ascii="Arial" w:hAnsi="Arial" w:cs="Arial"/>
          <w:sz w:val="24"/>
          <w:lang w:val="en-US" w:eastAsia="zh-CN"/>
        </w:rPr>
        <w:t>30</w:t>
      </w:r>
    </w:p>
    <w:p w14:paraId="2287AF59">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 xml:space="preserve">六、一般公共预算财政拨款支出决算表 </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30</w:t>
      </w:r>
    </w:p>
    <w:p w14:paraId="728CA432">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 xml:space="preserve">七、一般公共预算财政拨款支出决算明细表  </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30</w:t>
      </w:r>
    </w:p>
    <w:p w14:paraId="7478D9E8">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 xml:space="preserve">八、一般公共预算财政拨款基本支出决算明细表 </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30</w:t>
      </w:r>
    </w:p>
    <w:p w14:paraId="4219C5CA">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 xml:space="preserve">九、一般公共预算财政拨款项目支出决算表  </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30</w:t>
      </w:r>
    </w:p>
    <w:p w14:paraId="37AA8F36">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十、政府性基金预算财政拨款收入支出决算表</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30</w:t>
      </w:r>
    </w:p>
    <w:p w14:paraId="019A5107">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十一、国有资本经营预算财政拨款收入支出决算表</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30</w:t>
      </w:r>
    </w:p>
    <w:p w14:paraId="18266F07">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十二、国有资本经营预算财政拨款支出决算表</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30</w:t>
      </w:r>
    </w:p>
    <w:p w14:paraId="3D60A002">
      <w:pPr>
        <w:pStyle w:val="14"/>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 xml:space="preserve">十三、财政拨款“三公”经费支出决算表    </w:t>
      </w:r>
      <w:r>
        <w:rPr>
          <w:rFonts w:ascii="Arial" w:hAnsi="Arial" w:cs="Arial"/>
          <w:sz w:val="24"/>
        </w:rPr>
        <w:t>…………</w:t>
      </w:r>
      <w:r>
        <w:rPr>
          <w:rFonts w:hint="eastAsia" w:ascii="Arial" w:hAnsi="Arial" w:cs="Arial"/>
          <w:sz w:val="24"/>
        </w:rPr>
        <w:t xml:space="preserve"> </w:t>
      </w:r>
      <w:r>
        <w:rPr>
          <w:rFonts w:hint="eastAsia" w:ascii="Arial" w:hAnsi="Arial" w:cs="Arial"/>
          <w:sz w:val="24"/>
          <w:lang w:val="en-US" w:eastAsia="zh-CN"/>
        </w:rPr>
        <w:t>30</w:t>
      </w:r>
    </w:p>
    <w:p w14:paraId="0343B3DF">
      <w:pPr>
        <w:pStyle w:val="14"/>
        <w:adjustRightInd w:val="0"/>
        <w:snapToGrid w:val="0"/>
        <w:spacing w:line="560" w:lineRule="exact"/>
        <w:ind w:left="0" w:leftChars="0" w:firstLine="640" w:firstLineChars="200"/>
        <w:jc w:val="left"/>
        <w:rPr>
          <w:rFonts w:eastAsia="仿宋_GB2312" w:cs="仿宋_GB2312"/>
          <w:sz w:val="32"/>
          <w:szCs w:val="32"/>
        </w:rPr>
      </w:pPr>
    </w:p>
    <w:p w14:paraId="20F2EC96">
      <w:pPr>
        <w:widowControl/>
        <w:spacing w:line="560" w:lineRule="exact"/>
        <w:jc w:val="left"/>
        <w:rPr>
          <w:rFonts w:eastAsia="仿宋_GB2312" w:cs="仿宋_GB2312"/>
          <w:bCs/>
          <w:kern w:val="44"/>
          <w:sz w:val="32"/>
          <w:szCs w:val="32"/>
        </w:rPr>
      </w:pPr>
      <w:bookmarkStart w:id="12" w:name="_Toc15396599"/>
      <w:bookmarkStart w:id="13" w:name="_Toc15377196"/>
      <w:r>
        <w:rPr>
          <w:rFonts w:hint="eastAsia" w:eastAsia="仿宋_GB2312" w:cs="仿宋_GB2312"/>
          <w:b/>
          <w:sz w:val="32"/>
          <w:szCs w:val="32"/>
        </w:rPr>
        <w:br w:type="page"/>
      </w:r>
    </w:p>
    <w:p w14:paraId="5476CAA4">
      <w:pPr>
        <w:pStyle w:val="2"/>
        <w:jc w:val="center"/>
        <w:rPr>
          <w:rFonts w:eastAsia="黑体"/>
          <w:sz w:val="32"/>
          <w:szCs w:val="32"/>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12"/>
      <w:bookmarkEnd w:id="13"/>
    </w:p>
    <w:p w14:paraId="71431FC0">
      <w:pPr>
        <w:pStyle w:val="3"/>
        <w:numPr>
          <w:ilvl w:val="0"/>
          <w:numId w:val="1"/>
        </w:numPr>
        <w:rPr>
          <w:rFonts w:ascii="Times New Roman" w:hAnsi="Times New Roman" w:eastAsia="黑体"/>
          <w:b w:val="0"/>
        </w:rPr>
      </w:pPr>
      <w:r>
        <w:rPr>
          <w:rFonts w:hint="eastAsia" w:ascii="Times New Roman" w:hAnsi="Times New Roman" w:eastAsia="黑体"/>
          <w:b w:val="0"/>
        </w:rPr>
        <w:t>部门职责</w:t>
      </w:r>
    </w:p>
    <w:p w14:paraId="4899F716">
      <w:pPr>
        <w:pStyle w:val="3"/>
        <w:ind w:firstLine="640" w:firstLineChars="200"/>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(一）实施小学义务教育，促进基础教育发展。进行小学学历教育。</w:t>
      </w:r>
    </w:p>
    <w:p w14:paraId="75C7E02D">
      <w:pPr>
        <w:pStyle w:val="3"/>
        <w:ind w:firstLine="640" w:firstLineChars="200"/>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（二）2024年重点工作完成情况</w:t>
      </w:r>
    </w:p>
    <w:p w14:paraId="1DA48485">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 xml:space="preserve"> 1、党的建设</w:t>
      </w:r>
    </w:p>
    <w:p w14:paraId="5D41BCF8">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在过去的一年中，党组织书记切实履行抓党建和全面从严治党工作第一责任人职责，推动党组织履行抓党建工作主体责任，支委其他成员履行分管领域党建工作责任，推动党组织落实党风廉政建设责任制。党支部在年初就与学校中层干部、党员签订了《履行党风廉政建设主体责任承诺书》。强化意识形态工作，切实加强新时代思政课建设，意识形态工作由党支部书记全面负责。认真落实党支部书记意识形态工作述职制度，支委会定期分析研判意识形态领域情况，辨析思想领域突出问题，对重要情况、重要校情民意中的苗头倾向性的问题，有针对性地进行引导，从而确保了学校全年无舆情发生。</w:t>
      </w:r>
    </w:p>
    <w:p w14:paraId="4C36E8A0">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2、队伍管理</w:t>
      </w:r>
    </w:p>
    <w:p w14:paraId="3EDBA2B5">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(1)始终坚持依法治校，完善各种制度和方案。</w:t>
      </w:r>
    </w:p>
    <w:p w14:paraId="0681F07D">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加强对师生的法制教育，师德师风教育效果显著。一年来先后进行多次师德师风专题讲座，以及暑期政治业务学习。营造人尽其力、才尽其用的环境，激励教师进修、自学、培训、岗练等，提高业务能力，优化教师队伍，通过一年的帮扶活动，教师得到了成长。</w:t>
      </w:r>
    </w:p>
    <w:p w14:paraId="3A8412F4">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3、德育工作</w:t>
      </w:r>
    </w:p>
    <w:p w14:paraId="26D65B54">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形成了由学校班子成员、法制副校长、大队辅导员、全体班主任组成的德育工作队伍。认真贯彻落实《中小学德育工作规程》等法规文件，我们根据《小学德育纲要》的要求，始终把德育工作摆放在首位，成立以校长为首的德育工作领导小组，各部门、各班级、各学科各展其长、各负其责、相互配合、相互促进，制定计划、落实措施，齐抓共管，做到管理育人、教书育人、环境育人、服务育人。</w:t>
      </w:r>
    </w:p>
    <w:p w14:paraId="25D2C71D">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一是创建文明班级活动常抓不懈。学校充分发挥少先大队部的作用，组织全校师生有计划、有步骤地开展争当文明学生、争当文明教师、创建文明班级、创建文明学校活动，特别是峨眉山市双创以来，师生在活动中接受教育，陶冶情操，学校的精神面貌发生了喜人的变化。</w:t>
      </w:r>
    </w:p>
    <w:p w14:paraId="1618B3C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二是严格执行升国旗制度，坚持每周一次推荐优秀教育文章在国旗下宣讲，使学生受到爱国主义的教育和熏陶。把德育工作具体落实到思品课、班队活动，渗透到各科教学、各种课外活动，坚持从严、从细、从实、经常抓，抓经常，使学生形成良好的行为习惯。</w:t>
      </w:r>
    </w:p>
    <w:p w14:paraId="6E685A0B">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三是以少先队为阵地，(爱祖国、爱劳动、爱学习、讲文明、讲纪律、讲卫生)为内容，开展德育活动，加强对留守儿童、单亲家庭子女的关爱活动，少队工作繁琐而细致，少先队大队辅导员牢牢抓住德育教育、行为习惯教育、留守儿童关怀三大板块开展工作。</w:t>
      </w:r>
    </w:p>
    <w:p w14:paraId="526769F4">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四是通过家长学校、家访等形式和家长建立经常性联系。争取家长社会的理解、配合与积极支持，形成教育合力，根据实际，印发致学生家长一封信、召开家长座谈会，广泛地、诚恳地征询意见和建议，及时归类、认真整理、积极整改，力求营造一个和谐的教育氛围。</w:t>
      </w:r>
    </w:p>
    <w:p w14:paraId="17138F54">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4、教学管理</w:t>
      </w:r>
    </w:p>
    <w:p w14:paraId="5E159F3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严格执行国家和省制定的课程方案，坚持教学常规管理，严格执行教学课时计划，开齐课程，开足课时。教师的教学行为较为规范，无私自停课、放假现象，无违规补课和收费补课现象。坚持教育质量不放松，突出质量的中心地位，领导主要精力放在教学上，班子成员坚持每期听课40节以上，教师相互听课10节以上。严格执行教学六认真制度，有检查、有记录、有评价、有反馈。教学秩序井然，教师敬业向上，年初认真分析、总结情况，拟定出本年的工作计划和提高教学质量的具体措施。具体是:</w:t>
      </w:r>
    </w:p>
    <w:p w14:paraId="3F040605">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一是严格执行教育行政部门的有关规定，教育教学秩序井然，严格执行四川省课程计划、教学大纲，开足开齐课程，重视语文、数学，突出艺体特长，活动类课程按规定开设，有计划、有安排、有落实、有效果。大力开展阳光体育活动、兴趣小组等活动，提高学生素质，促进全面发展。</w:t>
      </w:r>
    </w:p>
    <w:p w14:paraId="7DAE03ED">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二是规范教学过程，抓好钻研教材要深，课堂教学要实，作业练习要精，个别辅导要细，考试考核要严，评价评定要全面。严格考勤制度，督促教师在教学时间上的投入。</w:t>
      </w:r>
    </w:p>
    <w:p w14:paraId="550980C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三是以丰富多彩的兴趣活动为载体，有效地开展形式多样、内容充实、生动活泼的课外活动，丰富学生的课余生活，发挥学生的特长，组建书法、运动、音乐等特长小组，着眼素质，培养能力。</w:t>
      </w:r>
    </w:p>
    <w:p w14:paraId="2840C58D">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5、研训管理</w:t>
      </w:r>
    </w:p>
    <w:p w14:paraId="4BBA89C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加强教研活动，积级推动新教材使用研训，组织教师积极参加校内外新教材的使用培训，并在校内研训中，要求教师做到“六个一”即上好一节示范课、评好一节公开课、讲好一节观摩课、写好一节好教案、学好一本理论书、做好一篇好论文。严抓平时，细抓定时，提高教师的自身素质和业务水平。</w:t>
      </w:r>
    </w:p>
    <w:p w14:paraId="6FA5DD62">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6、教育装备和信息化管理</w:t>
      </w:r>
    </w:p>
    <w:p w14:paraId="6ECBF5C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学校各类专用教室达标，仪器配备标准。实验室制度完善，规章制度上墙，实验报告记载详细，各类仪器管理规范。登记上柜图书上万册，生均图书达到规定标准。各类工具书、参考书齐全。信息技术专用教室制度健全，管理规范。</w:t>
      </w:r>
    </w:p>
    <w:p w14:paraId="2F356300">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7、艺体卫科工作</w:t>
      </w:r>
    </w:p>
    <w:p w14:paraId="199C4145">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认真贯彻落实学校体育工作条例、学生体质标准，按规定对学生进行国防教育，坚持体育活动，每天活动时间达1小时，坚持一年两次运动会，并积极组队参加市上运动会及各种活动。</w:t>
      </w:r>
    </w:p>
    <w:p w14:paraId="1F89753D">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8、后勤管理</w:t>
      </w:r>
    </w:p>
    <w:p w14:paraId="0BE4C33F">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仿宋" w:hAnsi="仿宋" w:eastAsia="仿宋"/>
          <w:sz w:val="32"/>
          <w:szCs w:val="32"/>
        </w:rPr>
      </w:pPr>
      <w:r>
        <w:rPr>
          <w:rFonts w:hint="eastAsia" w:ascii="Times New Roman" w:hAnsi="Times New Roman" w:eastAsia="仿宋_GB2312" w:cs="仿宋_GB2312"/>
          <w:kern w:val="2"/>
          <w:sz w:val="32"/>
          <w:szCs w:val="32"/>
          <w:lang w:val="en-US" w:eastAsia="zh-CN" w:bidi="ar-SA"/>
        </w:rPr>
        <w:t>以“聚焦正能量、提振精气神、担义务树形象、服务为师生”班子作风和服务宗旨，工作中做到细致、周到、热情。财经纪律严明，定期公布学校财务，接受纪律监督员和全体师生的监督。坚持每学期对收费项目、标准进行公示。财会档案的报表、凭证、账簿齐全；学生伙食费按时结算、按时清退。</w:t>
      </w:r>
      <w:r>
        <w:rPr>
          <w:rFonts w:hint="eastAsia" w:ascii="仿宋" w:hAnsi="仿宋" w:eastAsia="仿宋"/>
          <w:sz w:val="32"/>
          <w:szCs w:val="32"/>
        </w:rPr>
        <w:t xml:space="preserve"> </w:t>
      </w:r>
    </w:p>
    <w:p w14:paraId="64E39233">
      <w:pPr>
        <w:pStyle w:val="3"/>
        <w:rPr>
          <w:rStyle w:val="30"/>
          <w:rFonts w:ascii="Times New Roman" w:hAnsi="Times New Roman"/>
          <w:b w:val="0"/>
          <w:bCs w:val="0"/>
        </w:rPr>
      </w:pPr>
      <w:bookmarkStart w:id="14" w:name="_Toc15396601"/>
      <w:bookmarkStart w:id="15" w:name="_Toc15377200"/>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4"/>
      <w:bookmarkEnd w:id="15"/>
    </w:p>
    <w:p w14:paraId="5FED523C">
      <w:pPr>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峨眉山市龙门乡中心小学校属于峨眉山市教育局部门下属的二级预算单位，下设独立编制机构1个，其中行政机构0个，参照公务员法管理的事业机构0个，其他事业机构1个。</w:t>
      </w:r>
    </w:p>
    <w:p w14:paraId="64DC1E4D">
      <w:pPr>
        <w:pStyle w:val="5"/>
        <w:adjustRightInd w:val="0"/>
        <w:snapToGrid w:val="0"/>
        <w:spacing w:before="93" w:line="600" w:lineRule="exact"/>
        <w:ind w:firstLine="672" w:firstLineChars="21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纳入峨眉山市龙门乡中心小学校2024年度部门决算编制范围的预算单位包括：</w:t>
      </w:r>
    </w:p>
    <w:p w14:paraId="0B015FCA">
      <w:pPr>
        <w:widowControl/>
        <w:ind w:firstLine="640" w:firstLineChars="200"/>
        <w:jc w:val="left"/>
        <w:rPr>
          <w:rFonts w:eastAsia="仿宋"/>
          <w:kern w:val="0"/>
          <w:sz w:val="32"/>
          <w:szCs w:val="32"/>
        </w:rPr>
      </w:pPr>
      <w:r>
        <w:rPr>
          <w:rFonts w:hint="eastAsia" w:ascii="Times New Roman" w:hAnsi="Times New Roman" w:eastAsia="仿宋_GB2312" w:cs="仿宋_GB2312"/>
          <w:kern w:val="2"/>
          <w:sz w:val="32"/>
          <w:szCs w:val="32"/>
          <w:lang w:val="en-US" w:eastAsia="zh-CN" w:bidi="ar-SA"/>
        </w:rPr>
        <w:t>1、峨眉山市龙门乡中心小学校</w:t>
      </w:r>
      <w:r>
        <w:rPr>
          <w:rFonts w:eastAsia="仿宋"/>
          <w:sz w:val="32"/>
          <w:szCs w:val="32"/>
        </w:rPr>
        <w:br w:type="page"/>
      </w:r>
    </w:p>
    <w:p w14:paraId="576C39C5">
      <w:pPr>
        <w:pStyle w:val="2"/>
        <w:jc w:val="center"/>
        <w:rPr>
          <w:rFonts w:eastAsia="方正小标宋简体" w:cs="方正小标宋简体"/>
          <w:b w:val="0"/>
        </w:rPr>
      </w:pPr>
      <w:bookmarkStart w:id="16" w:name="_Toc15377204"/>
      <w:bookmarkStart w:id="17" w:name="_Toc15396602"/>
      <w:r>
        <w:rPr>
          <w:rFonts w:hint="eastAsia" w:eastAsia="方正小标宋简体" w:cs="方正小标宋简体"/>
          <w:b w:val="0"/>
        </w:rPr>
        <w:t>第二部分  2024年度部门决算情况说明</w:t>
      </w:r>
      <w:bookmarkEnd w:id="16"/>
      <w:bookmarkEnd w:id="17"/>
    </w:p>
    <w:p w14:paraId="75A1D79D"/>
    <w:p w14:paraId="397D2EDD">
      <w:pPr>
        <w:pStyle w:val="28"/>
        <w:spacing w:line="600" w:lineRule="exact"/>
        <w:ind w:firstLine="640"/>
        <w:outlineLvl w:val="1"/>
        <w:rPr>
          <w:rStyle w:val="30"/>
          <w:rFonts w:ascii="Times New Roman" w:hAnsi="Times New Roman" w:eastAsia="黑体"/>
          <w:b w:val="0"/>
        </w:rPr>
      </w:pPr>
      <w:bookmarkStart w:id="18" w:name="_Toc15396603"/>
      <w:bookmarkStart w:id="19" w:name="_Toc15377205"/>
      <w:r>
        <w:rPr>
          <w:rFonts w:hint="eastAsia" w:eastAsia="黑体"/>
          <w:sz w:val="32"/>
          <w:szCs w:val="32"/>
        </w:rPr>
        <w:t>一、收</w:t>
      </w:r>
      <w:r>
        <w:rPr>
          <w:rStyle w:val="30"/>
          <w:rFonts w:hint="eastAsia" w:ascii="Times New Roman" w:hAnsi="Times New Roman" w:eastAsia="黑体"/>
          <w:b w:val="0"/>
        </w:rPr>
        <w:t>入支出决算总体情况说明</w:t>
      </w:r>
      <w:bookmarkEnd w:id="18"/>
      <w:bookmarkEnd w:id="19"/>
    </w:p>
    <w:p w14:paraId="44711A70">
      <w:pPr>
        <w:pStyle w:val="28"/>
        <w:spacing w:line="600" w:lineRule="exact"/>
        <w:ind w:firstLine="640"/>
        <w:outlineLvl w:val="1"/>
        <w:rPr>
          <w:rFonts w:hint="eastAsia" w:eastAsia="仿宋_GB2312" w:cs="仿宋_GB2312"/>
          <w:sz w:val="32"/>
          <w:szCs w:val="32"/>
          <w:lang w:val="en-US" w:eastAsia="zh-CN"/>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lang w:val="en-US" w:eastAsia="zh-CN"/>
        </w:rPr>
        <w:t>540.64</w:t>
      </w:r>
      <w:r>
        <w:rPr>
          <w:rFonts w:hint="eastAsia" w:eastAsia="仿宋_GB2312" w:cs="仿宋_GB2312"/>
          <w:sz w:val="32"/>
          <w:szCs w:val="32"/>
        </w:rPr>
        <w:t>万元。与2023年度相比，收入、支出总计各</w:t>
      </w:r>
      <w:r>
        <w:rPr>
          <w:rFonts w:hint="eastAsia" w:eastAsia="仿宋_GB2312" w:cs="仿宋_GB2312"/>
          <w:sz w:val="32"/>
          <w:szCs w:val="32"/>
          <w:lang w:eastAsia="zh-CN"/>
        </w:rPr>
        <w:t>减少</w:t>
      </w:r>
      <w:r>
        <w:rPr>
          <w:rFonts w:hint="eastAsia" w:eastAsia="仿宋_GB2312" w:cs="仿宋_GB2312"/>
          <w:sz w:val="32"/>
          <w:szCs w:val="32"/>
          <w:lang w:val="en-US" w:eastAsia="zh-CN"/>
        </w:rPr>
        <w:t>18.03</w:t>
      </w:r>
      <w:r>
        <w:rPr>
          <w:rFonts w:hint="eastAsia" w:eastAsia="仿宋_GB2312" w:cs="仿宋_GB2312"/>
          <w:sz w:val="32"/>
          <w:szCs w:val="32"/>
        </w:rPr>
        <w:t>万元，</w:t>
      </w:r>
      <w:r>
        <w:rPr>
          <w:rFonts w:hint="eastAsia" w:eastAsia="仿宋_GB2312" w:cs="仿宋_GB2312"/>
          <w:sz w:val="32"/>
          <w:szCs w:val="32"/>
          <w:lang w:eastAsia="zh-CN"/>
        </w:rPr>
        <w:t>下降</w:t>
      </w:r>
      <w:r>
        <w:rPr>
          <w:rFonts w:hint="eastAsia" w:eastAsia="仿宋_GB2312" w:cs="仿宋_GB2312"/>
          <w:sz w:val="32"/>
          <w:szCs w:val="32"/>
          <w:lang w:val="en-US" w:eastAsia="zh-CN"/>
        </w:rPr>
        <w:t>3.23</w:t>
      </w:r>
      <w:r>
        <w:rPr>
          <w:rFonts w:hint="eastAsia" w:eastAsia="仿宋_GB2312" w:cs="仿宋_GB2312"/>
          <w:sz w:val="32"/>
          <w:szCs w:val="32"/>
        </w:rPr>
        <w:t>%。主要变动原因是教师</w:t>
      </w:r>
      <w:r>
        <w:rPr>
          <w:rFonts w:hint="eastAsia" w:eastAsia="仿宋_GB2312" w:cs="仿宋_GB2312"/>
          <w:sz w:val="32"/>
          <w:szCs w:val="32"/>
          <w:lang w:eastAsia="zh-CN"/>
        </w:rPr>
        <w:t>教师退休，</w:t>
      </w:r>
      <w:r>
        <w:rPr>
          <w:rFonts w:hint="eastAsia" w:eastAsia="仿宋_GB2312" w:cs="仿宋_GB2312"/>
          <w:sz w:val="32"/>
          <w:szCs w:val="32"/>
        </w:rPr>
        <w:t>工资</w:t>
      </w:r>
      <w:r>
        <w:rPr>
          <w:rFonts w:hint="eastAsia" w:eastAsia="仿宋_GB2312" w:cs="仿宋_GB2312"/>
          <w:sz w:val="32"/>
          <w:szCs w:val="32"/>
          <w:lang w:eastAsia="zh-CN"/>
        </w:rPr>
        <w:t>等减少</w:t>
      </w:r>
      <w:r>
        <w:rPr>
          <w:rFonts w:hint="eastAsia" w:eastAsia="仿宋_GB2312" w:cs="仿宋_GB2312"/>
          <w:sz w:val="32"/>
          <w:szCs w:val="32"/>
          <w:lang w:val="en-US" w:eastAsia="zh-CN"/>
        </w:rPr>
        <w:t>。</w:t>
      </w:r>
    </w:p>
    <w:p w14:paraId="346CE1D9">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2E008660">
      <w:pPr>
        <w:pStyle w:val="5"/>
        <w:spacing w:before="93"/>
        <w:rPr>
          <w:rFonts w:ascii="Times New Roman" w:cs="仿宋_GB2312"/>
          <w:sz w:val="32"/>
          <w:szCs w:val="32"/>
        </w:rPr>
      </w:pPr>
      <w:r>
        <w:rPr>
          <w:rFonts w:hint="eastAsia"/>
        </w:rPr>
        <w:t xml:space="preserve"> </w:t>
      </w:r>
      <w:r>
        <w:rPr>
          <w:rFonts w:hint="eastAsia"/>
          <w:lang w:val="en-US" w:eastAsia="zh-CN"/>
        </w:rPr>
        <w:t xml:space="preserve">  </w:t>
      </w:r>
      <w:r>
        <w:rPr>
          <w:rFonts w:hint="eastAsia"/>
        </w:rPr>
        <w:t xml:space="preserve"> </w:t>
      </w:r>
      <w:r>
        <w:rPr>
          <w:rFonts w:hint="eastAsia"/>
        </w:rPr>
        <w:drawing>
          <wp:inline distT="0" distB="0" distL="114300" distR="114300">
            <wp:extent cx="4730750" cy="2865120"/>
            <wp:effectExtent l="0" t="0" r="12700" b="1143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9"/>
                    <a:stretch>
                      <a:fillRect/>
                    </a:stretch>
                  </pic:blipFill>
                  <pic:spPr>
                    <a:xfrm>
                      <a:off x="0" y="0"/>
                      <a:ext cx="4730750" cy="2865120"/>
                    </a:xfrm>
                    <a:prstGeom prst="rect">
                      <a:avLst/>
                    </a:prstGeom>
                  </pic:spPr>
                </pic:pic>
              </a:graphicData>
            </a:graphic>
          </wp:inline>
        </w:drawing>
      </w:r>
      <w:r>
        <w:rPr>
          <w:rFonts w:hint="eastAsia"/>
        </w:rPr>
        <w:t xml:space="preserve"> </w:t>
      </w:r>
    </w:p>
    <w:p w14:paraId="16404534">
      <w:pPr>
        <w:pStyle w:val="28"/>
        <w:spacing w:line="600" w:lineRule="exact"/>
        <w:ind w:left="0" w:leftChars="0" w:firstLine="640" w:firstLineChars="200"/>
        <w:outlineLvl w:val="1"/>
        <w:rPr>
          <w:rFonts w:eastAsia="黑体"/>
          <w:sz w:val="32"/>
          <w:szCs w:val="32"/>
        </w:rPr>
      </w:pPr>
      <w:bookmarkStart w:id="20" w:name="_Toc15377206"/>
      <w:bookmarkStart w:id="21" w:name="_Toc15396604"/>
      <w:r>
        <w:rPr>
          <w:rFonts w:hint="eastAsia" w:eastAsia="黑体"/>
          <w:sz w:val="32"/>
          <w:szCs w:val="32"/>
        </w:rPr>
        <w:t>二、收入决算情况说明</w:t>
      </w:r>
      <w:bookmarkEnd w:id="20"/>
      <w:bookmarkEnd w:id="21"/>
    </w:p>
    <w:p w14:paraId="159E1A42">
      <w:pPr>
        <w:pStyle w:val="28"/>
        <w:spacing w:line="600" w:lineRule="exact"/>
        <w:ind w:firstLine="64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538.83</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525.8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97.58</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6.19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%；国有资本经营预算财政拨款收入0万元，占0%；上级补助收入0万元，占0%；事业收入0万元，占0%；经营收入0万元，占0%；附属单位上缴收入0万元，占0%；其他收入</w:t>
      </w:r>
      <w:r>
        <w:rPr>
          <w:rFonts w:hint="eastAsia" w:ascii="仿宋_GB2312" w:hAnsi="仿宋_GB2312" w:eastAsia="仿宋_GB2312" w:cs="仿宋_GB2312"/>
          <w:sz w:val="32"/>
          <w:szCs w:val="32"/>
          <w:lang w:val="en-US" w:eastAsia="zh-CN"/>
        </w:rPr>
        <w:t>6.85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1.27</w:t>
      </w:r>
      <w:r>
        <w:rPr>
          <w:rFonts w:hint="eastAsia" w:ascii="仿宋_GB2312" w:hAnsi="仿宋_GB2312" w:eastAsia="仿宋_GB2312" w:cs="仿宋_GB2312"/>
          <w:sz w:val="32"/>
          <w:szCs w:val="32"/>
        </w:rPr>
        <w:t>%。</w:t>
      </w:r>
    </w:p>
    <w:p w14:paraId="62D11C43">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467E8ED4">
      <w:pPr>
        <w:pStyle w:val="5"/>
        <w:spacing w:before="93"/>
        <w:rPr>
          <w:rFonts w:ascii="Times New Roman" w:cs="仿宋_GB2312"/>
          <w:sz w:val="32"/>
          <w:szCs w:val="32"/>
        </w:rPr>
      </w:pPr>
      <w:r>
        <w:rPr>
          <w:rFonts w:hint="eastAsia" w:ascii="Times New Roman" w:cs="仿宋_GB2312"/>
          <w:sz w:val="32"/>
          <w:szCs w:val="32"/>
        </w:rPr>
        <w:t xml:space="preserve">     </w:t>
      </w:r>
      <w:r>
        <w:drawing>
          <wp:inline distT="0" distB="0" distL="114300" distR="114300">
            <wp:extent cx="4000500" cy="2669540"/>
            <wp:effectExtent l="4445" t="5080" r="14605" b="11430"/>
            <wp:docPr id="183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26DB02">
      <w:pPr>
        <w:pStyle w:val="28"/>
        <w:spacing w:line="600" w:lineRule="exact"/>
        <w:ind w:firstLine="640"/>
        <w:outlineLvl w:val="1"/>
        <w:rPr>
          <w:rStyle w:val="30"/>
          <w:rFonts w:ascii="Times New Roman" w:hAnsi="Times New Roman" w:eastAsia="黑体"/>
          <w:b w:val="0"/>
        </w:rPr>
      </w:pPr>
      <w:bookmarkStart w:id="22" w:name="_Toc15396605"/>
      <w:bookmarkStart w:id="23" w:name="_Toc15377207"/>
      <w:r>
        <w:rPr>
          <w:rFonts w:hint="eastAsia" w:eastAsia="黑体"/>
          <w:sz w:val="32"/>
          <w:szCs w:val="32"/>
        </w:rPr>
        <w:t>三、支</w:t>
      </w:r>
      <w:r>
        <w:rPr>
          <w:rStyle w:val="30"/>
          <w:rFonts w:hint="eastAsia" w:ascii="Times New Roman" w:hAnsi="Times New Roman" w:eastAsia="黑体"/>
          <w:b w:val="0"/>
        </w:rPr>
        <w:t>出决算情况说明</w:t>
      </w:r>
      <w:bookmarkEnd w:id="22"/>
      <w:bookmarkEnd w:id="23"/>
    </w:p>
    <w:p w14:paraId="6AA3122E">
      <w:pPr>
        <w:pStyle w:val="28"/>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539.26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474.59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88.01</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64.67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11.9</w:t>
      </w:r>
      <w:r>
        <w:rPr>
          <w:rFonts w:hint="eastAsia" w:ascii="仿宋_GB2312" w:hAnsi="仿宋_GB2312" w:eastAsia="仿宋_GB2312" w:cs="仿宋_GB2312"/>
          <w:sz w:val="32"/>
          <w:szCs w:val="32"/>
        </w:rPr>
        <w:t>%；上缴上级支出0万元，占0%；经营支出0万元，占0%；对附属单位补助支出0万元，占0%。</w:t>
      </w:r>
    </w:p>
    <w:p w14:paraId="0F90E35A">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745270BD">
      <w:pPr>
        <w:pStyle w:val="5"/>
        <w:spacing w:before="93"/>
        <w:rPr>
          <w:rFonts w:hint="eastAsia" w:ascii="Times New Roman" w:eastAsia="仿宋_GB2312" w:cs="仿宋_GB2312"/>
          <w:sz w:val="32"/>
          <w:szCs w:val="32"/>
          <w:lang w:eastAsia="zh-CN"/>
        </w:rPr>
      </w:pPr>
      <w:r>
        <w:rPr>
          <w:rFonts w:hint="eastAsia"/>
        </w:rPr>
        <w:t xml:space="preserve">    </w:t>
      </w:r>
      <w:r>
        <w:rPr>
          <w:rFonts w:hint="eastAsia" w:ascii="Times New Roman" w:eastAsia="仿宋_GB2312" w:cs="仿宋_GB2312"/>
          <w:sz w:val="32"/>
          <w:szCs w:val="32"/>
          <w:lang w:eastAsia="zh-CN"/>
        </w:rPr>
        <w:drawing>
          <wp:inline distT="0" distB="0" distL="114300" distR="114300">
            <wp:extent cx="4011295" cy="2755265"/>
            <wp:effectExtent l="0" t="0" r="8255" b="6985"/>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11"/>
                    <a:stretch>
                      <a:fillRect/>
                    </a:stretch>
                  </pic:blipFill>
                  <pic:spPr>
                    <a:xfrm>
                      <a:off x="0" y="0"/>
                      <a:ext cx="4011295" cy="2755265"/>
                    </a:xfrm>
                    <a:prstGeom prst="rect">
                      <a:avLst/>
                    </a:prstGeom>
                  </pic:spPr>
                </pic:pic>
              </a:graphicData>
            </a:graphic>
          </wp:inline>
        </w:drawing>
      </w:r>
    </w:p>
    <w:p w14:paraId="18B2CDEC">
      <w:pPr>
        <w:ind w:firstLine="800" w:firstLineChars="250"/>
        <w:rPr>
          <w:rFonts w:eastAsia="仿宋_GB2312" w:cs="仿宋_GB2312"/>
          <w:sz w:val="32"/>
          <w:szCs w:val="32"/>
        </w:rPr>
      </w:pPr>
    </w:p>
    <w:p w14:paraId="27D4ACFB">
      <w:pPr>
        <w:spacing w:line="600" w:lineRule="exact"/>
        <w:ind w:firstLine="640" w:firstLineChars="200"/>
        <w:outlineLvl w:val="1"/>
        <w:rPr>
          <w:rStyle w:val="30"/>
          <w:rFonts w:ascii="Times New Roman" w:hAnsi="Times New Roman" w:eastAsia="黑体"/>
          <w:b w:val="0"/>
        </w:rPr>
      </w:pPr>
      <w:bookmarkStart w:id="24" w:name="_Toc15396606"/>
      <w:bookmarkStart w:id="25" w:name="_Toc15377208"/>
      <w:r>
        <w:rPr>
          <w:rFonts w:hint="eastAsia" w:eastAsia="黑体"/>
          <w:sz w:val="32"/>
          <w:szCs w:val="32"/>
        </w:rPr>
        <w:t>四、财</w:t>
      </w:r>
      <w:r>
        <w:rPr>
          <w:rStyle w:val="30"/>
          <w:rFonts w:hint="eastAsia" w:ascii="Times New Roman" w:hAnsi="Times New Roman" w:eastAsia="黑体"/>
          <w:b w:val="0"/>
        </w:rPr>
        <w:t>政拨款收入支出决算总体情况说明</w:t>
      </w:r>
      <w:bookmarkEnd w:id="24"/>
      <w:bookmarkEnd w:id="25"/>
    </w:p>
    <w:p w14:paraId="42571745">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531.98</w:t>
      </w:r>
      <w:r>
        <w:rPr>
          <w:rFonts w:hint="eastAsia" w:eastAsia="仿宋_GB2312" w:cs="仿宋_GB2312"/>
          <w:sz w:val="32"/>
          <w:szCs w:val="32"/>
        </w:rPr>
        <w:t>万元。与2023年度相比，财政拨款收入总计、支出总计各</w:t>
      </w:r>
      <w:r>
        <w:rPr>
          <w:rFonts w:hint="eastAsia" w:eastAsia="仿宋_GB2312" w:cs="仿宋_GB2312"/>
          <w:sz w:val="32"/>
          <w:szCs w:val="32"/>
          <w:lang w:eastAsia="zh-CN"/>
        </w:rPr>
        <w:t>减少</w:t>
      </w:r>
      <w:r>
        <w:rPr>
          <w:rFonts w:hint="eastAsia" w:eastAsia="仿宋_GB2312" w:cs="仿宋_GB2312"/>
          <w:sz w:val="32"/>
          <w:szCs w:val="32"/>
          <w:lang w:val="en-US" w:eastAsia="zh-CN"/>
        </w:rPr>
        <w:t>17.27</w:t>
      </w:r>
      <w:r>
        <w:rPr>
          <w:rFonts w:hint="eastAsia" w:eastAsia="仿宋_GB2312" w:cs="仿宋_GB2312"/>
          <w:sz w:val="32"/>
          <w:szCs w:val="32"/>
        </w:rPr>
        <w:t>万元，</w:t>
      </w:r>
      <w:r>
        <w:rPr>
          <w:rFonts w:hint="eastAsia" w:eastAsia="仿宋_GB2312" w:cs="仿宋_GB2312"/>
          <w:sz w:val="32"/>
          <w:szCs w:val="32"/>
          <w:lang w:eastAsia="zh-CN"/>
        </w:rPr>
        <w:t>下降</w:t>
      </w:r>
      <w:r>
        <w:rPr>
          <w:rFonts w:hint="eastAsia" w:eastAsia="仿宋_GB2312" w:cs="仿宋_GB2312"/>
          <w:sz w:val="32"/>
          <w:szCs w:val="32"/>
          <w:lang w:val="en-US" w:eastAsia="zh-CN"/>
        </w:rPr>
        <w:t>3.14</w:t>
      </w:r>
      <w:r>
        <w:rPr>
          <w:rFonts w:hint="eastAsia" w:eastAsia="仿宋_GB2312" w:cs="仿宋_GB2312"/>
          <w:sz w:val="32"/>
          <w:szCs w:val="32"/>
        </w:rPr>
        <w:t>%。主要变动原因是教师</w:t>
      </w:r>
      <w:r>
        <w:rPr>
          <w:rFonts w:hint="eastAsia" w:eastAsia="仿宋_GB2312" w:cs="仿宋_GB2312"/>
          <w:sz w:val="32"/>
          <w:szCs w:val="32"/>
          <w:lang w:eastAsia="zh-CN"/>
        </w:rPr>
        <w:t>退休</w:t>
      </w:r>
      <w:r>
        <w:rPr>
          <w:rFonts w:hint="eastAsia" w:eastAsia="仿宋_GB2312" w:cs="仿宋_GB2312"/>
          <w:sz w:val="32"/>
          <w:szCs w:val="32"/>
        </w:rPr>
        <w:t>工资变动。</w:t>
      </w:r>
    </w:p>
    <w:p w14:paraId="74EB9522">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14:paraId="0FF2425A">
      <w:pPr>
        <w:pStyle w:val="5"/>
        <w:spacing w:before="93"/>
        <w:rPr>
          <w:rFonts w:hint="eastAsia" w:ascii="Times New Roman" w:eastAsia="仿宋_GB2312" w:cs="仿宋_GB2312"/>
          <w:kern w:val="2"/>
          <w:sz w:val="32"/>
          <w:szCs w:val="32"/>
          <w:lang w:eastAsia="zh-CN"/>
        </w:rPr>
      </w:pPr>
      <w:r>
        <w:rPr>
          <w:rFonts w:hint="eastAsia" w:ascii="Times New Roman" w:cs="仿宋_GB2312"/>
          <w:kern w:val="2"/>
          <w:sz w:val="32"/>
          <w:szCs w:val="32"/>
          <w:lang w:val="en-US" w:eastAsia="zh-CN"/>
        </w:rPr>
        <w:t xml:space="preserve">     </w:t>
      </w:r>
      <w:r>
        <w:rPr>
          <w:rFonts w:hint="eastAsia" w:ascii="Times New Roman" w:eastAsia="仿宋_GB2312" w:cs="仿宋_GB2312"/>
          <w:kern w:val="2"/>
          <w:sz w:val="32"/>
          <w:szCs w:val="32"/>
          <w:lang w:eastAsia="zh-CN"/>
        </w:rPr>
        <w:drawing>
          <wp:inline distT="0" distB="0" distL="114300" distR="114300">
            <wp:extent cx="4011295" cy="2926080"/>
            <wp:effectExtent l="0" t="0" r="8255" b="7620"/>
            <wp:docPr id="5" name="图片 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3"/>
                    <pic:cNvPicPr>
                      <a:picLocks noChangeAspect="1"/>
                    </pic:cNvPicPr>
                  </pic:nvPicPr>
                  <pic:blipFill>
                    <a:blip r:embed="rId12"/>
                    <a:stretch>
                      <a:fillRect/>
                    </a:stretch>
                  </pic:blipFill>
                  <pic:spPr>
                    <a:xfrm>
                      <a:off x="0" y="0"/>
                      <a:ext cx="4011295" cy="2926080"/>
                    </a:xfrm>
                    <a:prstGeom prst="rect">
                      <a:avLst/>
                    </a:prstGeom>
                  </pic:spPr>
                </pic:pic>
              </a:graphicData>
            </a:graphic>
          </wp:inline>
        </w:drawing>
      </w:r>
    </w:p>
    <w:p w14:paraId="461F35A7">
      <w:pPr>
        <w:pStyle w:val="5"/>
        <w:spacing w:before="93"/>
        <w:rPr>
          <w:rStyle w:val="30"/>
          <w:rFonts w:ascii="Times New Roman" w:hAnsi="Times New Roman" w:eastAsia="黑体"/>
          <w:b w:val="0"/>
        </w:rPr>
      </w:pPr>
      <w:r>
        <w:rPr>
          <w:rFonts w:hint="eastAsia" w:ascii="Times New Roman" w:cs="仿宋_GB2312"/>
          <w:kern w:val="2"/>
          <w:sz w:val="32"/>
          <w:szCs w:val="32"/>
          <w:lang w:val="en-US" w:eastAsia="zh-CN"/>
        </w:rPr>
        <w:t xml:space="preserve">   </w:t>
      </w:r>
      <w:bookmarkStart w:id="26" w:name="_Toc15377209"/>
      <w:bookmarkStart w:id="27" w:name="_Toc15396607"/>
      <w:r>
        <w:rPr>
          <w:rFonts w:hint="eastAsia" w:ascii="Times New Roman" w:cs="仿宋_GB2312"/>
          <w:kern w:val="2"/>
          <w:sz w:val="32"/>
          <w:szCs w:val="32"/>
          <w:lang w:val="en-US" w:eastAsia="zh-CN"/>
        </w:rPr>
        <w:t xml:space="preserve"> </w:t>
      </w:r>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6"/>
      <w:bookmarkEnd w:id="27"/>
    </w:p>
    <w:p w14:paraId="61EDE7E7">
      <w:pPr>
        <w:spacing w:line="600" w:lineRule="exact"/>
        <w:ind w:firstLine="643" w:firstLineChars="200"/>
        <w:outlineLvl w:val="2"/>
        <w:rPr>
          <w:rFonts w:eastAsia="楷体_GB2312" w:cs="楷体_GB2312"/>
          <w:b/>
          <w:sz w:val="32"/>
          <w:szCs w:val="32"/>
        </w:rPr>
      </w:pPr>
      <w:bookmarkStart w:id="28" w:name="_Toc15377210"/>
      <w:r>
        <w:rPr>
          <w:rFonts w:hint="eastAsia" w:eastAsia="楷体_GB2312" w:cs="楷体_GB2312"/>
          <w:b/>
          <w:sz w:val="32"/>
          <w:szCs w:val="32"/>
        </w:rPr>
        <w:t>（一）一般公共预算财政拨款支出决算总体情况</w:t>
      </w:r>
      <w:bookmarkEnd w:id="28"/>
    </w:p>
    <w:p w14:paraId="5D12C5DD">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525.8</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97.5</w:t>
      </w:r>
      <w:r>
        <w:rPr>
          <w:rFonts w:hint="eastAsia" w:ascii="仿宋_GB2312" w:hAnsi="仿宋_GB2312" w:eastAsia="仿宋_GB2312" w:cs="仿宋_GB2312"/>
          <w:sz w:val="32"/>
          <w:szCs w:val="32"/>
        </w:rPr>
        <w:t>%。与2023年度相比，一般公共预算财政拨款支出</w:t>
      </w:r>
      <w:r>
        <w:rPr>
          <w:rFonts w:hint="eastAsia" w:eastAsia="仿宋_GB2312" w:cs="仿宋_GB2312"/>
          <w:sz w:val="32"/>
          <w:szCs w:val="32"/>
          <w:lang w:eastAsia="zh-CN"/>
        </w:rPr>
        <w:t>减少</w:t>
      </w:r>
      <w:r>
        <w:rPr>
          <w:rFonts w:hint="eastAsia" w:eastAsia="仿宋_GB2312" w:cs="仿宋_GB2312"/>
          <w:sz w:val="32"/>
          <w:szCs w:val="32"/>
          <w:lang w:val="en-US" w:eastAsia="zh-CN"/>
        </w:rPr>
        <w:t>20.25</w:t>
      </w:r>
      <w:r>
        <w:rPr>
          <w:rFonts w:hint="eastAsia" w:ascii="仿宋_GB2312" w:hAnsi="仿宋_GB2312" w:eastAsia="仿宋_GB2312" w:cs="仿宋_GB2312"/>
          <w:sz w:val="32"/>
          <w:szCs w:val="32"/>
        </w:rPr>
        <w:t>万元，</w:t>
      </w:r>
      <w:r>
        <w:rPr>
          <w:rFonts w:hint="eastAsia" w:eastAsia="仿宋_GB2312" w:cs="仿宋_GB2312"/>
          <w:sz w:val="32"/>
          <w:szCs w:val="32"/>
          <w:lang w:eastAsia="zh-CN"/>
        </w:rPr>
        <w:t>下降</w:t>
      </w:r>
      <w:r>
        <w:rPr>
          <w:rFonts w:hint="eastAsia" w:eastAsia="仿宋_GB2312" w:cs="仿宋_GB2312"/>
          <w:sz w:val="32"/>
          <w:szCs w:val="32"/>
          <w:lang w:val="en-US" w:eastAsia="zh-CN"/>
        </w:rPr>
        <w:t>3.71</w:t>
      </w:r>
      <w:r>
        <w:rPr>
          <w:rFonts w:hint="eastAsia" w:ascii="仿宋_GB2312" w:hAnsi="仿宋_GB2312" w:eastAsia="仿宋_GB2312" w:cs="仿宋_GB2312"/>
          <w:sz w:val="32"/>
          <w:szCs w:val="32"/>
        </w:rPr>
        <w:t>%。主要变动原因</w:t>
      </w:r>
      <w:r>
        <w:rPr>
          <w:rFonts w:hint="eastAsia" w:eastAsia="仿宋_GB2312" w:cs="仿宋_GB2312"/>
          <w:sz w:val="32"/>
          <w:szCs w:val="32"/>
        </w:rPr>
        <w:t>教师</w:t>
      </w:r>
      <w:r>
        <w:rPr>
          <w:rFonts w:hint="eastAsia" w:eastAsia="仿宋_GB2312" w:cs="仿宋_GB2312"/>
          <w:sz w:val="32"/>
          <w:szCs w:val="32"/>
          <w:lang w:eastAsia="zh-CN"/>
        </w:rPr>
        <w:t>退休</w:t>
      </w:r>
      <w:r>
        <w:rPr>
          <w:rFonts w:hint="eastAsia" w:ascii="仿宋_GB2312" w:hAnsi="仿宋_GB2312" w:eastAsia="仿宋_GB2312" w:cs="仿宋_GB2312"/>
          <w:sz w:val="32"/>
          <w:szCs w:val="32"/>
        </w:rPr>
        <w:t>工资</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，各项保险费用也</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w:t>
      </w:r>
    </w:p>
    <w:p w14:paraId="328A597E">
      <w:pPr>
        <w:spacing w:line="600" w:lineRule="exact"/>
        <w:ind w:firstLine="640"/>
        <w:rPr>
          <w:rFonts w:ascii="Times New Roman" w:cs="仿宋_GB2312"/>
          <w:kern w:val="2"/>
          <w:sz w:val="32"/>
          <w:szCs w:val="32"/>
        </w:rPr>
      </w:pPr>
      <w:r>
        <w:rPr>
          <w:rFonts w:hint="eastAsia" w:eastAsia="仿宋_GB2312" w:cs="仿宋_GB2312"/>
          <w:sz w:val="32"/>
          <w:szCs w:val="32"/>
        </w:rPr>
        <w:t>（图5：一般公共预算财政拨款支出决算变动情况）（柱状图）</w:t>
      </w:r>
    </w:p>
    <w:p w14:paraId="48088AA4">
      <w:pPr>
        <w:pStyle w:val="5"/>
        <w:spacing w:before="93"/>
        <w:rPr>
          <w:rFonts w:eastAsia="楷体_GB2312" w:cs="楷体_GB2312"/>
          <w:b/>
          <w:sz w:val="32"/>
          <w:szCs w:val="32"/>
        </w:rPr>
      </w:pPr>
      <w:r>
        <w:rPr>
          <w:rFonts w:hint="eastAsia" w:ascii="Times New Roman" w:cs="仿宋_GB2312"/>
          <w:kern w:val="2"/>
          <w:sz w:val="32"/>
          <w:szCs w:val="32"/>
          <w:lang w:val="en-US" w:eastAsia="zh-CN"/>
        </w:rPr>
        <w:t xml:space="preserve">   </w:t>
      </w:r>
      <w:bookmarkStart w:id="29" w:name="_Toc15377211"/>
      <w:r>
        <w:rPr>
          <w:rFonts w:eastAsia="楷体_GB2312" w:cs="楷体_GB2312"/>
          <w:b/>
          <w:sz w:val="32"/>
          <w:szCs w:val="32"/>
        </w:rPr>
        <w:drawing>
          <wp:inline distT="0" distB="0" distL="114300" distR="114300">
            <wp:extent cx="4864735" cy="3273425"/>
            <wp:effectExtent l="0" t="0" r="0" b="3175"/>
            <wp:docPr id="7" name="图片 7"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5"/>
                    <pic:cNvPicPr>
                      <a:picLocks noChangeAspect="1"/>
                    </pic:cNvPicPr>
                  </pic:nvPicPr>
                  <pic:blipFill>
                    <a:blip r:embed="rId13"/>
                    <a:stretch>
                      <a:fillRect/>
                    </a:stretch>
                  </pic:blipFill>
                  <pic:spPr>
                    <a:xfrm>
                      <a:off x="0" y="0"/>
                      <a:ext cx="4864735" cy="3273425"/>
                    </a:xfrm>
                    <a:prstGeom prst="rect">
                      <a:avLst/>
                    </a:prstGeom>
                  </pic:spPr>
                </pic:pic>
              </a:graphicData>
            </a:graphic>
          </wp:inline>
        </w:drawing>
      </w:r>
    </w:p>
    <w:p w14:paraId="7129BFCF">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（二）一般公共预算财政拨款支出决算结构情况</w:t>
      </w:r>
      <w:bookmarkEnd w:id="29"/>
    </w:p>
    <w:p w14:paraId="0AC8BFA5">
      <w:pPr>
        <w:spacing w:line="600" w:lineRule="exact"/>
        <w:ind w:firstLine="640"/>
        <w:rPr>
          <w:rFonts w:eastAsia="仿宋_GB2312" w:cs="仿宋_GB2312"/>
          <w:b/>
          <w:bCs/>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525.8</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，主要用于以下方面：一般公共服务支出0万元，占0%；教育支出</w:t>
      </w:r>
      <w:r>
        <w:rPr>
          <w:rFonts w:hint="eastAsia" w:eastAsia="仿宋_GB2312" w:cs="仿宋_GB2312"/>
          <w:sz w:val="32"/>
          <w:szCs w:val="32"/>
          <w:lang w:val="en-US" w:eastAsia="zh-CN"/>
        </w:rPr>
        <w:t>400.64</w:t>
      </w:r>
      <w:r>
        <w:rPr>
          <w:rFonts w:hint="eastAsia" w:eastAsia="仿宋_GB2312" w:cs="仿宋_GB2312"/>
          <w:sz w:val="32"/>
          <w:szCs w:val="32"/>
        </w:rPr>
        <w:t>万元，占</w:t>
      </w:r>
      <w:r>
        <w:rPr>
          <w:rFonts w:hint="eastAsia" w:eastAsia="仿宋_GB2312" w:cs="仿宋_GB2312"/>
          <w:sz w:val="32"/>
          <w:szCs w:val="32"/>
          <w:lang w:val="en-US" w:eastAsia="zh-CN"/>
        </w:rPr>
        <w:t>76.2</w:t>
      </w:r>
      <w:r>
        <w:rPr>
          <w:rFonts w:hint="eastAsia" w:eastAsia="仿宋_GB2312" w:cs="仿宋_GB2312"/>
          <w:sz w:val="32"/>
          <w:szCs w:val="32"/>
        </w:rPr>
        <w:t>%；科学技术支出0万元，占0%；文化旅游体育与传媒支出0万元，占0%；社会保障和就业支出</w:t>
      </w:r>
      <w:r>
        <w:rPr>
          <w:rFonts w:hint="eastAsia" w:eastAsia="仿宋_GB2312" w:cs="仿宋_GB2312"/>
          <w:sz w:val="32"/>
          <w:szCs w:val="32"/>
          <w:lang w:val="en-US" w:eastAsia="zh-CN"/>
        </w:rPr>
        <w:t>74.52</w:t>
      </w:r>
      <w:r>
        <w:rPr>
          <w:rFonts w:hint="eastAsia" w:eastAsia="仿宋_GB2312" w:cs="仿宋_GB2312"/>
          <w:sz w:val="32"/>
          <w:szCs w:val="32"/>
        </w:rPr>
        <w:t>万元，占</w:t>
      </w:r>
      <w:r>
        <w:rPr>
          <w:rFonts w:hint="eastAsia" w:eastAsia="仿宋_GB2312" w:cs="仿宋_GB2312"/>
          <w:sz w:val="32"/>
          <w:szCs w:val="32"/>
          <w:lang w:val="en-US" w:eastAsia="zh-CN"/>
        </w:rPr>
        <w:t>14.17</w:t>
      </w:r>
      <w:r>
        <w:rPr>
          <w:rFonts w:hint="eastAsia" w:eastAsia="仿宋_GB2312" w:cs="仿宋_GB2312"/>
          <w:sz w:val="32"/>
          <w:szCs w:val="32"/>
        </w:rPr>
        <w:t>%；卫生健康支出</w:t>
      </w:r>
      <w:r>
        <w:rPr>
          <w:rFonts w:hint="eastAsia" w:eastAsia="仿宋_GB2312" w:cs="仿宋_GB2312"/>
          <w:sz w:val="32"/>
          <w:szCs w:val="32"/>
          <w:lang w:val="en-US" w:eastAsia="zh-CN"/>
        </w:rPr>
        <w:t>15.19</w:t>
      </w:r>
      <w:r>
        <w:rPr>
          <w:rFonts w:hint="eastAsia" w:eastAsia="仿宋_GB2312" w:cs="仿宋_GB2312"/>
          <w:sz w:val="32"/>
          <w:szCs w:val="32"/>
        </w:rPr>
        <w:t>万元，占</w:t>
      </w:r>
      <w:r>
        <w:rPr>
          <w:rFonts w:hint="eastAsia" w:eastAsia="仿宋_GB2312" w:cs="仿宋_GB2312"/>
          <w:sz w:val="32"/>
          <w:szCs w:val="32"/>
          <w:lang w:val="en-US" w:eastAsia="zh-CN"/>
        </w:rPr>
        <w:t>2.89</w:t>
      </w:r>
      <w:r>
        <w:rPr>
          <w:rFonts w:hint="eastAsia" w:eastAsia="仿宋_GB2312" w:cs="仿宋_GB2312"/>
          <w:sz w:val="32"/>
          <w:szCs w:val="32"/>
        </w:rPr>
        <w:t>%；住房保障支出</w:t>
      </w:r>
      <w:r>
        <w:rPr>
          <w:rFonts w:hint="eastAsia" w:eastAsia="仿宋_GB2312" w:cs="仿宋_GB2312"/>
          <w:sz w:val="32"/>
          <w:szCs w:val="32"/>
          <w:lang w:val="en-US" w:eastAsia="zh-CN"/>
        </w:rPr>
        <w:t>35.46</w:t>
      </w:r>
      <w:r>
        <w:rPr>
          <w:rFonts w:hint="eastAsia" w:eastAsia="仿宋_GB2312" w:cs="仿宋_GB2312"/>
          <w:sz w:val="32"/>
          <w:szCs w:val="32"/>
        </w:rPr>
        <w:t>万元，占</w:t>
      </w:r>
      <w:r>
        <w:rPr>
          <w:rFonts w:hint="eastAsia" w:eastAsia="仿宋_GB2312" w:cs="仿宋_GB2312"/>
          <w:sz w:val="32"/>
          <w:szCs w:val="32"/>
          <w:lang w:val="en-US" w:eastAsia="zh-CN"/>
        </w:rPr>
        <w:t>6.74</w:t>
      </w:r>
      <w:r>
        <w:rPr>
          <w:rFonts w:hint="eastAsia" w:eastAsia="仿宋_GB2312" w:cs="仿宋_GB2312"/>
          <w:sz w:val="32"/>
          <w:szCs w:val="32"/>
        </w:rPr>
        <w:t>%；</w:t>
      </w:r>
    </w:p>
    <w:p w14:paraId="3DA5BF74">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46AD433C">
      <w:pPr>
        <w:pStyle w:val="5"/>
        <w:keepNext w:val="0"/>
        <w:keepLines w:val="0"/>
        <w:pageBreakBefore w:val="0"/>
        <w:widowControl w:val="0"/>
        <w:kinsoku/>
        <w:wordWrap/>
        <w:overflowPunct/>
        <w:topLinePunct w:val="0"/>
        <w:autoSpaceDE/>
        <w:autoSpaceDN/>
        <w:bidi w:val="0"/>
        <w:adjustRightInd/>
        <w:snapToGrid/>
        <w:spacing w:before="93" w:line="360" w:lineRule="auto"/>
        <w:textAlignment w:val="auto"/>
        <w:rPr>
          <w:rFonts w:eastAsia="仿宋_GB2312" w:cs="仿宋_GB2312"/>
          <w:sz w:val="32"/>
          <w:szCs w:val="32"/>
        </w:rPr>
      </w:pPr>
      <w:r>
        <w:rPr>
          <w:rFonts w:hint="eastAsia"/>
          <w:lang w:val="en-US" w:eastAsia="zh-CN"/>
        </w:rPr>
        <w:t xml:space="preserve">   </w:t>
      </w:r>
      <w:r>
        <w:rPr>
          <w:rFonts w:eastAsia="仿宋_GB2312" w:cs="仿宋_GB2312"/>
          <w:sz w:val="32"/>
          <w:szCs w:val="32"/>
        </w:rPr>
        <w:drawing>
          <wp:inline distT="0" distB="0" distL="114300" distR="114300">
            <wp:extent cx="4748530" cy="3048000"/>
            <wp:effectExtent l="0" t="0" r="13970" b="0"/>
            <wp:docPr id="8" name="图片 8"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6"/>
                    <pic:cNvPicPr>
                      <a:picLocks noChangeAspect="1"/>
                    </pic:cNvPicPr>
                  </pic:nvPicPr>
                  <pic:blipFill>
                    <a:blip r:embed="rId14"/>
                    <a:stretch>
                      <a:fillRect/>
                    </a:stretch>
                  </pic:blipFill>
                  <pic:spPr>
                    <a:xfrm>
                      <a:off x="0" y="0"/>
                      <a:ext cx="4748530" cy="3048000"/>
                    </a:xfrm>
                    <a:prstGeom prst="rect">
                      <a:avLst/>
                    </a:prstGeom>
                  </pic:spPr>
                </pic:pic>
              </a:graphicData>
            </a:graphic>
          </wp:inline>
        </w:drawing>
      </w:r>
    </w:p>
    <w:p w14:paraId="73F41897">
      <w:pPr>
        <w:spacing w:line="600" w:lineRule="exact"/>
        <w:ind w:firstLine="643" w:firstLineChars="200"/>
        <w:outlineLvl w:val="2"/>
        <w:rPr>
          <w:rFonts w:eastAsia="楷体_GB2312" w:cs="楷体_GB2312"/>
          <w:b/>
          <w:sz w:val="32"/>
          <w:szCs w:val="32"/>
        </w:rPr>
      </w:pPr>
      <w:bookmarkStart w:id="30" w:name="_Toc15377212"/>
      <w:r>
        <w:rPr>
          <w:rFonts w:hint="eastAsia" w:eastAsia="楷体_GB2312" w:cs="楷体_GB2312"/>
          <w:b/>
          <w:sz w:val="32"/>
          <w:szCs w:val="32"/>
        </w:rPr>
        <w:t>（三）一般公共预算财政拨款支出决算具体情况</w:t>
      </w:r>
      <w:bookmarkEnd w:id="30"/>
    </w:p>
    <w:p w14:paraId="24A5180C">
      <w:pPr>
        <w:spacing w:line="600" w:lineRule="exact"/>
        <w:ind w:firstLine="640"/>
        <w:rPr>
          <w:rFonts w:eastAsia="仿宋_GB2312" w:cs="仿宋_GB2312"/>
          <w:sz w:val="32"/>
          <w:szCs w:val="32"/>
        </w:rPr>
      </w:pPr>
      <w:bookmarkStart w:id="31" w:name="_Toc15377444"/>
      <w:bookmarkStart w:id="32" w:name="_Toc15377213"/>
      <w:bookmarkStart w:id="33"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525.8</w:t>
      </w:r>
      <w:r>
        <w:rPr>
          <w:rFonts w:hint="eastAsia" w:ascii="仿宋_GB2312" w:hAnsi="仿宋_GB2312" w:eastAsia="仿宋_GB2312" w:cs="仿宋_GB2312"/>
          <w:sz w:val="32"/>
          <w:szCs w:val="32"/>
        </w:rPr>
        <w:t>，</w:t>
      </w:r>
      <w:r>
        <w:rPr>
          <w:rFonts w:hint="eastAsia" w:eastAsia="仿宋_GB2312" w:cs="仿宋_GB2312"/>
          <w:sz w:val="32"/>
          <w:szCs w:val="32"/>
        </w:rPr>
        <w:t>完成预算100%。其中：</w:t>
      </w:r>
      <w:bookmarkEnd w:id="31"/>
      <w:bookmarkEnd w:id="32"/>
      <w:bookmarkEnd w:id="33"/>
    </w:p>
    <w:p w14:paraId="29448263">
      <w:pPr>
        <w:spacing w:line="600" w:lineRule="exact"/>
        <w:ind w:firstLine="643" w:firstLineChars="200"/>
        <w:rPr>
          <w:rFonts w:ascii="仿宋" w:hAnsi="仿宋" w:eastAsia="仿宋"/>
          <w:b/>
          <w:sz w:val="32"/>
          <w:szCs w:val="32"/>
        </w:rPr>
      </w:pPr>
      <w:r>
        <w:rPr>
          <w:rStyle w:val="18"/>
          <w:rFonts w:ascii="仿宋" w:hAnsi="仿宋" w:eastAsia="仿宋"/>
          <w:bCs/>
          <w:sz w:val="32"/>
          <w:szCs w:val="32"/>
        </w:rPr>
        <w:t>1.</w:t>
      </w:r>
      <w:r>
        <w:rPr>
          <w:rStyle w:val="18"/>
          <w:rFonts w:hint="eastAsia" w:ascii="仿宋" w:hAnsi="仿宋" w:eastAsia="仿宋"/>
          <w:bCs/>
          <w:sz w:val="32"/>
          <w:szCs w:val="32"/>
        </w:rPr>
        <w:t>教育（类）普通教育（款）学前教育（项）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13.04</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38ADE7D4">
      <w:pPr>
        <w:spacing w:line="600" w:lineRule="exact"/>
        <w:ind w:firstLine="643" w:firstLineChars="200"/>
        <w:rPr>
          <w:rFonts w:ascii="仿宋" w:hAnsi="仿宋" w:eastAsia="仿宋"/>
          <w:b/>
          <w:sz w:val="32"/>
          <w:szCs w:val="32"/>
        </w:rPr>
      </w:pPr>
      <w:r>
        <w:rPr>
          <w:rStyle w:val="18"/>
          <w:rFonts w:ascii="仿宋" w:hAnsi="仿宋" w:eastAsia="仿宋"/>
          <w:bCs/>
          <w:sz w:val="32"/>
          <w:szCs w:val="32"/>
        </w:rPr>
        <w:t>2.</w:t>
      </w:r>
      <w:r>
        <w:rPr>
          <w:rStyle w:val="18"/>
          <w:rFonts w:hint="eastAsia" w:ascii="仿宋" w:hAnsi="仿宋" w:eastAsia="仿宋"/>
          <w:bCs/>
          <w:sz w:val="32"/>
          <w:szCs w:val="32"/>
        </w:rPr>
        <w:t>教育（类）普通教育（款）小学教育（项）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255.96</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626EA23B">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3.</w:t>
      </w:r>
      <w:r>
        <w:rPr>
          <w:rStyle w:val="18"/>
          <w:rFonts w:hint="eastAsia" w:ascii="仿宋" w:hAnsi="仿宋" w:eastAsia="仿宋"/>
          <w:bCs/>
          <w:sz w:val="32"/>
          <w:szCs w:val="32"/>
        </w:rPr>
        <w:t>教育（类）普通教育（款）其他普通教育（项）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118.92</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31F38E19">
      <w:pPr>
        <w:spacing w:line="600" w:lineRule="exact"/>
        <w:ind w:firstLine="643" w:firstLineChars="200"/>
        <w:rPr>
          <w:rFonts w:hint="eastAsia"/>
        </w:rPr>
      </w:pPr>
      <w:r>
        <w:rPr>
          <w:rStyle w:val="18"/>
          <w:rFonts w:hint="eastAsia" w:ascii="仿宋" w:hAnsi="仿宋" w:eastAsia="仿宋"/>
          <w:bCs/>
          <w:sz w:val="32"/>
          <w:szCs w:val="32"/>
        </w:rPr>
        <w:t>4、教育（类）教育费附加安排的支出（款）其他教育费附加安排的支出（项）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12.73</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7B5C7437">
      <w:pPr>
        <w:spacing w:line="600" w:lineRule="exact"/>
        <w:ind w:firstLine="643" w:firstLineChars="200"/>
        <w:rPr>
          <w:rFonts w:ascii="仿宋" w:hAnsi="仿宋" w:eastAsia="仿宋"/>
          <w:b/>
          <w:sz w:val="32"/>
          <w:szCs w:val="32"/>
        </w:rPr>
      </w:pPr>
      <w:r>
        <w:rPr>
          <w:rStyle w:val="18"/>
          <w:rFonts w:ascii="仿宋" w:hAnsi="仿宋" w:eastAsia="仿宋"/>
          <w:bCs/>
          <w:sz w:val="32"/>
          <w:szCs w:val="32"/>
        </w:rPr>
        <w:t>5.</w:t>
      </w:r>
      <w:r>
        <w:rPr>
          <w:rStyle w:val="18"/>
          <w:rFonts w:hint="eastAsia" w:ascii="仿宋" w:hAnsi="仿宋" w:eastAsia="仿宋"/>
          <w:bCs/>
          <w:sz w:val="32"/>
          <w:szCs w:val="32"/>
        </w:rPr>
        <w:t>社会保障和就业（类）行政事业单位养老（款）机关事业单位基本养老保险缴费（项）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35.94</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049728C7">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6.</w:t>
      </w:r>
      <w:r>
        <w:rPr>
          <w:rStyle w:val="18"/>
          <w:rFonts w:hint="eastAsia" w:ascii="仿宋" w:hAnsi="仿宋" w:eastAsia="仿宋"/>
          <w:bCs/>
          <w:sz w:val="32"/>
          <w:szCs w:val="32"/>
        </w:rPr>
        <w:t>社会保障和就业（类）行政事业单位养老（款）机关事业单位职业年金缴费（项）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22.19</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748AF516">
      <w:pPr>
        <w:pStyle w:val="5"/>
        <w:spacing w:before="93"/>
        <w:ind w:firstLine="643" w:firstLineChars="200"/>
        <w:rPr>
          <w:rStyle w:val="18"/>
          <w:rFonts w:ascii="仿宋" w:hAnsi="仿宋" w:eastAsia="仿宋"/>
          <w:b w:val="0"/>
          <w:bCs/>
          <w:color w:val="000000"/>
          <w:sz w:val="32"/>
          <w:szCs w:val="32"/>
        </w:rPr>
      </w:pPr>
      <w:r>
        <w:rPr>
          <w:rStyle w:val="18"/>
          <w:rFonts w:ascii="仿宋" w:hAnsi="仿宋" w:eastAsia="仿宋"/>
          <w:bCs/>
          <w:sz w:val="32"/>
          <w:szCs w:val="32"/>
        </w:rPr>
        <w:t>7.</w:t>
      </w:r>
      <w:r>
        <w:rPr>
          <w:rStyle w:val="18"/>
          <w:rFonts w:hint="eastAsia" w:ascii="仿宋" w:hAnsi="仿宋" w:eastAsia="仿宋"/>
          <w:bCs/>
          <w:sz w:val="32"/>
          <w:szCs w:val="32"/>
        </w:rPr>
        <w:t>社会保障和就业（类）抚恤（款）死亡抚恤（项）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color w:val="000000"/>
          <w:sz w:val="32"/>
          <w:szCs w:val="32"/>
        </w:rPr>
        <w:t>。</w:t>
      </w:r>
    </w:p>
    <w:p w14:paraId="44D69A53">
      <w:pPr>
        <w:pStyle w:val="5"/>
        <w:spacing w:before="93"/>
        <w:ind w:firstLine="643" w:firstLineChars="200"/>
      </w:pPr>
      <w:r>
        <w:rPr>
          <w:rStyle w:val="18"/>
          <w:rFonts w:ascii="仿宋" w:hAnsi="仿宋" w:eastAsia="仿宋"/>
          <w:bCs/>
          <w:sz w:val="32"/>
          <w:szCs w:val="32"/>
        </w:rPr>
        <w:t>8.</w:t>
      </w:r>
      <w:r>
        <w:rPr>
          <w:rStyle w:val="18"/>
          <w:rFonts w:hint="eastAsia" w:ascii="仿宋" w:hAnsi="仿宋" w:eastAsia="仿宋"/>
          <w:bCs/>
          <w:sz w:val="32"/>
          <w:szCs w:val="32"/>
        </w:rPr>
        <w:t>社会保障和就业（类）抚恤（款）其他优抚支出（项）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3.59</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color w:val="000000"/>
          <w:sz w:val="32"/>
          <w:szCs w:val="32"/>
        </w:rPr>
        <w:t>。</w:t>
      </w:r>
    </w:p>
    <w:p w14:paraId="5FBB6D55">
      <w:pPr>
        <w:pStyle w:val="5"/>
        <w:spacing w:before="93"/>
        <w:ind w:firstLine="643" w:firstLineChars="200"/>
      </w:pPr>
      <w:r>
        <w:rPr>
          <w:rStyle w:val="18"/>
          <w:rFonts w:ascii="仿宋" w:hAnsi="仿宋" w:eastAsia="仿宋"/>
          <w:bCs/>
          <w:sz w:val="32"/>
          <w:szCs w:val="32"/>
        </w:rPr>
        <w:t>9.</w:t>
      </w:r>
      <w:r>
        <w:rPr>
          <w:rStyle w:val="18"/>
          <w:rFonts w:hint="eastAsia" w:ascii="仿宋" w:hAnsi="仿宋" w:eastAsia="仿宋"/>
          <w:bCs/>
          <w:sz w:val="32"/>
          <w:szCs w:val="32"/>
        </w:rPr>
        <w:t>社会保障和就业（类）其他社会保障和就业（款）其他社会保障和就业支出（项）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12.8</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color w:val="000000"/>
          <w:sz w:val="32"/>
          <w:szCs w:val="32"/>
        </w:rPr>
        <w:t>。</w:t>
      </w:r>
    </w:p>
    <w:p w14:paraId="2D566841">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10.</w:t>
      </w:r>
      <w:r>
        <w:rPr>
          <w:rFonts w:hint="eastAsia" w:ascii="仿宋" w:hAnsi="仿宋" w:eastAsia="仿宋"/>
          <w:b/>
          <w:bCs/>
          <w:sz w:val="32"/>
          <w:szCs w:val="32"/>
        </w:rPr>
        <w:t>卫生健康</w:t>
      </w:r>
      <w:r>
        <w:rPr>
          <w:rStyle w:val="18"/>
          <w:rFonts w:hint="eastAsia" w:ascii="仿宋" w:hAnsi="仿宋" w:eastAsia="仿宋"/>
          <w:bCs/>
          <w:sz w:val="32"/>
          <w:szCs w:val="32"/>
        </w:rPr>
        <w:t>（类）行政事业单位医疗（款）事业单位医疗（项）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15.19</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03D93B78">
      <w:pPr>
        <w:pStyle w:val="5"/>
        <w:spacing w:before="93"/>
        <w:ind w:firstLine="643" w:firstLineChars="200"/>
      </w:pPr>
      <w:r>
        <w:rPr>
          <w:rStyle w:val="18"/>
          <w:rFonts w:hint="eastAsia" w:ascii="仿宋" w:hAnsi="仿宋" w:eastAsia="仿宋"/>
          <w:bCs/>
          <w:sz w:val="32"/>
          <w:szCs w:val="32"/>
        </w:rPr>
        <w:t>1</w:t>
      </w:r>
      <w:r>
        <w:rPr>
          <w:rStyle w:val="18"/>
          <w:rFonts w:ascii="仿宋" w:hAnsi="仿宋" w:eastAsia="仿宋"/>
          <w:bCs/>
          <w:sz w:val="32"/>
          <w:szCs w:val="32"/>
        </w:rPr>
        <w:t>1.</w:t>
      </w:r>
      <w:r>
        <w:rPr>
          <w:rStyle w:val="18"/>
          <w:rFonts w:hint="eastAsia" w:ascii="仿宋" w:hAnsi="仿宋" w:eastAsia="仿宋"/>
          <w:bCs/>
          <w:sz w:val="32"/>
          <w:szCs w:val="32"/>
        </w:rPr>
        <w:t>住房保障（类）住房改革（款）住房公积金（项）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35.46</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color w:val="000000"/>
          <w:sz w:val="32"/>
          <w:szCs w:val="32"/>
        </w:rPr>
        <w:t xml:space="preserve">。 </w:t>
      </w:r>
    </w:p>
    <w:p w14:paraId="20B1A595">
      <w:pPr>
        <w:tabs>
          <w:tab w:val="right" w:pos="8306"/>
        </w:tabs>
        <w:spacing w:line="600" w:lineRule="exact"/>
        <w:ind w:firstLine="640"/>
        <w:outlineLvl w:val="1"/>
        <w:rPr>
          <w:rStyle w:val="30"/>
          <w:rFonts w:ascii="Times New Roman" w:hAnsi="Times New Roman"/>
        </w:rPr>
      </w:pPr>
      <w:bookmarkStart w:id="34" w:name="_Toc15396608"/>
      <w:bookmarkStart w:id="35" w:name="_Toc15377214"/>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34"/>
      <w:bookmarkEnd w:id="35"/>
      <w:r>
        <w:rPr>
          <w:rStyle w:val="30"/>
          <w:rFonts w:ascii="Times New Roman" w:hAnsi="Times New Roman" w:eastAsia="黑体"/>
          <w:b w:val="0"/>
        </w:rPr>
        <w:tab/>
      </w:r>
    </w:p>
    <w:p w14:paraId="38ADB2D8">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474.59</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183CA2EF">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419.81</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22.63</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4026A6F">
      <w:pPr>
        <w:spacing w:line="600" w:lineRule="exact"/>
        <w:ind w:firstLine="640"/>
        <w:outlineLvl w:val="1"/>
        <w:rPr>
          <w:rStyle w:val="30"/>
          <w:rFonts w:ascii="Times New Roman" w:hAnsi="Times New Roman" w:eastAsia="黑体"/>
          <w:b w:val="0"/>
        </w:rPr>
      </w:pPr>
      <w:bookmarkStart w:id="36" w:name="_Toc15377215"/>
      <w:bookmarkStart w:id="37" w:name="_Toc15396609"/>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6"/>
      <w:bookmarkEnd w:id="37"/>
    </w:p>
    <w:p w14:paraId="183227F9">
      <w:pPr>
        <w:spacing w:line="600" w:lineRule="exact"/>
        <w:ind w:firstLine="643" w:firstLineChars="200"/>
        <w:outlineLvl w:val="2"/>
        <w:rPr>
          <w:rFonts w:eastAsia="楷体_GB2312" w:cs="楷体_GB2312"/>
          <w:b/>
          <w:sz w:val="32"/>
          <w:szCs w:val="32"/>
        </w:rPr>
      </w:pPr>
      <w:bookmarkStart w:id="38" w:name="_Toc15377216"/>
      <w:r>
        <w:rPr>
          <w:rFonts w:hint="eastAsia" w:eastAsia="楷体_GB2312" w:cs="楷体_GB2312"/>
          <w:b/>
          <w:sz w:val="32"/>
          <w:szCs w:val="32"/>
        </w:rPr>
        <w:t>（一）“三公”经费财政拨款支出决算总体情况说明</w:t>
      </w:r>
      <w:bookmarkEnd w:id="38"/>
    </w:p>
    <w:p w14:paraId="7BF3A90C">
      <w:pPr>
        <w:spacing w:line="600" w:lineRule="exact"/>
        <w:ind w:firstLine="640"/>
        <w:rPr>
          <w:rFonts w:ascii="仿宋_GB2312" w:hAnsi="仿宋_GB2312"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0万元，完成预算0%。</w:t>
      </w:r>
    </w:p>
    <w:p w14:paraId="30C2E15A">
      <w:pPr>
        <w:spacing w:line="600" w:lineRule="exact"/>
        <w:ind w:firstLine="643" w:firstLineChars="200"/>
        <w:outlineLvl w:val="2"/>
        <w:rPr>
          <w:rFonts w:eastAsia="楷体_GB2312" w:cs="楷体_GB2312"/>
          <w:b/>
          <w:sz w:val="32"/>
          <w:szCs w:val="32"/>
        </w:rPr>
      </w:pPr>
      <w:bookmarkStart w:id="39" w:name="_Toc15377217"/>
      <w:r>
        <w:rPr>
          <w:rFonts w:hint="eastAsia" w:eastAsia="楷体_GB2312" w:cs="楷体_GB2312"/>
          <w:b/>
          <w:sz w:val="32"/>
          <w:szCs w:val="32"/>
        </w:rPr>
        <w:t>（二）“三公”经费财政拨款支出决算具体情况说明</w:t>
      </w:r>
      <w:bookmarkEnd w:id="39"/>
    </w:p>
    <w:p w14:paraId="32DA58D6">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2024年度“三公”经费财政拨款支出决算中，因公出国（境）费支出决算0万元，占0%；公务用车购置及运行维护费支出决算0万元，占0%；公务接待费支出决算0万元，占0%。具体情况如下：</w:t>
      </w:r>
    </w:p>
    <w:p w14:paraId="3164C724">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w:t>
      </w:r>
    </w:p>
    <w:p w14:paraId="4855C573">
      <w:pPr>
        <w:spacing w:line="600" w:lineRule="exact"/>
        <w:ind w:left="319" w:leftChars="152" w:firstLine="655" w:firstLineChars="204"/>
        <w:rPr>
          <w:rFonts w:eastAsia="仿宋_GB2312" w:cs="仿宋_GB2312"/>
          <w:b/>
          <w:bCs/>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 xml:space="preserve">元，完成预算0%。 </w:t>
      </w:r>
    </w:p>
    <w:p w14:paraId="6981B740">
      <w:pPr>
        <w:spacing w:line="600" w:lineRule="exact"/>
        <w:ind w:left="319" w:leftChars="152" w:firstLine="652" w:firstLineChars="204"/>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万元。全年按规定更新购置公务用车0辆，其中：轿车0辆、金额0万元，越野车0辆、金额0万元，载客汽车0辆、金额0万元。截至2024年12月31日，单位共有公务用车0辆，其中：轿车0辆、越野车0辆、载客汽车0辆。</w:t>
      </w:r>
    </w:p>
    <w:p w14:paraId="5DA9D501">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14:paraId="188975AA">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其中：</w:t>
      </w:r>
    </w:p>
    <w:p w14:paraId="02B61B43">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出0万</w:t>
      </w:r>
      <w:r>
        <w:rPr>
          <w:rFonts w:hint="eastAsia" w:eastAsia="仿宋_GB2312" w:cs="仿宋_GB2312"/>
          <w:sz w:val="32"/>
          <w:szCs w:val="32"/>
        </w:rPr>
        <w:t>元。</w:t>
      </w:r>
    </w:p>
    <w:p w14:paraId="4BC2BBE1">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w:t>
      </w:r>
      <w:r>
        <w:rPr>
          <w:rFonts w:hint="eastAsia" w:eastAsia="仿宋_GB2312" w:cs="仿宋_GB2312"/>
          <w:sz w:val="32"/>
          <w:szCs w:val="32"/>
        </w:rPr>
        <w:t>。</w:t>
      </w:r>
      <w:bookmarkStart w:id="40" w:name="_Toc15377218"/>
      <w:bookmarkStart w:id="41" w:name="_Toc15396610"/>
    </w:p>
    <w:p w14:paraId="20E66BC0">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40"/>
      <w:bookmarkEnd w:id="41"/>
    </w:p>
    <w:p w14:paraId="61A2EF99">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6.19</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w:t>
      </w:r>
      <w:r>
        <w:rPr>
          <w:rFonts w:hint="eastAsia" w:eastAsia="仿宋_GB2312" w:cs="仿宋_GB2312"/>
          <w:sz w:val="32"/>
          <w:szCs w:val="32"/>
        </w:rPr>
        <w:t>。与2023年度相比，政府性基金预算财政拨款支出</w:t>
      </w:r>
      <w:r>
        <w:rPr>
          <w:rFonts w:hint="eastAsia" w:eastAsia="仿宋_GB2312" w:cs="仿宋_GB2312"/>
          <w:sz w:val="32"/>
          <w:szCs w:val="32"/>
          <w:lang w:eastAsia="zh-CN"/>
        </w:rPr>
        <w:t>增加</w:t>
      </w:r>
      <w:r>
        <w:rPr>
          <w:rFonts w:hint="eastAsia" w:eastAsia="仿宋_GB2312" w:cs="仿宋_GB2312"/>
          <w:sz w:val="32"/>
          <w:szCs w:val="32"/>
          <w:lang w:val="en-US" w:eastAsia="zh-CN"/>
        </w:rPr>
        <w:t>2.99</w:t>
      </w:r>
      <w:r>
        <w:rPr>
          <w:rFonts w:hint="eastAsia" w:eastAsia="仿宋_GB2312" w:cs="仿宋_GB2312"/>
          <w:sz w:val="32"/>
          <w:szCs w:val="32"/>
        </w:rPr>
        <w:t>万元，</w:t>
      </w:r>
      <w:r>
        <w:rPr>
          <w:rFonts w:hint="eastAsia" w:eastAsia="仿宋_GB2312" w:cs="仿宋_GB2312"/>
          <w:sz w:val="32"/>
          <w:szCs w:val="32"/>
          <w:lang w:eastAsia="zh-CN"/>
        </w:rPr>
        <w:t>上升</w:t>
      </w:r>
      <w:r>
        <w:rPr>
          <w:rFonts w:hint="eastAsia" w:eastAsia="仿宋_GB2312" w:cs="仿宋_GB2312"/>
          <w:sz w:val="32"/>
          <w:szCs w:val="32"/>
          <w:lang w:val="en-US" w:eastAsia="zh-CN"/>
        </w:rPr>
        <w:t>93.44</w:t>
      </w:r>
      <w:r>
        <w:rPr>
          <w:rFonts w:hint="eastAsia" w:eastAsia="仿宋_GB2312" w:cs="仿宋_GB2312"/>
          <w:sz w:val="32"/>
          <w:szCs w:val="32"/>
        </w:rPr>
        <w:t>%。主要变动原因是本年</w:t>
      </w:r>
      <w:r>
        <w:rPr>
          <w:rFonts w:hint="eastAsia" w:eastAsia="仿宋_GB2312" w:cs="仿宋_GB2312"/>
          <w:sz w:val="32"/>
          <w:szCs w:val="32"/>
          <w:lang w:eastAsia="zh-CN"/>
        </w:rPr>
        <w:t>增加</w:t>
      </w:r>
      <w:r>
        <w:rPr>
          <w:rFonts w:hint="eastAsia" w:eastAsia="仿宋_GB2312" w:cs="仿宋_GB2312"/>
          <w:sz w:val="32"/>
          <w:szCs w:val="32"/>
        </w:rPr>
        <w:t>工程款支出。</w:t>
      </w:r>
    </w:p>
    <w:p w14:paraId="2971C1D6">
      <w:pPr>
        <w:spacing w:line="600" w:lineRule="exact"/>
        <w:ind w:left="630"/>
        <w:outlineLvl w:val="1"/>
        <w:rPr>
          <w:rStyle w:val="30"/>
          <w:rFonts w:ascii="Times New Roman" w:hAnsi="Times New Roman" w:eastAsia="黑体"/>
          <w:b w:val="0"/>
        </w:rPr>
      </w:pPr>
      <w:bookmarkStart w:id="42" w:name="_Toc15396611"/>
      <w:bookmarkStart w:id="43" w:name="_Toc15377219"/>
      <w:r>
        <w:rPr>
          <w:rStyle w:val="30"/>
          <w:rFonts w:hint="eastAsia" w:ascii="Times New Roman" w:hAnsi="Times New Roman" w:eastAsia="黑体"/>
          <w:b w:val="0"/>
        </w:rPr>
        <w:t>九、国有资本经营预算支出决算情况说明</w:t>
      </w:r>
      <w:bookmarkEnd w:id="42"/>
      <w:bookmarkEnd w:id="43"/>
    </w:p>
    <w:p w14:paraId="0FDAB7A9">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。与2023年度决算数持平。</w:t>
      </w:r>
    </w:p>
    <w:p w14:paraId="3F490AA8">
      <w:pPr>
        <w:spacing w:line="600" w:lineRule="exact"/>
        <w:ind w:left="630"/>
        <w:outlineLvl w:val="1"/>
        <w:rPr>
          <w:rStyle w:val="30"/>
          <w:rFonts w:ascii="Times New Roman" w:hAnsi="Times New Roman" w:eastAsia="黑体"/>
          <w:b w:val="0"/>
        </w:rPr>
      </w:pPr>
      <w:bookmarkStart w:id="44" w:name="_Toc15377221"/>
      <w:bookmarkStart w:id="45" w:name="_Toc15396612"/>
      <w:r>
        <w:rPr>
          <w:rStyle w:val="30"/>
          <w:rFonts w:hint="eastAsia" w:ascii="Times New Roman" w:hAnsi="Times New Roman" w:eastAsia="黑体"/>
          <w:b w:val="0"/>
        </w:rPr>
        <w:t>十、其他重要事项的情况说明</w:t>
      </w:r>
      <w:bookmarkEnd w:id="44"/>
      <w:bookmarkEnd w:id="45"/>
    </w:p>
    <w:p w14:paraId="07DEB887">
      <w:pPr>
        <w:spacing w:line="600" w:lineRule="exact"/>
        <w:ind w:firstLine="643" w:firstLineChars="200"/>
        <w:outlineLvl w:val="2"/>
        <w:rPr>
          <w:rFonts w:eastAsia="楷体_GB2312" w:cs="楷体_GB2312"/>
          <w:b/>
          <w:sz w:val="32"/>
          <w:szCs w:val="32"/>
        </w:rPr>
      </w:pPr>
      <w:bookmarkStart w:id="46" w:name="_Toc15377222"/>
      <w:r>
        <w:rPr>
          <w:rFonts w:hint="eastAsia" w:eastAsia="楷体_GB2312" w:cs="楷体_GB2312"/>
          <w:b/>
          <w:sz w:val="32"/>
          <w:szCs w:val="32"/>
        </w:rPr>
        <w:t>（一）机关运行经费支出情况</w:t>
      </w:r>
      <w:bookmarkEnd w:id="46"/>
    </w:p>
    <w:p w14:paraId="041346B8">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，峨眉山市</w:t>
      </w:r>
      <w:r>
        <w:rPr>
          <w:rFonts w:hint="eastAsia" w:ascii="仿宋_GB2312" w:hAnsi="仿宋_GB2312" w:eastAsia="仿宋_GB2312" w:cs="仿宋_GB2312"/>
          <w:sz w:val="32"/>
          <w:szCs w:val="32"/>
          <w:lang w:eastAsia="zh-CN"/>
        </w:rPr>
        <w:t>龙门乡中心</w:t>
      </w:r>
      <w:r>
        <w:rPr>
          <w:rFonts w:hint="eastAsia" w:ascii="仿宋_GB2312" w:hAnsi="仿宋_GB2312" w:eastAsia="仿宋_GB2312" w:cs="仿宋_GB2312"/>
          <w:sz w:val="32"/>
          <w:szCs w:val="32"/>
        </w:rPr>
        <w:t>小学校机关运行经费支出0万</w:t>
      </w:r>
      <w:r>
        <w:rPr>
          <w:rFonts w:hint="eastAsia" w:eastAsia="仿宋_GB2312" w:cs="仿宋_GB2312"/>
          <w:sz w:val="32"/>
          <w:szCs w:val="32"/>
        </w:rPr>
        <w:t>元，与2023年度决算数持平。</w:t>
      </w:r>
    </w:p>
    <w:p w14:paraId="6727E6CC">
      <w:pPr>
        <w:spacing w:line="600" w:lineRule="exact"/>
        <w:ind w:firstLine="643" w:firstLineChars="200"/>
        <w:outlineLvl w:val="2"/>
        <w:rPr>
          <w:rFonts w:eastAsia="楷体_GB2312" w:cs="楷体_GB2312"/>
          <w:b/>
          <w:sz w:val="32"/>
          <w:szCs w:val="32"/>
        </w:rPr>
      </w:pPr>
      <w:bookmarkStart w:id="47" w:name="_Toc15377223"/>
      <w:r>
        <w:rPr>
          <w:rFonts w:hint="eastAsia" w:eastAsia="楷体_GB2312" w:cs="楷体_GB2312"/>
          <w:b/>
          <w:sz w:val="32"/>
          <w:szCs w:val="32"/>
        </w:rPr>
        <w:t>（二）政府采购支出情况</w:t>
      </w:r>
      <w:bookmarkEnd w:id="47"/>
    </w:p>
    <w:p w14:paraId="2288975E">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2024年度，峨眉山市</w:t>
      </w:r>
      <w:r>
        <w:rPr>
          <w:rFonts w:hint="eastAsia" w:ascii="仿宋_GB2312" w:hAnsi="仿宋_GB2312" w:eastAsia="仿宋_GB2312" w:cs="仿宋_GB2312"/>
          <w:sz w:val="32"/>
          <w:szCs w:val="32"/>
          <w:lang w:eastAsia="zh-CN"/>
        </w:rPr>
        <w:t>龙门乡中心</w:t>
      </w:r>
      <w:r>
        <w:rPr>
          <w:rFonts w:hint="eastAsia" w:ascii="仿宋_GB2312" w:hAnsi="仿宋_GB2312" w:eastAsia="仿宋_GB2312" w:cs="仿宋_GB2312"/>
          <w:sz w:val="32"/>
          <w:szCs w:val="32"/>
        </w:rPr>
        <w:t>小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47BCDC7B">
      <w:pPr>
        <w:spacing w:line="600" w:lineRule="exact"/>
        <w:ind w:firstLine="643" w:firstLineChars="200"/>
        <w:outlineLvl w:val="2"/>
        <w:rPr>
          <w:rFonts w:eastAsia="楷体_GB2312" w:cs="楷体_GB2312"/>
          <w:b/>
          <w:sz w:val="32"/>
          <w:szCs w:val="32"/>
        </w:rPr>
      </w:pPr>
      <w:bookmarkStart w:id="48" w:name="_Toc15377224"/>
      <w:r>
        <w:rPr>
          <w:rFonts w:hint="eastAsia" w:eastAsia="楷体_GB2312" w:cs="楷体_GB2312"/>
          <w:b/>
          <w:sz w:val="32"/>
          <w:szCs w:val="32"/>
        </w:rPr>
        <w:t>（三）国有资产占有使用情况</w:t>
      </w:r>
      <w:bookmarkEnd w:id="48"/>
    </w:p>
    <w:p w14:paraId="3D661A8B">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截至2024年12月31日，峨眉山市</w:t>
      </w:r>
      <w:r>
        <w:rPr>
          <w:rFonts w:hint="eastAsia" w:ascii="仿宋_GB2312" w:hAnsi="仿宋_GB2312" w:eastAsia="仿宋_GB2312" w:cs="仿宋_GB2312"/>
          <w:sz w:val="32"/>
          <w:szCs w:val="32"/>
          <w:lang w:eastAsia="zh-CN"/>
        </w:rPr>
        <w:t>峨山龙门乡</w:t>
      </w:r>
      <w:r>
        <w:rPr>
          <w:rFonts w:hint="eastAsia" w:ascii="仿宋_GB2312" w:hAnsi="仿宋_GB2312" w:eastAsia="仿宋_GB2312" w:cs="仿宋_GB2312"/>
          <w:sz w:val="32"/>
          <w:szCs w:val="32"/>
        </w:rPr>
        <w:t>小学校共有车辆0辆，其中：主要负责人用车0辆、机要通信用车0辆、应急保障用车0辆、其他用车0辆。单价100万元（含）以上设备（不含车辆）0台（套）</w:t>
      </w:r>
      <w:r>
        <w:rPr>
          <w:rFonts w:hint="eastAsia" w:eastAsia="仿宋_GB2312" w:cs="仿宋_GB2312"/>
          <w:sz w:val="32"/>
          <w:szCs w:val="32"/>
        </w:rPr>
        <w:t>。</w:t>
      </w:r>
    </w:p>
    <w:p w14:paraId="08591B2D">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2032485C">
      <w:pPr>
        <w:spacing w:line="600" w:lineRule="exact"/>
        <w:ind w:firstLine="640"/>
        <w:rPr>
          <w:rFonts w:eastAsia="仿宋_GB2312" w:cs="仿宋_GB2312"/>
          <w:sz w:val="32"/>
          <w:szCs w:val="32"/>
        </w:rPr>
      </w:pPr>
      <w:r>
        <w:rPr>
          <w:rFonts w:hint="eastAsia" w:eastAsia="仿宋_GB2312" w:cs="仿宋_GB2312"/>
          <w:sz w:val="32"/>
          <w:szCs w:val="32"/>
        </w:rPr>
        <w:t>根据预算绩效管理要求，本单位在2024年度预算编制阶段，组织对</w:t>
      </w:r>
      <w:r>
        <w:rPr>
          <w:rFonts w:ascii="宋体" w:hAnsi="宋体" w:cs="宋体"/>
          <w:color w:val="000000"/>
          <w:kern w:val="0"/>
          <w:sz w:val="30"/>
          <w:szCs w:val="30"/>
          <w:lang w:bidi="ar"/>
        </w:rPr>
        <w:t>城乡义务教育生均公用经费（小学）</w:t>
      </w:r>
      <w:r>
        <w:rPr>
          <w:rFonts w:hint="eastAsia" w:eastAsia="仿宋_GB2312" w:cs="仿宋_GB2312"/>
          <w:sz w:val="32"/>
          <w:szCs w:val="32"/>
        </w:rPr>
        <w:t>等</w:t>
      </w:r>
      <w:r>
        <w:rPr>
          <w:rFonts w:hint="eastAsia" w:eastAsia="仿宋_GB2312" w:cs="仿宋_GB2312"/>
          <w:sz w:val="32"/>
          <w:szCs w:val="32"/>
          <w:lang w:val="en-US" w:eastAsia="zh-CN"/>
        </w:rPr>
        <w:t>6</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6</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6</w:t>
      </w:r>
      <w:r>
        <w:rPr>
          <w:rFonts w:hint="eastAsia" w:eastAsia="仿宋_GB2312" w:cs="仿宋_GB2312"/>
          <w:sz w:val="32"/>
          <w:szCs w:val="32"/>
        </w:rPr>
        <w:t>个项目开展绩效监控</w:t>
      </w:r>
      <w:r>
        <w:rPr>
          <w:rFonts w:hint="eastAsia" w:ascii="仿宋_GB2312" w:eastAsia="仿宋_GB2312"/>
          <w:sz w:val="32"/>
          <w:szCs w:val="32"/>
        </w:rPr>
        <w:t>组织对</w:t>
      </w:r>
      <w:r>
        <w:rPr>
          <w:rFonts w:hint="eastAsia" w:ascii="仿宋_GB2312" w:eastAsia="仿宋_GB2312"/>
          <w:sz w:val="32"/>
          <w:szCs w:val="32"/>
          <w:lang w:val="en-US" w:eastAsia="zh-CN"/>
        </w:rPr>
        <w:t>6</w:t>
      </w:r>
      <w:r>
        <w:rPr>
          <w:rFonts w:hint="eastAsia" w:ascii="仿宋_GB2312" w:eastAsia="仿宋_GB2312"/>
          <w:sz w:val="32"/>
          <w:szCs w:val="32"/>
        </w:rPr>
        <w:t>个项目开展绩效自评，绩效自评表详见第四部分附件。</w:t>
      </w:r>
    </w:p>
    <w:p w14:paraId="42DE0B04">
      <w:pPr>
        <w:spacing w:line="600" w:lineRule="exact"/>
        <w:ind w:firstLine="640"/>
        <w:rPr>
          <w:rFonts w:eastAsia="仿宋_GB2312" w:cs="仿宋_GB2312"/>
          <w:sz w:val="32"/>
          <w:szCs w:val="32"/>
        </w:rPr>
      </w:pPr>
    </w:p>
    <w:p w14:paraId="3950C31A">
      <w:pPr>
        <w:spacing w:line="600" w:lineRule="exact"/>
        <w:jc w:val="center"/>
        <w:outlineLvl w:val="0"/>
        <w:rPr>
          <w:rFonts w:eastAsia="黑体"/>
          <w:sz w:val="44"/>
          <w:szCs w:val="44"/>
        </w:rPr>
      </w:pPr>
      <w:bookmarkStart w:id="49" w:name="_Toc15396613"/>
      <w:bookmarkStart w:id="50" w:name="_Toc15377225"/>
    </w:p>
    <w:p w14:paraId="47EE4E1D">
      <w:pPr>
        <w:spacing w:line="600" w:lineRule="exact"/>
        <w:jc w:val="center"/>
        <w:outlineLvl w:val="0"/>
        <w:rPr>
          <w:rFonts w:eastAsia="黑体"/>
          <w:sz w:val="44"/>
          <w:szCs w:val="44"/>
        </w:rPr>
      </w:pPr>
    </w:p>
    <w:p w14:paraId="09BCEAA1">
      <w:pPr>
        <w:spacing w:line="600" w:lineRule="exact"/>
        <w:jc w:val="center"/>
        <w:outlineLvl w:val="0"/>
        <w:rPr>
          <w:rFonts w:eastAsia="黑体"/>
          <w:sz w:val="44"/>
          <w:szCs w:val="44"/>
        </w:rPr>
      </w:pPr>
    </w:p>
    <w:p w14:paraId="6323C542">
      <w:pPr>
        <w:spacing w:line="600" w:lineRule="exact"/>
        <w:jc w:val="center"/>
        <w:outlineLvl w:val="0"/>
        <w:rPr>
          <w:rFonts w:eastAsia="黑体"/>
          <w:sz w:val="44"/>
          <w:szCs w:val="44"/>
        </w:rPr>
      </w:pPr>
    </w:p>
    <w:p w14:paraId="594B60BD">
      <w:pPr>
        <w:spacing w:line="600" w:lineRule="exact"/>
        <w:jc w:val="center"/>
        <w:outlineLvl w:val="0"/>
        <w:rPr>
          <w:rFonts w:eastAsia="黑体"/>
          <w:sz w:val="44"/>
          <w:szCs w:val="44"/>
        </w:rPr>
      </w:pPr>
    </w:p>
    <w:p w14:paraId="50A379E5">
      <w:pPr>
        <w:spacing w:line="600" w:lineRule="exact"/>
        <w:jc w:val="center"/>
        <w:outlineLvl w:val="0"/>
        <w:rPr>
          <w:rFonts w:eastAsia="黑体"/>
          <w:sz w:val="44"/>
          <w:szCs w:val="44"/>
        </w:rPr>
      </w:pPr>
    </w:p>
    <w:p w14:paraId="4C505F44">
      <w:pPr>
        <w:spacing w:line="600" w:lineRule="exact"/>
        <w:jc w:val="center"/>
        <w:outlineLvl w:val="0"/>
        <w:rPr>
          <w:rFonts w:eastAsia="黑体"/>
          <w:sz w:val="44"/>
          <w:szCs w:val="44"/>
        </w:rPr>
      </w:pPr>
    </w:p>
    <w:p w14:paraId="52EFADF2">
      <w:pPr>
        <w:spacing w:line="600" w:lineRule="exact"/>
        <w:jc w:val="center"/>
        <w:outlineLvl w:val="0"/>
        <w:rPr>
          <w:rFonts w:eastAsia="黑体"/>
          <w:sz w:val="44"/>
          <w:szCs w:val="44"/>
        </w:rPr>
      </w:pPr>
    </w:p>
    <w:p w14:paraId="1D2B8A4E">
      <w:pPr>
        <w:spacing w:line="600" w:lineRule="exact"/>
        <w:jc w:val="center"/>
        <w:outlineLvl w:val="0"/>
        <w:rPr>
          <w:rFonts w:eastAsia="黑体"/>
          <w:sz w:val="44"/>
          <w:szCs w:val="44"/>
        </w:rPr>
      </w:pPr>
    </w:p>
    <w:p w14:paraId="7DE4698B">
      <w:pPr>
        <w:spacing w:line="600" w:lineRule="exact"/>
        <w:jc w:val="center"/>
        <w:outlineLvl w:val="0"/>
        <w:rPr>
          <w:rFonts w:eastAsia="黑体"/>
          <w:sz w:val="44"/>
          <w:szCs w:val="44"/>
        </w:rPr>
      </w:pPr>
      <w:r>
        <w:rPr>
          <w:rFonts w:hint="eastAsia" w:eastAsia="黑体"/>
          <w:sz w:val="44"/>
          <w:szCs w:val="44"/>
        </w:rPr>
        <w:t>第三部分  名词解释</w:t>
      </w:r>
      <w:bookmarkEnd w:id="49"/>
      <w:bookmarkEnd w:id="50"/>
    </w:p>
    <w:p w14:paraId="5B00B8D5">
      <w:pPr>
        <w:spacing w:line="600" w:lineRule="exact"/>
        <w:jc w:val="left"/>
        <w:rPr>
          <w:b/>
          <w:sz w:val="44"/>
          <w:szCs w:val="44"/>
        </w:rPr>
      </w:pPr>
    </w:p>
    <w:p w14:paraId="4468C980">
      <w:pPr>
        <w:pStyle w:val="27"/>
        <w:spacing w:line="560" w:lineRule="exact"/>
        <w:ind w:firstLine="640" w:firstLineChars="200"/>
        <w:rPr>
          <w:rFonts w:ascii="仿宋_GB2312" w:eastAsia="仿宋_GB2312"/>
          <w:color w:val="auto"/>
          <w:sz w:val="32"/>
          <w:szCs w:val="32"/>
        </w:rPr>
      </w:pPr>
      <w:bookmarkStart w:id="51" w:name="_Toc15396614"/>
      <w:bookmarkStart w:id="52"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6AFEF93">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3A70C16A">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759DC158">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3C6E3025">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使用非财政拨款结余（含专用结余）：指事业单位使用以前年度积累的非财政拨款结余弥补当年收支差额的金额。</w:t>
      </w:r>
      <w:r>
        <w:rPr>
          <w:rFonts w:ascii="仿宋_GB2312" w:eastAsia="仿宋_GB2312"/>
          <w:color w:val="auto"/>
          <w:sz w:val="32"/>
          <w:szCs w:val="32"/>
        </w:rPr>
        <w:t xml:space="preserve"> </w:t>
      </w:r>
    </w:p>
    <w:p w14:paraId="73160363">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005C261D">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3CA18A13">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71F37A94">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教育支出（类）教育管理事务（款）行政运行（项）：指反映行政单位（包括实行公务员管理的事业单位）的基本支出。</w:t>
      </w:r>
    </w:p>
    <w:p w14:paraId="2C2FD493">
      <w:pPr>
        <w:pStyle w:val="5"/>
        <w:spacing w:before="93"/>
        <w:ind w:firstLine="640" w:firstLineChars="200"/>
      </w:pPr>
      <w:r>
        <w:rPr>
          <w:rFonts w:hint="eastAsia" w:ascii="Times New Roman" w:cs="仿宋_GB2312"/>
          <w:kern w:val="2"/>
          <w:sz w:val="32"/>
          <w:szCs w:val="32"/>
        </w:rPr>
        <w:t>10.</w:t>
      </w:r>
      <w:r>
        <w:rPr>
          <w:rFonts w:hint="eastAsia"/>
          <w:sz w:val="32"/>
          <w:szCs w:val="32"/>
        </w:rPr>
        <w:t>教育支出（类）教育管理事务（款）一般行政管理事务（项）：指反映行政单位（包括实行公务员管理的事业单位）的未单独设置项级科目的其他项目支出。</w:t>
      </w:r>
    </w:p>
    <w:p w14:paraId="3E313A17">
      <w:pPr>
        <w:spacing w:line="580" w:lineRule="exact"/>
        <w:ind w:firstLine="640" w:firstLineChars="200"/>
        <w:rPr>
          <w:rFonts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教育支出（类）普通教育（款）学前教育（项）:指反映各部门举办的学前教育支出。政府各部门对社会组织等举办的幼儿园的资助，如捐赠、补贴等。</w:t>
      </w:r>
    </w:p>
    <w:p w14:paraId="7FEA68FA">
      <w:pPr>
        <w:spacing w:line="580" w:lineRule="exact"/>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教育支出（类）普通教育（款）小学教育（项）:指反映各部门举办的小学教育支出。政府各部门对社会组织等举办的小学的资助，如捐赠、补贴等。</w:t>
      </w:r>
    </w:p>
    <w:p w14:paraId="0FA69C54">
      <w:pPr>
        <w:spacing w:line="580" w:lineRule="exact"/>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教育支出（类）普通教育（款）初中教育（项）:指反映各部门举办的初中教育支出。政府各部门对社会组织等举办的初中的资助，如捐赠、补贴等。</w:t>
      </w:r>
    </w:p>
    <w:p w14:paraId="602A90D2">
      <w:pPr>
        <w:spacing w:line="580" w:lineRule="exact"/>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 xml:space="preserve"> 教育支出（类）普通教育（款）高中教育（项）:指反映各部门举办的高级中学教育支出。政府各部门对社会组织等举办的高中的资助，如捐赠、补贴等。</w:t>
      </w:r>
    </w:p>
    <w:p w14:paraId="564B8AFE">
      <w:pPr>
        <w:spacing w:line="580" w:lineRule="exact"/>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教育支出（类）普通教育（款）其他普通教育支出（项）:指反映除上述项目以外其他用于普通教育方面的支出。</w:t>
      </w:r>
    </w:p>
    <w:p w14:paraId="4244C118">
      <w:pPr>
        <w:spacing w:line="580" w:lineRule="exact"/>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教育支出（类）职业教育（款）中等职业教育（项）:指反映各部门举办的中等职业教育支出。政府各部门对社会组织等举办的初等职业学校的资助，如捐赠、补贴等。</w:t>
      </w:r>
    </w:p>
    <w:p w14:paraId="06BE9FA1">
      <w:pPr>
        <w:spacing w:line="580" w:lineRule="exact"/>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教育支出（类）成人教育（款）成人高等教育（项）:指反映各部门举办函授、夜大、高等教育自学考试等方面的支出。</w:t>
      </w:r>
    </w:p>
    <w:p w14:paraId="563AB48E">
      <w:pPr>
        <w:spacing w:line="580" w:lineRule="exact"/>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教育支出（类）特殊教育（款）特殊学校教育（项）:指反映各部门举办盲童学校、聋哑学校、智力落后儿童学校、其他生理缺陷儿童学校的支出。</w:t>
      </w:r>
    </w:p>
    <w:p w14:paraId="1B77743D">
      <w:pPr>
        <w:pStyle w:val="5"/>
        <w:spacing w:before="93"/>
        <w:ind w:firstLine="640" w:firstLineChars="200"/>
      </w:pPr>
      <w:r>
        <w:rPr>
          <w:rFonts w:hint="eastAsia"/>
          <w:sz w:val="32"/>
          <w:szCs w:val="32"/>
        </w:rPr>
        <w:t>19</w:t>
      </w:r>
      <w:r>
        <w:rPr>
          <w:sz w:val="32"/>
          <w:szCs w:val="32"/>
        </w:rPr>
        <w:t>.</w:t>
      </w:r>
      <w:r>
        <w:rPr>
          <w:rFonts w:hint="eastAsia"/>
          <w:sz w:val="32"/>
          <w:szCs w:val="32"/>
        </w:rPr>
        <w:t>教育支出（类）进修及培训（款）教师进修（项）:指反映教师进修、师资培训支出。</w:t>
      </w:r>
    </w:p>
    <w:p w14:paraId="043C665F">
      <w:pPr>
        <w:spacing w:line="580" w:lineRule="exact"/>
        <w:ind w:firstLine="640" w:firstLineChars="200"/>
        <w:rPr>
          <w:rFonts w:ascii="仿宋_GB2312" w:eastAsia="仿宋_GB2312"/>
          <w:sz w:val="32"/>
          <w:szCs w:val="32"/>
        </w:rPr>
      </w:pPr>
      <w:r>
        <w:rPr>
          <w:rFonts w:hint="eastAsia" w:ascii="仿宋_GB2312" w:eastAsia="仿宋_GB2312"/>
          <w:sz w:val="32"/>
          <w:szCs w:val="32"/>
        </w:rPr>
        <w:t>20.教育支出（类）教育费附加安排的支出（款）其他教育费附加安排的支出（项）: 指反映除上述项目以外的教育费附加支出。</w:t>
      </w:r>
    </w:p>
    <w:p w14:paraId="7F8CB87B">
      <w:pPr>
        <w:spacing w:line="580" w:lineRule="exact"/>
        <w:ind w:firstLine="640" w:firstLineChars="200"/>
        <w:rPr>
          <w:rFonts w:ascii="仿宋_GB2312" w:eastAsia="仿宋_GB2312"/>
          <w:sz w:val="32"/>
          <w:szCs w:val="32"/>
        </w:rPr>
      </w:pPr>
      <w:r>
        <w:rPr>
          <w:rFonts w:hint="eastAsia" w:ascii="仿宋_GB2312" w:eastAsia="仿宋_GB2312"/>
          <w:sz w:val="32"/>
          <w:szCs w:val="32"/>
        </w:rPr>
        <w:t>21.社会保障和就业支出（类）行政事业单位养老（款）事业单位离退休（项）: 指反映事业单位开支的离退休经费。</w:t>
      </w:r>
    </w:p>
    <w:p w14:paraId="46D5417A">
      <w:pPr>
        <w:spacing w:line="580" w:lineRule="exact"/>
        <w:ind w:firstLine="640" w:firstLineChars="200"/>
        <w:rPr>
          <w:rFonts w:ascii="仿宋_GB2312" w:eastAsia="仿宋_GB2312"/>
          <w:sz w:val="32"/>
          <w:szCs w:val="32"/>
        </w:rPr>
      </w:pPr>
      <w:r>
        <w:rPr>
          <w:rFonts w:hint="eastAsia" w:ascii="仿宋_GB2312" w:eastAsia="仿宋_GB2312"/>
          <w:sz w:val="32"/>
          <w:szCs w:val="32"/>
        </w:rPr>
        <w:t>22.社会保障和就业支出（类）行政事业单位养老（款）机关事业单位基本养老保险缴费支出（项）: 指反映机关事业单位实施养老保险制度由单位缴纳的基本养老保险费支出。</w:t>
      </w:r>
    </w:p>
    <w:p w14:paraId="68AF53CD">
      <w:pPr>
        <w:spacing w:line="580" w:lineRule="exact"/>
        <w:ind w:firstLine="640" w:firstLineChars="200"/>
        <w:rPr>
          <w:rFonts w:ascii="仿宋_GB2312" w:eastAsia="仿宋_GB2312"/>
          <w:sz w:val="32"/>
          <w:szCs w:val="32"/>
        </w:rPr>
      </w:pPr>
      <w:r>
        <w:rPr>
          <w:rFonts w:hint="eastAsia" w:ascii="仿宋_GB2312" w:eastAsia="仿宋_GB2312"/>
          <w:sz w:val="32"/>
          <w:szCs w:val="32"/>
        </w:rPr>
        <w:t>23.社会保障和就业支出（类）行政事业单位养老（款）机关事业单位职业年金缴费支出（项）: 指反映机关事业单位实施养老保险制度由单位缴纳的职业年金支出。</w:t>
      </w:r>
    </w:p>
    <w:p w14:paraId="01B2B582">
      <w:pPr>
        <w:spacing w:line="580" w:lineRule="exact"/>
        <w:ind w:firstLine="640" w:firstLineChars="200"/>
        <w:rPr>
          <w:rFonts w:ascii="仿宋_GB2312" w:eastAsia="仿宋_GB2312"/>
          <w:sz w:val="32"/>
          <w:szCs w:val="32"/>
        </w:rPr>
      </w:pPr>
      <w:r>
        <w:rPr>
          <w:rFonts w:hint="eastAsia" w:ascii="仿宋_GB2312" w:eastAsia="仿宋_GB2312"/>
          <w:sz w:val="32"/>
          <w:szCs w:val="32"/>
        </w:rPr>
        <w:t>24.社会保障和就业支出（类）抚恤（款）死亡抚恤（项）:指反映按规定用于烈士和牺牲、病故人员家属的一次性和定期抚恤金、丧葬补助费以及烈士褒扬金。</w:t>
      </w:r>
    </w:p>
    <w:p w14:paraId="4E0196D4">
      <w:pPr>
        <w:spacing w:line="580" w:lineRule="exact"/>
        <w:ind w:firstLine="640" w:firstLineChars="200"/>
      </w:pPr>
      <w:r>
        <w:rPr>
          <w:rFonts w:hint="eastAsia" w:ascii="仿宋_GB2312" w:eastAsia="仿宋_GB2312"/>
          <w:sz w:val="32"/>
          <w:szCs w:val="32"/>
        </w:rPr>
        <w:t>25.社会保障和就业支出（类）抚恤（款）其他优抚支出（项）:指反映除上述项目以外其他用于优抚方面的支出，包括向优抚对象发放的价格临时补贴等支出。</w:t>
      </w:r>
    </w:p>
    <w:p w14:paraId="4D2A84A6">
      <w:pPr>
        <w:spacing w:line="580" w:lineRule="exact"/>
        <w:ind w:firstLine="640" w:firstLineChars="200"/>
        <w:rPr>
          <w:rFonts w:ascii="仿宋_GB2312" w:eastAsia="仿宋_GB2312"/>
          <w:sz w:val="32"/>
          <w:szCs w:val="32"/>
        </w:rPr>
      </w:pPr>
      <w:r>
        <w:rPr>
          <w:rFonts w:hint="eastAsia" w:ascii="仿宋_GB2312" w:eastAsia="仿宋_GB2312"/>
          <w:sz w:val="32"/>
          <w:szCs w:val="32"/>
        </w:rPr>
        <w:t>26.社会保障和就业支出（类）其他社会保障就业支出（款）其他社会保障就业支出（项）:指反映除上述项目以外其他用于社会保障和就业方面的支出。</w:t>
      </w:r>
    </w:p>
    <w:p w14:paraId="5F12E1E2">
      <w:pPr>
        <w:spacing w:line="580" w:lineRule="exact"/>
        <w:ind w:firstLine="640" w:firstLineChars="200"/>
        <w:rPr>
          <w:rFonts w:ascii="仿宋_GB2312" w:eastAsia="仿宋_GB2312"/>
          <w:sz w:val="32"/>
          <w:szCs w:val="32"/>
        </w:rPr>
      </w:pPr>
      <w:r>
        <w:rPr>
          <w:rFonts w:hint="eastAsia" w:ascii="仿宋_GB2312" w:eastAsia="仿宋_GB2312"/>
          <w:sz w:val="32"/>
          <w:szCs w:val="32"/>
        </w:rPr>
        <w:t>27.卫生健康支出（类）行政事业单位医疗（款）行政单位医疗（项）:指反映财政部门集中安排的行政单位（包括实行公务员管理的事业单位）基本医疗保险缴费经费，未参加医疗保险的行政单位的公费医疗经费，按国家规定享受离休人员、红军老战士待遇人员的医疗经费。</w:t>
      </w:r>
    </w:p>
    <w:p w14:paraId="7F2B7879">
      <w:pPr>
        <w:pStyle w:val="5"/>
        <w:spacing w:before="93"/>
        <w:ind w:firstLine="640" w:firstLineChars="200"/>
      </w:pPr>
      <w:r>
        <w:rPr>
          <w:rFonts w:hint="eastAsia"/>
          <w:sz w:val="32"/>
          <w:szCs w:val="32"/>
        </w:rPr>
        <w:t>28.卫生健康支出（类）行政事业单位医疗（款）事业单位医疗（项）:指反映财政部门集中安排的事业单位基本医疗保险缴费经费，未参加医疗保险的行政单位的公费医疗经费，按国家规定享受离休人员待遇的医疗经费。</w:t>
      </w:r>
    </w:p>
    <w:p w14:paraId="764F418F">
      <w:pPr>
        <w:pStyle w:val="5"/>
        <w:spacing w:before="93"/>
        <w:ind w:firstLine="640" w:firstLineChars="200"/>
      </w:pPr>
      <w:r>
        <w:rPr>
          <w:rFonts w:hint="eastAsia"/>
          <w:sz w:val="32"/>
          <w:szCs w:val="32"/>
        </w:rPr>
        <w:t>29.卫生健康支出（类）行政事业单位医疗（款）公务员医疗补助（项）:指反财政总计安排的公务员医疗补助经费。</w:t>
      </w:r>
    </w:p>
    <w:p w14:paraId="31C9C860">
      <w:pPr>
        <w:spacing w:line="580" w:lineRule="exact"/>
        <w:ind w:firstLine="640" w:firstLineChars="200"/>
        <w:rPr>
          <w:rFonts w:ascii="仿宋_GB2312" w:eastAsia="仿宋_GB2312"/>
          <w:sz w:val="32"/>
          <w:szCs w:val="32"/>
        </w:rPr>
      </w:pPr>
      <w:r>
        <w:rPr>
          <w:rFonts w:hint="eastAsia" w:ascii="仿宋_GB2312" w:eastAsia="仿宋_GB2312"/>
          <w:sz w:val="32"/>
          <w:szCs w:val="32"/>
        </w:rPr>
        <w:t>30.住房保障支出（类）住房改革支出（款）住房公积金（项）: 指反映行政事业单位按人力资源和社会保障部、财政部规定的基本工资和津贴补贴以及规定比例为职工缴纳的住房公积金。</w:t>
      </w:r>
    </w:p>
    <w:p w14:paraId="7E3FA6B4">
      <w:pPr>
        <w:ind w:firstLine="640" w:firstLineChars="200"/>
        <w:rPr>
          <w:rFonts w:ascii="仿宋_GB2312" w:eastAsia="仿宋_GB2312"/>
          <w:sz w:val="32"/>
          <w:szCs w:val="32"/>
        </w:rPr>
      </w:pPr>
      <w:r>
        <w:rPr>
          <w:rFonts w:hint="eastAsia" w:ascii="仿宋_GB2312" w:eastAsia="仿宋_GB2312"/>
          <w:sz w:val="32"/>
          <w:szCs w:val="32"/>
        </w:rPr>
        <w:t>31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671C5319">
      <w:pPr>
        <w:ind w:firstLine="640" w:firstLineChars="200"/>
        <w:rPr>
          <w:rFonts w:ascii="仿宋_GB2312" w:eastAsia="仿宋_GB2312"/>
          <w:sz w:val="32"/>
          <w:szCs w:val="32"/>
        </w:rPr>
      </w:pPr>
      <w:r>
        <w:rPr>
          <w:rFonts w:hint="eastAsia" w:ascii="仿宋_GB2312" w:eastAsia="仿宋_GB2312"/>
          <w:sz w:val="32"/>
          <w:szCs w:val="32"/>
        </w:rPr>
        <w:t>32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5EDF71B9">
      <w:pPr>
        <w:ind w:firstLine="640" w:firstLineChars="200"/>
        <w:rPr>
          <w:rFonts w:ascii="仿宋_GB2312" w:eastAsia="仿宋_GB2312"/>
          <w:sz w:val="32"/>
          <w:szCs w:val="32"/>
        </w:rPr>
      </w:pPr>
      <w:r>
        <w:rPr>
          <w:rFonts w:hint="eastAsia" w:ascii="仿宋_GB2312" w:eastAsia="仿宋_GB2312"/>
          <w:sz w:val="32"/>
          <w:szCs w:val="32"/>
        </w:rPr>
        <w:t>33</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22572528">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34</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9B848F3">
      <w:pPr>
        <w:spacing w:line="600" w:lineRule="exact"/>
        <w:ind w:firstLine="640"/>
        <w:rPr>
          <w:rFonts w:eastAsia="仿宋_GB2312" w:cs="仿宋_GB2312"/>
          <w:b/>
          <w:bCs/>
          <w:sz w:val="32"/>
          <w:szCs w:val="32"/>
        </w:rPr>
      </w:pPr>
      <w:r>
        <w:rPr>
          <w:rFonts w:hint="eastAsia" w:ascii="仿宋_GB2312" w:eastAsia="仿宋_GB2312"/>
          <w:sz w:val="32"/>
          <w:szCs w:val="32"/>
        </w:rPr>
        <w:t>35</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C1AE2EF">
      <w:pPr>
        <w:spacing w:line="600" w:lineRule="exact"/>
        <w:jc w:val="both"/>
        <w:rPr>
          <w:rFonts w:eastAsia="黑体"/>
          <w:sz w:val="44"/>
          <w:szCs w:val="44"/>
        </w:rPr>
      </w:pPr>
    </w:p>
    <w:p w14:paraId="30F5036B">
      <w:pPr>
        <w:spacing w:line="600" w:lineRule="exact"/>
        <w:jc w:val="both"/>
        <w:rPr>
          <w:rFonts w:eastAsia="黑体"/>
          <w:sz w:val="44"/>
          <w:szCs w:val="44"/>
        </w:rPr>
      </w:pPr>
    </w:p>
    <w:p w14:paraId="3A9DC839">
      <w:pPr>
        <w:spacing w:line="600" w:lineRule="exact"/>
        <w:jc w:val="both"/>
        <w:rPr>
          <w:rFonts w:eastAsia="黑体"/>
          <w:sz w:val="44"/>
          <w:szCs w:val="44"/>
        </w:rPr>
      </w:pPr>
    </w:p>
    <w:p w14:paraId="241B4B73">
      <w:pPr>
        <w:spacing w:line="600" w:lineRule="exact"/>
        <w:jc w:val="both"/>
        <w:rPr>
          <w:rFonts w:eastAsia="黑体"/>
          <w:sz w:val="44"/>
          <w:szCs w:val="44"/>
        </w:rPr>
      </w:pPr>
    </w:p>
    <w:p w14:paraId="08C4A729">
      <w:pPr>
        <w:spacing w:line="600" w:lineRule="exact"/>
        <w:jc w:val="both"/>
        <w:rPr>
          <w:rFonts w:eastAsia="黑体"/>
          <w:sz w:val="44"/>
          <w:szCs w:val="44"/>
        </w:rPr>
      </w:pPr>
    </w:p>
    <w:p w14:paraId="2FDAF3A4">
      <w:pPr>
        <w:spacing w:line="600" w:lineRule="exact"/>
        <w:jc w:val="both"/>
        <w:rPr>
          <w:rFonts w:eastAsia="黑体"/>
          <w:sz w:val="44"/>
          <w:szCs w:val="44"/>
        </w:rPr>
      </w:pPr>
    </w:p>
    <w:p w14:paraId="2AF18D43">
      <w:pPr>
        <w:spacing w:line="600" w:lineRule="exact"/>
        <w:jc w:val="both"/>
        <w:rPr>
          <w:rFonts w:eastAsia="黑体"/>
          <w:sz w:val="44"/>
          <w:szCs w:val="44"/>
        </w:rPr>
      </w:pPr>
    </w:p>
    <w:p w14:paraId="582DD4C3">
      <w:pPr>
        <w:spacing w:line="600" w:lineRule="exact"/>
        <w:jc w:val="both"/>
        <w:rPr>
          <w:rFonts w:eastAsia="黑体"/>
          <w:sz w:val="44"/>
          <w:szCs w:val="44"/>
        </w:rPr>
      </w:pPr>
    </w:p>
    <w:p w14:paraId="0D810FB7">
      <w:pPr>
        <w:spacing w:line="600" w:lineRule="exact"/>
        <w:jc w:val="both"/>
        <w:rPr>
          <w:rFonts w:eastAsia="黑体"/>
          <w:sz w:val="44"/>
          <w:szCs w:val="44"/>
        </w:rPr>
      </w:pPr>
    </w:p>
    <w:p w14:paraId="4CF766BE">
      <w:pPr>
        <w:spacing w:line="600" w:lineRule="exact"/>
        <w:jc w:val="center"/>
        <w:rPr>
          <w:rStyle w:val="29"/>
          <w:rFonts w:eastAsia="黑体"/>
          <w:b w:val="0"/>
        </w:rPr>
      </w:pPr>
      <w:r>
        <w:rPr>
          <w:rFonts w:hint="eastAsia" w:eastAsia="黑体"/>
          <w:sz w:val="44"/>
          <w:szCs w:val="44"/>
        </w:rPr>
        <w:t>第四部分  附件</w:t>
      </w:r>
      <w:bookmarkEnd w:id="51"/>
    </w:p>
    <w:p w14:paraId="6B8EA14C">
      <w:pPr>
        <w:spacing w:line="572" w:lineRule="exact"/>
        <w:jc w:val="left"/>
        <w:outlineLvl w:val="0"/>
        <w:rPr>
          <w:rFonts w:eastAsia="黑体" w:cs="黑体"/>
          <w:color w:val="FF0000"/>
          <w:sz w:val="32"/>
          <w:szCs w:val="32"/>
        </w:rPr>
      </w:pPr>
    </w:p>
    <w:tbl>
      <w:tblPr>
        <w:tblStyle w:val="16"/>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23"/>
        <w:gridCol w:w="1066"/>
        <w:gridCol w:w="1608"/>
        <w:gridCol w:w="514"/>
        <w:gridCol w:w="846"/>
        <w:gridCol w:w="514"/>
        <w:gridCol w:w="955"/>
        <w:gridCol w:w="504"/>
        <w:gridCol w:w="486"/>
        <w:gridCol w:w="788"/>
      </w:tblGrid>
      <w:tr w14:paraId="2FEBE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89128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53"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949C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C2B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5034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51118122T000005914627-龙门小学项目经费</w:t>
            </w:r>
          </w:p>
        </w:tc>
      </w:tr>
      <w:tr w14:paraId="35619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EE7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F88C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55" w:type="dxa"/>
            <w:tcBorders>
              <w:top w:val="nil"/>
              <w:left w:val="nil"/>
              <w:bottom w:val="nil"/>
              <w:right w:val="nil"/>
            </w:tcBorders>
            <w:shd w:val="clear" w:color="auto" w:fill="auto"/>
            <w:vAlign w:val="center"/>
          </w:tcPr>
          <w:p w14:paraId="2104809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4D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峨眉山市龙门乡中心小学校</w:t>
            </w:r>
          </w:p>
        </w:tc>
      </w:tr>
      <w:tr w14:paraId="47A7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CC5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289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7FF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C08C8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B55F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F3F98">
            <w:pP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8A755">
            <w:pPr>
              <w:rPr>
                <w:rFonts w:hint="eastAsia" w:ascii="宋体" w:hAnsi="宋体" w:eastAsia="宋体" w:cs="宋体"/>
                <w:i w:val="0"/>
                <w:iCs w:val="0"/>
                <w:color w:val="000000"/>
                <w:sz w:val="18"/>
                <w:szCs w:val="18"/>
                <w:u w:val="none"/>
              </w:rPr>
            </w:pPr>
          </w:p>
        </w:tc>
        <w:tc>
          <w:tcPr>
            <w:tcW w:w="4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529E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保障龙门小学项目顺利实施</w:t>
            </w: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D957E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保障学校教育教学秩序正常运转</w:t>
            </w:r>
          </w:p>
        </w:tc>
      </w:tr>
      <w:tr w14:paraId="25FD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EC8D9">
            <w:pP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A2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8305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支付项目经费，保障学校教育教学秩序正常运转。</w:t>
            </w:r>
          </w:p>
        </w:tc>
      </w:tr>
      <w:tr w14:paraId="0FCD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51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1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A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5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A2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3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1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D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2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A6CE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26EC9">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F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F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B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5E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1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F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711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A136C">
            <w:pPr>
              <w:rPr>
                <w:rFonts w:hint="eastAsia" w:ascii="黑体" w:hAnsi="黑体" w:eastAsia="黑体" w:cs="黑体"/>
                <w:i/>
                <w:iCs/>
                <w:color w:val="000000"/>
                <w:sz w:val="18"/>
                <w:szCs w:val="18"/>
                <w:u w:val="none"/>
              </w:rPr>
            </w:pPr>
          </w:p>
        </w:tc>
      </w:tr>
      <w:tr w14:paraId="1A76B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5409D">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5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7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5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BB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0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6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E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C3B50">
            <w:pPr>
              <w:rPr>
                <w:rFonts w:hint="eastAsia" w:ascii="黑体" w:hAnsi="黑体" w:eastAsia="黑体" w:cs="黑体"/>
                <w:i/>
                <w:iCs/>
                <w:color w:val="000000"/>
                <w:sz w:val="18"/>
                <w:szCs w:val="18"/>
                <w:u w:val="none"/>
              </w:rPr>
            </w:pPr>
          </w:p>
        </w:tc>
      </w:tr>
      <w:tr w14:paraId="2F7F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41D77">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A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2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3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01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B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5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5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FA653">
            <w:pPr>
              <w:rPr>
                <w:rFonts w:hint="eastAsia" w:ascii="黑体" w:hAnsi="黑体" w:eastAsia="黑体" w:cs="黑体"/>
                <w:i/>
                <w:iCs/>
                <w:color w:val="000000"/>
                <w:sz w:val="18"/>
                <w:szCs w:val="18"/>
                <w:u w:val="none"/>
              </w:rPr>
            </w:pPr>
          </w:p>
        </w:tc>
      </w:tr>
      <w:tr w14:paraId="2A34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54465">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4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A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3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86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0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7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2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49BA5">
            <w:pPr>
              <w:rPr>
                <w:rFonts w:hint="eastAsia" w:ascii="黑体" w:hAnsi="黑体" w:eastAsia="黑体" w:cs="黑体"/>
                <w:i/>
                <w:iCs/>
                <w:color w:val="000000"/>
                <w:sz w:val="18"/>
                <w:szCs w:val="18"/>
                <w:u w:val="none"/>
              </w:rPr>
            </w:pPr>
          </w:p>
        </w:tc>
      </w:tr>
      <w:tr w14:paraId="580E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E8B28">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F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B486">
            <w:pPr>
              <w:jc w:val="center"/>
              <w:rPr>
                <w:rFonts w:hint="eastAsia" w:ascii="微软雅黑" w:hAnsi="微软雅黑" w:eastAsia="微软雅黑" w:cs="微软雅黑"/>
                <w:i/>
                <w:iCs/>
                <w:color w:val="000000"/>
                <w:sz w:val="16"/>
                <w:szCs w:val="16"/>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2550">
            <w:pPr>
              <w:jc w:val="center"/>
              <w:rPr>
                <w:rFonts w:hint="eastAsia" w:ascii="微软雅黑" w:hAnsi="微软雅黑" w:eastAsia="微软雅黑" w:cs="微软雅黑"/>
                <w:i/>
                <w:iCs/>
                <w:color w:val="000000"/>
                <w:sz w:val="16"/>
                <w:szCs w:val="16"/>
                <w:u w:val="none"/>
              </w:rPr>
            </w:pP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4402F">
            <w:pPr>
              <w:jc w:val="center"/>
              <w:rPr>
                <w:rFonts w:hint="eastAsia" w:ascii="微软雅黑" w:hAnsi="微软雅黑" w:eastAsia="微软雅黑" w:cs="微软雅黑"/>
                <w:i/>
                <w:iCs/>
                <w:color w:val="000000"/>
                <w:sz w:val="16"/>
                <w:szCs w:val="16"/>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F6D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F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3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5F1F0">
            <w:pPr>
              <w:rPr>
                <w:rFonts w:hint="eastAsia" w:ascii="黑体" w:hAnsi="黑体" w:eastAsia="黑体" w:cs="黑体"/>
                <w:i/>
                <w:iCs/>
                <w:color w:val="000000"/>
                <w:sz w:val="18"/>
                <w:szCs w:val="18"/>
                <w:u w:val="none"/>
              </w:rPr>
            </w:pPr>
          </w:p>
        </w:tc>
      </w:tr>
      <w:tr w14:paraId="08960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3E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4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C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A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C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1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A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4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A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9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4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317B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5237E">
            <w:pPr>
              <w:jc w:val="center"/>
              <w:rPr>
                <w:rFonts w:hint="eastAsia" w:ascii="宋体" w:hAnsi="宋体" w:eastAsia="宋体" w:cs="宋体"/>
                <w:i w:val="0"/>
                <w:iCs w:val="0"/>
                <w:color w:val="000000"/>
                <w:sz w:val="18"/>
                <w:szCs w:val="18"/>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1E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C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F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全校教职工人数</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9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0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2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FE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7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17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9462">
            <w:pPr>
              <w:jc w:val="center"/>
              <w:rPr>
                <w:rFonts w:hint="eastAsia" w:ascii="微软雅黑" w:hAnsi="微软雅黑" w:eastAsia="微软雅黑" w:cs="微软雅黑"/>
                <w:i/>
                <w:iCs/>
                <w:color w:val="000000"/>
                <w:sz w:val="16"/>
                <w:szCs w:val="16"/>
                <w:u w:val="none"/>
              </w:rPr>
            </w:pPr>
          </w:p>
        </w:tc>
      </w:tr>
      <w:tr w14:paraId="679B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34160">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FBBE4">
            <w:pPr>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0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2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保障龙门小学项目质量</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4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8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8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204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F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72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D65A">
            <w:pPr>
              <w:jc w:val="center"/>
              <w:rPr>
                <w:rFonts w:hint="eastAsia" w:ascii="微软雅黑" w:hAnsi="微软雅黑" w:eastAsia="微软雅黑" w:cs="微软雅黑"/>
                <w:i/>
                <w:iCs/>
                <w:color w:val="000000"/>
                <w:sz w:val="16"/>
                <w:szCs w:val="16"/>
                <w:u w:val="none"/>
              </w:rPr>
            </w:pPr>
          </w:p>
        </w:tc>
      </w:tr>
      <w:tr w14:paraId="4373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23128">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841CB">
            <w:pPr>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C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2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9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B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1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9D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0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D6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2D80">
            <w:pPr>
              <w:jc w:val="center"/>
              <w:rPr>
                <w:rFonts w:hint="eastAsia" w:ascii="微软雅黑" w:hAnsi="微软雅黑" w:eastAsia="微软雅黑" w:cs="微软雅黑"/>
                <w:i/>
                <w:iCs/>
                <w:color w:val="000000"/>
                <w:sz w:val="16"/>
                <w:szCs w:val="16"/>
                <w:u w:val="none"/>
              </w:rPr>
            </w:pPr>
          </w:p>
        </w:tc>
      </w:tr>
      <w:tr w14:paraId="2542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E21C7">
            <w:pPr>
              <w:jc w:val="center"/>
              <w:rPr>
                <w:rFonts w:hint="eastAsia" w:ascii="宋体" w:hAnsi="宋体" w:eastAsia="宋体" w:cs="宋体"/>
                <w:i w:val="0"/>
                <w:iCs w:val="0"/>
                <w:color w:val="000000"/>
                <w:sz w:val="18"/>
                <w:szCs w:val="18"/>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01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E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A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为社会培养人才</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A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8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C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47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8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8B1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AF91">
            <w:pPr>
              <w:jc w:val="center"/>
              <w:rPr>
                <w:rFonts w:hint="eastAsia" w:ascii="微软雅黑" w:hAnsi="微软雅黑" w:eastAsia="微软雅黑" w:cs="微软雅黑"/>
                <w:i/>
                <w:iCs/>
                <w:color w:val="000000"/>
                <w:sz w:val="16"/>
                <w:szCs w:val="16"/>
                <w:u w:val="none"/>
              </w:rPr>
            </w:pPr>
          </w:p>
        </w:tc>
      </w:tr>
      <w:tr w14:paraId="09139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F668B">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8231B">
            <w:pPr>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7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7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促进学校教学质量提高</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2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E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E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B4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6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B8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9C30">
            <w:pPr>
              <w:jc w:val="center"/>
              <w:rPr>
                <w:rFonts w:hint="eastAsia" w:ascii="微软雅黑" w:hAnsi="微软雅黑" w:eastAsia="微软雅黑" w:cs="微软雅黑"/>
                <w:i/>
                <w:iCs/>
                <w:color w:val="000000"/>
                <w:sz w:val="16"/>
                <w:szCs w:val="16"/>
                <w:u w:val="none"/>
              </w:rPr>
            </w:pPr>
          </w:p>
        </w:tc>
      </w:tr>
      <w:tr w14:paraId="029C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B52F9">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D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F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7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全校师生满意</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4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9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3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90F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4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FF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1B8A">
            <w:pPr>
              <w:jc w:val="center"/>
              <w:rPr>
                <w:rFonts w:hint="eastAsia" w:ascii="微软雅黑" w:hAnsi="微软雅黑" w:eastAsia="微软雅黑" w:cs="微软雅黑"/>
                <w:i/>
                <w:iCs/>
                <w:color w:val="000000"/>
                <w:sz w:val="16"/>
                <w:szCs w:val="16"/>
                <w:u w:val="none"/>
              </w:rPr>
            </w:pPr>
          </w:p>
        </w:tc>
      </w:tr>
      <w:tr w14:paraId="7E4B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E68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9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501B">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BE38">
            <w:pPr>
              <w:rPr>
                <w:rFonts w:hint="eastAsia" w:ascii="宋体" w:hAnsi="宋体" w:eastAsia="宋体" w:cs="宋体"/>
                <w:i w:val="0"/>
                <w:iCs w:val="0"/>
                <w:color w:val="000000"/>
                <w:sz w:val="18"/>
                <w:szCs w:val="18"/>
                <w:u w:val="none"/>
              </w:rPr>
            </w:pPr>
          </w:p>
        </w:tc>
      </w:tr>
      <w:tr w14:paraId="7B8A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4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9F62C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4B62D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1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17118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838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5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7D709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0771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405C4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项目负责人：周彬</w:t>
            </w:r>
          </w:p>
        </w:tc>
        <w:tc>
          <w:tcPr>
            <w:tcW w:w="4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555F5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财务负责人：郑启明</w:t>
            </w:r>
          </w:p>
        </w:tc>
      </w:tr>
      <w:tr w14:paraId="1D43A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398627C3">
            <w:pPr>
              <w:rPr>
                <w:rFonts w:hint="eastAsia" w:ascii="宋体" w:hAnsi="宋体" w:eastAsia="宋体" w:cs="宋体"/>
                <w:i w:val="0"/>
                <w:iCs w:val="0"/>
                <w:color w:val="000000"/>
                <w:sz w:val="18"/>
                <w:szCs w:val="18"/>
                <w:u w:val="none"/>
              </w:rPr>
            </w:pPr>
          </w:p>
        </w:tc>
        <w:tc>
          <w:tcPr>
            <w:tcW w:w="1023" w:type="dxa"/>
            <w:tcBorders>
              <w:top w:val="nil"/>
              <w:left w:val="nil"/>
              <w:bottom w:val="nil"/>
              <w:right w:val="nil"/>
            </w:tcBorders>
            <w:shd w:val="clear" w:color="auto" w:fill="auto"/>
            <w:vAlign w:val="center"/>
          </w:tcPr>
          <w:p w14:paraId="5CFC929E">
            <w:pPr>
              <w:rPr>
                <w:rFonts w:hint="eastAsia" w:ascii="宋体" w:hAnsi="宋体" w:eastAsia="宋体" w:cs="宋体"/>
                <w:i w:val="0"/>
                <w:iCs w:val="0"/>
                <w:color w:val="000000"/>
                <w:sz w:val="18"/>
                <w:szCs w:val="18"/>
                <w:u w:val="none"/>
              </w:rPr>
            </w:pPr>
          </w:p>
        </w:tc>
        <w:tc>
          <w:tcPr>
            <w:tcW w:w="1066" w:type="dxa"/>
            <w:tcBorders>
              <w:top w:val="nil"/>
              <w:left w:val="nil"/>
              <w:bottom w:val="nil"/>
              <w:right w:val="nil"/>
            </w:tcBorders>
            <w:shd w:val="clear" w:color="auto" w:fill="auto"/>
            <w:vAlign w:val="center"/>
          </w:tcPr>
          <w:p w14:paraId="0AC01ECA">
            <w:pPr>
              <w:rPr>
                <w:rFonts w:hint="eastAsia" w:ascii="宋体" w:hAnsi="宋体" w:eastAsia="宋体" w:cs="宋体"/>
                <w:i w:val="0"/>
                <w:iCs w:val="0"/>
                <w:color w:val="000000"/>
                <w:sz w:val="18"/>
                <w:szCs w:val="18"/>
                <w:u w:val="none"/>
              </w:rPr>
            </w:pPr>
          </w:p>
        </w:tc>
        <w:tc>
          <w:tcPr>
            <w:tcW w:w="1608" w:type="dxa"/>
            <w:tcBorders>
              <w:top w:val="nil"/>
              <w:left w:val="nil"/>
              <w:bottom w:val="nil"/>
              <w:right w:val="nil"/>
            </w:tcBorders>
            <w:shd w:val="clear" w:color="auto" w:fill="auto"/>
            <w:vAlign w:val="center"/>
          </w:tcPr>
          <w:p w14:paraId="6533DFE1">
            <w:pPr>
              <w:rPr>
                <w:rFonts w:hint="eastAsia" w:ascii="宋体" w:hAnsi="宋体" w:eastAsia="宋体" w:cs="宋体"/>
                <w:i w:val="0"/>
                <w:iCs w:val="0"/>
                <w:color w:val="000000"/>
                <w:sz w:val="18"/>
                <w:szCs w:val="18"/>
                <w:u w:val="none"/>
              </w:rPr>
            </w:pPr>
          </w:p>
        </w:tc>
        <w:tc>
          <w:tcPr>
            <w:tcW w:w="514" w:type="dxa"/>
            <w:tcBorders>
              <w:top w:val="nil"/>
              <w:left w:val="nil"/>
              <w:bottom w:val="nil"/>
              <w:right w:val="nil"/>
            </w:tcBorders>
            <w:shd w:val="clear" w:color="auto" w:fill="auto"/>
            <w:vAlign w:val="center"/>
          </w:tcPr>
          <w:p w14:paraId="619969DB">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129C6C73">
            <w:pPr>
              <w:rPr>
                <w:rFonts w:hint="eastAsia" w:ascii="宋体" w:hAnsi="宋体" w:eastAsia="宋体" w:cs="宋体"/>
                <w:i w:val="0"/>
                <w:iCs w:val="0"/>
                <w:color w:val="000000"/>
                <w:sz w:val="18"/>
                <w:szCs w:val="18"/>
                <w:u w:val="none"/>
              </w:rPr>
            </w:pPr>
          </w:p>
        </w:tc>
        <w:tc>
          <w:tcPr>
            <w:tcW w:w="514" w:type="dxa"/>
            <w:tcBorders>
              <w:top w:val="nil"/>
              <w:left w:val="nil"/>
              <w:bottom w:val="nil"/>
              <w:right w:val="nil"/>
            </w:tcBorders>
            <w:shd w:val="clear" w:color="auto" w:fill="auto"/>
            <w:vAlign w:val="center"/>
          </w:tcPr>
          <w:p w14:paraId="00C6DB75">
            <w:pPr>
              <w:rPr>
                <w:rFonts w:hint="eastAsia" w:ascii="宋体" w:hAnsi="宋体" w:eastAsia="宋体" w:cs="宋体"/>
                <w:i w:val="0"/>
                <w:iCs w:val="0"/>
                <w:color w:val="000000"/>
                <w:sz w:val="18"/>
                <w:szCs w:val="18"/>
                <w:u w:val="none"/>
              </w:rPr>
            </w:pPr>
          </w:p>
        </w:tc>
        <w:tc>
          <w:tcPr>
            <w:tcW w:w="955" w:type="dxa"/>
            <w:tcBorders>
              <w:top w:val="nil"/>
              <w:left w:val="nil"/>
              <w:bottom w:val="nil"/>
              <w:right w:val="nil"/>
            </w:tcBorders>
            <w:shd w:val="clear" w:color="auto" w:fill="auto"/>
            <w:vAlign w:val="center"/>
          </w:tcPr>
          <w:p w14:paraId="08B6DA22">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316D7A01">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A3200A6">
            <w:pPr>
              <w:rPr>
                <w:rFonts w:hint="eastAsia" w:ascii="宋体" w:hAnsi="宋体" w:eastAsia="宋体" w:cs="宋体"/>
                <w:i w:val="0"/>
                <w:iCs w:val="0"/>
                <w:color w:val="000000"/>
                <w:sz w:val="18"/>
                <w:szCs w:val="18"/>
                <w:u w:val="none"/>
              </w:rPr>
            </w:pPr>
          </w:p>
        </w:tc>
        <w:tc>
          <w:tcPr>
            <w:tcW w:w="788" w:type="dxa"/>
            <w:tcBorders>
              <w:top w:val="nil"/>
              <w:left w:val="nil"/>
              <w:bottom w:val="nil"/>
              <w:right w:val="nil"/>
            </w:tcBorders>
            <w:shd w:val="clear" w:color="auto" w:fill="auto"/>
            <w:vAlign w:val="center"/>
          </w:tcPr>
          <w:p w14:paraId="4DA6905C">
            <w:pPr>
              <w:rPr>
                <w:rFonts w:hint="eastAsia" w:ascii="宋体" w:hAnsi="宋体" w:eastAsia="宋体" w:cs="宋体"/>
                <w:i w:val="0"/>
                <w:iCs w:val="0"/>
                <w:color w:val="000000"/>
                <w:sz w:val="18"/>
                <w:szCs w:val="18"/>
                <w:u w:val="none"/>
              </w:rPr>
            </w:pPr>
          </w:p>
        </w:tc>
      </w:tr>
      <w:tr w14:paraId="4F7AC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575D4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BD2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CA0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2725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51118123T000007903462-公办学校安保经费</w:t>
            </w:r>
          </w:p>
        </w:tc>
      </w:tr>
      <w:tr w14:paraId="2F364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E1E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1689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55" w:type="dxa"/>
            <w:tcBorders>
              <w:top w:val="nil"/>
              <w:left w:val="nil"/>
              <w:bottom w:val="nil"/>
              <w:right w:val="nil"/>
            </w:tcBorders>
            <w:shd w:val="clear" w:color="auto" w:fill="auto"/>
            <w:vAlign w:val="center"/>
          </w:tcPr>
          <w:p w14:paraId="7230F41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1A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峨眉山市龙门乡中心小学校</w:t>
            </w:r>
          </w:p>
        </w:tc>
      </w:tr>
      <w:tr w14:paraId="7D27D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1B8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9A6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D5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229EE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DEDB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397C5">
            <w:pP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B4F9C">
            <w:pPr>
              <w:rPr>
                <w:rFonts w:hint="eastAsia" w:ascii="宋体" w:hAnsi="宋体" w:eastAsia="宋体" w:cs="宋体"/>
                <w:i w:val="0"/>
                <w:iCs w:val="0"/>
                <w:color w:val="000000"/>
                <w:sz w:val="18"/>
                <w:szCs w:val="18"/>
                <w:u w:val="none"/>
              </w:rPr>
            </w:pPr>
          </w:p>
        </w:tc>
        <w:tc>
          <w:tcPr>
            <w:tcW w:w="4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9357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目标1：维护学校安全秩序，保障学校师生财产和人身安全。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目标2：保障安保人员和宿管人员经费按时足额发放，维护安保和宿管人员稳定。</w:t>
            </w: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B6B1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维护学校安全秩序，保障学校师生财产和人身安全</w:t>
            </w:r>
          </w:p>
        </w:tc>
      </w:tr>
      <w:tr w14:paraId="41FC5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2DDDD">
            <w:pP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94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3973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支付安保工资、保险。</w:t>
            </w:r>
          </w:p>
        </w:tc>
      </w:tr>
      <w:tr w14:paraId="6B515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F6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C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3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B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C8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C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2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2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A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72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5D22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D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0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4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21.07</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F1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21.07</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2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4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63D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3088B">
            <w:pPr>
              <w:rPr>
                <w:rFonts w:hint="eastAsia" w:ascii="黑体" w:hAnsi="黑体" w:eastAsia="黑体" w:cs="黑体"/>
                <w:i/>
                <w:iCs/>
                <w:color w:val="000000"/>
                <w:sz w:val="18"/>
                <w:szCs w:val="18"/>
                <w:u w:val="none"/>
              </w:rPr>
            </w:pPr>
          </w:p>
        </w:tc>
      </w:tr>
      <w:tr w14:paraId="18CE6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ECC91">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5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7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1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21.07</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67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21.07</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F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3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4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65A12">
            <w:pPr>
              <w:rPr>
                <w:rFonts w:hint="eastAsia" w:ascii="黑体" w:hAnsi="黑体" w:eastAsia="黑体" w:cs="黑体"/>
                <w:i/>
                <w:iCs/>
                <w:color w:val="000000"/>
                <w:sz w:val="18"/>
                <w:szCs w:val="18"/>
                <w:u w:val="none"/>
              </w:rPr>
            </w:pPr>
          </w:p>
        </w:tc>
      </w:tr>
      <w:tr w14:paraId="0F208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D8D6C">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F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A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A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E3F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B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0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D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07C1A">
            <w:pPr>
              <w:rPr>
                <w:rFonts w:hint="eastAsia" w:ascii="黑体" w:hAnsi="黑体" w:eastAsia="黑体" w:cs="黑体"/>
                <w:i/>
                <w:iCs/>
                <w:color w:val="000000"/>
                <w:sz w:val="18"/>
                <w:szCs w:val="18"/>
                <w:u w:val="none"/>
              </w:rPr>
            </w:pPr>
          </w:p>
        </w:tc>
      </w:tr>
      <w:tr w14:paraId="3E83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F110F">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2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3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8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A5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5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8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0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27825">
            <w:pPr>
              <w:rPr>
                <w:rFonts w:hint="eastAsia" w:ascii="黑体" w:hAnsi="黑体" w:eastAsia="黑体" w:cs="黑体"/>
                <w:i/>
                <w:iCs/>
                <w:color w:val="000000"/>
                <w:sz w:val="18"/>
                <w:szCs w:val="18"/>
                <w:u w:val="none"/>
              </w:rPr>
            </w:pPr>
          </w:p>
        </w:tc>
      </w:tr>
      <w:tr w14:paraId="593CF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1A6D8">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8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18B2">
            <w:pPr>
              <w:jc w:val="center"/>
              <w:rPr>
                <w:rFonts w:hint="eastAsia" w:ascii="微软雅黑" w:hAnsi="微软雅黑" w:eastAsia="微软雅黑" w:cs="微软雅黑"/>
                <w:i/>
                <w:iCs/>
                <w:color w:val="000000"/>
                <w:sz w:val="16"/>
                <w:szCs w:val="16"/>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D342">
            <w:pPr>
              <w:jc w:val="center"/>
              <w:rPr>
                <w:rFonts w:hint="eastAsia" w:ascii="微软雅黑" w:hAnsi="微软雅黑" w:eastAsia="微软雅黑" w:cs="微软雅黑"/>
                <w:i/>
                <w:iCs/>
                <w:color w:val="000000"/>
                <w:sz w:val="16"/>
                <w:szCs w:val="16"/>
                <w:u w:val="none"/>
              </w:rPr>
            </w:pP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9988A">
            <w:pPr>
              <w:jc w:val="center"/>
              <w:rPr>
                <w:rFonts w:hint="eastAsia" w:ascii="微软雅黑" w:hAnsi="微软雅黑" w:eastAsia="微软雅黑" w:cs="微软雅黑"/>
                <w:i/>
                <w:iCs/>
                <w:color w:val="000000"/>
                <w:sz w:val="16"/>
                <w:szCs w:val="16"/>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4B2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1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9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739CC">
            <w:pPr>
              <w:rPr>
                <w:rFonts w:hint="eastAsia" w:ascii="黑体" w:hAnsi="黑体" w:eastAsia="黑体" w:cs="黑体"/>
                <w:i/>
                <w:iCs/>
                <w:color w:val="000000"/>
                <w:sz w:val="18"/>
                <w:szCs w:val="18"/>
                <w:u w:val="none"/>
              </w:rPr>
            </w:pPr>
          </w:p>
        </w:tc>
      </w:tr>
      <w:tr w14:paraId="1493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A7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B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5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2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5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7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A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2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C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6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A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367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748FC">
            <w:pPr>
              <w:jc w:val="center"/>
              <w:rPr>
                <w:rFonts w:hint="eastAsia" w:ascii="宋体" w:hAnsi="宋体" w:eastAsia="宋体" w:cs="宋体"/>
                <w:i w:val="0"/>
                <w:iCs w:val="0"/>
                <w:color w:val="000000"/>
                <w:sz w:val="18"/>
                <w:szCs w:val="18"/>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6B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EF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7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3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E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5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4F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5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BD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9039">
            <w:pPr>
              <w:jc w:val="center"/>
              <w:rPr>
                <w:rFonts w:hint="eastAsia" w:ascii="微软雅黑" w:hAnsi="微软雅黑" w:eastAsia="微软雅黑" w:cs="微软雅黑"/>
                <w:i/>
                <w:iCs/>
                <w:color w:val="000000"/>
                <w:sz w:val="16"/>
                <w:szCs w:val="16"/>
                <w:u w:val="none"/>
              </w:rPr>
            </w:pPr>
          </w:p>
        </w:tc>
      </w:tr>
      <w:tr w14:paraId="1781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76500">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DD2A7">
            <w:pPr>
              <w:jc w:val="center"/>
              <w:rPr>
                <w:rFonts w:hint="eastAsia" w:ascii="宋体" w:hAnsi="宋体" w:eastAsia="宋体" w:cs="宋体"/>
                <w:i w:val="0"/>
                <w:iCs w:val="0"/>
                <w:color w:val="000000"/>
                <w:sz w:val="18"/>
                <w:szCs w:val="18"/>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34A04">
            <w:pPr>
              <w:jc w:val="center"/>
              <w:rPr>
                <w:rFonts w:hint="eastAsia" w:ascii="宋体" w:hAnsi="宋体" w:eastAsia="宋体" w:cs="宋体"/>
                <w:i w:val="0"/>
                <w:iCs w:val="0"/>
                <w:color w:val="000000"/>
                <w:sz w:val="18"/>
                <w:szCs w:val="18"/>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2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配备安保人员和宿管人员数量</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5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8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E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70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A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89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80A0">
            <w:pPr>
              <w:jc w:val="center"/>
              <w:rPr>
                <w:rFonts w:hint="eastAsia" w:ascii="微软雅黑" w:hAnsi="微软雅黑" w:eastAsia="微软雅黑" w:cs="微软雅黑"/>
                <w:i/>
                <w:iCs/>
                <w:color w:val="000000"/>
                <w:sz w:val="16"/>
                <w:szCs w:val="16"/>
                <w:u w:val="none"/>
              </w:rPr>
            </w:pPr>
          </w:p>
        </w:tc>
      </w:tr>
      <w:tr w14:paraId="2D9E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8667C">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63391">
            <w:pPr>
              <w:jc w:val="center"/>
              <w:rPr>
                <w:rFonts w:hint="eastAsia" w:ascii="宋体" w:hAnsi="宋体" w:eastAsia="宋体" w:cs="宋体"/>
                <w:i w:val="0"/>
                <w:iCs w:val="0"/>
                <w:color w:val="000000"/>
                <w:sz w:val="18"/>
                <w:szCs w:val="18"/>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D4609">
            <w:pPr>
              <w:jc w:val="center"/>
              <w:rPr>
                <w:rFonts w:hint="eastAsia" w:ascii="宋体" w:hAnsi="宋体" w:eastAsia="宋体" w:cs="宋体"/>
                <w:i w:val="0"/>
                <w:iCs w:val="0"/>
                <w:color w:val="000000"/>
                <w:sz w:val="18"/>
                <w:szCs w:val="18"/>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9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学生人数72人，增减率控制范围</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4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3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F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B86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7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8B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540B">
            <w:pPr>
              <w:jc w:val="center"/>
              <w:rPr>
                <w:rFonts w:hint="eastAsia" w:ascii="微软雅黑" w:hAnsi="微软雅黑" w:eastAsia="微软雅黑" w:cs="微软雅黑"/>
                <w:i/>
                <w:iCs/>
                <w:color w:val="000000"/>
                <w:sz w:val="16"/>
                <w:szCs w:val="16"/>
                <w:u w:val="none"/>
              </w:rPr>
            </w:pPr>
          </w:p>
        </w:tc>
      </w:tr>
      <w:tr w14:paraId="6733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C8623">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B49DA">
            <w:pPr>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9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D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保障学校师生人身及财产安全</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B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4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2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8B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E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7C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47C5">
            <w:pPr>
              <w:jc w:val="center"/>
              <w:rPr>
                <w:rFonts w:hint="eastAsia" w:ascii="微软雅黑" w:hAnsi="微软雅黑" w:eastAsia="微软雅黑" w:cs="微软雅黑"/>
                <w:i/>
                <w:iCs/>
                <w:color w:val="000000"/>
                <w:sz w:val="16"/>
                <w:szCs w:val="16"/>
                <w:u w:val="none"/>
              </w:rPr>
            </w:pPr>
          </w:p>
        </w:tc>
      </w:tr>
      <w:tr w14:paraId="68AAB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D4E45">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2B679">
            <w:pPr>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D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9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B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9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B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65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8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3A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C132">
            <w:pPr>
              <w:jc w:val="center"/>
              <w:rPr>
                <w:rFonts w:hint="eastAsia" w:ascii="微软雅黑" w:hAnsi="微软雅黑" w:eastAsia="微软雅黑" w:cs="微软雅黑"/>
                <w:i/>
                <w:iCs/>
                <w:color w:val="000000"/>
                <w:sz w:val="16"/>
                <w:szCs w:val="16"/>
                <w:u w:val="none"/>
              </w:rPr>
            </w:pPr>
          </w:p>
        </w:tc>
      </w:tr>
      <w:tr w14:paraId="12AC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10D1F">
            <w:pPr>
              <w:jc w:val="center"/>
              <w:rPr>
                <w:rFonts w:hint="eastAsia" w:ascii="宋体" w:hAnsi="宋体" w:eastAsia="宋体" w:cs="宋体"/>
                <w:i w:val="0"/>
                <w:iCs w:val="0"/>
                <w:color w:val="000000"/>
                <w:sz w:val="18"/>
                <w:szCs w:val="18"/>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D1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5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E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维持校园安全稳定，创造良好的校园安全环境</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6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6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509F">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D9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9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9F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E1E4">
            <w:pPr>
              <w:jc w:val="center"/>
              <w:rPr>
                <w:rFonts w:hint="eastAsia" w:ascii="微软雅黑" w:hAnsi="微软雅黑" w:eastAsia="微软雅黑" w:cs="微软雅黑"/>
                <w:i/>
                <w:iCs/>
                <w:color w:val="000000"/>
                <w:sz w:val="16"/>
                <w:szCs w:val="16"/>
                <w:u w:val="none"/>
              </w:rPr>
            </w:pPr>
          </w:p>
        </w:tc>
      </w:tr>
      <w:tr w14:paraId="481C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E8782">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CFC97">
            <w:pPr>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9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9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确保学校安保工作的持续开展，逐年提升校园安保水平</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F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9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D3EB">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7C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1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E8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8D86">
            <w:pPr>
              <w:jc w:val="center"/>
              <w:rPr>
                <w:rFonts w:hint="eastAsia" w:ascii="微软雅黑" w:hAnsi="微软雅黑" w:eastAsia="微软雅黑" w:cs="微软雅黑"/>
                <w:i/>
                <w:iCs/>
                <w:color w:val="000000"/>
                <w:sz w:val="16"/>
                <w:szCs w:val="16"/>
                <w:u w:val="none"/>
              </w:rPr>
            </w:pPr>
          </w:p>
        </w:tc>
      </w:tr>
      <w:tr w14:paraId="5386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442B8">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6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1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2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师生及家长对校园安全工作的满意度</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E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7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1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2C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D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11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19A2">
            <w:pPr>
              <w:jc w:val="center"/>
              <w:rPr>
                <w:rFonts w:hint="eastAsia" w:ascii="微软雅黑" w:hAnsi="微软雅黑" w:eastAsia="微软雅黑" w:cs="微软雅黑"/>
                <w:i/>
                <w:iCs/>
                <w:color w:val="000000"/>
                <w:sz w:val="16"/>
                <w:szCs w:val="16"/>
                <w:u w:val="none"/>
              </w:rPr>
            </w:pPr>
          </w:p>
        </w:tc>
      </w:tr>
      <w:tr w14:paraId="2A12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579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1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86A3">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DDA9">
            <w:pPr>
              <w:rPr>
                <w:rFonts w:hint="eastAsia" w:ascii="宋体" w:hAnsi="宋体" w:eastAsia="宋体" w:cs="宋体"/>
                <w:i w:val="0"/>
                <w:iCs w:val="0"/>
                <w:color w:val="000000"/>
                <w:sz w:val="18"/>
                <w:szCs w:val="18"/>
                <w:u w:val="none"/>
              </w:rPr>
            </w:pPr>
          </w:p>
        </w:tc>
      </w:tr>
      <w:tr w14:paraId="3864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8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1AD96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00E1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3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82263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164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4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9D617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0E2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886E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项目负责人：周彬</w:t>
            </w:r>
          </w:p>
        </w:tc>
        <w:tc>
          <w:tcPr>
            <w:tcW w:w="4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DF20F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财务负责人：郑启明</w:t>
            </w:r>
          </w:p>
        </w:tc>
      </w:tr>
      <w:tr w14:paraId="29875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7B853A38">
            <w:pPr>
              <w:rPr>
                <w:rFonts w:hint="eastAsia" w:ascii="宋体" w:hAnsi="宋体" w:eastAsia="宋体" w:cs="宋体"/>
                <w:i w:val="0"/>
                <w:iCs w:val="0"/>
                <w:color w:val="000000"/>
                <w:sz w:val="18"/>
                <w:szCs w:val="18"/>
                <w:u w:val="none"/>
              </w:rPr>
            </w:pPr>
          </w:p>
        </w:tc>
        <w:tc>
          <w:tcPr>
            <w:tcW w:w="1023" w:type="dxa"/>
            <w:tcBorders>
              <w:top w:val="nil"/>
              <w:left w:val="nil"/>
              <w:bottom w:val="nil"/>
              <w:right w:val="nil"/>
            </w:tcBorders>
            <w:shd w:val="clear" w:color="auto" w:fill="auto"/>
            <w:vAlign w:val="center"/>
          </w:tcPr>
          <w:p w14:paraId="638AD465">
            <w:pPr>
              <w:rPr>
                <w:rFonts w:hint="eastAsia" w:ascii="宋体" w:hAnsi="宋体" w:eastAsia="宋体" w:cs="宋体"/>
                <w:i w:val="0"/>
                <w:iCs w:val="0"/>
                <w:color w:val="000000"/>
                <w:sz w:val="18"/>
                <w:szCs w:val="18"/>
                <w:u w:val="none"/>
              </w:rPr>
            </w:pPr>
          </w:p>
        </w:tc>
        <w:tc>
          <w:tcPr>
            <w:tcW w:w="1066" w:type="dxa"/>
            <w:tcBorders>
              <w:top w:val="nil"/>
              <w:left w:val="nil"/>
              <w:bottom w:val="nil"/>
              <w:right w:val="nil"/>
            </w:tcBorders>
            <w:shd w:val="clear" w:color="auto" w:fill="auto"/>
            <w:vAlign w:val="center"/>
          </w:tcPr>
          <w:p w14:paraId="6F4AE97B">
            <w:pPr>
              <w:rPr>
                <w:rFonts w:hint="eastAsia" w:ascii="宋体" w:hAnsi="宋体" w:eastAsia="宋体" w:cs="宋体"/>
                <w:i w:val="0"/>
                <w:iCs w:val="0"/>
                <w:color w:val="000000"/>
                <w:sz w:val="18"/>
                <w:szCs w:val="18"/>
                <w:u w:val="none"/>
              </w:rPr>
            </w:pPr>
          </w:p>
        </w:tc>
        <w:tc>
          <w:tcPr>
            <w:tcW w:w="1608" w:type="dxa"/>
            <w:tcBorders>
              <w:top w:val="nil"/>
              <w:left w:val="nil"/>
              <w:bottom w:val="nil"/>
              <w:right w:val="nil"/>
            </w:tcBorders>
            <w:shd w:val="clear" w:color="auto" w:fill="auto"/>
            <w:vAlign w:val="center"/>
          </w:tcPr>
          <w:p w14:paraId="7D9CF035">
            <w:pPr>
              <w:rPr>
                <w:rFonts w:hint="eastAsia" w:ascii="宋体" w:hAnsi="宋体" w:eastAsia="宋体" w:cs="宋体"/>
                <w:i w:val="0"/>
                <w:iCs w:val="0"/>
                <w:color w:val="000000"/>
                <w:sz w:val="18"/>
                <w:szCs w:val="18"/>
                <w:u w:val="none"/>
              </w:rPr>
            </w:pPr>
          </w:p>
        </w:tc>
        <w:tc>
          <w:tcPr>
            <w:tcW w:w="514" w:type="dxa"/>
            <w:tcBorders>
              <w:top w:val="nil"/>
              <w:left w:val="nil"/>
              <w:bottom w:val="nil"/>
              <w:right w:val="nil"/>
            </w:tcBorders>
            <w:shd w:val="clear" w:color="auto" w:fill="auto"/>
            <w:vAlign w:val="center"/>
          </w:tcPr>
          <w:p w14:paraId="55316346">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A5B3156">
            <w:pPr>
              <w:rPr>
                <w:rFonts w:hint="eastAsia" w:ascii="宋体" w:hAnsi="宋体" w:eastAsia="宋体" w:cs="宋体"/>
                <w:i w:val="0"/>
                <w:iCs w:val="0"/>
                <w:color w:val="000000"/>
                <w:sz w:val="18"/>
                <w:szCs w:val="18"/>
                <w:u w:val="none"/>
              </w:rPr>
            </w:pPr>
          </w:p>
        </w:tc>
        <w:tc>
          <w:tcPr>
            <w:tcW w:w="514" w:type="dxa"/>
            <w:tcBorders>
              <w:top w:val="nil"/>
              <w:left w:val="nil"/>
              <w:bottom w:val="nil"/>
              <w:right w:val="nil"/>
            </w:tcBorders>
            <w:shd w:val="clear" w:color="auto" w:fill="auto"/>
            <w:vAlign w:val="center"/>
          </w:tcPr>
          <w:p w14:paraId="3E077C8F">
            <w:pPr>
              <w:rPr>
                <w:rFonts w:hint="eastAsia" w:ascii="宋体" w:hAnsi="宋体" w:eastAsia="宋体" w:cs="宋体"/>
                <w:i w:val="0"/>
                <w:iCs w:val="0"/>
                <w:color w:val="000000"/>
                <w:sz w:val="18"/>
                <w:szCs w:val="18"/>
                <w:u w:val="none"/>
              </w:rPr>
            </w:pPr>
          </w:p>
        </w:tc>
        <w:tc>
          <w:tcPr>
            <w:tcW w:w="955" w:type="dxa"/>
            <w:tcBorders>
              <w:top w:val="nil"/>
              <w:left w:val="nil"/>
              <w:bottom w:val="nil"/>
              <w:right w:val="nil"/>
            </w:tcBorders>
            <w:shd w:val="clear" w:color="auto" w:fill="auto"/>
            <w:vAlign w:val="center"/>
          </w:tcPr>
          <w:p w14:paraId="6D1F13A1">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07134285">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BBD9898">
            <w:pPr>
              <w:rPr>
                <w:rFonts w:hint="eastAsia" w:ascii="宋体" w:hAnsi="宋体" w:eastAsia="宋体" w:cs="宋体"/>
                <w:i w:val="0"/>
                <w:iCs w:val="0"/>
                <w:color w:val="000000"/>
                <w:sz w:val="18"/>
                <w:szCs w:val="18"/>
                <w:u w:val="none"/>
              </w:rPr>
            </w:pPr>
          </w:p>
        </w:tc>
        <w:tc>
          <w:tcPr>
            <w:tcW w:w="788" w:type="dxa"/>
            <w:tcBorders>
              <w:top w:val="nil"/>
              <w:left w:val="nil"/>
              <w:bottom w:val="nil"/>
              <w:right w:val="nil"/>
            </w:tcBorders>
            <w:shd w:val="clear" w:color="auto" w:fill="auto"/>
            <w:vAlign w:val="center"/>
          </w:tcPr>
          <w:p w14:paraId="6B422F04">
            <w:pPr>
              <w:rPr>
                <w:rFonts w:hint="eastAsia" w:ascii="宋体" w:hAnsi="宋体" w:eastAsia="宋体" w:cs="宋体"/>
                <w:i w:val="0"/>
                <w:iCs w:val="0"/>
                <w:color w:val="000000"/>
                <w:sz w:val="18"/>
                <w:szCs w:val="18"/>
                <w:u w:val="none"/>
              </w:rPr>
            </w:pPr>
          </w:p>
        </w:tc>
      </w:tr>
      <w:tr w14:paraId="69DB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D0D4A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B1C4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E9A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4043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51118123T000008642365-城乡义务教育生均公用经费（小学）</w:t>
            </w:r>
          </w:p>
        </w:tc>
      </w:tr>
      <w:tr w14:paraId="1300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001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0EAF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55" w:type="dxa"/>
            <w:tcBorders>
              <w:top w:val="nil"/>
              <w:left w:val="nil"/>
              <w:bottom w:val="nil"/>
              <w:right w:val="nil"/>
            </w:tcBorders>
            <w:shd w:val="clear" w:color="auto" w:fill="auto"/>
            <w:vAlign w:val="center"/>
          </w:tcPr>
          <w:p w14:paraId="3DFBC99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76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峨眉山市龙门乡中心小学校</w:t>
            </w:r>
          </w:p>
        </w:tc>
      </w:tr>
      <w:tr w14:paraId="19C4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180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EBB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4D4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0EB3E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40A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7BBF2">
            <w:pP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AC4E2">
            <w:pPr>
              <w:rPr>
                <w:rFonts w:hint="eastAsia" w:ascii="宋体" w:hAnsi="宋体" w:eastAsia="宋体" w:cs="宋体"/>
                <w:i w:val="0"/>
                <w:iCs w:val="0"/>
                <w:color w:val="000000"/>
                <w:sz w:val="18"/>
                <w:szCs w:val="18"/>
                <w:u w:val="none"/>
              </w:rPr>
            </w:pPr>
          </w:p>
        </w:tc>
        <w:tc>
          <w:tcPr>
            <w:tcW w:w="4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9E75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目标3：生均公用经费主要用于学校公用支出，保障学校教育教学秩序正常运转，完成上级下达的教学目标，全面发展义务教育事业。　　　　　　　　　　　　　　　　　　　　　　　　　　　　　　　　　　　　　　　</w:t>
            </w: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EA3F6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生均公用经费主要用于学校公用支出，保障学校教育教学秩序正常运转，完成上级下达目标，全面发展义务教育事业。</w:t>
            </w:r>
          </w:p>
        </w:tc>
      </w:tr>
      <w:tr w14:paraId="4F20B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501DE">
            <w:pP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25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FBA7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落实城乡义务教育经费保障机制。保障学校教育教学秩序正常运转，完成上级下达目标，全面发展义务教育事业。</w:t>
            </w:r>
          </w:p>
        </w:tc>
      </w:tr>
      <w:tr w14:paraId="6A771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7A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B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2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F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A9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0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0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7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6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8807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9404F">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1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9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0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17.40</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39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E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77.14%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7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B87C">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B87D0">
            <w:pPr>
              <w:rPr>
                <w:rFonts w:hint="eastAsia" w:ascii="黑体" w:hAnsi="黑体" w:eastAsia="黑体" w:cs="黑体"/>
                <w:i/>
                <w:iCs/>
                <w:color w:val="000000"/>
                <w:sz w:val="18"/>
                <w:szCs w:val="18"/>
                <w:u w:val="none"/>
              </w:rPr>
            </w:pPr>
          </w:p>
        </w:tc>
      </w:tr>
      <w:tr w14:paraId="7D49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D5118">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1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6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3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17.40</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F9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A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77.14%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5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2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9A0D4">
            <w:pPr>
              <w:rPr>
                <w:rFonts w:hint="eastAsia" w:ascii="黑体" w:hAnsi="黑体" w:eastAsia="黑体" w:cs="黑体"/>
                <w:i/>
                <w:iCs/>
                <w:color w:val="000000"/>
                <w:sz w:val="18"/>
                <w:szCs w:val="18"/>
                <w:u w:val="none"/>
              </w:rPr>
            </w:pPr>
          </w:p>
        </w:tc>
      </w:tr>
      <w:tr w14:paraId="24CFD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A320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C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0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7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5C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F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6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A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715A5">
            <w:pPr>
              <w:rPr>
                <w:rFonts w:hint="eastAsia" w:ascii="黑体" w:hAnsi="黑体" w:eastAsia="黑体" w:cs="黑体"/>
                <w:i/>
                <w:iCs/>
                <w:color w:val="000000"/>
                <w:sz w:val="18"/>
                <w:szCs w:val="18"/>
                <w:u w:val="none"/>
              </w:rPr>
            </w:pPr>
          </w:p>
        </w:tc>
      </w:tr>
      <w:tr w14:paraId="31F7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EBD6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1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7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C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C2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2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5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2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E881B">
            <w:pPr>
              <w:rPr>
                <w:rFonts w:hint="eastAsia" w:ascii="黑体" w:hAnsi="黑体" w:eastAsia="黑体" w:cs="黑体"/>
                <w:i/>
                <w:iCs/>
                <w:color w:val="000000"/>
                <w:sz w:val="18"/>
                <w:szCs w:val="18"/>
                <w:u w:val="none"/>
              </w:rPr>
            </w:pPr>
          </w:p>
        </w:tc>
      </w:tr>
      <w:tr w14:paraId="3C54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E7DC2">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2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1B84">
            <w:pPr>
              <w:jc w:val="center"/>
              <w:rPr>
                <w:rFonts w:hint="eastAsia" w:ascii="微软雅黑" w:hAnsi="微软雅黑" w:eastAsia="微软雅黑" w:cs="微软雅黑"/>
                <w:i/>
                <w:iCs/>
                <w:color w:val="000000"/>
                <w:sz w:val="16"/>
                <w:szCs w:val="16"/>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08E4">
            <w:pPr>
              <w:jc w:val="center"/>
              <w:rPr>
                <w:rFonts w:hint="eastAsia" w:ascii="微软雅黑" w:hAnsi="微软雅黑" w:eastAsia="微软雅黑" w:cs="微软雅黑"/>
                <w:i/>
                <w:iCs/>
                <w:color w:val="000000"/>
                <w:sz w:val="16"/>
                <w:szCs w:val="16"/>
                <w:u w:val="none"/>
              </w:rPr>
            </w:pP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4CE21">
            <w:pPr>
              <w:jc w:val="center"/>
              <w:rPr>
                <w:rFonts w:hint="eastAsia" w:ascii="微软雅黑" w:hAnsi="微软雅黑" w:eastAsia="微软雅黑" w:cs="微软雅黑"/>
                <w:i/>
                <w:iCs/>
                <w:color w:val="000000"/>
                <w:sz w:val="16"/>
                <w:szCs w:val="16"/>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0D8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1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4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07520">
            <w:pPr>
              <w:rPr>
                <w:rFonts w:hint="eastAsia" w:ascii="黑体" w:hAnsi="黑体" w:eastAsia="黑体" w:cs="黑体"/>
                <w:i/>
                <w:iCs/>
                <w:color w:val="000000"/>
                <w:sz w:val="18"/>
                <w:szCs w:val="18"/>
                <w:u w:val="none"/>
              </w:rPr>
            </w:pPr>
          </w:p>
        </w:tc>
      </w:tr>
      <w:tr w14:paraId="4B2B0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2E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2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9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0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6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B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B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B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8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F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8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874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D9C01">
            <w:pPr>
              <w:jc w:val="center"/>
              <w:rPr>
                <w:rFonts w:hint="eastAsia" w:ascii="宋体" w:hAnsi="宋体" w:eastAsia="宋体" w:cs="宋体"/>
                <w:i w:val="0"/>
                <w:iCs w:val="0"/>
                <w:color w:val="000000"/>
                <w:sz w:val="18"/>
                <w:szCs w:val="18"/>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B5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E2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0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0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A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E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52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5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D0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E386">
            <w:pPr>
              <w:jc w:val="center"/>
              <w:rPr>
                <w:rFonts w:hint="eastAsia" w:ascii="微软雅黑" w:hAnsi="微软雅黑" w:eastAsia="微软雅黑" w:cs="微软雅黑"/>
                <w:i/>
                <w:iCs/>
                <w:color w:val="000000"/>
                <w:sz w:val="16"/>
                <w:szCs w:val="16"/>
                <w:u w:val="none"/>
              </w:rPr>
            </w:pPr>
          </w:p>
        </w:tc>
      </w:tr>
      <w:tr w14:paraId="529DC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62D27">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F2FE3">
            <w:pPr>
              <w:jc w:val="center"/>
              <w:rPr>
                <w:rFonts w:hint="eastAsia" w:ascii="宋体" w:hAnsi="宋体" w:eastAsia="宋体" w:cs="宋体"/>
                <w:i w:val="0"/>
                <w:iCs w:val="0"/>
                <w:color w:val="000000"/>
                <w:sz w:val="18"/>
                <w:szCs w:val="18"/>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5E3F0">
            <w:pPr>
              <w:jc w:val="center"/>
              <w:rPr>
                <w:rFonts w:hint="eastAsia" w:ascii="宋体" w:hAnsi="宋体" w:eastAsia="宋体" w:cs="宋体"/>
                <w:i w:val="0"/>
                <w:iCs w:val="0"/>
                <w:color w:val="000000"/>
                <w:sz w:val="18"/>
                <w:szCs w:val="18"/>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A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享受免费义务教育学生人数59人，增减率控制范围</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D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7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4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24B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6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363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7A97">
            <w:pPr>
              <w:jc w:val="center"/>
              <w:rPr>
                <w:rFonts w:hint="eastAsia" w:ascii="微软雅黑" w:hAnsi="微软雅黑" w:eastAsia="微软雅黑" w:cs="微软雅黑"/>
                <w:i/>
                <w:iCs/>
                <w:color w:val="000000"/>
                <w:sz w:val="16"/>
                <w:szCs w:val="16"/>
                <w:u w:val="none"/>
              </w:rPr>
            </w:pPr>
          </w:p>
        </w:tc>
      </w:tr>
      <w:tr w14:paraId="24A77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2D9EE">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A3F65">
            <w:pPr>
              <w:jc w:val="center"/>
              <w:rPr>
                <w:rFonts w:hint="eastAsia" w:ascii="宋体" w:hAnsi="宋体" w:eastAsia="宋体" w:cs="宋体"/>
                <w:i w:val="0"/>
                <w:iCs w:val="0"/>
                <w:color w:val="000000"/>
                <w:sz w:val="18"/>
                <w:szCs w:val="18"/>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96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D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8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F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A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F46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7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CD8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5BD6">
            <w:pPr>
              <w:jc w:val="center"/>
              <w:rPr>
                <w:rFonts w:hint="eastAsia" w:ascii="微软雅黑" w:hAnsi="微软雅黑" w:eastAsia="微软雅黑" w:cs="微软雅黑"/>
                <w:i/>
                <w:iCs/>
                <w:color w:val="000000"/>
                <w:sz w:val="16"/>
                <w:szCs w:val="16"/>
                <w:u w:val="none"/>
              </w:rPr>
            </w:pPr>
          </w:p>
        </w:tc>
      </w:tr>
      <w:tr w14:paraId="10AA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C2F12">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38A9D">
            <w:pPr>
              <w:jc w:val="center"/>
              <w:rPr>
                <w:rFonts w:hint="eastAsia" w:ascii="宋体" w:hAnsi="宋体" w:eastAsia="宋体" w:cs="宋体"/>
                <w:i w:val="0"/>
                <w:iCs w:val="0"/>
                <w:color w:val="000000"/>
                <w:sz w:val="18"/>
                <w:szCs w:val="18"/>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445BA">
            <w:pPr>
              <w:jc w:val="center"/>
              <w:rPr>
                <w:rFonts w:hint="eastAsia" w:ascii="宋体" w:hAnsi="宋体" w:eastAsia="宋体" w:cs="宋体"/>
                <w:i w:val="0"/>
                <w:iCs w:val="0"/>
                <w:color w:val="000000"/>
                <w:sz w:val="18"/>
                <w:szCs w:val="18"/>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0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4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D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F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AF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F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D6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2D7C">
            <w:pPr>
              <w:jc w:val="center"/>
              <w:rPr>
                <w:rFonts w:hint="eastAsia" w:ascii="微软雅黑" w:hAnsi="微软雅黑" w:eastAsia="微软雅黑" w:cs="微软雅黑"/>
                <w:i/>
                <w:iCs/>
                <w:color w:val="000000"/>
                <w:sz w:val="16"/>
                <w:szCs w:val="16"/>
                <w:u w:val="none"/>
              </w:rPr>
            </w:pPr>
          </w:p>
        </w:tc>
      </w:tr>
      <w:tr w14:paraId="0155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70D75">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5EB3">
            <w:pPr>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A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7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资金拨付周期</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4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B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2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B0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D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633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E8CC">
            <w:pPr>
              <w:jc w:val="center"/>
              <w:rPr>
                <w:rFonts w:hint="eastAsia" w:ascii="微软雅黑" w:hAnsi="微软雅黑" w:eastAsia="微软雅黑" w:cs="微软雅黑"/>
                <w:i/>
                <w:iCs/>
                <w:color w:val="000000"/>
                <w:sz w:val="16"/>
                <w:szCs w:val="16"/>
                <w:u w:val="none"/>
              </w:rPr>
            </w:pPr>
          </w:p>
        </w:tc>
      </w:tr>
      <w:tr w14:paraId="30CE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55C86">
            <w:pPr>
              <w:jc w:val="center"/>
              <w:rPr>
                <w:rFonts w:hint="eastAsia" w:ascii="宋体" w:hAnsi="宋体" w:eastAsia="宋体" w:cs="宋体"/>
                <w:i w:val="0"/>
                <w:iCs w:val="0"/>
                <w:color w:val="000000"/>
                <w:sz w:val="18"/>
                <w:szCs w:val="18"/>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70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8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0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9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A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6BE2">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A0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4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075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DFE6">
            <w:pPr>
              <w:jc w:val="center"/>
              <w:rPr>
                <w:rFonts w:hint="eastAsia" w:ascii="微软雅黑" w:hAnsi="微软雅黑" w:eastAsia="微软雅黑" w:cs="微软雅黑"/>
                <w:i/>
                <w:iCs/>
                <w:color w:val="000000"/>
                <w:sz w:val="16"/>
                <w:szCs w:val="16"/>
                <w:u w:val="none"/>
              </w:rPr>
            </w:pPr>
          </w:p>
        </w:tc>
      </w:tr>
      <w:tr w14:paraId="7E11F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BCAF9">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B4158">
            <w:pPr>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B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9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E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0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A365">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08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A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39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8A4C">
            <w:pPr>
              <w:jc w:val="center"/>
              <w:rPr>
                <w:rFonts w:hint="eastAsia" w:ascii="微软雅黑" w:hAnsi="微软雅黑" w:eastAsia="微软雅黑" w:cs="微软雅黑"/>
                <w:i/>
                <w:iCs/>
                <w:color w:val="000000"/>
                <w:sz w:val="16"/>
                <w:szCs w:val="16"/>
                <w:u w:val="none"/>
              </w:rPr>
            </w:pPr>
          </w:p>
        </w:tc>
      </w:tr>
      <w:tr w14:paraId="5F8F8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8502F">
            <w:pPr>
              <w:jc w:val="center"/>
              <w:rPr>
                <w:rFonts w:hint="eastAsia" w:ascii="宋体" w:hAnsi="宋体" w:eastAsia="宋体" w:cs="宋体"/>
                <w:i w:val="0"/>
                <w:iCs w:val="0"/>
                <w:color w:val="000000"/>
                <w:sz w:val="18"/>
                <w:szCs w:val="18"/>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39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77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4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4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C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4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FF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E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1D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2815">
            <w:pPr>
              <w:jc w:val="center"/>
              <w:rPr>
                <w:rFonts w:hint="eastAsia" w:ascii="微软雅黑" w:hAnsi="微软雅黑" w:eastAsia="微软雅黑" w:cs="微软雅黑"/>
                <w:i/>
                <w:iCs/>
                <w:color w:val="000000"/>
                <w:sz w:val="16"/>
                <w:szCs w:val="16"/>
                <w:u w:val="none"/>
              </w:rPr>
            </w:pPr>
          </w:p>
        </w:tc>
      </w:tr>
      <w:tr w14:paraId="6ADC9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D5702">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37312">
            <w:pPr>
              <w:jc w:val="center"/>
              <w:rPr>
                <w:rFonts w:hint="eastAsia" w:ascii="宋体" w:hAnsi="宋体" w:eastAsia="宋体" w:cs="宋体"/>
                <w:i w:val="0"/>
                <w:iCs w:val="0"/>
                <w:color w:val="000000"/>
                <w:sz w:val="18"/>
                <w:szCs w:val="18"/>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A8F50">
            <w:pPr>
              <w:jc w:val="center"/>
              <w:rPr>
                <w:rFonts w:hint="eastAsia" w:ascii="宋体" w:hAnsi="宋体" w:eastAsia="宋体" w:cs="宋体"/>
                <w:i w:val="0"/>
                <w:iCs w:val="0"/>
                <w:color w:val="000000"/>
                <w:sz w:val="18"/>
                <w:szCs w:val="18"/>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5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0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F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E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25A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D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69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01C4">
            <w:pPr>
              <w:jc w:val="center"/>
              <w:rPr>
                <w:rFonts w:hint="eastAsia" w:ascii="微软雅黑" w:hAnsi="微软雅黑" w:eastAsia="微软雅黑" w:cs="微软雅黑"/>
                <w:i/>
                <w:iCs/>
                <w:color w:val="000000"/>
                <w:sz w:val="16"/>
                <w:szCs w:val="16"/>
                <w:u w:val="none"/>
              </w:rPr>
            </w:pPr>
          </w:p>
        </w:tc>
      </w:tr>
      <w:tr w14:paraId="78FFF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AC3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6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D67E">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54AA">
            <w:pPr>
              <w:rPr>
                <w:rFonts w:hint="eastAsia" w:ascii="宋体" w:hAnsi="宋体" w:eastAsia="宋体" w:cs="宋体"/>
                <w:i w:val="0"/>
                <w:iCs w:val="0"/>
                <w:color w:val="000000"/>
                <w:sz w:val="18"/>
                <w:szCs w:val="18"/>
                <w:u w:val="none"/>
              </w:rPr>
            </w:pPr>
          </w:p>
        </w:tc>
      </w:tr>
      <w:tr w14:paraId="0E2AD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F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47742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4044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6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541FE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8EDA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A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D5AF1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815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A5A2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项目负责人：周彬</w:t>
            </w:r>
          </w:p>
        </w:tc>
        <w:tc>
          <w:tcPr>
            <w:tcW w:w="4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F6C92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财务负责人：郑启明</w:t>
            </w:r>
          </w:p>
        </w:tc>
      </w:tr>
      <w:tr w14:paraId="23906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768E41AF">
            <w:pPr>
              <w:rPr>
                <w:rFonts w:hint="eastAsia" w:ascii="宋体" w:hAnsi="宋体" w:eastAsia="宋体" w:cs="宋体"/>
                <w:i w:val="0"/>
                <w:iCs w:val="0"/>
                <w:color w:val="000000"/>
                <w:sz w:val="18"/>
                <w:szCs w:val="18"/>
                <w:u w:val="none"/>
              </w:rPr>
            </w:pPr>
          </w:p>
        </w:tc>
        <w:tc>
          <w:tcPr>
            <w:tcW w:w="1023" w:type="dxa"/>
            <w:tcBorders>
              <w:top w:val="nil"/>
              <w:left w:val="nil"/>
              <w:bottom w:val="nil"/>
              <w:right w:val="nil"/>
            </w:tcBorders>
            <w:shd w:val="clear" w:color="auto" w:fill="auto"/>
            <w:vAlign w:val="center"/>
          </w:tcPr>
          <w:p w14:paraId="3B011C87">
            <w:pPr>
              <w:rPr>
                <w:rFonts w:hint="eastAsia" w:ascii="宋体" w:hAnsi="宋体" w:eastAsia="宋体" w:cs="宋体"/>
                <w:i w:val="0"/>
                <w:iCs w:val="0"/>
                <w:color w:val="000000"/>
                <w:sz w:val="18"/>
                <w:szCs w:val="18"/>
                <w:u w:val="none"/>
              </w:rPr>
            </w:pPr>
          </w:p>
        </w:tc>
        <w:tc>
          <w:tcPr>
            <w:tcW w:w="1066" w:type="dxa"/>
            <w:tcBorders>
              <w:top w:val="nil"/>
              <w:left w:val="nil"/>
              <w:bottom w:val="nil"/>
              <w:right w:val="nil"/>
            </w:tcBorders>
            <w:shd w:val="clear" w:color="auto" w:fill="auto"/>
            <w:vAlign w:val="center"/>
          </w:tcPr>
          <w:p w14:paraId="4D0D882B">
            <w:pPr>
              <w:rPr>
                <w:rFonts w:hint="eastAsia" w:ascii="宋体" w:hAnsi="宋体" w:eastAsia="宋体" w:cs="宋体"/>
                <w:i w:val="0"/>
                <w:iCs w:val="0"/>
                <w:color w:val="000000"/>
                <w:sz w:val="18"/>
                <w:szCs w:val="18"/>
                <w:u w:val="none"/>
              </w:rPr>
            </w:pPr>
          </w:p>
        </w:tc>
        <w:tc>
          <w:tcPr>
            <w:tcW w:w="1608" w:type="dxa"/>
            <w:tcBorders>
              <w:top w:val="nil"/>
              <w:left w:val="nil"/>
              <w:bottom w:val="nil"/>
              <w:right w:val="nil"/>
            </w:tcBorders>
            <w:shd w:val="clear" w:color="auto" w:fill="auto"/>
            <w:vAlign w:val="center"/>
          </w:tcPr>
          <w:p w14:paraId="044AF675">
            <w:pPr>
              <w:rPr>
                <w:rFonts w:hint="eastAsia" w:ascii="宋体" w:hAnsi="宋体" w:eastAsia="宋体" w:cs="宋体"/>
                <w:i w:val="0"/>
                <w:iCs w:val="0"/>
                <w:color w:val="000000"/>
                <w:sz w:val="18"/>
                <w:szCs w:val="18"/>
                <w:u w:val="none"/>
              </w:rPr>
            </w:pPr>
          </w:p>
        </w:tc>
        <w:tc>
          <w:tcPr>
            <w:tcW w:w="514" w:type="dxa"/>
            <w:tcBorders>
              <w:top w:val="nil"/>
              <w:left w:val="nil"/>
              <w:bottom w:val="nil"/>
              <w:right w:val="nil"/>
            </w:tcBorders>
            <w:shd w:val="clear" w:color="auto" w:fill="auto"/>
            <w:vAlign w:val="center"/>
          </w:tcPr>
          <w:p w14:paraId="1FE96337">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C05F14B">
            <w:pPr>
              <w:rPr>
                <w:rFonts w:hint="eastAsia" w:ascii="宋体" w:hAnsi="宋体" w:eastAsia="宋体" w:cs="宋体"/>
                <w:i w:val="0"/>
                <w:iCs w:val="0"/>
                <w:color w:val="000000"/>
                <w:sz w:val="18"/>
                <w:szCs w:val="18"/>
                <w:u w:val="none"/>
              </w:rPr>
            </w:pPr>
          </w:p>
        </w:tc>
        <w:tc>
          <w:tcPr>
            <w:tcW w:w="514" w:type="dxa"/>
            <w:tcBorders>
              <w:top w:val="nil"/>
              <w:left w:val="nil"/>
              <w:bottom w:val="nil"/>
              <w:right w:val="nil"/>
            </w:tcBorders>
            <w:shd w:val="clear" w:color="auto" w:fill="auto"/>
            <w:vAlign w:val="center"/>
          </w:tcPr>
          <w:p w14:paraId="16A18A3A">
            <w:pPr>
              <w:rPr>
                <w:rFonts w:hint="eastAsia" w:ascii="宋体" w:hAnsi="宋体" w:eastAsia="宋体" w:cs="宋体"/>
                <w:i w:val="0"/>
                <w:iCs w:val="0"/>
                <w:color w:val="000000"/>
                <w:sz w:val="18"/>
                <w:szCs w:val="18"/>
                <w:u w:val="none"/>
              </w:rPr>
            </w:pPr>
          </w:p>
        </w:tc>
        <w:tc>
          <w:tcPr>
            <w:tcW w:w="955" w:type="dxa"/>
            <w:tcBorders>
              <w:top w:val="nil"/>
              <w:left w:val="nil"/>
              <w:bottom w:val="nil"/>
              <w:right w:val="nil"/>
            </w:tcBorders>
            <w:shd w:val="clear" w:color="auto" w:fill="auto"/>
            <w:vAlign w:val="center"/>
          </w:tcPr>
          <w:p w14:paraId="6AF5A86F">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A695E74">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CC5BDF7">
            <w:pPr>
              <w:rPr>
                <w:rFonts w:hint="eastAsia" w:ascii="宋体" w:hAnsi="宋体" w:eastAsia="宋体" w:cs="宋体"/>
                <w:i w:val="0"/>
                <w:iCs w:val="0"/>
                <w:color w:val="000000"/>
                <w:sz w:val="18"/>
                <w:szCs w:val="18"/>
                <w:u w:val="none"/>
              </w:rPr>
            </w:pPr>
          </w:p>
        </w:tc>
        <w:tc>
          <w:tcPr>
            <w:tcW w:w="788" w:type="dxa"/>
            <w:tcBorders>
              <w:top w:val="nil"/>
              <w:left w:val="nil"/>
              <w:bottom w:val="nil"/>
              <w:right w:val="nil"/>
            </w:tcBorders>
            <w:shd w:val="clear" w:color="auto" w:fill="auto"/>
            <w:vAlign w:val="center"/>
          </w:tcPr>
          <w:p w14:paraId="54E5AB35">
            <w:pPr>
              <w:rPr>
                <w:rFonts w:hint="eastAsia" w:ascii="宋体" w:hAnsi="宋体" w:eastAsia="宋体" w:cs="宋体"/>
                <w:i w:val="0"/>
                <w:iCs w:val="0"/>
                <w:color w:val="000000"/>
                <w:sz w:val="18"/>
                <w:szCs w:val="18"/>
                <w:u w:val="none"/>
              </w:rPr>
            </w:pPr>
          </w:p>
        </w:tc>
      </w:tr>
      <w:tr w14:paraId="721BB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43798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506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833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AA63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51118123T000008642747-义务教育阶段特殊教育学校和随班就读残疾学生生均公用经费</w:t>
            </w:r>
          </w:p>
        </w:tc>
      </w:tr>
      <w:tr w14:paraId="0E759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4B7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81A7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55" w:type="dxa"/>
            <w:tcBorders>
              <w:top w:val="nil"/>
              <w:left w:val="nil"/>
              <w:bottom w:val="nil"/>
              <w:right w:val="nil"/>
            </w:tcBorders>
            <w:shd w:val="clear" w:color="auto" w:fill="auto"/>
            <w:vAlign w:val="center"/>
          </w:tcPr>
          <w:p w14:paraId="49CACDC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FF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峨眉山市龙门乡中心小学校</w:t>
            </w:r>
          </w:p>
        </w:tc>
      </w:tr>
      <w:tr w14:paraId="314C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554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FCE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EF1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816F5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A4B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A36DE">
            <w:pP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C09D2">
            <w:pPr>
              <w:rPr>
                <w:rFonts w:hint="eastAsia" w:ascii="宋体" w:hAnsi="宋体" w:eastAsia="宋体" w:cs="宋体"/>
                <w:i w:val="0"/>
                <w:iCs w:val="0"/>
                <w:color w:val="000000"/>
                <w:sz w:val="18"/>
                <w:szCs w:val="18"/>
                <w:u w:val="none"/>
              </w:rPr>
            </w:pPr>
          </w:p>
        </w:tc>
        <w:tc>
          <w:tcPr>
            <w:tcW w:w="4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1609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目标3：随班就读残疾学生生均公用经费主要用于学校公用支出，保障学校教育教学秩序正常运转，完成上级下达的教学目标，全面发展义务教育事业。</w:t>
            </w: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415C8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落实城乡义务教育经费保障机制。推进义务教育均衡发展和促进教育公平。</w:t>
            </w:r>
          </w:p>
        </w:tc>
      </w:tr>
      <w:tr w14:paraId="62CBA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FD983">
            <w:pP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4D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A4F6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随班就读残疾学生生均公用经费主要用于学校公用支出，保障学校教育教学秩序正常运转，完成上级下达的教学目标，全面发展义务教育事业。</w:t>
            </w:r>
          </w:p>
        </w:tc>
      </w:tr>
      <w:tr w14:paraId="1383A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B5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C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B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B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54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1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1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C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D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617A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8148B">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6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0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8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16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D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3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188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1D568">
            <w:pPr>
              <w:rPr>
                <w:rFonts w:hint="eastAsia" w:ascii="黑体" w:hAnsi="黑体" w:eastAsia="黑体" w:cs="黑体"/>
                <w:i/>
                <w:iCs/>
                <w:color w:val="000000"/>
                <w:sz w:val="18"/>
                <w:szCs w:val="18"/>
                <w:u w:val="none"/>
              </w:rPr>
            </w:pPr>
          </w:p>
        </w:tc>
      </w:tr>
      <w:tr w14:paraId="13A4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5BDFA">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C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7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6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E8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3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6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C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C9652">
            <w:pPr>
              <w:rPr>
                <w:rFonts w:hint="eastAsia" w:ascii="黑体" w:hAnsi="黑体" w:eastAsia="黑体" w:cs="黑体"/>
                <w:i/>
                <w:iCs/>
                <w:color w:val="000000"/>
                <w:sz w:val="18"/>
                <w:szCs w:val="18"/>
                <w:u w:val="none"/>
              </w:rPr>
            </w:pPr>
          </w:p>
        </w:tc>
      </w:tr>
      <w:tr w14:paraId="7F5A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4B43D">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A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F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6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8A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C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5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1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D49CD">
            <w:pPr>
              <w:rPr>
                <w:rFonts w:hint="eastAsia" w:ascii="黑体" w:hAnsi="黑体" w:eastAsia="黑体" w:cs="黑体"/>
                <w:i/>
                <w:iCs/>
                <w:color w:val="000000"/>
                <w:sz w:val="18"/>
                <w:szCs w:val="18"/>
                <w:u w:val="none"/>
              </w:rPr>
            </w:pPr>
          </w:p>
        </w:tc>
      </w:tr>
      <w:tr w14:paraId="757A1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33BD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C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1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8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F7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A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A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A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D2290">
            <w:pPr>
              <w:rPr>
                <w:rFonts w:hint="eastAsia" w:ascii="黑体" w:hAnsi="黑体" w:eastAsia="黑体" w:cs="黑体"/>
                <w:i/>
                <w:iCs/>
                <w:color w:val="000000"/>
                <w:sz w:val="18"/>
                <w:szCs w:val="18"/>
                <w:u w:val="none"/>
              </w:rPr>
            </w:pPr>
          </w:p>
        </w:tc>
      </w:tr>
      <w:tr w14:paraId="473F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DDA05">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4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868E">
            <w:pPr>
              <w:jc w:val="center"/>
              <w:rPr>
                <w:rFonts w:hint="eastAsia" w:ascii="微软雅黑" w:hAnsi="微软雅黑" w:eastAsia="微软雅黑" w:cs="微软雅黑"/>
                <w:i/>
                <w:iCs/>
                <w:color w:val="000000"/>
                <w:sz w:val="16"/>
                <w:szCs w:val="16"/>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20E5">
            <w:pPr>
              <w:jc w:val="center"/>
              <w:rPr>
                <w:rFonts w:hint="eastAsia" w:ascii="微软雅黑" w:hAnsi="微软雅黑" w:eastAsia="微软雅黑" w:cs="微软雅黑"/>
                <w:i/>
                <w:iCs/>
                <w:color w:val="000000"/>
                <w:sz w:val="16"/>
                <w:szCs w:val="16"/>
                <w:u w:val="none"/>
              </w:rPr>
            </w:pP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4F4E3A">
            <w:pPr>
              <w:jc w:val="center"/>
              <w:rPr>
                <w:rFonts w:hint="eastAsia" w:ascii="微软雅黑" w:hAnsi="微软雅黑" w:eastAsia="微软雅黑" w:cs="微软雅黑"/>
                <w:i/>
                <w:iCs/>
                <w:color w:val="000000"/>
                <w:sz w:val="16"/>
                <w:szCs w:val="16"/>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7E8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3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4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9FA7E">
            <w:pPr>
              <w:rPr>
                <w:rFonts w:hint="eastAsia" w:ascii="黑体" w:hAnsi="黑体" w:eastAsia="黑体" w:cs="黑体"/>
                <w:i/>
                <w:iCs/>
                <w:color w:val="000000"/>
                <w:sz w:val="18"/>
                <w:szCs w:val="18"/>
                <w:u w:val="none"/>
              </w:rPr>
            </w:pPr>
          </w:p>
        </w:tc>
      </w:tr>
      <w:tr w14:paraId="284C5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7B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6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7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F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3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E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6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8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2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4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5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6633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D2E8A">
            <w:pPr>
              <w:jc w:val="center"/>
              <w:rPr>
                <w:rFonts w:hint="eastAsia" w:ascii="宋体" w:hAnsi="宋体" w:eastAsia="宋体" w:cs="宋体"/>
                <w:i w:val="0"/>
                <w:iCs w:val="0"/>
                <w:color w:val="000000"/>
                <w:sz w:val="18"/>
                <w:szCs w:val="18"/>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FC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B9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F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义务教育随班就读残疾学生入学率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2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8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E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1A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1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321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E69F">
            <w:pPr>
              <w:jc w:val="center"/>
              <w:rPr>
                <w:rFonts w:hint="eastAsia" w:ascii="微软雅黑" w:hAnsi="微软雅黑" w:eastAsia="微软雅黑" w:cs="微软雅黑"/>
                <w:i/>
                <w:iCs/>
                <w:color w:val="000000"/>
                <w:sz w:val="16"/>
                <w:szCs w:val="16"/>
                <w:u w:val="none"/>
              </w:rPr>
            </w:pPr>
          </w:p>
        </w:tc>
      </w:tr>
      <w:tr w14:paraId="6B82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31B0D">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92BBE">
            <w:pPr>
              <w:jc w:val="center"/>
              <w:rPr>
                <w:rFonts w:hint="eastAsia" w:ascii="宋体" w:hAnsi="宋体" w:eastAsia="宋体" w:cs="宋体"/>
                <w:i w:val="0"/>
                <w:iCs w:val="0"/>
                <w:color w:val="000000"/>
                <w:sz w:val="18"/>
                <w:szCs w:val="18"/>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F683D">
            <w:pPr>
              <w:jc w:val="center"/>
              <w:rPr>
                <w:rFonts w:hint="eastAsia" w:ascii="宋体" w:hAnsi="宋体" w:eastAsia="宋体" w:cs="宋体"/>
                <w:i w:val="0"/>
                <w:iCs w:val="0"/>
                <w:color w:val="000000"/>
                <w:sz w:val="18"/>
                <w:szCs w:val="18"/>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B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享受免费义务教育随班就读残疾学生人数</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A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7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6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2C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E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6A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821E">
            <w:pPr>
              <w:jc w:val="center"/>
              <w:rPr>
                <w:rFonts w:hint="eastAsia" w:ascii="微软雅黑" w:hAnsi="微软雅黑" w:eastAsia="微软雅黑" w:cs="微软雅黑"/>
                <w:i/>
                <w:iCs/>
                <w:color w:val="000000"/>
                <w:sz w:val="16"/>
                <w:szCs w:val="16"/>
                <w:u w:val="none"/>
              </w:rPr>
            </w:pPr>
          </w:p>
        </w:tc>
      </w:tr>
      <w:tr w14:paraId="4FAEB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E6A49">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41796">
            <w:pPr>
              <w:jc w:val="center"/>
              <w:rPr>
                <w:rFonts w:hint="eastAsia" w:ascii="宋体" w:hAnsi="宋体" w:eastAsia="宋体" w:cs="宋体"/>
                <w:i w:val="0"/>
                <w:iCs w:val="0"/>
                <w:color w:val="000000"/>
                <w:sz w:val="18"/>
                <w:szCs w:val="18"/>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CE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3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D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B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6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77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7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50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3C09">
            <w:pPr>
              <w:jc w:val="center"/>
              <w:rPr>
                <w:rFonts w:hint="eastAsia" w:ascii="微软雅黑" w:hAnsi="微软雅黑" w:eastAsia="微软雅黑" w:cs="微软雅黑"/>
                <w:i/>
                <w:iCs/>
                <w:color w:val="000000"/>
                <w:sz w:val="16"/>
                <w:szCs w:val="16"/>
                <w:u w:val="none"/>
              </w:rPr>
            </w:pPr>
          </w:p>
        </w:tc>
      </w:tr>
      <w:tr w14:paraId="6A6E2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71D15">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85955">
            <w:pPr>
              <w:jc w:val="center"/>
              <w:rPr>
                <w:rFonts w:hint="eastAsia" w:ascii="宋体" w:hAnsi="宋体" w:eastAsia="宋体" w:cs="宋体"/>
                <w:i w:val="0"/>
                <w:iCs w:val="0"/>
                <w:color w:val="000000"/>
                <w:sz w:val="18"/>
                <w:szCs w:val="18"/>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1034C">
            <w:pPr>
              <w:jc w:val="center"/>
              <w:rPr>
                <w:rFonts w:hint="eastAsia" w:ascii="宋体" w:hAnsi="宋体" w:eastAsia="宋体" w:cs="宋体"/>
                <w:i w:val="0"/>
                <w:iCs w:val="0"/>
                <w:color w:val="000000"/>
                <w:sz w:val="18"/>
                <w:szCs w:val="18"/>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9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3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9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E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5D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F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41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819D">
            <w:pPr>
              <w:jc w:val="center"/>
              <w:rPr>
                <w:rFonts w:hint="eastAsia" w:ascii="微软雅黑" w:hAnsi="微软雅黑" w:eastAsia="微软雅黑" w:cs="微软雅黑"/>
                <w:i/>
                <w:iCs/>
                <w:color w:val="000000"/>
                <w:sz w:val="16"/>
                <w:szCs w:val="16"/>
                <w:u w:val="none"/>
              </w:rPr>
            </w:pPr>
          </w:p>
        </w:tc>
      </w:tr>
      <w:tr w14:paraId="4E46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59289">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6B33D">
            <w:pPr>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C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3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7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4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4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D86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F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0D7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AC59">
            <w:pPr>
              <w:jc w:val="center"/>
              <w:rPr>
                <w:rFonts w:hint="eastAsia" w:ascii="微软雅黑" w:hAnsi="微软雅黑" w:eastAsia="微软雅黑" w:cs="微软雅黑"/>
                <w:i/>
                <w:iCs/>
                <w:color w:val="000000"/>
                <w:sz w:val="16"/>
                <w:szCs w:val="16"/>
                <w:u w:val="none"/>
              </w:rPr>
            </w:pPr>
          </w:p>
        </w:tc>
      </w:tr>
      <w:tr w14:paraId="58BC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EB130">
            <w:pPr>
              <w:jc w:val="center"/>
              <w:rPr>
                <w:rFonts w:hint="eastAsia" w:ascii="宋体" w:hAnsi="宋体" w:eastAsia="宋体" w:cs="宋体"/>
                <w:i w:val="0"/>
                <w:iCs w:val="0"/>
                <w:color w:val="000000"/>
                <w:sz w:val="18"/>
                <w:szCs w:val="18"/>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40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C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0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落实国家政策，保障适龄随班就读残疾学生全面接受义务教育</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5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3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E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FDD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4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39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D188">
            <w:pPr>
              <w:jc w:val="center"/>
              <w:rPr>
                <w:rFonts w:hint="eastAsia" w:ascii="微软雅黑" w:hAnsi="微软雅黑" w:eastAsia="微软雅黑" w:cs="微软雅黑"/>
                <w:i/>
                <w:iCs/>
                <w:color w:val="000000"/>
                <w:sz w:val="16"/>
                <w:szCs w:val="16"/>
                <w:u w:val="none"/>
              </w:rPr>
            </w:pPr>
          </w:p>
        </w:tc>
      </w:tr>
      <w:tr w14:paraId="1B8A3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3B1D5">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09E06">
            <w:pPr>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8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F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8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4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0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17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8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04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2130">
            <w:pPr>
              <w:jc w:val="center"/>
              <w:rPr>
                <w:rFonts w:hint="eastAsia" w:ascii="微软雅黑" w:hAnsi="微软雅黑" w:eastAsia="微软雅黑" w:cs="微软雅黑"/>
                <w:i/>
                <w:iCs/>
                <w:color w:val="000000"/>
                <w:sz w:val="16"/>
                <w:szCs w:val="16"/>
                <w:u w:val="none"/>
              </w:rPr>
            </w:pPr>
          </w:p>
        </w:tc>
      </w:tr>
      <w:tr w14:paraId="43A64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790DC">
            <w:pPr>
              <w:jc w:val="center"/>
              <w:rPr>
                <w:rFonts w:hint="eastAsia" w:ascii="宋体" w:hAnsi="宋体" w:eastAsia="宋体" w:cs="宋体"/>
                <w:i w:val="0"/>
                <w:iCs w:val="0"/>
                <w:color w:val="000000"/>
                <w:sz w:val="18"/>
                <w:szCs w:val="18"/>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A0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81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2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5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A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7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601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D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90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58CF">
            <w:pPr>
              <w:jc w:val="center"/>
              <w:rPr>
                <w:rFonts w:hint="eastAsia" w:ascii="微软雅黑" w:hAnsi="微软雅黑" w:eastAsia="微软雅黑" w:cs="微软雅黑"/>
                <w:i/>
                <w:iCs/>
                <w:color w:val="000000"/>
                <w:sz w:val="16"/>
                <w:szCs w:val="16"/>
                <w:u w:val="none"/>
              </w:rPr>
            </w:pPr>
          </w:p>
        </w:tc>
      </w:tr>
      <w:tr w14:paraId="37EC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C5F44">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B10E6">
            <w:pPr>
              <w:jc w:val="center"/>
              <w:rPr>
                <w:rFonts w:hint="eastAsia" w:ascii="宋体" w:hAnsi="宋体" w:eastAsia="宋体" w:cs="宋体"/>
                <w:i w:val="0"/>
                <w:iCs w:val="0"/>
                <w:color w:val="000000"/>
                <w:sz w:val="18"/>
                <w:szCs w:val="18"/>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A98CE">
            <w:pPr>
              <w:jc w:val="center"/>
              <w:rPr>
                <w:rFonts w:hint="eastAsia" w:ascii="宋体" w:hAnsi="宋体" w:eastAsia="宋体" w:cs="宋体"/>
                <w:i w:val="0"/>
                <w:iCs w:val="0"/>
                <w:color w:val="000000"/>
                <w:sz w:val="18"/>
                <w:szCs w:val="18"/>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2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D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7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5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69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2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27A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D713">
            <w:pPr>
              <w:jc w:val="center"/>
              <w:rPr>
                <w:rFonts w:hint="eastAsia" w:ascii="微软雅黑" w:hAnsi="微软雅黑" w:eastAsia="微软雅黑" w:cs="微软雅黑"/>
                <w:i/>
                <w:iCs/>
                <w:color w:val="000000"/>
                <w:sz w:val="16"/>
                <w:szCs w:val="16"/>
                <w:u w:val="none"/>
              </w:rPr>
            </w:pPr>
          </w:p>
        </w:tc>
      </w:tr>
      <w:tr w14:paraId="6D919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1CB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3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BB04">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56DB">
            <w:pPr>
              <w:rPr>
                <w:rFonts w:hint="eastAsia" w:ascii="宋体" w:hAnsi="宋体" w:eastAsia="宋体" w:cs="宋体"/>
                <w:i w:val="0"/>
                <w:iCs w:val="0"/>
                <w:color w:val="000000"/>
                <w:sz w:val="18"/>
                <w:szCs w:val="18"/>
                <w:u w:val="none"/>
              </w:rPr>
            </w:pPr>
          </w:p>
        </w:tc>
      </w:tr>
      <w:tr w14:paraId="7435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4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D7832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3ADD0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7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7BC85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AF7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9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E8D66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9E0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2EFE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项目负责人：周彬</w:t>
            </w:r>
          </w:p>
        </w:tc>
        <w:tc>
          <w:tcPr>
            <w:tcW w:w="4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4A69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财务负责人：郑启明</w:t>
            </w:r>
          </w:p>
        </w:tc>
      </w:tr>
      <w:tr w14:paraId="379C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1E5EA41A">
            <w:pPr>
              <w:rPr>
                <w:rFonts w:hint="eastAsia" w:ascii="宋体" w:hAnsi="宋体" w:eastAsia="宋体" w:cs="宋体"/>
                <w:i w:val="0"/>
                <w:iCs w:val="0"/>
                <w:color w:val="000000"/>
                <w:sz w:val="18"/>
                <w:szCs w:val="18"/>
                <w:u w:val="none"/>
              </w:rPr>
            </w:pPr>
          </w:p>
        </w:tc>
        <w:tc>
          <w:tcPr>
            <w:tcW w:w="1023" w:type="dxa"/>
            <w:tcBorders>
              <w:top w:val="nil"/>
              <w:left w:val="nil"/>
              <w:bottom w:val="nil"/>
              <w:right w:val="nil"/>
            </w:tcBorders>
            <w:shd w:val="clear" w:color="auto" w:fill="auto"/>
            <w:vAlign w:val="center"/>
          </w:tcPr>
          <w:p w14:paraId="6CB92E8D">
            <w:pPr>
              <w:rPr>
                <w:rFonts w:hint="eastAsia" w:ascii="宋体" w:hAnsi="宋体" w:eastAsia="宋体" w:cs="宋体"/>
                <w:i w:val="0"/>
                <w:iCs w:val="0"/>
                <w:color w:val="000000"/>
                <w:sz w:val="18"/>
                <w:szCs w:val="18"/>
                <w:u w:val="none"/>
              </w:rPr>
            </w:pPr>
          </w:p>
        </w:tc>
        <w:tc>
          <w:tcPr>
            <w:tcW w:w="1066" w:type="dxa"/>
            <w:tcBorders>
              <w:top w:val="nil"/>
              <w:left w:val="nil"/>
              <w:bottom w:val="nil"/>
              <w:right w:val="nil"/>
            </w:tcBorders>
            <w:shd w:val="clear" w:color="auto" w:fill="auto"/>
            <w:vAlign w:val="center"/>
          </w:tcPr>
          <w:p w14:paraId="71A69014">
            <w:pPr>
              <w:rPr>
                <w:rFonts w:hint="eastAsia" w:ascii="宋体" w:hAnsi="宋体" w:eastAsia="宋体" w:cs="宋体"/>
                <w:i w:val="0"/>
                <w:iCs w:val="0"/>
                <w:color w:val="000000"/>
                <w:sz w:val="18"/>
                <w:szCs w:val="18"/>
                <w:u w:val="none"/>
              </w:rPr>
            </w:pPr>
          </w:p>
        </w:tc>
        <w:tc>
          <w:tcPr>
            <w:tcW w:w="1608" w:type="dxa"/>
            <w:tcBorders>
              <w:top w:val="nil"/>
              <w:left w:val="nil"/>
              <w:bottom w:val="nil"/>
              <w:right w:val="nil"/>
            </w:tcBorders>
            <w:shd w:val="clear" w:color="auto" w:fill="auto"/>
            <w:vAlign w:val="center"/>
          </w:tcPr>
          <w:p w14:paraId="235439E3">
            <w:pPr>
              <w:rPr>
                <w:rFonts w:hint="eastAsia" w:ascii="宋体" w:hAnsi="宋体" w:eastAsia="宋体" w:cs="宋体"/>
                <w:i w:val="0"/>
                <w:iCs w:val="0"/>
                <w:color w:val="000000"/>
                <w:sz w:val="18"/>
                <w:szCs w:val="18"/>
                <w:u w:val="none"/>
              </w:rPr>
            </w:pPr>
          </w:p>
        </w:tc>
        <w:tc>
          <w:tcPr>
            <w:tcW w:w="514" w:type="dxa"/>
            <w:tcBorders>
              <w:top w:val="nil"/>
              <w:left w:val="nil"/>
              <w:bottom w:val="nil"/>
              <w:right w:val="nil"/>
            </w:tcBorders>
            <w:shd w:val="clear" w:color="auto" w:fill="auto"/>
            <w:vAlign w:val="center"/>
          </w:tcPr>
          <w:p w14:paraId="631415EC">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14F9D73">
            <w:pPr>
              <w:rPr>
                <w:rFonts w:hint="eastAsia" w:ascii="宋体" w:hAnsi="宋体" w:eastAsia="宋体" w:cs="宋体"/>
                <w:i w:val="0"/>
                <w:iCs w:val="0"/>
                <w:color w:val="000000"/>
                <w:sz w:val="18"/>
                <w:szCs w:val="18"/>
                <w:u w:val="none"/>
              </w:rPr>
            </w:pPr>
          </w:p>
        </w:tc>
        <w:tc>
          <w:tcPr>
            <w:tcW w:w="514" w:type="dxa"/>
            <w:tcBorders>
              <w:top w:val="nil"/>
              <w:left w:val="nil"/>
              <w:bottom w:val="nil"/>
              <w:right w:val="nil"/>
            </w:tcBorders>
            <w:shd w:val="clear" w:color="auto" w:fill="auto"/>
            <w:vAlign w:val="center"/>
          </w:tcPr>
          <w:p w14:paraId="1CB914F3">
            <w:pPr>
              <w:rPr>
                <w:rFonts w:hint="eastAsia" w:ascii="宋体" w:hAnsi="宋体" w:eastAsia="宋体" w:cs="宋体"/>
                <w:i w:val="0"/>
                <w:iCs w:val="0"/>
                <w:color w:val="000000"/>
                <w:sz w:val="18"/>
                <w:szCs w:val="18"/>
                <w:u w:val="none"/>
              </w:rPr>
            </w:pPr>
          </w:p>
        </w:tc>
        <w:tc>
          <w:tcPr>
            <w:tcW w:w="955" w:type="dxa"/>
            <w:tcBorders>
              <w:top w:val="nil"/>
              <w:left w:val="nil"/>
              <w:bottom w:val="nil"/>
              <w:right w:val="nil"/>
            </w:tcBorders>
            <w:shd w:val="clear" w:color="auto" w:fill="auto"/>
            <w:vAlign w:val="center"/>
          </w:tcPr>
          <w:p w14:paraId="4CCCD3AC">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5C61D5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8B91AD1">
            <w:pPr>
              <w:rPr>
                <w:rFonts w:hint="eastAsia" w:ascii="宋体" w:hAnsi="宋体" w:eastAsia="宋体" w:cs="宋体"/>
                <w:i w:val="0"/>
                <w:iCs w:val="0"/>
                <w:color w:val="000000"/>
                <w:sz w:val="18"/>
                <w:szCs w:val="18"/>
                <w:u w:val="none"/>
              </w:rPr>
            </w:pPr>
          </w:p>
        </w:tc>
        <w:tc>
          <w:tcPr>
            <w:tcW w:w="788" w:type="dxa"/>
            <w:tcBorders>
              <w:top w:val="nil"/>
              <w:left w:val="nil"/>
              <w:bottom w:val="nil"/>
              <w:right w:val="nil"/>
            </w:tcBorders>
            <w:shd w:val="clear" w:color="auto" w:fill="auto"/>
            <w:vAlign w:val="center"/>
          </w:tcPr>
          <w:p w14:paraId="757F2C64">
            <w:pPr>
              <w:rPr>
                <w:rFonts w:hint="eastAsia" w:ascii="宋体" w:hAnsi="宋体" w:eastAsia="宋体" w:cs="宋体"/>
                <w:i w:val="0"/>
                <w:iCs w:val="0"/>
                <w:color w:val="000000"/>
                <w:sz w:val="18"/>
                <w:szCs w:val="18"/>
                <w:u w:val="none"/>
              </w:rPr>
            </w:pPr>
          </w:p>
        </w:tc>
      </w:tr>
      <w:tr w14:paraId="0751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10036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281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F8B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9D46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51118123T000009001352-（春节前）工程款</w:t>
            </w:r>
          </w:p>
        </w:tc>
      </w:tr>
      <w:tr w14:paraId="4D335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6F9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249A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55" w:type="dxa"/>
            <w:tcBorders>
              <w:top w:val="nil"/>
              <w:left w:val="nil"/>
              <w:bottom w:val="nil"/>
              <w:right w:val="nil"/>
            </w:tcBorders>
            <w:shd w:val="clear" w:color="auto" w:fill="auto"/>
            <w:vAlign w:val="center"/>
          </w:tcPr>
          <w:p w14:paraId="10929D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F4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峨眉山市龙门乡中心小学校</w:t>
            </w:r>
          </w:p>
        </w:tc>
      </w:tr>
      <w:tr w14:paraId="7C3F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BEE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666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2CF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5BF42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EDB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86BD0">
            <w:pP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6BCDC">
            <w:pPr>
              <w:rPr>
                <w:rFonts w:hint="eastAsia" w:ascii="宋体" w:hAnsi="宋体" w:eastAsia="宋体" w:cs="宋体"/>
                <w:i w:val="0"/>
                <w:iCs w:val="0"/>
                <w:color w:val="000000"/>
                <w:sz w:val="18"/>
                <w:szCs w:val="18"/>
                <w:u w:val="none"/>
              </w:rPr>
            </w:pPr>
          </w:p>
        </w:tc>
        <w:tc>
          <w:tcPr>
            <w:tcW w:w="4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9BB5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目标1：保障学校校舍安全。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目标2：改善办学条件。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目标3：提升学校办学水平。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w:t>
            </w: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B166F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保障学校校舍安全，改善办学条件，提升本市办学水平。</w:t>
            </w:r>
          </w:p>
        </w:tc>
      </w:tr>
      <w:tr w14:paraId="6437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1532D">
            <w:pP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D7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B004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支付了工程款，保障学校校舍安全，改善办学条件，提升本市办学水平。</w:t>
            </w:r>
          </w:p>
        </w:tc>
      </w:tr>
      <w:tr w14:paraId="7E46A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C4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4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3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9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96C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D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0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C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1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E28D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3958C">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4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D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F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18.91</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DA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8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4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D00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8A528">
            <w:pPr>
              <w:rPr>
                <w:rFonts w:hint="eastAsia" w:ascii="黑体" w:hAnsi="黑体" w:eastAsia="黑体" w:cs="黑体"/>
                <w:i/>
                <w:iCs/>
                <w:color w:val="000000"/>
                <w:sz w:val="18"/>
                <w:szCs w:val="18"/>
                <w:u w:val="none"/>
              </w:rPr>
            </w:pPr>
          </w:p>
        </w:tc>
      </w:tr>
      <w:tr w14:paraId="56EB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1932C">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A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1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B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18.91</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16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1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A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C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0FD40">
            <w:pPr>
              <w:rPr>
                <w:rFonts w:hint="eastAsia" w:ascii="黑体" w:hAnsi="黑体" w:eastAsia="黑体" w:cs="黑体"/>
                <w:i/>
                <w:iCs/>
                <w:color w:val="000000"/>
                <w:sz w:val="18"/>
                <w:szCs w:val="18"/>
                <w:u w:val="none"/>
              </w:rPr>
            </w:pPr>
          </w:p>
        </w:tc>
      </w:tr>
      <w:tr w14:paraId="21FC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537E1">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D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7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E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87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D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5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4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A97F0">
            <w:pPr>
              <w:rPr>
                <w:rFonts w:hint="eastAsia" w:ascii="黑体" w:hAnsi="黑体" w:eastAsia="黑体" w:cs="黑体"/>
                <w:i/>
                <w:iCs/>
                <w:color w:val="000000"/>
                <w:sz w:val="18"/>
                <w:szCs w:val="18"/>
                <w:u w:val="none"/>
              </w:rPr>
            </w:pPr>
          </w:p>
        </w:tc>
      </w:tr>
      <w:tr w14:paraId="3B80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FE63B">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A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C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A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F0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F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7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7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8076F">
            <w:pPr>
              <w:rPr>
                <w:rFonts w:hint="eastAsia" w:ascii="黑体" w:hAnsi="黑体" w:eastAsia="黑体" w:cs="黑体"/>
                <w:i/>
                <w:iCs/>
                <w:color w:val="000000"/>
                <w:sz w:val="18"/>
                <w:szCs w:val="18"/>
                <w:u w:val="none"/>
              </w:rPr>
            </w:pPr>
          </w:p>
        </w:tc>
      </w:tr>
      <w:tr w14:paraId="04E0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44A56">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0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F951">
            <w:pPr>
              <w:jc w:val="center"/>
              <w:rPr>
                <w:rFonts w:hint="eastAsia" w:ascii="微软雅黑" w:hAnsi="微软雅黑" w:eastAsia="微软雅黑" w:cs="微软雅黑"/>
                <w:i/>
                <w:iCs/>
                <w:color w:val="000000"/>
                <w:sz w:val="16"/>
                <w:szCs w:val="16"/>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98C3">
            <w:pPr>
              <w:jc w:val="center"/>
              <w:rPr>
                <w:rFonts w:hint="eastAsia" w:ascii="微软雅黑" w:hAnsi="微软雅黑" w:eastAsia="微软雅黑" w:cs="微软雅黑"/>
                <w:i/>
                <w:iCs/>
                <w:color w:val="000000"/>
                <w:sz w:val="16"/>
                <w:szCs w:val="16"/>
                <w:u w:val="none"/>
              </w:rPr>
            </w:pP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9F73D">
            <w:pPr>
              <w:jc w:val="center"/>
              <w:rPr>
                <w:rFonts w:hint="eastAsia" w:ascii="微软雅黑" w:hAnsi="微软雅黑" w:eastAsia="微软雅黑" w:cs="微软雅黑"/>
                <w:i/>
                <w:iCs/>
                <w:color w:val="000000"/>
                <w:sz w:val="16"/>
                <w:szCs w:val="16"/>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DF5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6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E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7DE85">
            <w:pPr>
              <w:rPr>
                <w:rFonts w:hint="eastAsia" w:ascii="黑体" w:hAnsi="黑体" w:eastAsia="黑体" w:cs="黑体"/>
                <w:i/>
                <w:iCs/>
                <w:color w:val="000000"/>
                <w:sz w:val="18"/>
                <w:szCs w:val="18"/>
                <w:u w:val="none"/>
              </w:rPr>
            </w:pPr>
          </w:p>
        </w:tc>
      </w:tr>
      <w:tr w14:paraId="02FA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97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8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8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2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4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A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9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C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8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2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1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2F85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5612D">
            <w:pPr>
              <w:jc w:val="center"/>
              <w:rPr>
                <w:rFonts w:hint="eastAsia" w:ascii="宋体" w:hAnsi="宋体" w:eastAsia="宋体" w:cs="宋体"/>
                <w:i w:val="0"/>
                <w:iCs w:val="0"/>
                <w:color w:val="000000"/>
                <w:sz w:val="18"/>
                <w:szCs w:val="18"/>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BC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50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0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4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7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B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6F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0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AF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4609">
            <w:pPr>
              <w:jc w:val="center"/>
              <w:rPr>
                <w:rFonts w:hint="eastAsia" w:ascii="微软雅黑" w:hAnsi="微软雅黑" w:eastAsia="微软雅黑" w:cs="微软雅黑"/>
                <w:i/>
                <w:iCs/>
                <w:color w:val="000000"/>
                <w:sz w:val="16"/>
                <w:szCs w:val="16"/>
                <w:u w:val="none"/>
              </w:rPr>
            </w:pPr>
          </w:p>
        </w:tc>
      </w:tr>
      <w:tr w14:paraId="5419C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54830">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D3DD0">
            <w:pPr>
              <w:jc w:val="center"/>
              <w:rPr>
                <w:rFonts w:hint="eastAsia" w:ascii="宋体" w:hAnsi="宋体" w:eastAsia="宋体" w:cs="宋体"/>
                <w:i w:val="0"/>
                <w:iCs w:val="0"/>
                <w:color w:val="000000"/>
                <w:sz w:val="18"/>
                <w:szCs w:val="18"/>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2F96C">
            <w:pPr>
              <w:jc w:val="center"/>
              <w:rPr>
                <w:rFonts w:hint="eastAsia" w:ascii="宋体" w:hAnsi="宋体" w:eastAsia="宋体" w:cs="宋体"/>
                <w:i w:val="0"/>
                <w:iCs w:val="0"/>
                <w:color w:val="000000"/>
                <w:sz w:val="18"/>
                <w:szCs w:val="18"/>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0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修缮、改造任务完成率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C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7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3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58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8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96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0835">
            <w:pPr>
              <w:jc w:val="center"/>
              <w:rPr>
                <w:rFonts w:hint="eastAsia" w:ascii="微软雅黑" w:hAnsi="微软雅黑" w:eastAsia="微软雅黑" w:cs="微软雅黑"/>
                <w:i/>
                <w:iCs/>
                <w:color w:val="000000"/>
                <w:sz w:val="16"/>
                <w:szCs w:val="16"/>
                <w:u w:val="none"/>
              </w:rPr>
            </w:pPr>
          </w:p>
        </w:tc>
      </w:tr>
      <w:tr w14:paraId="4036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97B77">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B0F0F">
            <w:pPr>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8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9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2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6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5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6EB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6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F56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E736">
            <w:pPr>
              <w:jc w:val="center"/>
              <w:rPr>
                <w:rFonts w:hint="eastAsia" w:ascii="微软雅黑" w:hAnsi="微软雅黑" w:eastAsia="微软雅黑" w:cs="微软雅黑"/>
                <w:i/>
                <w:iCs/>
                <w:color w:val="000000"/>
                <w:sz w:val="16"/>
                <w:szCs w:val="16"/>
                <w:u w:val="none"/>
              </w:rPr>
            </w:pPr>
          </w:p>
        </w:tc>
      </w:tr>
      <w:tr w14:paraId="6064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1F9B2">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F399E">
            <w:pPr>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6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C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C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6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C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DA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2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3D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883A">
            <w:pPr>
              <w:jc w:val="center"/>
              <w:rPr>
                <w:rFonts w:hint="eastAsia" w:ascii="微软雅黑" w:hAnsi="微软雅黑" w:eastAsia="微软雅黑" w:cs="微软雅黑"/>
                <w:i/>
                <w:iCs/>
                <w:color w:val="000000"/>
                <w:sz w:val="16"/>
                <w:szCs w:val="16"/>
                <w:u w:val="none"/>
              </w:rPr>
            </w:pPr>
          </w:p>
        </w:tc>
      </w:tr>
      <w:tr w14:paraId="7CCEB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CAFC9">
            <w:pPr>
              <w:jc w:val="center"/>
              <w:rPr>
                <w:rFonts w:hint="eastAsia" w:ascii="宋体" w:hAnsi="宋体" w:eastAsia="宋体" w:cs="宋体"/>
                <w:i w:val="0"/>
                <w:iCs w:val="0"/>
                <w:color w:val="000000"/>
                <w:sz w:val="18"/>
                <w:szCs w:val="18"/>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1B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4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7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9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3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E8B7">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55A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C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22A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7EEF">
            <w:pPr>
              <w:jc w:val="center"/>
              <w:rPr>
                <w:rFonts w:hint="eastAsia" w:ascii="微软雅黑" w:hAnsi="微软雅黑" w:eastAsia="微软雅黑" w:cs="微软雅黑"/>
                <w:i/>
                <w:iCs/>
                <w:color w:val="000000"/>
                <w:sz w:val="16"/>
                <w:szCs w:val="16"/>
                <w:u w:val="none"/>
              </w:rPr>
            </w:pPr>
          </w:p>
        </w:tc>
      </w:tr>
      <w:tr w14:paraId="6CFDF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D86BC">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E99F8">
            <w:pPr>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C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E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保障学校长期稳定的可持续发展</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6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8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28EA">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41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6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FF8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DC00">
            <w:pPr>
              <w:jc w:val="center"/>
              <w:rPr>
                <w:rFonts w:hint="eastAsia" w:ascii="微软雅黑" w:hAnsi="微软雅黑" w:eastAsia="微软雅黑" w:cs="微软雅黑"/>
                <w:i/>
                <w:iCs/>
                <w:color w:val="000000"/>
                <w:sz w:val="16"/>
                <w:szCs w:val="16"/>
                <w:u w:val="none"/>
              </w:rPr>
            </w:pPr>
          </w:p>
        </w:tc>
      </w:tr>
      <w:tr w14:paraId="5F9A3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26586">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8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4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A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学校、学生和家长满意度</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D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B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2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86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8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97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A261">
            <w:pPr>
              <w:jc w:val="center"/>
              <w:rPr>
                <w:rFonts w:hint="eastAsia" w:ascii="微软雅黑" w:hAnsi="微软雅黑" w:eastAsia="微软雅黑" w:cs="微软雅黑"/>
                <w:i/>
                <w:iCs/>
                <w:color w:val="000000"/>
                <w:sz w:val="16"/>
                <w:szCs w:val="16"/>
                <w:u w:val="none"/>
              </w:rPr>
            </w:pPr>
          </w:p>
        </w:tc>
      </w:tr>
      <w:tr w14:paraId="7913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06748">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8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5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1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经费控制在预算下达范围内</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6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D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22.1107</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3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630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22.1107</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B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90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3FFC">
            <w:pPr>
              <w:jc w:val="center"/>
              <w:rPr>
                <w:rFonts w:hint="eastAsia" w:ascii="微软雅黑" w:hAnsi="微软雅黑" w:eastAsia="微软雅黑" w:cs="微软雅黑"/>
                <w:i/>
                <w:iCs/>
                <w:color w:val="000000"/>
                <w:sz w:val="16"/>
                <w:szCs w:val="16"/>
                <w:u w:val="none"/>
              </w:rPr>
            </w:pPr>
          </w:p>
        </w:tc>
      </w:tr>
      <w:tr w14:paraId="2399F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526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B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4DD4">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8BA8">
            <w:pPr>
              <w:rPr>
                <w:rFonts w:hint="eastAsia" w:ascii="宋体" w:hAnsi="宋体" w:eastAsia="宋体" w:cs="宋体"/>
                <w:i w:val="0"/>
                <w:iCs w:val="0"/>
                <w:color w:val="000000"/>
                <w:sz w:val="18"/>
                <w:szCs w:val="18"/>
                <w:u w:val="none"/>
              </w:rPr>
            </w:pPr>
          </w:p>
        </w:tc>
      </w:tr>
      <w:tr w14:paraId="613C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3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F5B3B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502DA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3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DB94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832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9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358D7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282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EE059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项目负责人：周彬</w:t>
            </w:r>
          </w:p>
        </w:tc>
        <w:tc>
          <w:tcPr>
            <w:tcW w:w="4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C069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财务负责人：郑启明</w:t>
            </w:r>
          </w:p>
        </w:tc>
      </w:tr>
      <w:tr w14:paraId="74432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5D15E2D7">
            <w:pPr>
              <w:rPr>
                <w:rFonts w:hint="eastAsia" w:ascii="宋体" w:hAnsi="宋体" w:eastAsia="宋体" w:cs="宋体"/>
                <w:i w:val="0"/>
                <w:iCs w:val="0"/>
                <w:color w:val="000000"/>
                <w:sz w:val="18"/>
                <w:szCs w:val="18"/>
                <w:u w:val="none"/>
              </w:rPr>
            </w:pPr>
          </w:p>
        </w:tc>
        <w:tc>
          <w:tcPr>
            <w:tcW w:w="1023" w:type="dxa"/>
            <w:tcBorders>
              <w:top w:val="nil"/>
              <w:left w:val="nil"/>
              <w:bottom w:val="nil"/>
              <w:right w:val="nil"/>
            </w:tcBorders>
            <w:shd w:val="clear" w:color="auto" w:fill="auto"/>
            <w:vAlign w:val="center"/>
          </w:tcPr>
          <w:p w14:paraId="044E02D4">
            <w:pPr>
              <w:rPr>
                <w:rFonts w:hint="eastAsia" w:ascii="宋体" w:hAnsi="宋体" w:eastAsia="宋体" w:cs="宋体"/>
                <w:i w:val="0"/>
                <w:iCs w:val="0"/>
                <w:color w:val="000000"/>
                <w:sz w:val="18"/>
                <w:szCs w:val="18"/>
                <w:u w:val="none"/>
              </w:rPr>
            </w:pPr>
          </w:p>
        </w:tc>
        <w:tc>
          <w:tcPr>
            <w:tcW w:w="1066" w:type="dxa"/>
            <w:tcBorders>
              <w:top w:val="nil"/>
              <w:left w:val="nil"/>
              <w:bottom w:val="nil"/>
              <w:right w:val="nil"/>
            </w:tcBorders>
            <w:shd w:val="clear" w:color="auto" w:fill="auto"/>
            <w:vAlign w:val="center"/>
          </w:tcPr>
          <w:p w14:paraId="175A4013">
            <w:pPr>
              <w:rPr>
                <w:rFonts w:hint="eastAsia" w:ascii="宋体" w:hAnsi="宋体" w:eastAsia="宋体" w:cs="宋体"/>
                <w:i w:val="0"/>
                <w:iCs w:val="0"/>
                <w:color w:val="000000"/>
                <w:sz w:val="18"/>
                <w:szCs w:val="18"/>
                <w:u w:val="none"/>
              </w:rPr>
            </w:pPr>
          </w:p>
        </w:tc>
        <w:tc>
          <w:tcPr>
            <w:tcW w:w="1608" w:type="dxa"/>
            <w:tcBorders>
              <w:top w:val="nil"/>
              <w:left w:val="nil"/>
              <w:bottom w:val="nil"/>
              <w:right w:val="nil"/>
            </w:tcBorders>
            <w:shd w:val="clear" w:color="auto" w:fill="auto"/>
            <w:vAlign w:val="center"/>
          </w:tcPr>
          <w:p w14:paraId="07FCBC3D">
            <w:pPr>
              <w:rPr>
                <w:rFonts w:hint="eastAsia" w:ascii="宋体" w:hAnsi="宋体" w:eastAsia="宋体" w:cs="宋体"/>
                <w:i w:val="0"/>
                <w:iCs w:val="0"/>
                <w:color w:val="000000"/>
                <w:sz w:val="18"/>
                <w:szCs w:val="18"/>
                <w:u w:val="none"/>
              </w:rPr>
            </w:pPr>
          </w:p>
        </w:tc>
        <w:tc>
          <w:tcPr>
            <w:tcW w:w="514" w:type="dxa"/>
            <w:tcBorders>
              <w:top w:val="nil"/>
              <w:left w:val="nil"/>
              <w:bottom w:val="nil"/>
              <w:right w:val="nil"/>
            </w:tcBorders>
            <w:shd w:val="clear" w:color="auto" w:fill="auto"/>
            <w:vAlign w:val="center"/>
          </w:tcPr>
          <w:p w14:paraId="751057C6">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8AE8B0F">
            <w:pPr>
              <w:rPr>
                <w:rFonts w:hint="eastAsia" w:ascii="宋体" w:hAnsi="宋体" w:eastAsia="宋体" w:cs="宋体"/>
                <w:i w:val="0"/>
                <w:iCs w:val="0"/>
                <w:color w:val="000000"/>
                <w:sz w:val="18"/>
                <w:szCs w:val="18"/>
                <w:u w:val="none"/>
              </w:rPr>
            </w:pPr>
          </w:p>
        </w:tc>
        <w:tc>
          <w:tcPr>
            <w:tcW w:w="514" w:type="dxa"/>
            <w:tcBorders>
              <w:top w:val="nil"/>
              <w:left w:val="nil"/>
              <w:bottom w:val="nil"/>
              <w:right w:val="nil"/>
            </w:tcBorders>
            <w:shd w:val="clear" w:color="auto" w:fill="auto"/>
            <w:vAlign w:val="center"/>
          </w:tcPr>
          <w:p w14:paraId="04568305">
            <w:pPr>
              <w:rPr>
                <w:rFonts w:hint="eastAsia" w:ascii="宋体" w:hAnsi="宋体" w:eastAsia="宋体" w:cs="宋体"/>
                <w:i w:val="0"/>
                <w:iCs w:val="0"/>
                <w:color w:val="000000"/>
                <w:sz w:val="18"/>
                <w:szCs w:val="18"/>
                <w:u w:val="none"/>
              </w:rPr>
            </w:pPr>
          </w:p>
        </w:tc>
        <w:tc>
          <w:tcPr>
            <w:tcW w:w="955" w:type="dxa"/>
            <w:tcBorders>
              <w:top w:val="nil"/>
              <w:left w:val="nil"/>
              <w:bottom w:val="nil"/>
              <w:right w:val="nil"/>
            </w:tcBorders>
            <w:shd w:val="clear" w:color="auto" w:fill="auto"/>
            <w:vAlign w:val="center"/>
          </w:tcPr>
          <w:p w14:paraId="57FE3D84">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030A1CD2">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8EDDC50">
            <w:pPr>
              <w:rPr>
                <w:rFonts w:hint="eastAsia" w:ascii="宋体" w:hAnsi="宋体" w:eastAsia="宋体" w:cs="宋体"/>
                <w:i w:val="0"/>
                <w:iCs w:val="0"/>
                <w:color w:val="000000"/>
                <w:sz w:val="18"/>
                <w:szCs w:val="18"/>
                <w:u w:val="none"/>
              </w:rPr>
            </w:pPr>
          </w:p>
        </w:tc>
        <w:tc>
          <w:tcPr>
            <w:tcW w:w="788" w:type="dxa"/>
            <w:tcBorders>
              <w:top w:val="nil"/>
              <w:left w:val="nil"/>
              <w:bottom w:val="nil"/>
              <w:right w:val="nil"/>
            </w:tcBorders>
            <w:shd w:val="clear" w:color="auto" w:fill="auto"/>
            <w:vAlign w:val="center"/>
          </w:tcPr>
          <w:p w14:paraId="3DCAD609">
            <w:pPr>
              <w:rPr>
                <w:rFonts w:hint="eastAsia" w:ascii="宋体" w:hAnsi="宋体" w:eastAsia="宋体" w:cs="宋体"/>
                <w:i w:val="0"/>
                <w:iCs w:val="0"/>
                <w:color w:val="000000"/>
                <w:sz w:val="18"/>
                <w:szCs w:val="18"/>
                <w:u w:val="none"/>
              </w:rPr>
            </w:pPr>
          </w:p>
        </w:tc>
      </w:tr>
      <w:tr w14:paraId="2C7C5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D1D9F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3AC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DCF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8594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51118124T000010101269-学前公办幼儿园生均公用经费</w:t>
            </w:r>
          </w:p>
        </w:tc>
      </w:tr>
      <w:tr w14:paraId="56BE5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FF8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3D00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55" w:type="dxa"/>
            <w:tcBorders>
              <w:top w:val="nil"/>
              <w:left w:val="nil"/>
              <w:bottom w:val="nil"/>
              <w:right w:val="nil"/>
            </w:tcBorders>
            <w:shd w:val="clear" w:color="auto" w:fill="auto"/>
            <w:vAlign w:val="center"/>
          </w:tcPr>
          <w:p w14:paraId="1147EB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A3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峨眉山市龙门乡中心小学校</w:t>
            </w:r>
          </w:p>
        </w:tc>
      </w:tr>
      <w:tr w14:paraId="7ADE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7C7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F9A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B69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347AC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211F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FE8F4">
            <w:pP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8E56F">
            <w:pPr>
              <w:rPr>
                <w:rFonts w:hint="eastAsia" w:ascii="宋体" w:hAnsi="宋体" w:eastAsia="宋体" w:cs="宋体"/>
                <w:i w:val="0"/>
                <w:iCs w:val="0"/>
                <w:color w:val="000000"/>
                <w:sz w:val="18"/>
                <w:szCs w:val="18"/>
                <w:u w:val="none"/>
              </w:rPr>
            </w:pPr>
          </w:p>
        </w:tc>
        <w:tc>
          <w:tcPr>
            <w:tcW w:w="4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CA6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目标1：完成上级下达的教学目标。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目标2：保障幼儿园教育教学秩序正常运转，教育教学活动持续开展，提高教育教学质量，提升幼儿办学水平，全面发展幼儿教育事业。</w:t>
            </w: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9C01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教育教学活动持续开展，提高教育教学质量，提升幼儿办学水平，全面发展幼儿教育事业。</w:t>
            </w:r>
          </w:p>
        </w:tc>
      </w:tr>
      <w:tr w14:paraId="1A0D6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07533">
            <w:pP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48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0EE0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保障幼儿园教育教学秩序正常运转，教育教学活动持续开展，提高教育教学质量，提升幼儿办学水平，全面发展幼儿教育事业。</w:t>
            </w:r>
          </w:p>
        </w:tc>
      </w:tr>
      <w:tr w14:paraId="0B9F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73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3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9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D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C4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9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5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D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D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445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5B296">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F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9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3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56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4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1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F7A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1EA28">
            <w:pPr>
              <w:rPr>
                <w:rFonts w:hint="eastAsia" w:ascii="黑体" w:hAnsi="黑体" w:eastAsia="黑体" w:cs="黑体"/>
                <w:i/>
                <w:iCs/>
                <w:color w:val="000000"/>
                <w:sz w:val="18"/>
                <w:szCs w:val="18"/>
                <w:u w:val="none"/>
              </w:rPr>
            </w:pPr>
          </w:p>
        </w:tc>
      </w:tr>
      <w:tr w14:paraId="7A5CC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9FD9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9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1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D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25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E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4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5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9DA3">
            <w:pPr>
              <w:rPr>
                <w:rFonts w:hint="eastAsia" w:ascii="黑体" w:hAnsi="黑体" w:eastAsia="黑体" w:cs="黑体"/>
                <w:i/>
                <w:iCs/>
                <w:color w:val="000000"/>
                <w:sz w:val="18"/>
                <w:szCs w:val="18"/>
                <w:u w:val="none"/>
              </w:rPr>
            </w:pPr>
          </w:p>
        </w:tc>
      </w:tr>
      <w:tr w14:paraId="3BBB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94778">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E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C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6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F3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D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2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9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9261A">
            <w:pPr>
              <w:rPr>
                <w:rFonts w:hint="eastAsia" w:ascii="黑体" w:hAnsi="黑体" w:eastAsia="黑体" w:cs="黑体"/>
                <w:i/>
                <w:iCs/>
                <w:color w:val="000000"/>
                <w:sz w:val="18"/>
                <w:szCs w:val="18"/>
                <w:u w:val="none"/>
              </w:rPr>
            </w:pPr>
          </w:p>
        </w:tc>
      </w:tr>
      <w:tr w14:paraId="68ED1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3B6D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2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9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C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69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A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A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2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47968">
            <w:pPr>
              <w:rPr>
                <w:rFonts w:hint="eastAsia" w:ascii="黑体" w:hAnsi="黑体" w:eastAsia="黑体" w:cs="黑体"/>
                <w:i/>
                <w:iCs/>
                <w:color w:val="000000"/>
                <w:sz w:val="18"/>
                <w:szCs w:val="18"/>
                <w:u w:val="none"/>
              </w:rPr>
            </w:pPr>
          </w:p>
        </w:tc>
      </w:tr>
      <w:tr w14:paraId="3CEC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BBE00">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6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EBD0">
            <w:pPr>
              <w:jc w:val="center"/>
              <w:rPr>
                <w:rFonts w:hint="eastAsia" w:ascii="微软雅黑" w:hAnsi="微软雅黑" w:eastAsia="微软雅黑" w:cs="微软雅黑"/>
                <w:i/>
                <w:iCs/>
                <w:color w:val="000000"/>
                <w:sz w:val="16"/>
                <w:szCs w:val="16"/>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BEF4">
            <w:pPr>
              <w:jc w:val="center"/>
              <w:rPr>
                <w:rFonts w:hint="eastAsia" w:ascii="微软雅黑" w:hAnsi="微软雅黑" w:eastAsia="微软雅黑" w:cs="微软雅黑"/>
                <w:i/>
                <w:iCs/>
                <w:color w:val="000000"/>
                <w:sz w:val="16"/>
                <w:szCs w:val="16"/>
                <w:u w:val="none"/>
              </w:rPr>
            </w:pPr>
          </w:p>
        </w:tc>
        <w:tc>
          <w:tcPr>
            <w:tcW w:w="1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78AFC">
            <w:pPr>
              <w:jc w:val="center"/>
              <w:rPr>
                <w:rFonts w:hint="eastAsia" w:ascii="微软雅黑" w:hAnsi="微软雅黑" w:eastAsia="微软雅黑" w:cs="微软雅黑"/>
                <w:i/>
                <w:iCs/>
                <w:color w:val="000000"/>
                <w:sz w:val="16"/>
                <w:szCs w:val="16"/>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E1F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9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3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7F77F">
            <w:pPr>
              <w:rPr>
                <w:rFonts w:hint="eastAsia" w:ascii="黑体" w:hAnsi="黑体" w:eastAsia="黑体" w:cs="黑体"/>
                <w:i/>
                <w:iCs/>
                <w:color w:val="000000"/>
                <w:sz w:val="18"/>
                <w:szCs w:val="18"/>
                <w:u w:val="none"/>
              </w:rPr>
            </w:pPr>
          </w:p>
        </w:tc>
      </w:tr>
      <w:tr w14:paraId="3DF2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77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0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9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3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A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8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6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E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A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C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D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43A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0EE7D">
            <w:pPr>
              <w:jc w:val="center"/>
              <w:rPr>
                <w:rFonts w:hint="eastAsia" w:ascii="宋体" w:hAnsi="宋体" w:eastAsia="宋体" w:cs="宋体"/>
                <w:i w:val="0"/>
                <w:iCs w:val="0"/>
                <w:color w:val="000000"/>
                <w:sz w:val="18"/>
                <w:szCs w:val="18"/>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69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4E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F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幼儿教师人数</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7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3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7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A10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A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39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5C99">
            <w:pPr>
              <w:jc w:val="center"/>
              <w:rPr>
                <w:rFonts w:hint="eastAsia" w:ascii="微软雅黑" w:hAnsi="微软雅黑" w:eastAsia="微软雅黑" w:cs="微软雅黑"/>
                <w:i/>
                <w:iCs/>
                <w:color w:val="000000"/>
                <w:sz w:val="16"/>
                <w:szCs w:val="16"/>
                <w:u w:val="none"/>
              </w:rPr>
            </w:pPr>
          </w:p>
        </w:tc>
      </w:tr>
      <w:tr w14:paraId="439B4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1E53F">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736BF">
            <w:pPr>
              <w:jc w:val="center"/>
              <w:rPr>
                <w:rFonts w:hint="eastAsia" w:ascii="宋体" w:hAnsi="宋体" w:eastAsia="宋体" w:cs="宋体"/>
                <w:i w:val="0"/>
                <w:iCs w:val="0"/>
                <w:color w:val="000000"/>
                <w:sz w:val="18"/>
                <w:szCs w:val="18"/>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11BEB">
            <w:pPr>
              <w:jc w:val="center"/>
              <w:rPr>
                <w:rFonts w:hint="eastAsia" w:ascii="宋体" w:hAnsi="宋体" w:eastAsia="宋体" w:cs="宋体"/>
                <w:i w:val="0"/>
                <w:iCs w:val="0"/>
                <w:color w:val="000000"/>
                <w:sz w:val="18"/>
                <w:szCs w:val="18"/>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1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幼儿园学生人数13人，增减率控制范围</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0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4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9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6B0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B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1A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6443">
            <w:pPr>
              <w:jc w:val="center"/>
              <w:rPr>
                <w:rFonts w:hint="eastAsia" w:ascii="微软雅黑" w:hAnsi="微软雅黑" w:eastAsia="微软雅黑" w:cs="微软雅黑"/>
                <w:i/>
                <w:iCs/>
                <w:color w:val="000000"/>
                <w:sz w:val="16"/>
                <w:szCs w:val="16"/>
                <w:u w:val="none"/>
              </w:rPr>
            </w:pPr>
          </w:p>
        </w:tc>
      </w:tr>
      <w:tr w14:paraId="4609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2BFD">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22D83">
            <w:pPr>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3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D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5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2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E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754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2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B8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5E99">
            <w:pPr>
              <w:jc w:val="center"/>
              <w:rPr>
                <w:rFonts w:hint="eastAsia" w:ascii="微软雅黑" w:hAnsi="微软雅黑" w:eastAsia="微软雅黑" w:cs="微软雅黑"/>
                <w:i/>
                <w:iCs/>
                <w:color w:val="000000"/>
                <w:sz w:val="16"/>
                <w:szCs w:val="16"/>
                <w:u w:val="none"/>
              </w:rPr>
            </w:pPr>
          </w:p>
        </w:tc>
      </w:tr>
      <w:tr w14:paraId="6401E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BD984">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F1E20">
            <w:pPr>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8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C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7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D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4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9C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B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F3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202B">
            <w:pPr>
              <w:jc w:val="center"/>
              <w:rPr>
                <w:rFonts w:hint="eastAsia" w:ascii="微软雅黑" w:hAnsi="微软雅黑" w:eastAsia="微软雅黑" w:cs="微软雅黑"/>
                <w:i/>
                <w:iCs/>
                <w:color w:val="000000"/>
                <w:sz w:val="16"/>
                <w:szCs w:val="16"/>
                <w:u w:val="none"/>
              </w:rPr>
            </w:pPr>
          </w:p>
        </w:tc>
      </w:tr>
      <w:tr w14:paraId="610B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0392B">
            <w:pPr>
              <w:jc w:val="center"/>
              <w:rPr>
                <w:rFonts w:hint="eastAsia" w:ascii="宋体" w:hAnsi="宋体" w:eastAsia="宋体" w:cs="宋体"/>
                <w:i w:val="0"/>
                <w:iCs w:val="0"/>
                <w:color w:val="000000"/>
                <w:sz w:val="18"/>
                <w:szCs w:val="18"/>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CE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F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C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提高教育教学质量，提升幼儿办学水平</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E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6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AC14">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53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9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FB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EC23">
            <w:pPr>
              <w:jc w:val="center"/>
              <w:rPr>
                <w:rFonts w:hint="eastAsia" w:ascii="微软雅黑" w:hAnsi="微软雅黑" w:eastAsia="微软雅黑" w:cs="微软雅黑"/>
                <w:i/>
                <w:iCs/>
                <w:color w:val="000000"/>
                <w:sz w:val="16"/>
                <w:szCs w:val="16"/>
                <w:u w:val="none"/>
              </w:rPr>
            </w:pPr>
          </w:p>
        </w:tc>
      </w:tr>
      <w:tr w14:paraId="7877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AB8E4">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A386">
            <w:pPr>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F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A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促进幼儿教育健康发展</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6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6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BE19">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D2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D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5B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E90F">
            <w:pPr>
              <w:jc w:val="center"/>
              <w:rPr>
                <w:rFonts w:hint="eastAsia" w:ascii="微软雅黑" w:hAnsi="微软雅黑" w:eastAsia="微软雅黑" w:cs="微软雅黑"/>
                <w:i/>
                <w:iCs/>
                <w:color w:val="000000"/>
                <w:sz w:val="16"/>
                <w:szCs w:val="16"/>
                <w:u w:val="none"/>
              </w:rPr>
            </w:pPr>
          </w:p>
        </w:tc>
      </w:tr>
      <w:tr w14:paraId="029C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881ED">
            <w:pPr>
              <w:jc w:val="center"/>
              <w:rPr>
                <w:rFonts w:hint="eastAsia" w:ascii="宋体" w:hAnsi="宋体" w:eastAsia="宋体" w:cs="宋体"/>
                <w:i w:val="0"/>
                <w:iCs w:val="0"/>
                <w:color w:val="000000"/>
                <w:sz w:val="18"/>
                <w:szCs w:val="18"/>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1F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AB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5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A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1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1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2EA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6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DE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924D">
            <w:pPr>
              <w:jc w:val="center"/>
              <w:rPr>
                <w:rFonts w:hint="eastAsia" w:ascii="微软雅黑" w:hAnsi="微软雅黑" w:eastAsia="微软雅黑" w:cs="微软雅黑"/>
                <w:i/>
                <w:iCs/>
                <w:color w:val="000000"/>
                <w:sz w:val="16"/>
                <w:szCs w:val="16"/>
                <w:u w:val="none"/>
              </w:rPr>
            </w:pPr>
          </w:p>
        </w:tc>
      </w:tr>
      <w:tr w14:paraId="5B6E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5678E">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47118">
            <w:pPr>
              <w:jc w:val="center"/>
              <w:rPr>
                <w:rFonts w:hint="eastAsia" w:ascii="宋体" w:hAnsi="宋体" w:eastAsia="宋体" w:cs="宋体"/>
                <w:i w:val="0"/>
                <w:iCs w:val="0"/>
                <w:color w:val="000000"/>
                <w:sz w:val="18"/>
                <w:szCs w:val="18"/>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3D680">
            <w:pPr>
              <w:jc w:val="center"/>
              <w:rPr>
                <w:rFonts w:hint="eastAsia" w:ascii="宋体" w:hAnsi="宋体" w:eastAsia="宋体" w:cs="宋体"/>
                <w:i w:val="0"/>
                <w:iCs w:val="0"/>
                <w:color w:val="000000"/>
                <w:sz w:val="18"/>
                <w:szCs w:val="18"/>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F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5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1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7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60D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C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A06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5FFD">
            <w:pPr>
              <w:jc w:val="center"/>
              <w:rPr>
                <w:rFonts w:hint="eastAsia" w:ascii="微软雅黑" w:hAnsi="微软雅黑" w:eastAsia="微软雅黑" w:cs="微软雅黑"/>
                <w:i/>
                <w:iCs/>
                <w:color w:val="000000"/>
                <w:sz w:val="16"/>
                <w:szCs w:val="16"/>
                <w:u w:val="none"/>
              </w:rPr>
            </w:pPr>
          </w:p>
        </w:tc>
      </w:tr>
      <w:tr w14:paraId="41D66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D3F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7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56A7">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C5FC">
            <w:pPr>
              <w:rPr>
                <w:rFonts w:hint="eastAsia" w:ascii="宋体" w:hAnsi="宋体" w:eastAsia="宋体" w:cs="宋体"/>
                <w:i w:val="0"/>
                <w:iCs w:val="0"/>
                <w:color w:val="000000"/>
                <w:sz w:val="18"/>
                <w:szCs w:val="18"/>
                <w:u w:val="none"/>
              </w:rPr>
            </w:pPr>
          </w:p>
        </w:tc>
      </w:tr>
      <w:tr w14:paraId="63F9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E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165E7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3FC1F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6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FA115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370A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8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3356B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8D5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D931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项目负责人：周彬</w:t>
            </w:r>
          </w:p>
        </w:tc>
        <w:tc>
          <w:tcPr>
            <w:tcW w:w="4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998CF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财务负责人：郑启明</w:t>
            </w:r>
          </w:p>
        </w:tc>
      </w:tr>
    </w:tbl>
    <w:p w14:paraId="6BFCCEBD">
      <w:pPr>
        <w:widowControl/>
        <w:jc w:val="both"/>
        <w:rPr>
          <w:rFonts w:eastAsia="黑体"/>
          <w:sz w:val="44"/>
          <w:szCs w:val="44"/>
        </w:rPr>
      </w:pPr>
    </w:p>
    <w:p w14:paraId="4B533AFA">
      <w:pPr>
        <w:widowControl/>
        <w:jc w:val="center"/>
        <w:rPr>
          <w:rFonts w:eastAsia="黑体"/>
          <w:sz w:val="44"/>
          <w:szCs w:val="44"/>
        </w:rPr>
      </w:pPr>
    </w:p>
    <w:p w14:paraId="410BBD5B">
      <w:pPr>
        <w:widowControl/>
        <w:jc w:val="center"/>
        <w:rPr>
          <w:rFonts w:eastAsia="黑体"/>
          <w:sz w:val="44"/>
          <w:szCs w:val="44"/>
        </w:rPr>
      </w:pPr>
    </w:p>
    <w:p w14:paraId="0D02E8EF">
      <w:pPr>
        <w:widowControl/>
        <w:jc w:val="center"/>
        <w:rPr>
          <w:rFonts w:eastAsia="黑体"/>
          <w:sz w:val="44"/>
          <w:szCs w:val="44"/>
        </w:rPr>
      </w:pPr>
    </w:p>
    <w:p w14:paraId="7016726F">
      <w:pPr>
        <w:widowControl/>
        <w:ind w:firstLine="2640" w:firstLineChars="600"/>
        <w:rPr>
          <w:rFonts w:eastAsia="黑体"/>
          <w:sz w:val="44"/>
          <w:szCs w:val="44"/>
        </w:rPr>
      </w:pPr>
    </w:p>
    <w:p w14:paraId="79EAAE6D">
      <w:pPr>
        <w:widowControl/>
        <w:ind w:firstLine="2640" w:firstLineChars="600"/>
        <w:rPr>
          <w:rFonts w:eastAsia="黑体"/>
          <w:sz w:val="44"/>
          <w:szCs w:val="44"/>
        </w:rPr>
      </w:pPr>
    </w:p>
    <w:p w14:paraId="659BC6FB">
      <w:pPr>
        <w:widowControl/>
        <w:ind w:firstLine="2640" w:firstLineChars="600"/>
        <w:rPr>
          <w:rFonts w:eastAsia="黑体"/>
          <w:sz w:val="44"/>
          <w:szCs w:val="44"/>
        </w:rPr>
      </w:pPr>
    </w:p>
    <w:p w14:paraId="1071C465">
      <w:pPr>
        <w:widowControl/>
        <w:ind w:firstLine="2640" w:firstLineChars="600"/>
        <w:rPr>
          <w:rFonts w:eastAsia="黑体"/>
          <w:sz w:val="44"/>
          <w:szCs w:val="44"/>
        </w:rPr>
      </w:pPr>
    </w:p>
    <w:p w14:paraId="42BDABAC">
      <w:pPr>
        <w:widowControl/>
        <w:ind w:firstLine="2640" w:firstLineChars="600"/>
        <w:rPr>
          <w:rFonts w:eastAsia="黑体"/>
          <w:sz w:val="44"/>
          <w:szCs w:val="44"/>
        </w:rPr>
      </w:pPr>
    </w:p>
    <w:p w14:paraId="4E7A739C">
      <w:pPr>
        <w:widowControl/>
        <w:ind w:firstLine="2640" w:firstLineChars="600"/>
        <w:rPr>
          <w:rFonts w:eastAsia="黑体"/>
          <w:sz w:val="44"/>
          <w:szCs w:val="44"/>
        </w:rPr>
      </w:pPr>
    </w:p>
    <w:p w14:paraId="086C409C">
      <w:pPr>
        <w:widowControl/>
        <w:ind w:firstLine="2640" w:firstLineChars="600"/>
        <w:rPr>
          <w:rFonts w:eastAsia="黑体"/>
          <w:sz w:val="44"/>
          <w:szCs w:val="44"/>
        </w:rPr>
      </w:pPr>
    </w:p>
    <w:p w14:paraId="00203455">
      <w:pPr>
        <w:widowControl/>
        <w:ind w:firstLine="2640" w:firstLineChars="600"/>
        <w:rPr>
          <w:rFonts w:eastAsia="仿宋"/>
        </w:rPr>
      </w:pPr>
      <w:r>
        <w:rPr>
          <w:rFonts w:hint="eastAsia" w:eastAsia="黑体"/>
          <w:sz w:val="44"/>
          <w:szCs w:val="44"/>
        </w:rPr>
        <w:t>第</w:t>
      </w:r>
      <w:r>
        <w:rPr>
          <w:rStyle w:val="29"/>
          <w:rFonts w:hint="eastAsia" w:eastAsia="黑体"/>
          <w:b w:val="0"/>
        </w:rPr>
        <w:t>五部分 附表</w:t>
      </w:r>
      <w:bookmarkEnd w:id="52"/>
      <w:bookmarkEnd w:id="53"/>
      <w:bookmarkStart w:id="54" w:name="_Toc15396619"/>
    </w:p>
    <w:p w14:paraId="6F2C975A">
      <w:pPr>
        <w:pStyle w:val="14"/>
        <w:adjustRightInd w:val="0"/>
        <w:snapToGrid w:val="0"/>
        <w:spacing w:line="560" w:lineRule="exact"/>
        <w:jc w:val="left"/>
        <w:rPr>
          <w:rFonts w:eastAsia="仿宋_GB2312" w:cs="仿宋_GB2312"/>
          <w:sz w:val="32"/>
          <w:szCs w:val="32"/>
        </w:rPr>
      </w:pPr>
    </w:p>
    <w:p w14:paraId="013CF36D">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4"/>
    </w:p>
    <w:p w14:paraId="3B33A398">
      <w:pPr>
        <w:pStyle w:val="14"/>
        <w:adjustRightInd w:val="0"/>
        <w:snapToGrid w:val="0"/>
        <w:spacing w:line="560" w:lineRule="exact"/>
        <w:jc w:val="left"/>
        <w:rPr>
          <w:rFonts w:eastAsia="仿宋_GB2312" w:cs="仿宋_GB2312"/>
          <w:sz w:val="32"/>
          <w:szCs w:val="32"/>
        </w:rPr>
      </w:pPr>
      <w:bookmarkStart w:id="55" w:name="_Toc15396620"/>
      <w:r>
        <w:rPr>
          <w:rFonts w:hint="eastAsia" w:eastAsia="仿宋_GB2312" w:cs="仿宋_GB2312"/>
          <w:sz w:val="32"/>
          <w:szCs w:val="32"/>
        </w:rPr>
        <w:t>二、收入决算表</w:t>
      </w:r>
      <w:bookmarkEnd w:id="55"/>
    </w:p>
    <w:p w14:paraId="1880134B">
      <w:pPr>
        <w:pStyle w:val="14"/>
        <w:adjustRightInd w:val="0"/>
        <w:snapToGrid w:val="0"/>
        <w:spacing w:line="560" w:lineRule="exact"/>
        <w:jc w:val="left"/>
        <w:rPr>
          <w:rFonts w:eastAsia="仿宋_GB2312" w:cs="仿宋_GB2312"/>
          <w:sz w:val="32"/>
          <w:szCs w:val="32"/>
        </w:rPr>
      </w:pPr>
      <w:bookmarkStart w:id="56" w:name="_Toc15396621"/>
      <w:r>
        <w:rPr>
          <w:rFonts w:hint="eastAsia" w:eastAsia="仿宋_GB2312" w:cs="仿宋_GB2312"/>
          <w:sz w:val="32"/>
          <w:szCs w:val="32"/>
        </w:rPr>
        <w:t>三、支出决算表</w:t>
      </w:r>
      <w:bookmarkEnd w:id="56"/>
    </w:p>
    <w:p w14:paraId="76392CBF">
      <w:pPr>
        <w:pStyle w:val="14"/>
        <w:adjustRightInd w:val="0"/>
        <w:snapToGrid w:val="0"/>
        <w:spacing w:line="560" w:lineRule="exact"/>
        <w:jc w:val="left"/>
        <w:rPr>
          <w:rFonts w:eastAsia="仿宋_GB2312" w:cs="仿宋_GB2312"/>
          <w:sz w:val="32"/>
          <w:szCs w:val="32"/>
        </w:rPr>
      </w:pPr>
      <w:bookmarkStart w:id="57" w:name="_Toc15396622"/>
      <w:r>
        <w:rPr>
          <w:rFonts w:hint="eastAsia" w:eastAsia="仿宋_GB2312" w:cs="仿宋_GB2312"/>
          <w:sz w:val="32"/>
          <w:szCs w:val="32"/>
        </w:rPr>
        <w:t>四、财政拨款收入支出决算总表</w:t>
      </w:r>
      <w:bookmarkEnd w:id="57"/>
    </w:p>
    <w:p w14:paraId="3E541A19">
      <w:pPr>
        <w:pStyle w:val="14"/>
        <w:adjustRightInd w:val="0"/>
        <w:snapToGrid w:val="0"/>
        <w:spacing w:line="560" w:lineRule="exact"/>
        <w:jc w:val="left"/>
        <w:rPr>
          <w:rFonts w:eastAsia="仿宋_GB2312" w:cs="仿宋_GB2312"/>
          <w:sz w:val="32"/>
          <w:szCs w:val="32"/>
        </w:rPr>
      </w:pPr>
      <w:bookmarkStart w:id="58" w:name="_Toc15396623"/>
      <w:r>
        <w:rPr>
          <w:rFonts w:hint="eastAsia" w:eastAsia="仿宋_GB2312" w:cs="仿宋_GB2312"/>
          <w:sz w:val="32"/>
          <w:szCs w:val="32"/>
        </w:rPr>
        <w:t>五、财政拨款支出决算明细表</w:t>
      </w:r>
      <w:bookmarkEnd w:id="58"/>
      <w:bookmarkStart w:id="59" w:name="_Toc15396624"/>
    </w:p>
    <w:p w14:paraId="68054B28">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9"/>
    </w:p>
    <w:p w14:paraId="100C2C46">
      <w:pPr>
        <w:pStyle w:val="14"/>
        <w:adjustRightInd w:val="0"/>
        <w:snapToGrid w:val="0"/>
        <w:spacing w:line="560" w:lineRule="exact"/>
        <w:jc w:val="left"/>
        <w:rPr>
          <w:rFonts w:eastAsia="仿宋_GB2312" w:cs="仿宋_GB2312"/>
          <w:sz w:val="32"/>
          <w:szCs w:val="32"/>
        </w:rPr>
      </w:pPr>
      <w:bookmarkStart w:id="60" w:name="_Toc15396625"/>
      <w:r>
        <w:rPr>
          <w:rFonts w:hint="eastAsia" w:eastAsia="仿宋_GB2312" w:cs="仿宋_GB2312"/>
          <w:sz w:val="32"/>
          <w:szCs w:val="32"/>
        </w:rPr>
        <w:t>七、一般公共预算财政拨款支出决算明细表</w:t>
      </w:r>
      <w:bookmarkEnd w:id="60"/>
    </w:p>
    <w:p w14:paraId="613859B4">
      <w:pPr>
        <w:pStyle w:val="14"/>
        <w:adjustRightInd w:val="0"/>
        <w:snapToGrid w:val="0"/>
        <w:spacing w:line="560" w:lineRule="exact"/>
        <w:jc w:val="left"/>
        <w:rPr>
          <w:rFonts w:eastAsia="仿宋_GB2312" w:cs="仿宋_GB2312"/>
          <w:sz w:val="32"/>
          <w:szCs w:val="32"/>
        </w:rPr>
      </w:pPr>
      <w:bookmarkStart w:id="61" w:name="_Toc15396626"/>
      <w:r>
        <w:rPr>
          <w:rFonts w:hint="eastAsia" w:eastAsia="仿宋_GB2312" w:cs="仿宋_GB2312"/>
          <w:sz w:val="32"/>
          <w:szCs w:val="32"/>
        </w:rPr>
        <w:t>八、一般公共预算财政拨款基本支出决算表</w:t>
      </w:r>
      <w:bookmarkEnd w:id="61"/>
    </w:p>
    <w:p w14:paraId="354666AC">
      <w:pPr>
        <w:pStyle w:val="14"/>
        <w:adjustRightInd w:val="0"/>
        <w:snapToGrid w:val="0"/>
        <w:spacing w:line="560" w:lineRule="exact"/>
        <w:jc w:val="left"/>
        <w:rPr>
          <w:rFonts w:eastAsia="仿宋_GB2312" w:cs="仿宋_GB2312"/>
          <w:sz w:val="32"/>
          <w:szCs w:val="32"/>
        </w:rPr>
      </w:pPr>
      <w:bookmarkStart w:id="62" w:name="_Toc15396627"/>
      <w:r>
        <w:rPr>
          <w:rFonts w:hint="eastAsia" w:eastAsia="仿宋_GB2312" w:cs="仿宋_GB2312"/>
          <w:sz w:val="32"/>
          <w:szCs w:val="32"/>
        </w:rPr>
        <w:t>九、一般公共预算财政拨款项目支出决算表</w:t>
      </w:r>
      <w:bookmarkEnd w:id="62"/>
    </w:p>
    <w:p w14:paraId="2F35B3AB">
      <w:pPr>
        <w:pStyle w:val="14"/>
        <w:adjustRightInd w:val="0"/>
        <w:snapToGrid w:val="0"/>
        <w:spacing w:line="560" w:lineRule="exact"/>
        <w:jc w:val="left"/>
        <w:rPr>
          <w:rFonts w:eastAsia="仿宋_GB2312" w:cs="仿宋_GB2312"/>
          <w:sz w:val="32"/>
          <w:szCs w:val="32"/>
        </w:rPr>
      </w:pPr>
      <w:bookmarkStart w:id="63" w:name="_Toc15396628"/>
      <w:r>
        <w:rPr>
          <w:rFonts w:hint="eastAsia" w:eastAsia="仿宋_GB2312" w:cs="仿宋_GB2312"/>
          <w:sz w:val="32"/>
          <w:szCs w:val="32"/>
        </w:rPr>
        <w:t>十、</w:t>
      </w:r>
      <w:bookmarkEnd w:id="63"/>
      <w:r>
        <w:rPr>
          <w:rFonts w:hint="eastAsia" w:eastAsia="仿宋_GB2312" w:cs="仿宋_GB2312"/>
          <w:sz w:val="32"/>
          <w:szCs w:val="32"/>
        </w:rPr>
        <w:t>政府性基金预算财政拨款收入支出决算表</w:t>
      </w:r>
    </w:p>
    <w:p w14:paraId="7DE542F4">
      <w:pPr>
        <w:pStyle w:val="14"/>
        <w:adjustRightInd w:val="0"/>
        <w:snapToGrid w:val="0"/>
        <w:spacing w:line="560" w:lineRule="exact"/>
        <w:jc w:val="left"/>
        <w:rPr>
          <w:rFonts w:eastAsia="仿宋_GB2312" w:cs="仿宋_GB2312"/>
          <w:sz w:val="32"/>
          <w:szCs w:val="32"/>
        </w:rPr>
      </w:pPr>
      <w:bookmarkStart w:id="64" w:name="_Toc15396629"/>
      <w:r>
        <w:rPr>
          <w:rFonts w:hint="eastAsia" w:eastAsia="仿宋_GB2312" w:cs="仿宋_GB2312"/>
          <w:sz w:val="32"/>
          <w:szCs w:val="32"/>
        </w:rPr>
        <w:t>十一、</w:t>
      </w:r>
      <w:bookmarkEnd w:id="64"/>
      <w:r>
        <w:rPr>
          <w:rFonts w:hint="eastAsia" w:eastAsia="仿宋_GB2312" w:cs="仿宋_GB2312"/>
          <w:sz w:val="32"/>
          <w:szCs w:val="32"/>
        </w:rPr>
        <w:t>国有资本经营预算财政拨款收入支出决算表</w:t>
      </w:r>
    </w:p>
    <w:p w14:paraId="7DF7F1A4">
      <w:pPr>
        <w:pStyle w:val="14"/>
        <w:adjustRightInd w:val="0"/>
        <w:snapToGrid w:val="0"/>
        <w:spacing w:line="560" w:lineRule="exact"/>
        <w:jc w:val="left"/>
        <w:rPr>
          <w:rFonts w:eastAsia="仿宋_GB2312" w:cs="仿宋_GB2312"/>
          <w:sz w:val="32"/>
          <w:szCs w:val="32"/>
        </w:rPr>
      </w:pPr>
      <w:bookmarkStart w:id="65" w:name="_Toc15396630"/>
      <w:r>
        <w:rPr>
          <w:rFonts w:hint="eastAsia" w:eastAsia="仿宋_GB2312" w:cs="仿宋_GB2312"/>
          <w:sz w:val="32"/>
          <w:szCs w:val="32"/>
        </w:rPr>
        <w:t>十二、</w:t>
      </w:r>
      <w:bookmarkEnd w:id="65"/>
      <w:r>
        <w:rPr>
          <w:rFonts w:hint="eastAsia" w:eastAsia="仿宋_GB2312" w:cs="仿宋_GB2312"/>
          <w:sz w:val="32"/>
          <w:szCs w:val="32"/>
        </w:rPr>
        <w:t>国有资本经营预算财政拨款支出决算表</w:t>
      </w:r>
    </w:p>
    <w:p w14:paraId="3726083D">
      <w:pPr>
        <w:pStyle w:val="14"/>
        <w:adjustRightInd w:val="0"/>
        <w:snapToGrid w:val="0"/>
        <w:spacing w:line="560" w:lineRule="exact"/>
        <w:jc w:val="left"/>
        <w:rPr>
          <w:rFonts w:eastAsia="仿宋_GB2312" w:cs="仿宋_GB2312"/>
          <w:sz w:val="32"/>
          <w:szCs w:val="32"/>
        </w:rPr>
      </w:pPr>
      <w:bookmarkStart w:id="66" w:name="_Toc15396631"/>
      <w:r>
        <w:rPr>
          <w:rFonts w:hint="eastAsia" w:eastAsia="仿宋_GB2312" w:cs="仿宋_GB2312"/>
          <w:sz w:val="32"/>
          <w:szCs w:val="32"/>
        </w:rPr>
        <w:t>十三、</w:t>
      </w:r>
      <w:bookmarkEnd w:id="66"/>
      <w:r>
        <w:rPr>
          <w:rFonts w:hint="eastAsia" w:eastAsia="仿宋_GB2312" w:cs="仿宋_GB2312"/>
          <w:sz w:val="32"/>
          <w:szCs w:val="32"/>
        </w:rPr>
        <w:t>财政拨款“三公”经费支出决算表</w:t>
      </w:r>
    </w:p>
    <w:p w14:paraId="29D581B2"/>
    <w:sectPr>
      <w:footerReference r:id="rId7" w:type="firs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52DF5">
    <w:pPr>
      <w:pStyle w:val="10"/>
      <w:jc w:val="center"/>
    </w:pPr>
  </w:p>
  <w:p w14:paraId="535D8067">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0E39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EF9C6">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209C0">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33209C0">
                    <w:pPr>
                      <w:pStyle w:val="10"/>
                    </w:pPr>
                    <w:r>
                      <w:fldChar w:fldCharType="begin"/>
                    </w:r>
                    <w:r>
                      <w:instrText xml:space="preserve"> PAGE  \* MERGEFORMAT </w:instrText>
                    </w:r>
                    <w:r>
                      <w:fldChar w:fldCharType="separate"/>
                    </w:r>
                    <w:r>
                      <w:t>37</w:t>
                    </w:r>
                    <w:r>
                      <w:fldChar w:fldCharType="end"/>
                    </w:r>
                  </w:p>
                </w:txbxContent>
              </v:textbox>
            </v:shape>
          </w:pict>
        </mc:Fallback>
      </mc:AlternateContent>
    </w:r>
  </w:p>
  <w:p w14:paraId="013DB6F1">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08D76">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97018">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2097018">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8FCA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B4AF5"/>
    <w:multiLevelType w:val="singleLevel"/>
    <w:tmpl w:val="D65B4AF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0ZWUzMDA3YWU3MjFjNWM1NTgzODE2MjAwM2JiYTkifQ=="/>
  </w:docVars>
  <w:rsids>
    <w:rsidRoot w:val="00F1361C"/>
    <w:rsid w:val="000222C6"/>
    <w:rsid w:val="0002549F"/>
    <w:rsid w:val="000468DB"/>
    <w:rsid w:val="0006487A"/>
    <w:rsid w:val="00065F8F"/>
    <w:rsid w:val="00070A43"/>
    <w:rsid w:val="000768F2"/>
    <w:rsid w:val="0009184B"/>
    <w:rsid w:val="000932FF"/>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7AF7"/>
    <w:rsid w:val="00114E9B"/>
    <w:rsid w:val="00142216"/>
    <w:rsid w:val="00144D6A"/>
    <w:rsid w:val="0014729F"/>
    <w:rsid w:val="00157BAB"/>
    <w:rsid w:val="001654D1"/>
    <w:rsid w:val="00174518"/>
    <w:rsid w:val="0018106D"/>
    <w:rsid w:val="001877A7"/>
    <w:rsid w:val="00191536"/>
    <w:rsid w:val="00196687"/>
    <w:rsid w:val="001B12D5"/>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E7C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617F"/>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5129"/>
    <w:rsid w:val="00B77EA6"/>
    <w:rsid w:val="00B80066"/>
    <w:rsid w:val="00B81598"/>
    <w:rsid w:val="00B841F1"/>
    <w:rsid w:val="00B944D6"/>
    <w:rsid w:val="00BB4DF0"/>
    <w:rsid w:val="00BC289F"/>
    <w:rsid w:val="00BC2D50"/>
    <w:rsid w:val="00BC5361"/>
    <w:rsid w:val="00BC5460"/>
    <w:rsid w:val="00BC6B50"/>
    <w:rsid w:val="00BD0E25"/>
    <w:rsid w:val="00BE1DEC"/>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67762"/>
    <w:rsid w:val="012A5EC2"/>
    <w:rsid w:val="015975B8"/>
    <w:rsid w:val="02FEBE30"/>
    <w:rsid w:val="03795BF7"/>
    <w:rsid w:val="04916F1E"/>
    <w:rsid w:val="04C02CDD"/>
    <w:rsid w:val="061E35DE"/>
    <w:rsid w:val="066E0107"/>
    <w:rsid w:val="07996F6E"/>
    <w:rsid w:val="07DFD8BA"/>
    <w:rsid w:val="09867E8F"/>
    <w:rsid w:val="0A2032A3"/>
    <w:rsid w:val="0CA8290A"/>
    <w:rsid w:val="0CEF7725"/>
    <w:rsid w:val="0D35B1ED"/>
    <w:rsid w:val="0E254B6B"/>
    <w:rsid w:val="0E7E5259"/>
    <w:rsid w:val="0F98263C"/>
    <w:rsid w:val="0FFC0270"/>
    <w:rsid w:val="101860EC"/>
    <w:rsid w:val="101F47CC"/>
    <w:rsid w:val="10C055FF"/>
    <w:rsid w:val="11694EBD"/>
    <w:rsid w:val="11772AA4"/>
    <w:rsid w:val="118107EC"/>
    <w:rsid w:val="12E24EE2"/>
    <w:rsid w:val="13D50BC4"/>
    <w:rsid w:val="14B17F78"/>
    <w:rsid w:val="15091B51"/>
    <w:rsid w:val="165E0673"/>
    <w:rsid w:val="16B831D5"/>
    <w:rsid w:val="16BB723D"/>
    <w:rsid w:val="17E50567"/>
    <w:rsid w:val="186504BB"/>
    <w:rsid w:val="190E5BD4"/>
    <w:rsid w:val="19A445FC"/>
    <w:rsid w:val="1BE8440E"/>
    <w:rsid w:val="1C562791"/>
    <w:rsid w:val="1CB07A9C"/>
    <w:rsid w:val="1D155CEE"/>
    <w:rsid w:val="1D1638FE"/>
    <w:rsid w:val="1E312DEB"/>
    <w:rsid w:val="1E6665EF"/>
    <w:rsid w:val="1E740ACF"/>
    <w:rsid w:val="1FF35744"/>
    <w:rsid w:val="1FF6BC77"/>
    <w:rsid w:val="21851E49"/>
    <w:rsid w:val="2186353C"/>
    <w:rsid w:val="23860B96"/>
    <w:rsid w:val="240371BF"/>
    <w:rsid w:val="244F3473"/>
    <w:rsid w:val="24C97D99"/>
    <w:rsid w:val="25A718F0"/>
    <w:rsid w:val="25BB59F6"/>
    <w:rsid w:val="260F557C"/>
    <w:rsid w:val="26970054"/>
    <w:rsid w:val="270C275B"/>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99935D9"/>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1B41825"/>
    <w:rsid w:val="41F6241B"/>
    <w:rsid w:val="44E268DA"/>
    <w:rsid w:val="450D13D7"/>
    <w:rsid w:val="45506656"/>
    <w:rsid w:val="47D44278"/>
    <w:rsid w:val="486A6C7A"/>
    <w:rsid w:val="4A627F82"/>
    <w:rsid w:val="4B0E749A"/>
    <w:rsid w:val="4B2477C4"/>
    <w:rsid w:val="4B4F25DA"/>
    <w:rsid w:val="4BE068DB"/>
    <w:rsid w:val="4D577224"/>
    <w:rsid w:val="4DBF1CEB"/>
    <w:rsid w:val="4DF0007C"/>
    <w:rsid w:val="4E2A4CAE"/>
    <w:rsid w:val="4EAB630A"/>
    <w:rsid w:val="4ECE2238"/>
    <w:rsid w:val="4F833267"/>
    <w:rsid w:val="4FE9BD67"/>
    <w:rsid w:val="4FFB052F"/>
    <w:rsid w:val="52040801"/>
    <w:rsid w:val="537E6D0A"/>
    <w:rsid w:val="53F74C96"/>
    <w:rsid w:val="55170BA8"/>
    <w:rsid w:val="553218C9"/>
    <w:rsid w:val="567E1AA5"/>
    <w:rsid w:val="56E47B74"/>
    <w:rsid w:val="57175D52"/>
    <w:rsid w:val="57BD3DD4"/>
    <w:rsid w:val="59586948"/>
    <w:rsid w:val="5AF92295"/>
    <w:rsid w:val="5B250254"/>
    <w:rsid w:val="5BAC183B"/>
    <w:rsid w:val="5BDD79E6"/>
    <w:rsid w:val="5BF561CA"/>
    <w:rsid w:val="5BFF5DFC"/>
    <w:rsid w:val="5CD71FC4"/>
    <w:rsid w:val="5D1F11B5"/>
    <w:rsid w:val="5D695134"/>
    <w:rsid w:val="5DAD5334"/>
    <w:rsid w:val="5DAE1B18"/>
    <w:rsid w:val="5DE7D9E5"/>
    <w:rsid w:val="5ECEC941"/>
    <w:rsid w:val="5FAE3139"/>
    <w:rsid w:val="5FBF9FF3"/>
    <w:rsid w:val="5FCD4E2C"/>
    <w:rsid w:val="5FEF394A"/>
    <w:rsid w:val="5FF67715"/>
    <w:rsid w:val="62BF3928"/>
    <w:rsid w:val="62DE42A4"/>
    <w:rsid w:val="63B3701E"/>
    <w:rsid w:val="64725A2C"/>
    <w:rsid w:val="647F5392"/>
    <w:rsid w:val="65E66580"/>
    <w:rsid w:val="664B1D71"/>
    <w:rsid w:val="664B4E8E"/>
    <w:rsid w:val="67277B67"/>
    <w:rsid w:val="67AA3209"/>
    <w:rsid w:val="68EC295D"/>
    <w:rsid w:val="698D0931"/>
    <w:rsid w:val="6A7FE5F3"/>
    <w:rsid w:val="6B053271"/>
    <w:rsid w:val="6BDD78B3"/>
    <w:rsid w:val="6BF839E1"/>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3F1E77"/>
    <w:rsid w:val="72683518"/>
    <w:rsid w:val="72734D90"/>
    <w:rsid w:val="73160E6D"/>
    <w:rsid w:val="7332FE48"/>
    <w:rsid w:val="73AB61DA"/>
    <w:rsid w:val="73AD73D5"/>
    <w:rsid w:val="73B6EB34"/>
    <w:rsid w:val="73FA497D"/>
    <w:rsid w:val="744731E5"/>
    <w:rsid w:val="74BBD01D"/>
    <w:rsid w:val="74ED5379"/>
    <w:rsid w:val="75BD68F3"/>
    <w:rsid w:val="75DEEEC2"/>
    <w:rsid w:val="75E32345"/>
    <w:rsid w:val="76E3355F"/>
    <w:rsid w:val="76FF5125"/>
    <w:rsid w:val="776F6FFA"/>
    <w:rsid w:val="778769C8"/>
    <w:rsid w:val="77A75DCA"/>
    <w:rsid w:val="77DC22F5"/>
    <w:rsid w:val="783E271A"/>
    <w:rsid w:val="78616DE9"/>
    <w:rsid w:val="78E875D7"/>
    <w:rsid w:val="79086DAD"/>
    <w:rsid w:val="795E27DD"/>
    <w:rsid w:val="79D7FD79"/>
    <w:rsid w:val="79EE5BA4"/>
    <w:rsid w:val="7A894339"/>
    <w:rsid w:val="7AD284E8"/>
    <w:rsid w:val="7AFF7572"/>
    <w:rsid w:val="7B34429A"/>
    <w:rsid w:val="7B6C7DFB"/>
    <w:rsid w:val="7BBFBED0"/>
    <w:rsid w:val="7BC3E394"/>
    <w:rsid w:val="7C033D2C"/>
    <w:rsid w:val="7C1F3737"/>
    <w:rsid w:val="7CBFC87B"/>
    <w:rsid w:val="7CF8738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rPr>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2"/>
    <w:qFormat/>
    <w:uiPriority w:val="9"/>
    <w:rPr>
      <w:rFonts w:ascii="Times New Roman" w:hAnsi="Times New Roman"/>
      <w:b/>
      <w:bCs/>
      <w:kern w:val="44"/>
      <w:sz w:val="44"/>
      <w:szCs w:val="44"/>
    </w:rPr>
  </w:style>
  <w:style w:type="character" w:customStyle="1" w:styleId="30">
    <w:name w:val="标题 2 字符"/>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J:\2024&#24180;&#20915;&#31639;&#20844;&#24320;\&#20915;&#31639;&#20844;&#24320;\&#20915;&#31639;&#20844;&#24320;&#29992;&#22270;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0"/>
              <c:layout>
                <c:manualLayout>
                  <c:x val="-0.127895676593334"/>
                  <c:y val="-0.19013175668113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11974417717107"/>
                  <c:y val="0.031705149517299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61900109716223"/>
                  <c:y val="-0.08119499007159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93025074091895"/>
                  <c:y val="-0.05153515031142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79096510184728"/>
                  <c:y val="0.007823764530080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[决算公开用图01.xls]Sheet1!$A$2:$A$8</c:f>
              <c:strCache>
                <c:ptCount val="7"/>
                <c:pt idx="0">
                  <c:v>一般公共预算财政拨款收入</c:v>
                </c:pt>
                <c:pt idx="1">
                  <c:v>政府性基金预算财政拨款收入</c:v>
                </c:pt>
                <c:pt idx="2">
                  <c:v>国有资本经营预算财政拨款收</c:v>
                </c:pt>
                <c:pt idx="3">
                  <c:v>上级补助收入</c:v>
                </c:pt>
                <c:pt idx="4">
                  <c:v>事业收入</c:v>
                </c:pt>
                <c:pt idx="5">
                  <c:v>经营收入</c:v>
                </c:pt>
                <c:pt idx="6">
                  <c:v>其他收入</c:v>
                </c:pt>
              </c:strCache>
            </c:strRef>
          </c:cat>
          <c:val>
            <c:numRef>
              <c:f>[决算公开用图01.xls]Sheet1!$B$2:$B$8</c:f>
              <c:numCache>
                <c:formatCode>General</c:formatCode>
                <c:ptCount val="7"/>
                <c:pt idx="0">
                  <c:v>525.8</c:v>
                </c:pt>
                <c:pt idx="1">
                  <c:v>6.19</c:v>
                </c:pt>
                <c:pt idx="2">
                  <c:v>0</c:v>
                </c:pt>
                <c:pt idx="3">
                  <c:v>0</c:v>
                </c:pt>
                <c:pt idx="4">
                  <c:v>0</c:v>
                </c:pt>
                <c:pt idx="5">
                  <c:v>0</c:v>
                </c:pt>
                <c:pt idx="6">
                  <c:v>6.85</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25"/>
          <c:y val="0.05"/>
          <c:w val="0.33"/>
          <c:h val="0.9327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b506f41f-d3ca-42dd-b60b-0ffdadb64d36}"/>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0.0633333333333333</cdr:x>
      <cdr:y>0.86827661909989</cdr:y>
    </cdr:from>
    <cdr:to>
      <cdr:x>0.331904761904762</cdr:x>
      <cdr:y>0.955214050493963</cdr:y>
    </cdr:to>
    <cdr:sp>
      <cdr:nvSpPr>
        <cdr:cNvPr id="2" name="矩形 1"/>
        <cdr:cNvSpPr/>
      </cdr:nvSpPr>
      <cdr:spPr xmlns:a="http://schemas.openxmlformats.org/drawingml/2006/main">
        <a:xfrm xmlns:a="http://schemas.openxmlformats.org/drawingml/2006/main">
          <a:off x="253365" y="2317899"/>
          <a:ext cx="1074420" cy="232083"/>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a:t>单位：万元</a:t>
          </a:r>
          <a:endParaRPr lang="zh-CN" alt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7758</Words>
  <Characters>8542</Characters>
  <Lines>148</Lines>
  <Paragraphs>41</Paragraphs>
  <TotalTime>15</TotalTime>
  <ScaleCrop>false</ScaleCrop>
  <LinksUpToDate>false</LinksUpToDate>
  <CharactersWithSpaces>8692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2025-11-27T02:18:00Z</dcterms:created>
  <dc:creator>曹颖</dc:creator>
  <cp:lastModifiedBy>Administrator</cp:lastModifiedBy>
  <cp:lastPrinted>2025-08-06T17:34:00Z</cp:lastPrinted>
  <dcterms:modified xsi:type="dcterms:W3CDTF">2025-12-04T00:19:55Z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eyJoZGlkIjoiNjY1ZjhmYjM0MDVlMmI3Y2E4YmJmMDI4MGI0MjllMWUifQ==</vt:lpwstr>
  </property>
</Properties>
</file>