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787D3">
      <w:pPr>
        <w:spacing w:line="600" w:lineRule="exact"/>
        <w:jc w:val="left"/>
        <w:outlineLvl w:val="0"/>
        <w:rPr>
          <w:rFonts w:ascii="方正小标宋简体" w:hAnsi="宋体" w:eastAsia="方正小标宋简体"/>
          <w:szCs w:val="21"/>
        </w:rPr>
      </w:pPr>
      <w:bookmarkStart w:id="0" w:name="_Toc15306267"/>
    </w:p>
    <w:p w14:paraId="2A186272">
      <w:pPr>
        <w:pStyle w:val="8"/>
        <w:spacing w:before="93"/>
      </w:pPr>
    </w:p>
    <w:p w14:paraId="52230057">
      <w:pPr>
        <w:spacing w:line="600" w:lineRule="exact"/>
        <w:jc w:val="center"/>
        <w:outlineLvl w:val="0"/>
        <w:rPr>
          <w:rFonts w:ascii="方正小标宋简体" w:hAnsi="宋体" w:eastAsia="方正小标宋简体"/>
          <w:sz w:val="72"/>
          <w:szCs w:val="72"/>
        </w:rPr>
      </w:pPr>
    </w:p>
    <w:p w14:paraId="09549C9A">
      <w:pPr>
        <w:spacing w:line="600" w:lineRule="exact"/>
        <w:jc w:val="center"/>
        <w:outlineLvl w:val="0"/>
        <w:rPr>
          <w:rFonts w:ascii="方正小标宋简体" w:hAnsi="宋体" w:eastAsia="方正小标宋简体"/>
          <w:sz w:val="72"/>
          <w:szCs w:val="72"/>
        </w:rPr>
      </w:pPr>
    </w:p>
    <w:p w14:paraId="71AED4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ascii="方正小标宋简体" w:hAnsi="方正小标宋简体" w:eastAsia="方正小标宋简体" w:cs="方正小标宋简体"/>
          <w:sz w:val="72"/>
          <w:szCs w:val="72"/>
        </w:rPr>
      </w:pPr>
      <w:bookmarkStart w:id="1" w:name="_Toc15378441"/>
      <w:bookmarkStart w:id="2" w:name="_Toc15377193"/>
      <w:bookmarkStart w:id="3" w:name="_Toc15396475"/>
      <w:bookmarkStart w:id="4" w:name="_Toc15377425"/>
      <w:bookmarkStart w:id="5" w:name="_Toc15396597"/>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p>
    <w:p w14:paraId="207207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sz w:val="72"/>
          <w:szCs w:val="72"/>
          <w:lang w:eastAsia="zh-CN"/>
        </w:rPr>
      </w:pPr>
      <w:bookmarkStart w:id="6" w:name="_Toc15396476"/>
      <w:bookmarkStart w:id="7" w:name="_Toc15396598"/>
      <w:bookmarkStart w:id="8" w:name="_Toc15377426"/>
      <w:bookmarkStart w:id="9" w:name="_Toc15378442"/>
      <w:bookmarkStart w:id="10" w:name="_Toc15377194"/>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lang w:val="en-US" w:eastAsia="zh-CN"/>
        </w:rPr>
        <w:t>乐山市</w:t>
      </w:r>
      <w:r>
        <w:rPr>
          <w:rFonts w:hint="eastAsia" w:ascii="方正小标宋简体" w:hAnsi="方正小标宋简体" w:eastAsia="方正小标宋简体" w:cs="方正小标宋简体"/>
          <w:sz w:val="72"/>
          <w:szCs w:val="72"/>
          <w:lang w:eastAsia="zh-CN"/>
        </w:rPr>
        <w:t>峨眉山市</w:t>
      </w:r>
    </w:p>
    <w:p w14:paraId="0A470A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eastAsia="zh-CN"/>
        </w:rPr>
        <w:t>龙池镇初级中学校</w:t>
      </w:r>
    </w:p>
    <w:p w14:paraId="05C4C2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14:paraId="2DFF350B">
      <w:pPr>
        <w:adjustRightInd w:val="0"/>
        <w:snapToGrid w:val="0"/>
        <w:spacing w:line="360" w:lineRule="auto"/>
        <w:jc w:val="center"/>
        <w:outlineLvl w:val="0"/>
        <w:rPr>
          <w:rFonts w:hint="eastAsia" w:ascii="方正小标宋简体" w:hAnsi="宋体" w:eastAsia="方正小标宋简体"/>
          <w:sz w:val="52"/>
          <w:szCs w:val="52"/>
          <w:lang w:eastAsia="zh-CN"/>
        </w:rPr>
      </w:pPr>
    </w:p>
    <w:p w14:paraId="571CFE9B">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6D124276">
      <w:pPr>
        <w:pStyle w:val="8"/>
      </w:pPr>
    </w:p>
    <w:p w14:paraId="5237F5C2">
      <w:pPr>
        <w:pStyle w:val="13"/>
      </w:pPr>
      <w:r>
        <w:rPr>
          <w:rFonts w:hint="eastAsia"/>
        </w:rPr>
        <w:t>公开时间：202</w:t>
      </w:r>
      <w:r>
        <w:rPr>
          <w:rFonts w:hint="eastAsia"/>
          <w:lang w:val="en-US" w:eastAsia="zh-CN"/>
        </w:rPr>
        <w:t>5</w:t>
      </w:r>
      <w:r>
        <w:rPr>
          <w:rFonts w:hint="eastAsia"/>
        </w:rPr>
        <w:t>年</w:t>
      </w:r>
      <w:r>
        <w:rPr>
          <w:rFonts w:hint="eastAsia"/>
          <w:lang w:val="en-US" w:eastAsia="zh-CN"/>
        </w:rPr>
        <w:t>12</w:t>
      </w:r>
      <w:r>
        <w:rPr>
          <w:rFonts w:hint="eastAsia"/>
        </w:rPr>
        <w:t>月</w:t>
      </w:r>
      <w:r>
        <w:rPr>
          <w:rFonts w:hint="eastAsia"/>
          <w:lang w:val="en-US" w:eastAsia="zh-CN"/>
        </w:rPr>
        <w:t>4</w:t>
      </w:r>
      <w:bookmarkStart w:id="67" w:name="_GoBack"/>
      <w:bookmarkEnd w:id="67"/>
      <w:r>
        <w:rPr>
          <w:rFonts w:hint="eastAsia"/>
        </w:rPr>
        <w:t>日</w:t>
      </w:r>
    </w:p>
    <w:p w14:paraId="297B8B1A">
      <w:pPr>
        <w:pStyle w:val="14"/>
        <w:tabs>
          <w:tab w:val="right" w:leader="dot" w:pos="9730"/>
          <w:tab w:val="clear" w:pos="8296"/>
        </w:tabs>
        <w:ind w:left="0" w:leftChars="0" w:firstLine="0" w:firstLineChars="0"/>
        <w:rPr>
          <w:iCs w:val="0"/>
          <w:sz w:val="21"/>
          <w:szCs w:val="24"/>
        </w:rPr>
      </w:pPr>
      <w:r>
        <w:rPr>
          <w:rFonts w:hint="eastAsia" w:ascii="黑体" w:hAnsi="黑体" w:eastAsia="黑体" w:cs="黑体"/>
          <w:sz w:val="32"/>
          <w:szCs w:val="32"/>
        </w:rPr>
        <w:t>第一部分 单位概况</w:t>
      </w:r>
      <w:r>
        <w:fldChar w:fldCharType="begin"/>
      </w:r>
      <w:r>
        <w:instrText xml:space="preserve">HYPERLINK ""\l"_Toc60821794"</w:instrText>
      </w:r>
      <w:r>
        <w:fldChar w:fldCharType="separate"/>
      </w:r>
      <w:r>
        <w:tab/>
      </w:r>
      <w:r>
        <w:rPr>
          <w:rFonts w:hint="eastAsia"/>
          <w:lang w:val="en-US" w:eastAsia="zh-CN"/>
        </w:rPr>
        <w:t>4</w:t>
      </w:r>
      <w:r>
        <w:fldChar w:fldCharType="end"/>
      </w:r>
    </w:p>
    <w:p w14:paraId="05478D90">
      <w:pPr>
        <w:pStyle w:val="14"/>
        <w:tabs>
          <w:tab w:val="right" w:leader="dot" w:pos="9730"/>
          <w:tab w:val="clear" w:pos="8296"/>
        </w:tabs>
        <w:ind w:left="0" w:leftChars="0" w:firstLine="640" w:firstLineChars="200"/>
        <w:rPr>
          <w:iCs w:val="0"/>
          <w:sz w:val="21"/>
          <w:szCs w:val="24"/>
        </w:rPr>
      </w:pPr>
      <w:r>
        <w:rPr>
          <w:rFonts w:hint="eastAsia" w:ascii="仿宋_GB2312" w:hAnsi="仿宋_GB2312" w:eastAsia="仿宋_GB2312" w:cs="仿宋_GB2312"/>
          <w:sz w:val="32"/>
          <w:szCs w:val="32"/>
        </w:rPr>
        <w:t>一、主要职责</w:t>
      </w:r>
      <w:r>
        <w:fldChar w:fldCharType="begin"/>
      </w:r>
      <w:r>
        <w:instrText xml:space="preserve">HYPERLINK ""\l"_Toc60821794"</w:instrText>
      </w:r>
      <w:r>
        <w:fldChar w:fldCharType="separate"/>
      </w:r>
      <w:r>
        <w:tab/>
      </w:r>
      <w:r>
        <w:rPr>
          <w:rFonts w:hint="eastAsia"/>
          <w:lang w:val="en-US" w:eastAsia="zh-CN"/>
        </w:rPr>
        <w:t>4</w:t>
      </w:r>
      <w:r>
        <w:fldChar w:fldCharType="end"/>
      </w:r>
    </w:p>
    <w:p w14:paraId="5E4F34A5">
      <w:pPr>
        <w:pStyle w:val="14"/>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机构设置</w:t>
      </w:r>
      <w:r>
        <w:fldChar w:fldCharType="begin"/>
      </w:r>
      <w:r>
        <w:instrText xml:space="preserve">HYPERLINK ""\l"_Toc60821794"</w:instrText>
      </w:r>
      <w:r>
        <w:fldChar w:fldCharType="separate"/>
      </w:r>
      <w:r>
        <w:tab/>
      </w:r>
      <w:r>
        <w:fldChar w:fldCharType="end"/>
      </w:r>
      <w:r>
        <w:rPr>
          <w:rFonts w:hint="eastAsia"/>
          <w:lang w:val="en-US" w:eastAsia="zh-CN"/>
        </w:rPr>
        <w:t>8</w:t>
      </w:r>
    </w:p>
    <w:p w14:paraId="45FB1B8E">
      <w:pPr>
        <w:pStyle w:val="14"/>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年度单位决算情况说明</w:t>
      </w:r>
      <w:r>
        <w:fldChar w:fldCharType="begin"/>
      </w:r>
      <w:r>
        <w:instrText xml:space="preserve">HYPERLINK ""\l"_Toc60821794"</w:instrText>
      </w:r>
      <w:r>
        <w:fldChar w:fldCharType="separate"/>
      </w:r>
      <w:r>
        <w:tab/>
      </w:r>
      <w:r>
        <w:fldChar w:fldCharType="end"/>
      </w:r>
      <w:r>
        <w:rPr>
          <w:rFonts w:hint="eastAsia"/>
          <w:lang w:val="en-US" w:eastAsia="zh-CN"/>
        </w:rPr>
        <w:t>9</w:t>
      </w:r>
    </w:p>
    <w:p w14:paraId="6B3E4E0A">
      <w:pPr>
        <w:pStyle w:val="14"/>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一、收入支出决算总体情况说明</w:t>
      </w:r>
      <w:r>
        <w:fldChar w:fldCharType="begin"/>
      </w:r>
      <w:r>
        <w:instrText xml:space="preserve">HYPERLINK ""\l"_Toc60821794"</w:instrText>
      </w:r>
      <w:r>
        <w:fldChar w:fldCharType="separate"/>
      </w:r>
      <w:r>
        <w:tab/>
      </w:r>
      <w:r>
        <w:fldChar w:fldCharType="end"/>
      </w:r>
      <w:r>
        <w:rPr>
          <w:rFonts w:hint="eastAsia"/>
          <w:lang w:val="en-US" w:eastAsia="zh-CN"/>
        </w:rPr>
        <w:t>9</w:t>
      </w:r>
    </w:p>
    <w:p w14:paraId="66E82B53">
      <w:pPr>
        <w:pStyle w:val="14"/>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二、收入决算情况说明</w:t>
      </w:r>
      <w:r>
        <w:fldChar w:fldCharType="begin"/>
      </w:r>
      <w:r>
        <w:instrText xml:space="preserve">HYPERLINK ""\l"_Toc60821794"</w:instrText>
      </w:r>
      <w:r>
        <w:fldChar w:fldCharType="separate"/>
      </w:r>
      <w:r>
        <w:tab/>
      </w:r>
      <w:r>
        <w:fldChar w:fldCharType="end"/>
      </w:r>
      <w:r>
        <w:rPr>
          <w:rFonts w:hint="eastAsia"/>
          <w:lang w:val="en-US" w:eastAsia="zh-CN"/>
        </w:rPr>
        <w:t>9</w:t>
      </w:r>
    </w:p>
    <w:p w14:paraId="158615D3">
      <w:pPr>
        <w:pStyle w:val="14"/>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三、支出决算情况说明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0</w:t>
      </w:r>
    </w:p>
    <w:p w14:paraId="0A510AFB">
      <w:pPr>
        <w:pStyle w:val="14"/>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四、财政拨款收入支出决算总体情况说明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0</w:t>
      </w:r>
    </w:p>
    <w:p w14:paraId="3195067A">
      <w:pPr>
        <w:pStyle w:val="14"/>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五、一般公共预算财政拨款支出决算情况说明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1</w:t>
      </w:r>
    </w:p>
    <w:p w14:paraId="24B1921F">
      <w:pPr>
        <w:pStyle w:val="14"/>
        <w:tabs>
          <w:tab w:val="right" w:leader="dot" w:pos="9730"/>
          <w:tab w:val="clear" w:pos="8296"/>
        </w:tabs>
        <w:ind w:left="0" w:leftChars="0" w:firstLine="640" w:firstLineChars="200"/>
        <w:rPr>
          <w:rFonts w:hint="eastAsia" w:eastAsia="宋体"/>
          <w:iCs w:val="0"/>
          <w:sz w:val="21"/>
          <w:szCs w:val="24"/>
          <w:lang w:val="en-US" w:eastAsia="zh-CN"/>
        </w:rPr>
      </w:pPr>
      <w:r>
        <w:rPr>
          <w:rFonts w:hint="eastAsia" w:ascii="仿宋_GB2312" w:hAnsi="仿宋_GB2312" w:eastAsia="仿宋_GB2312" w:cs="仿宋_GB2312"/>
          <w:sz w:val="32"/>
          <w:szCs w:val="32"/>
        </w:rPr>
        <w:t>六、一般公共预算财政拨款基本支出决算情况说明</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3</w:t>
      </w:r>
    </w:p>
    <w:p w14:paraId="2914F06F">
      <w:pPr>
        <w:pStyle w:val="14"/>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七、“三公”经费财政拨款支出决算情况说明</w:t>
      </w:r>
      <w:r>
        <w:fldChar w:fldCharType="begin"/>
      </w:r>
      <w:r>
        <w:instrText xml:space="preserve">HYPERLINK ""\l"_Toc60821794"</w:instrText>
      </w:r>
      <w:r>
        <w:fldChar w:fldCharType="separate"/>
      </w:r>
      <w:r>
        <w:tab/>
      </w:r>
      <w:r>
        <w:fldChar w:fldCharType="end"/>
      </w:r>
      <w:r>
        <w:rPr>
          <w:rFonts w:hint="eastAsia"/>
          <w:lang w:val="en-US" w:eastAsia="zh-CN"/>
        </w:rPr>
        <w:t>13</w:t>
      </w:r>
    </w:p>
    <w:p w14:paraId="00E277DD">
      <w:pPr>
        <w:pStyle w:val="14"/>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八、政府性基金预算支出决算情况说明</w:t>
      </w:r>
      <w:r>
        <w:fldChar w:fldCharType="begin"/>
      </w:r>
      <w:r>
        <w:instrText xml:space="preserve">HYPERLINK ""\l"_Toc60821794"</w:instrText>
      </w:r>
      <w:r>
        <w:fldChar w:fldCharType="separate"/>
      </w:r>
      <w:r>
        <w:tab/>
      </w:r>
      <w:r>
        <w:fldChar w:fldCharType="end"/>
      </w:r>
      <w:r>
        <w:rPr>
          <w:rFonts w:hint="eastAsia"/>
          <w:lang w:val="en-US" w:eastAsia="zh-CN"/>
        </w:rPr>
        <w:t>14</w:t>
      </w:r>
    </w:p>
    <w:p w14:paraId="6081FEB7">
      <w:pPr>
        <w:pStyle w:val="14"/>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九、国有资本经营预算支出决算情况说明</w:t>
      </w:r>
      <w:r>
        <w:fldChar w:fldCharType="begin"/>
      </w:r>
      <w:r>
        <w:instrText xml:space="preserve">HYPERLINK ""\l"_Toc60821794"</w:instrText>
      </w:r>
      <w:r>
        <w:fldChar w:fldCharType="separate"/>
      </w:r>
      <w:r>
        <w:tab/>
      </w:r>
      <w:r>
        <w:fldChar w:fldCharType="end"/>
      </w:r>
      <w:r>
        <w:rPr>
          <w:rFonts w:hint="eastAsia"/>
          <w:lang w:val="en-US" w:eastAsia="zh-CN"/>
        </w:rPr>
        <w:t>14</w:t>
      </w:r>
    </w:p>
    <w:p w14:paraId="4E426692">
      <w:pPr>
        <w:pStyle w:val="14"/>
        <w:tabs>
          <w:tab w:val="right" w:leader="dot" w:pos="9730"/>
          <w:tab w:val="clear" w:pos="8296"/>
        </w:tabs>
        <w:ind w:left="0" w:leftChars="0" w:firstLine="640" w:firstLineChars="200"/>
        <w:rPr>
          <w:rFonts w:hint="default" w:eastAsia="宋体"/>
          <w:iCs w:val="0"/>
          <w:sz w:val="21"/>
          <w:szCs w:val="24"/>
          <w:lang w:val="en-US" w:eastAsia="zh-CN"/>
        </w:rPr>
      </w:pPr>
      <w:r>
        <w:rPr>
          <w:rFonts w:hint="eastAsia" w:ascii="仿宋_GB2312" w:hAnsi="仿宋_GB2312" w:eastAsia="仿宋_GB2312" w:cs="仿宋_GB2312"/>
          <w:sz w:val="32"/>
          <w:szCs w:val="32"/>
        </w:rPr>
        <w:t>十、其他重要事项的情况说明</w:t>
      </w:r>
      <w:r>
        <w:fldChar w:fldCharType="begin"/>
      </w:r>
      <w:r>
        <w:instrText xml:space="preserve">HYPERLINK ""\l"_Toc60821794"</w:instrText>
      </w:r>
      <w:r>
        <w:fldChar w:fldCharType="separate"/>
      </w:r>
      <w:r>
        <w:tab/>
      </w:r>
      <w:r>
        <w:fldChar w:fldCharType="end"/>
      </w:r>
      <w:r>
        <w:rPr>
          <w:rFonts w:hint="eastAsia"/>
          <w:lang w:val="en-US" w:eastAsia="zh-CN"/>
        </w:rPr>
        <w:t>14</w:t>
      </w:r>
    </w:p>
    <w:p w14:paraId="1B6B7C46">
      <w:pPr>
        <w:pStyle w:val="14"/>
        <w:tabs>
          <w:tab w:val="right" w:leader="dot" w:pos="9730"/>
          <w:tab w:val="clear" w:pos="8296"/>
        </w:tabs>
        <w:ind w:left="0" w:leftChars="0" w:firstLine="0" w:firstLineChars="0"/>
        <w:rPr>
          <w:rFonts w:hint="eastAsia" w:eastAsia="宋体"/>
          <w:iCs w:val="0"/>
          <w:sz w:val="21"/>
          <w:szCs w:val="24"/>
          <w:lang w:val="en-US" w:eastAsia="zh-CN"/>
        </w:rPr>
      </w:pPr>
      <w:r>
        <w:rPr>
          <w:rFonts w:hint="eastAsia" w:ascii="黑体" w:hAnsi="黑体" w:eastAsia="黑体" w:cs="黑体"/>
          <w:sz w:val="32"/>
          <w:szCs w:val="32"/>
        </w:rPr>
        <w:t>第三部分 名词解释</w:t>
      </w:r>
      <w:r>
        <w:fldChar w:fldCharType="begin"/>
      </w:r>
      <w:r>
        <w:instrText xml:space="preserve">HYPERLINK ""\l"_Toc60821794"</w:instrText>
      </w:r>
      <w:r>
        <w:fldChar w:fldCharType="separate"/>
      </w:r>
      <w:r>
        <w:tab/>
      </w:r>
      <w:r>
        <w:rPr>
          <w:rFonts w:hint="eastAsia"/>
          <w:lang w:val="en-US" w:eastAsia="zh-CN"/>
        </w:rPr>
        <w:t>1</w:t>
      </w:r>
      <w:r>
        <w:fldChar w:fldCharType="end"/>
      </w:r>
      <w:r>
        <w:rPr>
          <w:rFonts w:hint="eastAsia"/>
          <w:lang w:val="en-US" w:eastAsia="zh-CN"/>
        </w:rPr>
        <w:t>6</w:t>
      </w:r>
    </w:p>
    <w:p w14:paraId="5D037605">
      <w:pPr>
        <w:pStyle w:val="14"/>
        <w:tabs>
          <w:tab w:val="right" w:leader="dot" w:pos="9730"/>
          <w:tab w:val="clear" w:pos="8296"/>
        </w:tabs>
        <w:ind w:left="0" w:leftChars="0" w:firstLine="0" w:firstLineChars="0"/>
        <w:rPr>
          <w:rFonts w:hint="default" w:eastAsia="宋体"/>
          <w:iCs w:val="0"/>
          <w:sz w:val="21"/>
          <w:szCs w:val="24"/>
          <w:lang w:val="en-US" w:eastAsia="zh-CN"/>
        </w:rPr>
      </w:pPr>
      <w:r>
        <w:rPr>
          <w:rFonts w:hint="eastAsia" w:ascii="黑体" w:hAnsi="黑体" w:eastAsia="黑体" w:cs="黑体"/>
          <w:sz w:val="32"/>
          <w:szCs w:val="32"/>
        </w:rPr>
        <w:t>第四部分 附件</w:t>
      </w:r>
      <w:r>
        <w:fldChar w:fldCharType="begin"/>
      </w:r>
      <w:r>
        <w:instrText xml:space="preserve">HYPERLINK ""\l"_Toc60821794"</w:instrText>
      </w:r>
      <w:r>
        <w:fldChar w:fldCharType="separate"/>
      </w:r>
      <w:r>
        <w:tab/>
      </w:r>
      <w:r>
        <w:fldChar w:fldCharType="end"/>
      </w:r>
      <w:r>
        <w:rPr>
          <w:rFonts w:hint="eastAsia"/>
          <w:lang w:val="en-US" w:eastAsia="zh-CN"/>
        </w:rPr>
        <w:t>19</w:t>
      </w:r>
    </w:p>
    <w:p w14:paraId="16FF0761">
      <w:pPr>
        <w:pStyle w:val="14"/>
        <w:tabs>
          <w:tab w:val="right" w:leader="dot" w:pos="9730"/>
          <w:tab w:val="clear" w:pos="8296"/>
        </w:tabs>
        <w:ind w:left="0" w:leftChars="0" w:firstLine="0" w:firstLineChars="0"/>
        <w:rPr>
          <w:rFonts w:hint="default" w:eastAsia="宋体"/>
          <w:iCs w:val="0"/>
          <w:sz w:val="21"/>
          <w:szCs w:val="24"/>
          <w:lang w:val="en-US" w:eastAsia="zh-CN"/>
        </w:rPr>
      </w:pPr>
      <w:r>
        <w:rPr>
          <w:rFonts w:hint="eastAsia" w:ascii="黑体" w:hAnsi="黑体" w:eastAsia="黑体" w:cs="黑体"/>
          <w:sz w:val="32"/>
          <w:szCs w:val="32"/>
        </w:rPr>
        <w:t>第五部分 附表</w:t>
      </w:r>
      <w:r>
        <w:fldChar w:fldCharType="begin"/>
      </w:r>
      <w:r>
        <w:instrText xml:space="preserve">HYPERLINK ""\l"_Toc60821794"</w:instrText>
      </w:r>
      <w:r>
        <w:fldChar w:fldCharType="separate"/>
      </w:r>
      <w:r>
        <w:tab/>
      </w:r>
      <w:r>
        <w:fldChar w:fldCharType="end"/>
      </w:r>
      <w:r>
        <w:rPr>
          <w:rFonts w:hint="eastAsia"/>
          <w:lang w:val="en-US" w:eastAsia="zh-CN"/>
        </w:rPr>
        <w:t>25</w:t>
      </w:r>
    </w:p>
    <w:p w14:paraId="045D5374">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一、收入支出决算总表</w:t>
      </w:r>
      <w:r>
        <w:fldChar w:fldCharType="begin"/>
      </w:r>
      <w:r>
        <w:instrText xml:space="preserve">HYPERLINK ""\l"_Toc60821794"</w:instrText>
      </w:r>
      <w:r>
        <w:fldChar w:fldCharType="separate"/>
      </w:r>
      <w:r>
        <w:tab/>
      </w:r>
      <w:r>
        <w:fldChar w:fldCharType="end"/>
      </w:r>
      <w:r>
        <w:rPr>
          <w:rFonts w:hint="eastAsia"/>
          <w:lang w:val="en-US" w:eastAsia="zh-CN"/>
        </w:rPr>
        <w:t>25</w:t>
      </w:r>
    </w:p>
    <w:p w14:paraId="0369C2F8">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二、收入决算表</w:t>
      </w:r>
      <w:r>
        <w:fldChar w:fldCharType="begin"/>
      </w:r>
      <w:r>
        <w:instrText xml:space="preserve">HYPERLINK ""\l"_Toc60821794"</w:instrText>
      </w:r>
      <w:r>
        <w:fldChar w:fldCharType="separate"/>
      </w:r>
      <w:r>
        <w:tab/>
      </w:r>
      <w:r>
        <w:fldChar w:fldCharType="end"/>
      </w:r>
      <w:r>
        <w:rPr>
          <w:rFonts w:hint="eastAsia"/>
          <w:lang w:val="en-US" w:eastAsia="zh-CN"/>
        </w:rPr>
        <w:t>25</w:t>
      </w:r>
    </w:p>
    <w:p w14:paraId="46E05E48">
      <w:pPr>
        <w:pStyle w:val="14"/>
        <w:tabs>
          <w:tab w:val="right" w:leader="dot" w:pos="9730"/>
          <w:tab w:val="clear" w:pos="8296"/>
        </w:tabs>
        <w:ind w:left="0" w:leftChars="0" w:firstLine="640" w:firstLineChars="200"/>
        <w:rPr>
          <w:rFonts w:hint="default" w:ascii="仿宋_GB2312" w:hAnsi="仿宋_GB2312" w:eastAsia="宋体" w:cs="仿宋_GB2312"/>
          <w:sz w:val="32"/>
          <w:szCs w:val="32"/>
          <w:lang w:val="en-US" w:eastAsia="zh-CN"/>
        </w:rPr>
      </w:pPr>
      <w:r>
        <w:rPr>
          <w:rFonts w:hint="eastAsia" w:ascii="仿宋_GB2312" w:hAnsi="仿宋_GB2312" w:eastAsia="仿宋_GB2312" w:cs="仿宋_GB2312"/>
          <w:sz w:val="32"/>
          <w:szCs w:val="32"/>
        </w:rPr>
        <w:t>三、支出决算表</w:t>
      </w:r>
      <w:r>
        <w:fldChar w:fldCharType="begin"/>
      </w:r>
      <w:r>
        <w:instrText xml:space="preserve">HYPERLINK ""\l"_Toc60821794"</w:instrText>
      </w:r>
      <w:r>
        <w:fldChar w:fldCharType="separate"/>
      </w:r>
      <w:r>
        <w:tab/>
      </w:r>
      <w:r>
        <w:fldChar w:fldCharType="end"/>
      </w:r>
      <w:r>
        <w:rPr>
          <w:rFonts w:hint="eastAsia"/>
          <w:lang w:val="en-US" w:eastAsia="zh-CN"/>
        </w:rPr>
        <w:t>25</w:t>
      </w:r>
    </w:p>
    <w:p w14:paraId="2A2D69BB">
      <w:pPr>
        <w:pStyle w:val="14"/>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四、财政拨款收入支出决算总表</w:t>
      </w:r>
      <w:r>
        <w:fldChar w:fldCharType="begin"/>
      </w:r>
      <w:r>
        <w:instrText xml:space="preserve">HYPERLINK ""\l"_Toc60821794"</w:instrText>
      </w:r>
      <w:r>
        <w:fldChar w:fldCharType="separate"/>
      </w:r>
      <w:r>
        <w:tab/>
      </w:r>
      <w:r>
        <w:fldChar w:fldCharType="end"/>
      </w:r>
      <w:r>
        <w:rPr>
          <w:rFonts w:hint="eastAsia"/>
          <w:lang w:val="en-US" w:eastAsia="zh-CN"/>
        </w:rPr>
        <w:t>25</w:t>
      </w:r>
    </w:p>
    <w:p w14:paraId="61E87A17">
      <w:pPr>
        <w:pStyle w:val="14"/>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五、财政拨款支出决算明细表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25</w:t>
      </w:r>
    </w:p>
    <w:p w14:paraId="7C4080AC">
      <w:pPr>
        <w:pStyle w:val="14"/>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六、一般公共预算财政拨款支出决算表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25</w:t>
      </w:r>
    </w:p>
    <w:p w14:paraId="2D8DFE26">
      <w:pPr>
        <w:pStyle w:val="14"/>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七、一般公共预算财政拨款支出决算明细表</w:t>
      </w:r>
      <w:r>
        <w:fldChar w:fldCharType="begin"/>
      </w:r>
      <w:r>
        <w:instrText xml:space="preserve">HYPERLINK ""\l"_Toc60821794"</w:instrText>
      </w:r>
      <w:r>
        <w:fldChar w:fldCharType="separate"/>
      </w:r>
      <w:r>
        <w:tab/>
      </w:r>
      <w:r>
        <w:fldChar w:fldCharType="end"/>
      </w:r>
      <w:r>
        <w:rPr>
          <w:rFonts w:hint="eastAsia"/>
          <w:lang w:val="en-US" w:eastAsia="zh-CN"/>
        </w:rPr>
        <w:t>25</w:t>
      </w:r>
    </w:p>
    <w:p w14:paraId="76F75CA1">
      <w:pPr>
        <w:pStyle w:val="14"/>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八、一般公共预算财政拨款基本支出决算明细表</w:t>
      </w:r>
      <w:r>
        <w:fldChar w:fldCharType="begin"/>
      </w:r>
      <w:r>
        <w:instrText xml:space="preserve">HYPERLINK ""\l"_Toc60821794"</w:instrText>
      </w:r>
      <w:r>
        <w:fldChar w:fldCharType="separate"/>
      </w:r>
      <w:r>
        <w:tab/>
      </w:r>
      <w:r>
        <w:fldChar w:fldCharType="end"/>
      </w:r>
      <w:r>
        <w:rPr>
          <w:rFonts w:hint="eastAsia"/>
          <w:lang w:val="en-US" w:eastAsia="zh-CN"/>
        </w:rPr>
        <w:t>25</w:t>
      </w:r>
    </w:p>
    <w:p w14:paraId="7B737B64">
      <w:pPr>
        <w:pStyle w:val="14"/>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九、一般公共预算财政拨款项目支出决算表</w:t>
      </w:r>
      <w:r>
        <w:fldChar w:fldCharType="begin"/>
      </w:r>
      <w:r>
        <w:instrText xml:space="preserve">HYPERLINK ""\l"_Toc60821794"</w:instrText>
      </w:r>
      <w:r>
        <w:fldChar w:fldCharType="separate"/>
      </w:r>
      <w:r>
        <w:tab/>
      </w:r>
      <w:r>
        <w:fldChar w:fldCharType="end"/>
      </w:r>
      <w:r>
        <w:rPr>
          <w:rFonts w:hint="eastAsia"/>
          <w:lang w:val="en-US" w:eastAsia="zh-CN"/>
        </w:rPr>
        <w:t>25</w:t>
      </w:r>
    </w:p>
    <w:p w14:paraId="3C8B7C6F">
      <w:pPr>
        <w:pStyle w:val="14"/>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十、政府性基金预算财政拨款收入支出决算表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25</w:t>
      </w:r>
    </w:p>
    <w:p w14:paraId="30365627">
      <w:pPr>
        <w:pStyle w:val="14"/>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十一、国有资本经营预算财政拨款收入支出决算表</w:t>
      </w:r>
      <w:r>
        <w:fldChar w:fldCharType="begin"/>
      </w:r>
      <w:r>
        <w:instrText xml:space="preserve">HYPERLINK ""\l"_Toc60821794"</w:instrText>
      </w:r>
      <w:r>
        <w:fldChar w:fldCharType="separate"/>
      </w:r>
      <w:r>
        <w:tab/>
      </w:r>
      <w:r>
        <w:fldChar w:fldCharType="end"/>
      </w:r>
      <w:r>
        <w:rPr>
          <w:rFonts w:hint="eastAsia"/>
          <w:lang w:val="en-US" w:eastAsia="zh-CN"/>
        </w:rPr>
        <w:t>25</w:t>
      </w:r>
    </w:p>
    <w:p w14:paraId="24576560">
      <w:pPr>
        <w:pStyle w:val="14"/>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十二、国有资本经营预算财政拨款支出决算表</w:t>
      </w:r>
      <w:r>
        <w:fldChar w:fldCharType="begin"/>
      </w:r>
      <w:r>
        <w:instrText xml:space="preserve">HYPERLINK ""\l"_Toc60821794"</w:instrText>
      </w:r>
      <w:r>
        <w:fldChar w:fldCharType="separate"/>
      </w:r>
      <w:r>
        <w:tab/>
      </w:r>
      <w:r>
        <w:fldChar w:fldCharType="end"/>
      </w:r>
      <w:r>
        <w:rPr>
          <w:rFonts w:hint="eastAsia"/>
          <w:lang w:val="en-US" w:eastAsia="zh-CN"/>
        </w:rPr>
        <w:t>25</w:t>
      </w:r>
    </w:p>
    <w:p w14:paraId="537B882B">
      <w:pPr>
        <w:pStyle w:val="14"/>
        <w:tabs>
          <w:tab w:val="right" w:leader="dot" w:pos="9730"/>
          <w:tab w:val="clear" w:pos="8296"/>
        </w:tabs>
        <w:ind w:left="0" w:lef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十三、财政拨款“三公”经费支出决算表</w:t>
      </w:r>
      <w:r>
        <w:fldChar w:fldCharType="begin"/>
      </w:r>
      <w:r>
        <w:instrText xml:space="preserve">HYPERLINK ""\l"_Toc60821794"</w:instrText>
      </w:r>
      <w:r>
        <w:fldChar w:fldCharType="separate"/>
      </w:r>
      <w:r>
        <w:tab/>
      </w:r>
      <w:r>
        <w:fldChar w:fldCharType="end"/>
      </w:r>
      <w:r>
        <w:rPr>
          <w:rFonts w:hint="eastAsia"/>
          <w:lang w:val="en-US" w:eastAsia="zh-CN"/>
        </w:rPr>
        <w:t>25</w:t>
      </w:r>
    </w:p>
    <w:p w14:paraId="0D878E3A">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bookmarkEnd w:id="12"/>
    <w:bookmarkEnd w:id="13"/>
    <w:p w14:paraId="590E454A">
      <w:pPr>
        <w:pStyle w:val="5"/>
        <w:jc w:val="center"/>
        <w:rPr>
          <w:rFonts w:ascii="黑体" w:eastAsia="黑体"/>
          <w:sz w:val="32"/>
          <w:szCs w:val="32"/>
        </w:rPr>
      </w:pPr>
      <w:bookmarkStart w:id="14" w:name="_Toc15396600"/>
      <w:bookmarkStart w:id="15" w:name="_Toc15377197"/>
      <w:r>
        <w:rPr>
          <w:rFonts w:hint="eastAsia" w:ascii="黑体" w:hAnsi="黑体" w:eastAsia="黑体"/>
          <w:b w:val="0"/>
        </w:rPr>
        <w:t>第一部分 单位</w:t>
      </w:r>
      <w:r>
        <w:rPr>
          <w:rStyle w:val="29"/>
          <w:rFonts w:hint="eastAsia" w:ascii="黑体" w:hAnsi="黑体" w:eastAsia="黑体"/>
          <w:b w:val="0"/>
          <w:bCs w:val="0"/>
        </w:rPr>
        <w:t>概况</w:t>
      </w:r>
    </w:p>
    <w:p w14:paraId="767C27D8">
      <w:pPr>
        <w:pStyle w:val="6"/>
        <w:numPr>
          <w:ilvl w:val="0"/>
          <w:numId w:val="1"/>
        </w:numPr>
        <w:rPr>
          <w:rStyle w:val="30"/>
          <w:rFonts w:ascii="黑体" w:hAnsi="黑体" w:eastAsia="黑体"/>
          <w:b w:val="0"/>
          <w:bCs w:val="0"/>
        </w:rPr>
      </w:pPr>
      <w:r>
        <w:rPr>
          <w:rStyle w:val="30"/>
          <w:rFonts w:hint="eastAsia" w:ascii="黑体" w:hAnsi="黑体" w:eastAsia="黑体"/>
          <w:b w:val="0"/>
          <w:bCs w:val="0"/>
        </w:rPr>
        <w:t>主要职责</w:t>
      </w:r>
    </w:p>
    <w:p w14:paraId="4FCFC78A">
      <w:pPr>
        <w:pageBreakBefore w:val="0"/>
        <w:widowControl w:val="0"/>
        <w:kinsoku/>
        <w:wordWrap/>
        <w:overflowPunct/>
        <w:topLinePunct w:val="0"/>
        <w:autoSpaceDE/>
        <w:autoSpaceDN/>
        <w:bidi w:val="0"/>
        <w:adjustRightInd/>
        <w:snapToGrid/>
        <w:spacing w:line="240" w:lineRule="auto"/>
        <w:ind w:firstLine="321" w:firstLineChars="100"/>
        <w:textAlignment w:val="auto"/>
        <w:outlineLvl w:val="1"/>
        <w:rPr>
          <w:rFonts w:hint="eastAsia" w:ascii="仿宋_GB2312" w:hAnsi="宋体" w:eastAsia="仿宋_GB2312"/>
          <w:b/>
          <w:bCs/>
          <w:sz w:val="32"/>
          <w:szCs w:val="32"/>
          <w:lang w:eastAsia="zh-CN"/>
        </w:rPr>
      </w:pPr>
      <w:r>
        <w:rPr>
          <w:rFonts w:hint="eastAsia" w:ascii="仿宋_GB2312" w:hAnsi="宋体" w:eastAsia="仿宋_GB2312"/>
          <w:b/>
          <w:bCs/>
          <w:sz w:val="32"/>
          <w:szCs w:val="32"/>
          <w:lang w:eastAsia="zh-CN"/>
        </w:rPr>
        <w:t>（一）</w:t>
      </w:r>
      <w:r>
        <w:rPr>
          <w:rFonts w:hint="eastAsia" w:ascii="仿宋_GB2312" w:hAnsi="宋体" w:eastAsia="仿宋_GB2312"/>
          <w:b/>
          <w:bCs/>
          <w:sz w:val="32"/>
          <w:szCs w:val="32"/>
        </w:rPr>
        <w:t>主要职</w:t>
      </w:r>
      <w:r>
        <w:rPr>
          <w:rFonts w:hint="eastAsia" w:ascii="仿宋_GB2312" w:hAnsi="宋体" w:eastAsia="仿宋_GB2312"/>
          <w:b/>
          <w:bCs/>
          <w:sz w:val="32"/>
          <w:szCs w:val="32"/>
          <w:lang w:eastAsia="zh-CN"/>
        </w:rPr>
        <w:t>责</w:t>
      </w:r>
    </w:p>
    <w:p w14:paraId="591D2465">
      <w:pPr>
        <w:ind w:firstLine="707" w:firstLineChars="221"/>
        <w:rPr>
          <w:rFonts w:hint="eastAsia" w:ascii="仿宋" w:hAnsi="仿宋" w:eastAsia="仿宋"/>
          <w:sz w:val="32"/>
          <w:szCs w:val="32"/>
        </w:rPr>
      </w:pPr>
      <w:r>
        <w:rPr>
          <w:rFonts w:hint="eastAsia" w:ascii="仿宋" w:hAnsi="仿宋" w:eastAsia="仿宋"/>
          <w:sz w:val="32"/>
          <w:szCs w:val="32"/>
        </w:rPr>
        <w:t>实施初中义务教育，促进基础教育发展，从事初中学历教育。</w:t>
      </w:r>
    </w:p>
    <w:p w14:paraId="11734218">
      <w:pPr>
        <w:pStyle w:val="8"/>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（二）202</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年重点工作完成情况</w:t>
      </w:r>
    </w:p>
    <w:p w14:paraId="5161C5B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1.加强行政管理，提升管理效率</w:t>
      </w:r>
    </w:p>
    <w:p w14:paraId="765B0E00">
      <w:pPr>
        <w:widowControl w:val="0"/>
        <w:spacing w:line="60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办学目标明确。近年来，加大硬件投入，强化软件建设，把学校建设成为管理规范、队伍优良、设施齐全、环境优美、质量上乘，具有鲜明的教育特色的农村合格学校。</w:t>
      </w:r>
    </w:p>
    <w:p w14:paraId="40507526">
      <w:pPr>
        <w:widowControl w:val="0"/>
        <w:spacing w:line="6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学校领导班子队伍建设。校领导班子成员学科结构合理，都来自教学第一线，是教育、教学骨干，政治和业务素质好。校级干部依法办事，作风民主，工作扎实，能深入教师，能听取教师的建议和意见，不断改进工作方法。</w:t>
      </w:r>
    </w:p>
    <w:p w14:paraId="7EB2600D">
      <w:pPr>
        <w:widowControl w:val="0"/>
        <w:spacing w:line="6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加强学校经费管理，重视自身廉洁和班子廉洁建设，财务上做到收支合理，手续完备，严格审批，把好经费使用关。</w:t>
      </w:r>
    </w:p>
    <w:p w14:paraId="3AE44554">
      <w:pPr>
        <w:widowControl w:val="0"/>
        <w:spacing w:line="600" w:lineRule="exact"/>
        <w:ind w:firstLine="640" w:firstLineChars="200"/>
        <w:jc w:val="both"/>
        <w:rPr>
          <w:rFonts w:hint="eastAsia" w:ascii="方正仿宋_GB2312" w:hAnsi="方正仿宋_GB2312" w:eastAsia="方正仿宋_GB2312" w:cs="方正仿宋_GB2312"/>
          <w:b/>
          <w:bCs/>
          <w:kern w:val="2"/>
          <w:sz w:val="28"/>
          <w:szCs w:val="28"/>
          <w:lang w:eastAsia="zh-CN" w:bidi="ar-SA"/>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2.加强教师管理，营造和谐教育氛围</w:t>
      </w:r>
    </w:p>
    <w:p w14:paraId="72A9DDD3">
      <w:pPr>
        <w:widowControl w:val="0"/>
        <w:spacing w:line="60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关心教职工政治和生活。学校努力关心、尊重每一位教师的工作、生活与发展、成长的需要，为每一位教师营造自身发展的空间，搭建施展才华的平台，充分挖掘教师的潜能，激发广大教师教书育人的积极性。　　</w:t>
      </w:r>
    </w:p>
    <w:p w14:paraId="6D3AAB87">
      <w:pPr>
        <w:widowControl w:val="0"/>
        <w:spacing w:line="6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大对青年教师培训力度，教师业务水平提升明显。青年教师是学校发展的生力军，我校历来重视青年教师的培养，近年来，我们主要采取以下两大措施：一是明确奋斗目标，激励青年教师成长。二是采取“结对子”的方法，由中老骨干教师担任指导教师，让青年教师拜师学艺，师徒结对活动的开展，使青年教师的成长有了引路人。</w:t>
      </w:r>
    </w:p>
    <w:p w14:paraId="244B9A54">
      <w:pPr>
        <w:widowControl w:val="0"/>
        <w:spacing w:line="600" w:lineRule="exact"/>
        <w:ind w:firstLine="640" w:firstLineChars="200"/>
        <w:jc w:val="both"/>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3.坚持德育为首，育人成效比较明显。</w:t>
      </w:r>
    </w:p>
    <w:p w14:paraId="59757FD3">
      <w:pPr>
        <w:widowControl w:val="0"/>
        <w:spacing w:line="60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坚持以德育为首，确保师德形象。全校教师能树立“人人都是德育工作者”的思想，以师德规范为行为准则，为人师表，继续增强遵守教育法规和法制的意识，不断规范教学行为，提倡文明教学、文明举止。</w:t>
      </w:r>
    </w:p>
    <w:p w14:paraId="78801945">
      <w:pPr>
        <w:widowControl w:val="0"/>
        <w:spacing w:line="6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努力协调学校、家庭和社会教育的关系。近一年来分别于今年6月、11月召开了2次全校家长会。针对“留守儿童”多、隔代抚养多、等实际，努力引导家长树立正确的子女观、成长观，切实履行对子女的思想道德、行为习惯等方面的教育职责，配合学校教育，促进学生的全面进步。</w:t>
      </w:r>
    </w:p>
    <w:p w14:paraId="31DFB842">
      <w:pPr>
        <w:widowControl w:val="0"/>
        <w:spacing w:line="6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加强德育工作的培训和交流，提高德育队伍的管理效率。根据德育工作重点，经常组织班主任交流，加强德育工作培训。做到职责分明、相互配合，营造了一种蓬勃向上的团队作风。认真落实《班主任工作考核细则》，每年都能建立一支责任心强、工作耐心细致、精力充沛的班主任队伍，优秀青年班主任不断脱颖而出。学校经常组织开展形式多样的评比和竞赛活动，如“文明班级”评比、卫生评比、广播操评比、黑板报评比等等，以此激发了学生的集体荣誉感，促进班风校风的不断好转。</w:t>
      </w:r>
    </w:p>
    <w:p w14:paraId="574747A7">
      <w:pPr>
        <w:widowControl w:val="0"/>
        <w:spacing w:line="6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校园文化建设硕果累累。充分发挥班会的育人功能，探讨新时期班会的新形式、新内容、新方法，积极组织优秀班会评比活动。</w:t>
      </w:r>
    </w:p>
    <w:p w14:paraId="77DA9835">
      <w:pPr>
        <w:widowControl w:val="0"/>
        <w:spacing w:line="60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体育教研组根据学生的兴趣和体育项目的效能，开展了篮球组、田径组、音乐组、绘画组、书法组、影视组、园艺组7个兴趣活动小组，深受学生欢迎。</w:t>
      </w:r>
    </w:p>
    <w:p w14:paraId="10A64F2E">
      <w:pPr>
        <w:widowControl w:val="0"/>
        <w:spacing w:line="6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为进一步加强学校艺术体育教育工作，提升师生审美情趣，学校每年3月开展班级篮球比赛；5月举行“助力中考 龙中好声音”，10月开展田径运动会；11月举办校园艺术节等。开展了各类评比创优活动，用榜样来引导学生、激励学生，促进学生个体和班级集体在创优活动互相学习，共同成长、提高。如：班级卫生保洁评比、班级出勤评比、广播操比赛、优秀班会评比；三好学生系列、优秀学生干部系列、优秀共青团员等，得到广大学生的响应，学生们积极参与。</w:t>
      </w:r>
    </w:p>
    <w:p w14:paraId="0EFDADA7">
      <w:pPr>
        <w:widowControl w:val="0"/>
        <w:spacing w:line="600" w:lineRule="exact"/>
        <w:ind w:firstLine="640" w:firstLineChars="200"/>
        <w:jc w:val="both"/>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4.措施到位，争创“平安校园”活动富有成效</w:t>
      </w:r>
    </w:p>
    <w:p w14:paraId="4309FD25">
      <w:pPr>
        <w:widowControl w:val="0"/>
        <w:spacing w:line="60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健全组织，加强领导，进一步落实安全工作责任制。学校每学期都能加强对学校安全工作的领导与管理，明确每个岗位的工作职责。</w:t>
      </w:r>
    </w:p>
    <w:p w14:paraId="4813EE9F">
      <w:pPr>
        <w:widowControl w:val="0"/>
        <w:spacing w:line="60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通过多种形式，开展安全教育。开展多种形式的教育活动，如：黑板报、发放《告学生家长书》、晨会、升旗仪式、家长会等各种机会进行安全教育。</w:t>
      </w:r>
    </w:p>
    <w:p w14:paraId="7389132F">
      <w:pPr>
        <w:widowControl w:val="0"/>
        <w:spacing w:line="6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落实措施，消除校园安全隐患。每学期开学初、期中和期末对校园环境、教学设施、教室、实验室、运动场等进行安全检查，消除各类安全隐患。</w:t>
      </w:r>
    </w:p>
    <w:p w14:paraId="3E65AFB0">
      <w:pPr>
        <w:widowControl w:val="0"/>
        <w:spacing w:line="600" w:lineRule="exact"/>
        <w:ind w:firstLine="640" w:firstLineChars="200"/>
        <w:jc w:val="both"/>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5.加强教学管理，不断提升教学质量。</w:t>
      </w:r>
    </w:p>
    <w:p w14:paraId="31DFCA8F">
      <w:pPr>
        <w:widowControl w:val="0"/>
        <w:spacing w:line="60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扎实落实课堂教学“六认真”要求，党员教师带头开展教学“五个一”研究。每月教务处对全体教师教案、作业进行定期检查并通报。</w:t>
      </w:r>
    </w:p>
    <w:p w14:paraId="6E755D82">
      <w:pPr>
        <w:widowControl w:val="0"/>
        <w:spacing w:line="6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认真组织期中、期末考试。一学年来，全体老师以“高目标、高定位、高选题、高效率”作为教育教学的指导思想，在课堂教学中，狠抓基础知识教学，稳扎稳打，学生的素质得到不同程度的提高。</w:t>
      </w:r>
    </w:p>
    <w:p w14:paraId="3B6F3EA0">
      <w:pPr>
        <w:widowControl w:val="0"/>
        <w:spacing w:line="6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我校行政教师听课都在40节以上，校级干部听课都在80节以上，都充分体现了党员先锋模范作用。</w:t>
      </w:r>
    </w:p>
    <w:p w14:paraId="29A2A438">
      <w:pPr>
        <w:widowControl w:val="0"/>
        <w:spacing w:line="600" w:lineRule="exact"/>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努力提升课堂教学质量，严格把控全面落实中央关于“双减”工作的决策部署。本着对学生负责的态度，进一步把上级关于“双减”的要求落到实处，科学把</w:t>
      </w:r>
      <w:r>
        <w:rPr>
          <w:rFonts w:hint="eastAsia" w:ascii="仿宋_GB2312" w:hAnsi="仿宋_GB2312" w:eastAsia="仿宋_GB2312" w:cs="仿宋_GB2312"/>
          <w:color w:val="auto"/>
          <w:sz w:val="32"/>
          <w:szCs w:val="32"/>
          <w:lang w:val="en-US" w:eastAsia="zh-CN"/>
        </w:rPr>
        <w:t>握“双减”的精神实质，做到减负不减质，2024年7月我校初三毕业生15人考上二中，21考上一中，共36人升入高中。</w:t>
      </w:r>
    </w:p>
    <w:p w14:paraId="3797F079">
      <w:pPr>
        <w:widowControl w:val="0"/>
        <w:spacing w:line="6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校严格执行国家教委、国家体委《关于中小学体育课的暂行规定》《保证中小学生每天有一小时体育活动的通知》以及有关加强中小学生视力保护等规定，认真上好体育课、广播操，积极开展体育活动，保证学生每天至少有一小时体育活动时间，促进学生身心健康发展。</w:t>
      </w:r>
    </w:p>
    <w:p w14:paraId="20061B17">
      <w:pPr>
        <w:widowControl w:val="0"/>
        <w:spacing w:line="600" w:lineRule="exact"/>
        <w:ind w:firstLine="640" w:firstLineChars="200"/>
        <w:jc w:val="both"/>
        <w:rPr>
          <w:rFonts w:hint="eastAsia" w:ascii="方正仿宋_GB2312" w:hAnsi="方正仿宋_GB2312" w:eastAsia="方正仿宋_GB2312" w:cs="方正仿宋_GB2312"/>
          <w:kern w:val="2"/>
          <w:sz w:val="28"/>
          <w:szCs w:val="28"/>
          <w:lang w:eastAsia="zh-CN" w:bidi="ar-SA"/>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6.后勤工作，目标顺利达成。</w:t>
      </w:r>
    </w:p>
    <w:p w14:paraId="38BFF0B7">
      <w:pPr>
        <w:widowControl w:val="0"/>
        <w:spacing w:line="60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解决了学生就餐难的问题。</w:t>
      </w:r>
    </w:p>
    <w:p w14:paraId="2D46B2C2">
      <w:pPr>
        <w:widowControl w:val="0"/>
        <w:spacing w:line="600" w:lineRule="exact"/>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优化教育设施，推进教育手段现代化。学校现有标准教室12间，实验室3个（理、化、生各一个），音乐室1间、美术教室1间，学生计算机室1间，多媒体多功能教室3间。</w:t>
      </w:r>
    </w:p>
    <w:p w14:paraId="2DF9B6FE">
      <w:pPr>
        <w:widowControl w:val="0"/>
        <w:spacing w:line="600" w:lineRule="exact"/>
        <w:jc w:val="both"/>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解决了学生饮用水问题。</w:t>
      </w:r>
    </w:p>
    <w:p w14:paraId="286061AC">
      <w:pPr>
        <w:pStyle w:val="6"/>
        <w:rPr>
          <w:rFonts w:ascii="黑体" w:hAnsi="黑体" w:eastAsia="黑体"/>
          <w:b w:val="0"/>
        </w:rPr>
      </w:pPr>
      <w:r>
        <w:rPr>
          <w:rFonts w:hint="eastAsia" w:ascii="黑体" w:hAnsi="黑体" w:eastAsia="黑体"/>
          <w:b w:val="0"/>
        </w:rPr>
        <w:t>二、机构设置</w:t>
      </w:r>
    </w:p>
    <w:bookmarkEnd w:id="14"/>
    <w:bookmarkEnd w:id="15"/>
    <w:p w14:paraId="5DF9C6CA">
      <w:pPr>
        <w:ind w:firstLine="707" w:firstLineChars="221"/>
        <w:rPr>
          <w:rFonts w:hint="eastAsia" w:ascii="仿宋" w:hAnsi="仿宋" w:eastAsia="仿宋"/>
          <w:sz w:val="32"/>
          <w:szCs w:val="32"/>
        </w:rPr>
      </w:pPr>
      <w:r>
        <w:rPr>
          <w:rFonts w:hint="eastAsia" w:ascii="仿宋" w:hAnsi="仿宋" w:eastAsia="仿宋"/>
          <w:sz w:val="32"/>
          <w:szCs w:val="32"/>
        </w:rPr>
        <w:t>峨眉山市</w:t>
      </w:r>
      <w:r>
        <w:rPr>
          <w:rFonts w:hint="eastAsia" w:ascii="仿宋" w:hAnsi="仿宋" w:eastAsia="仿宋"/>
          <w:sz w:val="32"/>
          <w:szCs w:val="32"/>
          <w:lang w:val="en-US" w:eastAsia="zh-CN"/>
        </w:rPr>
        <w:t>龙池</w:t>
      </w:r>
      <w:r>
        <w:rPr>
          <w:rFonts w:hint="eastAsia" w:ascii="仿宋" w:hAnsi="仿宋" w:eastAsia="仿宋"/>
          <w:sz w:val="32"/>
          <w:szCs w:val="32"/>
        </w:rPr>
        <w:t>镇初级中学校属于峨眉山市教育局部门下属的二级预算单位，下设独立编制机构1个，其中行政机构0个，参照公务员法管理的事业机构0个，其他事业机构1个。</w:t>
      </w:r>
    </w:p>
    <w:p w14:paraId="629078DB">
      <w:pPr>
        <w:ind w:firstLine="707" w:firstLineChars="221"/>
        <w:rPr>
          <w:rFonts w:hint="eastAsia" w:ascii="仿宋" w:hAnsi="仿宋" w:eastAsia="仿宋"/>
          <w:sz w:val="32"/>
          <w:szCs w:val="32"/>
          <w:lang w:val="en-US" w:eastAsia="zh-CN"/>
        </w:rPr>
      </w:pPr>
      <w:r>
        <w:rPr>
          <w:rFonts w:hint="eastAsia" w:ascii="仿宋" w:hAnsi="仿宋" w:eastAsia="仿宋"/>
          <w:sz w:val="32"/>
          <w:szCs w:val="32"/>
          <w:lang w:val="en-US" w:eastAsia="zh-CN"/>
        </w:rPr>
        <w:t>纳入2024年度单位决算编制范围的独立编制机构包括：</w:t>
      </w:r>
    </w:p>
    <w:p w14:paraId="382917E4">
      <w:pPr>
        <w:ind w:firstLine="707" w:firstLineChars="221"/>
        <w:rPr>
          <w:rFonts w:hint="default" w:ascii="仿宋" w:hAnsi="仿宋" w:eastAsia="仿宋"/>
          <w:sz w:val="32"/>
          <w:szCs w:val="32"/>
          <w:lang w:val="en-US" w:eastAsia="zh-CN"/>
        </w:rPr>
      </w:pPr>
      <w:r>
        <w:rPr>
          <w:rFonts w:hint="eastAsia" w:ascii="仿宋" w:hAnsi="仿宋" w:eastAsia="仿宋"/>
          <w:sz w:val="32"/>
          <w:szCs w:val="32"/>
          <w:lang w:val="en-US" w:eastAsia="zh-CN"/>
        </w:rPr>
        <w:t>1.峨眉山市龙池镇初级中学校</w:t>
      </w:r>
    </w:p>
    <w:p w14:paraId="2E6DB45A">
      <w:pPr>
        <w:widowControl/>
        <w:jc w:val="left"/>
        <w:rPr>
          <w:rFonts w:ascii="仿宋" w:hAnsi="仿宋" w:eastAsia="仿宋"/>
          <w:sz w:val="32"/>
          <w:szCs w:val="32"/>
        </w:rPr>
      </w:pPr>
      <w:r>
        <w:rPr>
          <w:rFonts w:ascii="仿宋" w:hAnsi="仿宋" w:eastAsia="仿宋"/>
          <w:sz w:val="32"/>
          <w:szCs w:val="32"/>
        </w:rPr>
        <w:br w:type="page"/>
      </w:r>
    </w:p>
    <w:p w14:paraId="439274F0">
      <w:pPr>
        <w:pStyle w:val="5"/>
        <w:ind w:right="440"/>
        <w:jc w:val="center"/>
        <w:rPr>
          <w:rStyle w:val="29"/>
          <w:rFonts w:ascii="黑体" w:hAnsi="黑体" w:eastAsia="黑体"/>
          <w:b w:val="0"/>
          <w:bCs/>
        </w:rPr>
      </w:pPr>
      <w:bookmarkStart w:id="16" w:name="_Toc15377204"/>
      <w:bookmarkStart w:id="17" w:name="_Toc15396602"/>
      <w:r>
        <w:rPr>
          <w:rFonts w:hint="eastAsia" w:ascii="黑体" w:hAnsi="黑体" w:eastAsia="黑体"/>
          <w:b w:val="0"/>
          <w:lang w:val="en-US" w:eastAsia="zh-CN"/>
        </w:rPr>
        <w:t xml:space="preserve">  </w:t>
      </w:r>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9"/>
          <w:rFonts w:hint="eastAsia" w:ascii="黑体" w:hAnsi="黑体" w:eastAsia="黑体"/>
          <w:b w:val="0"/>
          <w:bCs/>
        </w:rPr>
        <w:t>单位决算情况说明</w:t>
      </w:r>
      <w:bookmarkEnd w:id="16"/>
      <w:bookmarkEnd w:id="17"/>
    </w:p>
    <w:p w14:paraId="16B26039">
      <w:pPr>
        <w:pStyle w:val="28"/>
        <w:numPr>
          <w:ilvl w:val="0"/>
          <w:numId w:val="2"/>
        </w:numPr>
        <w:spacing w:line="600" w:lineRule="exact"/>
        <w:ind w:firstLineChars="0"/>
        <w:outlineLvl w:val="1"/>
        <w:rPr>
          <w:rStyle w:val="30"/>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30"/>
          <w:rFonts w:hint="eastAsia" w:ascii="黑体" w:hAnsi="黑体" w:eastAsia="黑体"/>
          <w:b w:val="0"/>
        </w:rPr>
        <w:t>入支出决算总体情况说明</w:t>
      </w:r>
      <w:bookmarkEnd w:id="18"/>
      <w:bookmarkEnd w:id="19"/>
    </w:p>
    <w:p w14:paraId="610B4C07">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 w:hAnsi="仿宋" w:eastAsia="仿宋"/>
          <w:sz w:val="32"/>
          <w:szCs w:val="32"/>
          <w:lang w:val="en-US" w:eastAsia="zh-CN"/>
        </w:rPr>
        <w:t>1337.64</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年度相比，收、支总计各减少</w:t>
      </w:r>
      <w:r>
        <w:rPr>
          <w:rFonts w:hint="eastAsia" w:ascii="仿宋" w:hAnsi="仿宋" w:eastAsia="仿宋"/>
          <w:sz w:val="32"/>
          <w:szCs w:val="32"/>
          <w:lang w:val="en-US" w:eastAsia="zh-CN"/>
        </w:rPr>
        <w:t>106.67</w:t>
      </w:r>
      <w:r>
        <w:rPr>
          <w:rFonts w:hint="eastAsia" w:ascii="仿宋" w:hAnsi="仿宋" w:eastAsia="仿宋"/>
          <w:sz w:val="32"/>
          <w:szCs w:val="32"/>
        </w:rPr>
        <w:t>万元，下降</w:t>
      </w:r>
      <w:r>
        <w:rPr>
          <w:rFonts w:hint="eastAsia" w:ascii="仿宋" w:hAnsi="仿宋" w:eastAsia="仿宋"/>
          <w:sz w:val="32"/>
          <w:szCs w:val="32"/>
          <w:lang w:val="en-US" w:eastAsia="zh-CN"/>
        </w:rPr>
        <w:t>8.05</w:t>
      </w:r>
      <w:r>
        <w:rPr>
          <w:rFonts w:ascii="仿宋" w:hAnsi="仿宋" w:eastAsia="仿宋"/>
          <w:sz w:val="32"/>
          <w:szCs w:val="32"/>
        </w:rPr>
        <w:t>%</w:t>
      </w:r>
      <w:r>
        <w:rPr>
          <w:rFonts w:hint="eastAsia" w:ascii="仿宋" w:hAnsi="仿宋" w:eastAsia="仿宋"/>
          <w:sz w:val="32"/>
          <w:szCs w:val="32"/>
        </w:rPr>
        <w:t>。主要变动原因是本年度人</w:t>
      </w:r>
      <w:r>
        <w:rPr>
          <w:rFonts w:hint="eastAsia" w:ascii="仿宋" w:hAnsi="仿宋" w:eastAsia="仿宋"/>
          <w:sz w:val="32"/>
          <w:szCs w:val="32"/>
          <w:lang w:val="en-US" w:eastAsia="zh-CN"/>
        </w:rPr>
        <w:t>员经费减少</w:t>
      </w:r>
      <w:r>
        <w:rPr>
          <w:rFonts w:hint="eastAsia" w:ascii="仿宋" w:hAnsi="仿宋" w:eastAsia="仿宋"/>
          <w:sz w:val="32"/>
          <w:szCs w:val="32"/>
        </w:rPr>
        <w:t>。</w:t>
      </w:r>
    </w:p>
    <w:p w14:paraId="0D55905B">
      <w:pPr>
        <w:pStyle w:val="8"/>
        <w:jc w:val="center"/>
        <w:rPr>
          <w:rFonts w:hint="eastAsia"/>
        </w:rPr>
      </w:pPr>
      <w:r>
        <w:drawing>
          <wp:inline distT="0" distB="0" distL="114300" distR="114300">
            <wp:extent cx="4000500" cy="2369820"/>
            <wp:effectExtent l="4445" t="5080" r="14605" b="6350"/>
            <wp:docPr id="161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sz w:val="21"/>
        </w:rPr>
        <mc:AlternateContent>
          <mc:Choice Requires="wps">
            <w:drawing>
              <wp:anchor distT="0" distB="0" distL="114300" distR="114300" simplePos="0" relativeHeight="251659264" behindDoc="0" locked="0" layoutInCell="1" allowOverlap="1">
                <wp:simplePos x="0" y="0"/>
                <wp:positionH relativeFrom="column">
                  <wp:posOffset>3650615</wp:posOffset>
                </wp:positionH>
                <wp:positionV relativeFrom="paragraph">
                  <wp:posOffset>248285</wp:posOffset>
                </wp:positionV>
                <wp:extent cx="1245235" cy="531495"/>
                <wp:effectExtent l="0" t="0" r="0" b="0"/>
                <wp:wrapNone/>
                <wp:docPr id="7" name="文本框 6"/>
                <wp:cNvGraphicFramePr/>
                <a:graphic xmlns:a="http://schemas.openxmlformats.org/drawingml/2006/main">
                  <a:graphicData uri="http://schemas.microsoft.com/office/word/2010/wordprocessingShape">
                    <wps:wsp>
                      <wps:cNvSpPr txBox="1"/>
                      <wps:spPr>
                        <a:xfrm>
                          <a:off x="4836795" y="3310890"/>
                          <a:ext cx="1245235" cy="531495"/>
                        </a:xfrm>
                        <a:prstGeom prst="rect">
                          <a:avLst/>
                        </a:prstGeom>
                      </wps:spPr>
                      <wps:txbx>
                        <w:txbxContent>
                          <w:p w14:paraId="3E4FBF42">
                            <w:pPr>
                              <w:pStyle w:val="15"/>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a:graphicData>
                </a:graphic>
              </wp:anchor>
            </w:drawing>
          </mc:Choice>
          <mc:Fallback>
            <w:pict>
              <v:shape id="文本框 6" o:spid="_x0000_s1026" o:spt="202" type="#_x0000_t202" style="position:absolute;left:0pt;margin-left:287.45pt;margin-top:19.55pt;height:41.85pt;width:98.05pt;z-index:251659264;mso-width-relative:page;mso-height-relative:page;" filled="f" stroked="f" coordsize="21600,21600" o:gfxdata="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&#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6E/XTXAAAACgEAAA8AAAAAAAAAAQAgAAAAIgAAAGRy&#10;cy9kb3ducmV2LnhtbFBLAQIUABQAAAAIAIdO4kBkuvvdzQEAAHcDAAAOAAAAAAAAAAEAIAAAACYB&#10;AABkcnMvZTJvRG9jLnhtbFBLBQYAAAAABgAGAFkBAABlBQAAAAA=&#10;">
                <v:fill on="f" focussize="0,0"/>
                <v:stroke on="f"/>
                <v:imagedata o:title=""/>
                <o:lock v:ext="edit" aspectratio="f"/>
                <v:textbox>
                  <w:txbxContent>
                    <w:p w14:paraId="3E4FBF42">
                      <w:pPr>
                        <w:pStyle w:val="15"/>
                        <w:kinsoku/>
                        <w:ind w:left="0"/>
                        <w:jc w:val="left"/>
                      </w:pPr>
                      <w:r>
                        <w:rPr>
                          <w:rFonts w:asciiTheme="minorAscii" w:hAnsiTheme="minorBidi" w:eastAsiaTheme="minorEastAsia"/>
                          <w:kern w:val="24"/>
                          <w:sz w:val="22"/>
                          <w:szCs w:val="22"/>
                        </w:rPr>
                        <w:t>单位：万元</w:t>
                      </w:r>
                    </w:p>
                  </w:txbxContent>
                </v:textbox>
              </v:shape>
            </w:pict>
          </mc:Fallback>
        </mc:AlternateContent>
      </w:r>
    </w:p>
    <w:p w14:paraId="5AB1812D">
      <w:pPr>
        <w:spacing w:line="600" w:lineRule="exact"/>
        <w:ind w:firstLine="640" w:firstLineChars="200"/>
        <w:jc w:val="cente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36F3830A">
      <w:pPr>
        <w:pStyle w:val="28"/>
        <w:numPr>
          <w:ilvl w:val="0"/>
          <w:numId w:val="2"/>
        </w:numPr>
        <w:spacing w:line="600" w:lineRule="exact"/>
        <w:ind w:firstLineChars="0"/>
        <w:outlineLvl w:val="1"/>
        <w:rPr>
          <w:rStyle w:val="30"/>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30"/>
          <w:rFonts w:hint="eastAsia" w:ascii="黑体" w:hAnsi="黑体" w:eastAsia="黑体"/>
          <w:b w:val="0"/>
        </w:rPr>
        <w:t>入决算情况说明</w:t>
      </w:r>
      <w:bookmarkEnd w:id="20"/>
      <w:bookmarkEnd w:id="21"/>
    </w:p>
    <w:p w14:paraId="596E1A3E">
      <w:pPr>
        <w:spacing w:line="600" w:lineRule="exact"/>
        <w:ind w:firstLine="640" w:firstLineChars="200"/>
        <w:outlineLvl w:val="1"/>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年度本年收入合计</w:t>
      </w:r>
      <w:r>
        <w:rPr>
          <w:rFonts w:hint="eastAsia" w:ascii="仿宋" w:hAnsi="仿宋" w:eastAsia="仿宋" w:cs="仿宋"/>
          <w:b w:val="0"/>
          <w:bCs w:val="0"/>
          <w:sz w:val="32"/>
          <w:szCs w:val="32"/>
          <w:lang w:val="en-US" w:eastAsia="zh-CN"/>
        </w:rPr>
        <w:t>1279.47</w:t>
      </w:r>
      <w:r>
        <w:rPr>
          <w:rFonts w:hint="eastAsia" w:ascii="仿宋" w:hAnsi="仿宋" w:eastAsia="仿宋" w:cs="仿宋"/>
          <w:b w:val="0"/>
          <w:bCs w:val="0"/>
          <w:sz w:val="32"/>
          <w:szCs w:val="32"/>
        </w:rPr>
        <w:t>万元，其中：一般公共预算财政拨款收入</w:t>
      </w:r>
      <w:r>
        <w:rPr>
          <w:rFonts w:hint="eastAsia" w:ascii="仿宋" w:hAnsi="仿宋" w:eastAsia="仿宋" w:cs="仿宋"/>
          <w:b w:val="0"/>
          <w:bCs w:val="0"/>
          <w:sz w:val="32"/>
          <w:szCs w:val="32"/>
          <w:lang w:val="en-US" w:eastAsia="zh-CN"/>
        </w:rPr>
        <w:t>1288.96</w:t>
      </w:r>
      <w:r>
        <w:rPr>
          <w:rFonts w:hint="eastAsia" w:ascii="仿宋" w:hAnsi="仿宋" w:eastAsia="仿宋" w:cs="仿宋"/>
          <w:b w:val="0"/>
          <w:bCs w:val="0"/>
          <w:sz w:val="32"/>
          <w:szCs w:val="32"/>
        </w:rPr>
        <w:t>万元，占9</w:t>
      </w:r>
      <w:r>
        <w:rPr>
          <w:rFonts w:hint="eastAsia" w:ascii="仿宋" w:hAnsi="仿宋" w:eastAsia="仿宋" w:cs="仿宋"/>
          <w:b w:val="0"/>
          <w:bCs w:val="0"/>
          <w:sz w:val="32"/>
          <w:szCs w:val="32"/>
          <w:lang w:val="en-US" w:eastAsia="zh-CN"/>
        </w:rPr>
        <w:t>6.95</w:t>
      </w:r>
      <w:r>
        <w:rPr>
          <w:rFonts w:hint="eastAsia" w:ascii="仿宋" w:hAnsi="仿宋" w:eastAsia="仿宋" w:cs="仿宋"/>
          <w:b w:val="0"/>
          <w:bCs w:val="0"/>
          <w:sz w:val="32"/>
          <w:szCs w:val="32"/>
        </w:rPr>
        <w:t>%；政府性基金预算财政拨款收入</w:t>
      </w:r>
      <w:r>
        <w:rPr>
          <w:rFonts w:hint="eastAsia" w:ascii="仿宋" w:hAnsi="仿宋" w:eastAsia="仿宋" w:cs="仿宋"/>
          <w:b w:val="0"/>
          <w:bCs w:val="0"/>
          <w:sz w:val="32"/>
          <w:szCs w:val="32"/>
          <w:lang w:val="en-US" w:eastAsia="zh-CN"/>
        </w:rPr>
        <w:t>10.06</w:t>
      </w:r>
      <w:r>
        <w:rPr>
          <w:rFonts w:hint="eastAsia" w:ascii="仿宋" w:hAnsi="仿宋" w:eastAsia="仿宋" w:cs="仿宋"/>
          <w:b w:val="0"/>
          <w:bCs w:val="0"/>
          <w:sz w:val="32"/>
          <w:szCs w:val="32"/>
        </w:rPr>
        <w:t>万元，占</w:t>
      </w:r>
      <w:r>
        <w:rPr>
          <w:rFonts w:hint="eastAsia" w:ascii="仿宋" w:hAnsi="仿宋" w:eastAsia="仿宋" w:cs="仿宋"/>
          <w:b w:val="0"/>
          <w:bCs w:val="0"/>
          <w:sz w:val="32"/>
          <w:szCs w:val="32"/>
          <w:lang w:val="en-US" w:eastAsia="zh-CN"/>
        </w:rPr>
        <w:t>0.76</w:t>
      </w:r>
      <w:r>
        <w:rPr>
          <w:rFonts w:hint="eastAsia" w:ascii="仿宋" w:hAnsi="仿宋" w:eastAsia="仿宋" w:cs="仿宋"/>
          <w:b w:val="0"/>
          <w:bCs w:val="0"/>
          <w:sz w:val="32"/>
          <w:szCs w:val="32"/>
        </w:rPr>
        <w:t>%；其他收入</w:t>
      </w:r>
      <w:r>
        <w:rPr>
          <w:rFonts w:hint="eastAsia" w:ascii="仿宋" w:hAnsi="仿宋" w:eastAsia="仿宋" w:cs="仿宋"/>
          <w:b w:val="0"/>
          <w:bCs w:val="0"/>
          <w:sz w:val="32"/>
          <w:szCs w:val="32"/>
          <w:lang w:val="en-US" w:eastAsia="zh-CN"/>
        </w:rPr>
        <w:t>30.45</w:t>
      </w:r>
      <w:r>
        <w:rPr>
          <w:rFonts w:hint="eastAsia" w:ascii="仿宋" w:hAnsi="仿宋" w:eastAsia="仿宋" w:cs="仿宋"/>
          <w:b w:val="0"/>
          <w:bCs w:val="0"/>
          <w:sz w:val="32"/>
          <w:szCs w:val="32"/>
        </w:rPr>
        <w:t>万元，占</w:t>
      </w:r>
      <w:r>
        <w:rPr>
          <w:rFonts w:hint="eastAsia" w:ascii="仿宋" w:hAnsi="仿宋" w:eastAsia="仿宋" w:cs="仿宋"/>
          <w:b w:val="0"/>
          <w:bCs w:val="0"/>
          <w:sz w:val="32"/>
          <w:szCs w:val="32"/>
          <w:lang w:val="en-US" w:eastAsia="zh-CN"/>
        </w:rPr>
        <w:t>2.29</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w:t>
      </w:r>
    </w:p>
    <w:p w14:paraId="04F77838">
      <w:pPr>
        <w:pStyle w:val="8"/>
        <w:jc w:val="center"/>
      </w:pPr>
      <w:r>
        <w:drawing>
          <wp:inline distT="0" distB="0" distL="114300" distR="114300">
            <wp:extent cx="4000500" cy="2078355"/>
            <wp:effectExtent l="4445" t="5080" r="14605" b="12065"/>
            <wp:docPr id="165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004AA3">
      <w:pPr>
        <w:pStyle w:val="28"/>
        <w:numPr>
          <w:ilvl w:val="0"/>
          <w:numId w:val="0"/>
        </w:numPr>
        <w:spacing w:line="600" w:lineRule="exact"/>
        <w:jc w:val="center"/>
        <w:outlineLvl w:val="1"/>
      </w:pPr>
      <w:r>
        <w:rPr>
          <w:rFonts w:hint="eastAsia" w:ascii="仿宋" w:hAnsi="仿宋" w:eastAsia="仿宋"/>
          <w:sz w:val="32"/>
          <w:szCs w:val="32"/>
        </w:rPr>
        <w:t>（图2：收入决算结构图）（饼状图）</w:t>
      </w:r>
    </w:p>
    <w:p w14:paraId="365B5972">
      <w:pPr>
        <w:pStyle w:val="28"/>
        <w:numPr>
          <w:ilvl w:val="0"/>
          <w:numId w:val="2"/>
        </w:numPr>
        <w:spacing w:line="600" w:lineRule="exact"/>
        <w:ind w:firstLineChars="0"/>
        <w:outlineLvl w:val="1"/>
        <w:rPr>
          <w:rStyle w:val="30"/>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30"/>
          <w:rFonts w:hint="eastAsia" w:ascii="黑体" w:hAnsi="黑体" w:eastAsia="黑体"/>
          <w:b w:val="0"/>
        </w:rPr>
        <w:t>出决算情况说明</w:t>
      </w:r>
      <w:bookmarkEnd w:id="22"/>
      <w:bookmarkEnd w:id="23"/>
    </w:p>
    <w:p w14:paraId="3D9204E8">
      <w:pPr>
        <w:spacing w:line="600" w:lineRule="exact"/>
        <w:ind w:firstLine="640" w:firstLineChars="200"/>
        <w:outlineLvl w:val="1"/>
        <w:rPr>
          <w:rFonts w:hint="eastAsia" w:ascii="仿宋" w:hAnsi="仿宋" w:eastAsia="仿宋"/>
          <w:b w:val="0"/>
          <w:bCs w:val="0"/>
          <w:sz w:val="32"/>
          <w:szCs w:val="32"/>
        </w:rPr>
      </w:pPr>
      <w:r>
        <w:rPr>
          <w:rFonts w:hint="eastAsia" w:ascii="仿宋" w:hAnsi="仿宋" w:eastAsia="仿宋"/>
          <w:b w:val="0"/>
          <w:bCs w:val="0"/>
          <w:sz w:val="32"/>
          <w:szCs w:val="32"/>
        </w:rPr>
        <w:t>202</w:t>
      </w:r>
      <w:r>
        <w:rPr>
          <w:rFonts w:hint="eastAsia" w:ascii="仿宋" w:hAnsi="仿宋" w:eastAsia="仿宋"/>
          <w:b w:val="0"/>
          <w:bCs w:val="0"/>
          <w:sz w:val="32"/>
          <w:szCs w:val="32"/>
          <w:lang w:val="en-US" w:eastAsia="zh-CN"/>
        </w:rPr>
        <w:t>4</w:t>
      </w:r>
      <w:r>
        <w:rPr>
          <w:rFonts w:hint="eastAsia" w:ascii="仿宋" w:hAnsi="仿宋" w:eastAsia="仿宋"/>
          <w:b w:val="0"/>
          <w:bCs w:val="0"/>
          <w:sz w:val="32"/>
          <w:szCs w:val="32"/>
        </w:rPr>
        <w:t>年度本年支出合计</w:t>
      </w:r>
      <w:r>
        <w:rPr>
          <w:rFonts w:hint="eastAsia" w:ascii="仿宋" w:hAnsi="仿宋" w:eastAsia="仿宋"/>
          <w:b w:val="0"/>
          <w:bCs w:val="0"/>
          <w:sz w:val="32"/>
          <w:szCs w:val="32"/>
          <w:lang w:val="en-US" w:eastAsia="zh-CN"/>
        </w:rPr>
        <w:t>1330.27</w:t>
      </w:r>
      <w:r>
        <w:rPr>
          <w:rFonts w:hint="eastAsia" w:ascii="仿宋" w:hAnsi="仿宋" w:eastAsia="仿宋"/>
          <w:b w:val="0"/>
          <w:bCs w:val="0"/>
          <w:sz w:val="32"/>
          <w:szCs w:val="32"/>
        </w:rPr>
        <w:t>万元，其中：基本支出</w:t>
      </w:r>
      <w:r>
        <w:rPr>
          <w:rFonts w:hint="eastAsia" w:ascii="仿宋" w:hAnsi="仿宋" w:eastAsia="仿宋"/>
          <w:b w:val="0"/>
          <w:bCs w:val="0"/>
          <w:sz w:val="32"/>
          <w:szCs w:val="32"/>
          <w:lang w:val="en-US" w:eastAsia="zh-CN"/>
        </w:rPr>
        <w:t>1168.09</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87.81</w:t>
      </w:r>
      <w:r>
        <w:rPr>
          <w:rFonts w:ascii="仿宋" w:hAnsi="仿宋" w:eastAsia="仿宋"/>
          <w:b w:val="0"/>
          <w:bCs w:val="0"/>
          <w:sz w:val="32"/>
          <w:szCs w:val="32"/>
        </w:rPr>
        <w:t>%</w:t>
      </w:r>
      <w:r>
        <w:rPr>
          <w:rFonts w:hint="eastAsia" w:ascii="仿宋" w:hAnsi="仿宋" w:eastAsia="仿宋"/>
          <w:b w:val="0"/>
          <w:bCs w:val="0"/>
          <w:sz w:val="32"/>
          <w:szCs w:val="32"/>
        </w:rPr>
        <w:t>；项目支出</w:t>
      </w:r>
      <w:r>
        <w:rPr>
          <w:rFonts w:ascii="仿宋" w:hAnsi="仿宋" w:eastAsia="仿宋"/>
          <w:b w:val="0"/>
          <w:bCs w:val="0"/>
          <w:sz w:val="32"/>
          <w:szCs w:val="32"/>
        </w:rPr>
        <w:t>1</w:t>
      </w:r>
      <w:r>
        <w:rPr>
          <w:rFonts w:hint="eastAsia" w:ascii="仿宋" w:hAnsi="仿宋" w:eastAsia="仿宋"/>
          <w:b w:val="0"/>
          <w:bCs w:val="0"/>
          <w:sz w:val="32"/>
          <w:szCs w:val="32"/>
          <w:lang w:val="en-US" w:eastAsia="zh-CN"/>
        </w:rPr>
        <w:t>62.18</w:t>
      </w:r>
      <w:r>
        <w:rPr>
          <w:rFonts w:hint="eastAsia" w:ascii="仿宋" w:hAnsi="仿宋" w:eastAsia="仿宋"/>
          <w:b w:val="0"/>
          <w:bCs w:val="0"/>
          <w:sz w:val="32"/>
          <w:szCs w:val="32"/>
        </w:rPr>
        <w:t>万元，占</w:t>
      </w:r>
      <w:r>
        <w:rPr>
          <w:rFonts w:hint="eastAsia" w:ascii="仿宋" w:hAnsi="仿宋" w:eastAsia="仿宋"/>
          <w:b w:val="0"/>
          <w:bCs w:val="0"/>
          <w:sz w:val="32"/>
          <w:szCs w:val="32"/>
          <w:lang w:val="en-US" w:eastAsia="zh-CN"/>
        </w:rPr>
        <w:t>12.19</w:t>
      </w:r>
      <w:r>
        <w:rPr>
          <w:rFonts w:ascii="仿宋" w:hAnsi="仿宋" w:eastAsia="仿宋"/>
          <w:b w:val="0"/>
          <w:bCs w:val="0"/>
          <w:sz w:val="32"/>
          <w:szCs w:val="32"/>
        </w:rPr>
        <w:t>%</w:t>
      </w:r>
      <w:r>
        <w:rPr>
          <w:rFonts w:hint="eastAsia" w:ascii="仿宋" w:hAnsi="仿宋" w:eastAsia="仿宋"/>
          <w:b w:val="0"/>
          <w:bCs w:val="0"/>
          <w:sz w:val="32"/>
          <w:szCs w:val="32"/>
        </w:rPr>
        <w:t>。</w:t>
      </w:r>
    </w:p>
    <w:p w14:paraId="1E11638C">
      <w:pPr>
        <w:spacing w:line="600" w:lineRule="exact"/>
        <w:ind w:firstLine="420" w:firstLineChars="200"/>
        <w:jc w:val="center"/>
        <w:outlineLvl w:val="1"/>
        <w:rPr>
          <w:rFonts w:hint="eastAsia" w:ascii="仿宋" w:hAnsi="仿宋" w:eastAsia="仿宋"/>
          <w:sz w:val="32"/>
          <w:szCs w:val="32"/>
        </w:rPr>
      </w:pPr>
      <w:r>
        <w:rPr>
          <w:sz w:val="21"/>
        </w:rPr>
        <mc:AlternateContent>
          <mc:Choice Requires="wps">
            <w:drawing>
              <wp:anchor distT="0" distB="0" distL="114300" distR="114300" simplePos="0" relativeHeight="251665408" behindDoc="0" locked="0" layoutInCell="1" allowOverlap="1">
                <wp:simplePos x="0" y="0"/>
                <wp:positionH relativeFrom="column">
                  <wp:posOffset>3441065</wp:posOffset>
                </wp:positionH>
                <wp:positionV relativeFrom="paragraph">
                  <wp:posOffset>210820</wp:posOffset>
                </wp:positionV>
                <wp:extent cx="1245235" cy="340995"/>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245235" cy="340995"/>
                        </a:xfrm>
                        <a:prstGeom prst="rect">
                          <a:avLst/>
                        </a:prstGeom>
                      </wps:spPr>
                      <wps:txbx>
                        <w:txbxContent>
                          <w:p w14:paraId="53232AE1">
                            <w:pPr>
                              <w:pStyle w:val="15"/>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a:graphicData>
                </a:graphic>
              </wp:anchor>
            </w:drawing>
          </mc:Choice>
          <mc:Fallback>
            <w:pict>
              <v:shape id="文本框 6" o:spid="_x0000_s1026" o:spt="202" type="#_x0000_t202" style="position:absolute;left:0pt;margin-left:270.95pt;margin-top:16.6pt;height:26.85pt;width:98.05pt;z-index:251665408;mso-width-relative:page;mso-height-relative:page;" filled="f" stroked="f" coordsize="21600,21600" o:gfxdata="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SzJBTXAAAACQEAAA8AAAAAAAAAAQAgAAAAIgAAAGRycy9kb3ducmV2Lnht&#10;bFBLAQIUABQAAAAIAIdO4kBwAm46wQEAAGwDAAAOAAAAAAAAAAEAIAAAACYBAABkcnMvZTJvRG9j&#10;LnhtbFBLBQYAAAAABgAGAFkBAABZBQAAAAA=&#10;">
                <v:fill on="f" focussize="0,0"/>
                <v:stroke on="f"/>
                <v:imagedata o:title=""/>
                <o:lock v:ext="edit" aspectratio="f"/>
                <v:textbox>
                  <w:txbxContent>
                    <w:p w14:paraId="53232AE1">
                      <w:pPr>
                        <w:pStyle w:val="15"/>
                        <w:kinsoku/>
                        <w:ind w:left="0"/>
                        <w:jc w:val="left"/>
                      </w:pPr>
                      <w:r>
                        <w:rPr>
                          <w:rFonts w:asciiTheme="minorAscii" w:hAnsiTheme="minorBidi" w:eastAsiaTheme="minorEastAsia"/>
                          <w:kern w:val="24"/>
                          <w:sz w:val="22"/>
                          <w:szCs w:val="22"/>
                        </w:rPr>
                        <w:t>单位：万元</w:t>
                      </w:r>
                    </w:p>
                  </w:txbxContent>
                </v:textbox>
              </v:shape>
            </w:pict>
          </mc:Fallback>
        </mc:AlternateContent>
      </w:r>
      <w:r>
        <w:drawing>
          <wp:anchor distT="0" distB="0" distL="114300" distR="114300" simplePos="0" relativeHeight="251661312" behindDoc="0" locked="0" layoutInCell="1" allowOverlap="1">
            <wp:simplePos x="0" y="0"/>
            <wp:positionH relativeFrom="column">
              <wp:posOffset>977265</wp:posOffset>
            </wp:positionH>
            <wp:positionV relativeFrom="paragraph">
              <wp:posOffset>119380</wp:posOffset>
            </wp:positionV>
            <wp:extent cx="4000500" cy="2362200"/>
            <wp:effectExtent l="4445" t="5080" r="14605" b="13970"/>
            <wp:wrapTopAndBottom/>
            <wp:docPr id="1655"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3648075</wp:posOffset>
                </wp:positionH>
                <wp:positionV relativeFrom="paragraph">
                  <wp:posOffset>523875</wp:posOffset>
                </wp:positionV>
                <wp:extent cx="1141095" cy="484505"/>
                <wp:effectExtent l="0" t="0" r="0" b="0"/>
                <wp:wrapNone/>
                <wp:docPr id="2" name="文本框 1"/>
                <wp:cNvGraphicFramePr/>
                <a:graphic xmlns:a="http://schemas.openxmlformats.org/drawingml/2006/main">
                  <a:graphicData uri="http://schemas.microsoft.com/office/word/2010/wordprocessingShape">
                    <wps:wsp>
                      <wps:cNvSpPr txBox="1"/>
                      <wps:spPr>
                        <a:xfrm>
                          <a:off x="0" y="0"/>
                          <a:ext cx="1141095" cy="484505"/>
                        </a:xfrm>
                        <a:prstGeom prst="rect">
                          <a:avLst/>
                        </a:prstGeom>
                      </wps:spPr>
                      <wps:txbx>
                        <w:txbxContent>
                          <w:p w14:paraId="0B388E39">
                            <w:pPr>
                              <w:pStyle w:val="15"/>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a:graphicData>
                </a:graphic>
              </wp:anchor>
            </w:drawing>
          </mc:Choice>
          <mc:Fallback>
            <w:pict>
              <v:shape id="文本框 1" o:spid="_x0000_s1026" o:spt="202" type="#_x0000_t202" style="position:absolute;left:0pt;margin-left:287.25pt;margin-top:41.25pt;height:38.15pt;width:89.85pt;z-index:251660288;mso-width-relative:page;mso-height-relative:page;" filled="f" stroked="f" coordsize="21600,21600" o:gfxdata="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h7pNcAAAAKAQAADwAAAAAAAAABACAAAAAiAAAAZHJzL2Rvd25yZXYueG1s&#10;UEsBAhQAFAAAAAgAh07iQKMiKI7AAQAAawMAAA4AAAAAAAAAAQAgAAAAJgEAAGRycy9lMm9Eb2Mu&#10;eG1sUEsFBgAAAAAGAAYAWQEAAFgFAAAAAA==&#10;">
                <v:fill on="f" focussize="0,0"/>
                <v:stroke on="f"/>
                <v:imagedata o:title=""/>
                <o:lock v:ext="edit" aspectratio="f"/>
                <v:textbox>
                  <w:txbxContent>
                    <w:p w14:paraId="0B388E39">
                      <w:pPr>
                        <w:pStyle w:val="15"/>
                        <w:kinsoku/>
                        <w:ind w:left="0"/>
                        <w:jc w:val="left"/>
                      </w:pPr>
                      <w:r>
                        <w:rPr>
                          <w:rFonts w:asciiTheme="minorAscii" w:hAnsiTheme="minorBidi" w:eastAsiaTheme="minorEastAsia"/>
                          <w:kern w:val="24"/>
                          <w:sz w:val="22"/>
                          <w:szCs w:val="22"/>
                        </w:rPr>
                        <w:t>单位：万元</w:t>
                      </w:r>
                    </w:p>
                  </w:txbxContent>
                </v:textbox>
              </v:shape>
            </w:pict>
          </mc:Fallback>
        </mc:AlternateContent>
      </w:r>
      <w:bookmarkStart w:id="24" w:name="_Toc15377208"/>
      <w:bookmarkStart w:id="25" w:name="_Toc15396606"/>
      <w:r>
        <w:rPr>
          <w:rFonts w:hint="eastAsia" w:ascii="仿宋" w:hAnsi="仿宋" w:eastAsia="仿宋"/>
          <w:sz w:val="32"/>
          <w:szCs w:val="32"/>
        </w:rPr>
        <w:t>（图3：支出决算结构图）（饼状图）</w:t>
      </w:r>
    </w:p>
    <w:p w14:paraId="5481C373">
      <w:pPr>
        <w:spacing w:line="600" w:lineRule="exact"/>
        <w:ind w:firstLine="640" w:firstLineChars="200"/>
        <w:outlineLvl w:val="1"/>
        <w:rPr>
          <w:rStyle w:val="30"/>
          <w:rFonts w:ascii="黑体" w:hAnsi="黑体" w:eastAsia="黑体"/>
          <w:b w:val="0"/>
        </w:rPr>
      </w:pPr>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4"/>
      <w:bookmarkEnd w:id="25"/>
    </w:p>
    <w:p w14:paraId="12D345CF">
      <w:pPr>
        <w:spacing w:line="600" w:lineRule="exact"/>
        <w:ind w:firstLine="640"/>
        <w:rPr>
          <w:rFonts w:hint="eastAsia" w:ascii="仿宋" w:hAnsi="仿宋" w:eastAsia="仿宋"/>
          <w:sz w:val="32"/>
          <w:szCs w:val="32"/>
          <w:lang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年度财政拨款收、支总计均为</w:t>
      </w:r>
      <w:r>
        <w:rPr>
          <w:rFonts w:hint="eastAsia" w:ascii="仿宋" w:hAnsi="仿宋" w:eastAsia="仿宋"/>
          <w:sz w:val="32"/>
          <w:szCs w:val="32"/>
          <w:lang w:val="en-US" w:eastAsia="zh-CN"/>
        </w:rPr>
        <w:t>1299.02</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年度相比，财政拨款收、支总计各减少</w:t>
      </w:r>
      <w:r>
        <w:rPr>
          <w:rFonts w:hint="eastAsia" w:ascii="仿宋" w:hAnsi="仿宋" w:eastAsia="仿宋"/>
          <w:sz w:val="32"/>
          <w:szCs w:val="32"/>
          <w:lang w:val="en-US" w:eastAsia="zh-CN"/>
        </w:rPr>
        <w:t>106.12</w:t>
      </w:r>
      <w:r>
        <w:rPr>
          <w:rFonts w:hint="eastAsia" w:ascii="仿宋" w:hAnsi="仿宋" w:eastAsia="仿宋"/>
          <w:sz w:val="32"/>
          <w:szCs w:val="32"/>
        </w:rPr>
        <w:t>万元，下降</w:t>
      </w:r>
      <w:r>
        <w:rPr>
          <w:rFonts w:hint="eastAsia" w:ascii="仿宋" w:hAnsi="仿宋" w:eastAsia="仿宋"/>
          <w:sz w:val="32"/>
          <w:szCs w:val="32"/>
          <w:lang w:val="en-US" w:eastAsia="zh-CN"/>
        </w:rPr>
        <w:t>7.55</w:t>
      </w:r>
      <w:r>
        <w:rPr>
          <w:rFonts w:ascii="仿宋" w:hAnsi="仿宋" w:eastAsia="仿宋"/>
          <w:sz w:val="32"/>
          <w:szCs w:val="32"/>
        </w:rPr>
        <w:t>%</w:t>
      </w:r>
      <w:r>
        <w:rPr>
          <w:rFonts w:hint="eastAsia" w:ascii="仿宋" w:hAnsi="仿宋" w:eastAsia="仿宋"/>
          <w:sz w:val="32"/>
          <w:szCs w:val="32"/>
        </w:rPr>
        <w:t>。主要变动原因是本年度人员经费</w:t>
      </w:r>
      <w:r>
        <w:rPr>
          <w:rFonts w:hint="eastAsia" w:ascii="仿宋" w:hAnsi="仿宋" w:eastAsia="仿宋"/>
          <w:sz w:val="32"/>
          <w:szCs w:val="32"/>
          <w:lang w:val="en-US" w:eastAsia="zh-CN"/>
        </w:rPr>
        <w:t>减少</w:t>
      </w:r>
      <w:r>
        <w:rPr>
          <w:rFonts w:hint="eastAsia" w:ascii="仿宋" w:hAnsi="仿宋" w:eastAsia="仿宋"/>
          <w:sz w:val="32"/>
          <w:szCs w:val="32"/>
          <w:lang w:eastAsia="zh-CN"/>
        </w:rPr>
        <w:t>。</w:t>
      </w:r>
    </w:p>
    <w:p w14:paraId="3CB78D90">
      <w:pPr>
        <w:spacing w:line="600" w:lineRule="exact"/>
        <w:ind w:firstLine="640"/>
        <w:rPr>
          <w:rFonts w:hint="eastAsia"/>
        </w:rPr>
      </w:pPr>
      <w:r>
        <mc:AlternateContent>
          <mc:Choice Requires="wps">
            <w:drawing>
              <wp:anchor distT="0" distB="0" distL="114300" distR="114300" simplePos="0" relativeHeight="251663360" behindDoc="0" locked="0" layoutInCell="1" allowOverlap="1">
                <wp:simplePos x="0" y="0"/>
                <wp:positionH relativeFrom="column">
                  <wp:posOffset>3124835</wp:posOffset>
                </wp:positionH>
                <wp:positionV relativeFrom="paragraph">
                  <wp:posOffset>99060</wp:posOffset>
                </wp:positionV>
                <wp:extent cx="1216660" cy="35941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216660" cy="359410"/>
                        </a:xfrm>
                        <a:prstGeom prst="rect">
                          <a:avLst/>
                        </a:prstGeom>
                      </wps:spPr>
                      <wps:txbx>
                        <w:txbxContent>
                          <w:p w14:paraId="5A6B1C40">
                            <w:pPr>
                              <w:pStyle w:val="15"/>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a:graphicData>
                </a:graphic>
              </wp:anchor>
            </w:drawing>
          </mc:Choice>
          <mc:Fallback>
            <w:pict>
              <v:shape id="文本框 2" o:spid="_x0000_s1026" o:spt="202" type="#_x0000_t202" style="position:absolute;left:0pt;margin-left:246.05pt;margin-top:7.8pt;height:28.3pt;width:95.8pt;z-index:251663360;mso-width-relative:page;mso-height-relative:page;" filled="f" stroked="f" coordsize="21600,21600" o:gfxdata="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B71dcAAAAJAQAADwAAAAAAAAABACAAAAAiAAAAZHJzL2Rvd25yZXYueG1s&#10;UEsBAhQAFAAAAAgAh07iQJPK7wvAAQAAawMAAA4AAAAAAAAAAQAgAAAAJgEAAGRycy9lMm9Eb2Mu&#10;eG1sUEsFBgAAAAAGAAYAWQEAAFgFAAAAAA==&#10;">
                <v:fill on="f" focussize="0,0"/>
                <v:stroke on="f"/>
                <v:imagedata o:title=""/>
                <o:lock v:ext="edit" aspectratio="f"/>
                <v:textbox>
                  <w:txbxContent>
                    <w:p w14:paraId="5A6B1C40">
                      <w:pPr>
                        <w:pStyle w:val="15"/>
                        <w:kinsoku/>
                        <w:ind w:left="0"/>
                        <w:jc w:val="left"/>
                      </w:pPr>
                      <w:r>
                        <w:rPr>
                          <w:rFonts w:asciiTheme="minorAscii" w:hAnsiTheme="minorBidi" w:eastAsiaTheme="minorEastAsia"/>
                          <w:kern w:val="24"/>
                          <w:sz w:val="22"/>
                          <w:szCs w:val="22"/>
                        </w:rPr>
                        <w:t>单位：万元</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3593465</wp:posOffset>
                </wp:positionH>
                <wp:positionV relativeFrom="paragraph">
                  <wp:posOffset>-4037965</wp:posOffset>
                </wp:positionV>
                <wp:extent cx="1245235" cy="340995"/>
                <wp:effectExtent l="0" t="0" r="0" b="0"/>
                <wp:wrapNone/>
                <wp:docPr id="11" name="文本框 6"/>
                <wp:cNvGraphicFramePr/>
                <a:graphic xmlns:a="http://schemas.openxmlformats.org/drawingml/2006/main">
                  <a:graphicData uri="http://schemas.microsoft.com/office/word/2010/wordprocessingShape">
                    <wps:wsp>
                      <wps:cNvSpPr txBox="1"/>
                      <wps:spPr>
                        <a:xfrm>
                          <a:off x="0" y="0"/>
                          <a:ext cx="1245235" cy="340995"/>
                        </a:xfrm>
                        <a:prstGeom prst="rect">
                          <a:avLst/>
                        </a:prstGeom>
                      </wps:spPr>
                      <wps:txbx>
                        <w:txbxContent>
                          <w:p w14:paraId="56DC3EDA">
                            <w:pPr>
                              <w:pStyle w:val="15"/>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a:graphicData>
                </a:graphic>
              </wp:anchor>
            </w:drawing>
          </mc:Choice>
          <mc:Fallback>
            <w:pict>
              <v:shape id="文本框 6" o:spid="_x0000_s1026" o:spt="202" type="#_x0000_t202" style="position:absolute;left:0pt;margin-left:282.95pt;margin-top:-317.95pt;height:26.85pt;width:98.05pt;z-index:251666432;mso-width-relative:page;mso-height-relative:page;" filled="f" stroked="f" coordsize="21600,21600" o:gfxdata="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XoOFs2gAAAA0BAAAPAAAAAAAAAAEAIAAAACIAAABkcnMvZG93bnJl&#10;di54bWxQSwECFAAUAAAACACHTuJA1NY2O8IBAABsAwAADgAAAAAAAAABACAAAAApAQAAZHJzL2Uy&#10;b0RvYy54bWxQSwUGAAAAAAYABgBZAQAAXQUAAAAA&#10;">
                <v:fill on="f" focussize="0,0"/>
                <v:stroke on="f"/>
                <v:imagedata o:title=""/>
                <o:lock v:ext="edit" aspectratio="f"/>
                <v:textbox>
                  <w:txbxContent>
                    <w:p w14:paraId="56DC3EDA">
                      <w:pPr>
                        <w:pStyle w:val="15"/>
                        <w:kinsoku/>
                        <w:ind w:left="0"/>
                        <w:jc w:val="left"/>
                      </w:pPr>
                      <w:r>
                        <w:rPr>
                          <w:rFonts w:asciiTheme="minorAscii" w:hAnsiTheme="minorBidi" w:eastAsiaTheme="minorEastAsia"/>
                          <w:kern w:val="24"/>
                          <w:sz w:val="22"/>
                          <w:szCs w:val="22"/>
                        </w:rPr>
                        <w:t>单位：万元</w:t>
                      </w:r>
                    </w:p>
                  </w:txbxContent>
                </v:textbox>
              </v:shape>
            </w:pict>
          </mc:Fallback>
        </mc:AlternateContent>
      </w:r>
      <w:r>
        <w:drawing>
          <wp:anchor distT="0" distB="0" distL="114300" distR="114300" simplePos="0" relativeHeight="251662336" behindDoc="0" locked="0" layoutInCell="1" allowOverlap="1">
            <wp:simplePos x="0" y="0"/>
            <wp:positionH relativeFrom="column">
              <wp:posOffset>1106170</wp:posOffset>
            </wp:positionH>
            <wp:positionV relativeFrom="paragraph">
              <wp:posOffset>23495</wp:posOffset>
            </wp:positionV>
            <wp:extent cx="4000500" cy="2441575"/>
            <wp:effectExtent l="4445" t="5080" r="14605" b="10795"/>
            <wp:wrapTopAndBottom/>
            <wp:docPr id="165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（图4：财政拨款收、支决算总计变动情况）（柱状图）</w:t>
      </w:r>
      <w:bookmarkStart w:id="26" w:name="_Toc15377209"/>
      <w:bookmarkStart w:id="27" w:name="_Toc15396607"/>
    </w:p>
    <w:p w14:paraId="4A9F4420">
      <w:pPr>
        <w:spacing w:line="600" w:lineRule="exact"/>
        <w:ind w:firstLine="640" w:firstLineChars="200"/>
        <w:outlineLvl w:val="1"/>
        <w:rPr>
          <w:rStyle w:val="30"/>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6"/>
      <w:bookmarkEnd w:id="27"/>
    </w:p>
    <w:p w14:paraId="22F77175">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12C2F492">
      <w:pPr>
        <w:spacing w:line="600" w:lineRule="exact"/>
        <w:ind w:firstLine="640" w:firstLineChars="200"/>
        <w:rPr>
          <w:rFonts w:hint="eastAsia" w:ascii="仿宋" w:hAnsi="仿宋" w:eastAsia="仿宋"/>
          <w:b w:val="0"/>
          <w:bCs w:val="0"/>
          <w:sz w:val="32"/>
          <w:szCs w:val="32"/>
          <w:lang w:val="en-US" w:eastAsia="zh-CN"/>
        </w:rPr>
      </w:pPr>
      <w:r>
        <w:rPr>
          <w:rFonts w:hint="eastAsia" w:ascii="仿宋" w:hAnsi="仿宋" w:eastAsia="仿宋"/>
          <w:b w:val="0"/>
          <w:bCs w:val="0"/>
          <w:sz w:val="32"/>
          <w:szCs w:val="32"/>
        </w:rPr>
        <w:t>202</w:t>
      </w:r>
      <w:r>
        <w:rPr>
          <w:rFonts w:hint="eastAsia" w:ascii="仿宋" w:hAnsi="仿宋" w:eastAsia="仿宋"/>
          <w:b w:val="0"/>
          <w:bCs w:val="0"/>
          <w:sz w:val="32"/>
          <w:szCs w:val="32"/>
          <w:lang w:val="en-US" w:eastAsia="zh-CN"/>
        </w:rPr>
        <w:t>4</w:t>
      </w:r>
      <w:r>
        <w:rPr>
          <w:rFonts w:hint="eastAsia" w:ascii="仿宋" w:hAnsi="仿宋" w:eastAsia="仿宋"/>
          <w:b w:val="0"/>
          <w:bCs w:val="0"/>
          <w:sz w:val="32"/>
          <w:szCs w:val="32"/>
        </w:rPr>
        <w:t>年度一般公共预算财政拨款支出</w:t>
      </w:r>
      <w:r>
        <w:rPr>
          <w:rFonts w:hint="eastAsia" w:ascii="仿宋" w:hAnsi="仿宋" w:eastAsia="仿宋"/>
          <w:b w:val="0"/>
          <w:bCs w:val="0"/>
          <w:sz w:val="32"/>
          <w:szCs w:val="32"/>
          <w:lang w:val="en-US" w:eastAsia="zh-CN"/>
        </w:rPr>
        <w:t>1288.96</w:t>
      </w:r>
      <w:r>
        <w:rPr>
          <w:rFonts w:hint="eastAsia" w:ascii="仿宋" w:hAnsi="仿宋" w:eastAsia="仿宋"/>
          <w:b w:val="0"/>
          <w:bCs w:val="0"/>
          <w:sz w:val="32"/>
          <w:szCs w:val="32"/>
        </w:rPr>
        <w:t>万元，占本年支出合计的</w:t>
      </w:r>
      <w:r>
        <w:rPr>
          <w:rFonts w:ascii="仿宋" w:hAnsi="仿宋" w:eastAsia="仿宋"/>
          <w:b w:val="0"/>
          <w:bCs w:val="0"/>
          <w:sz w:val="32"/>
          <w:szCs w:val="32"/>
        </w:rPr>
        <w:t>9</w:t>
      </w:r>
      <w:r>
        <w:rPr>
          <w:rFonts w:hint="eastAsia" w:ascii="仿宋" w:hAnsi="仿宋" w:eastAsia="仿宋"/>
          <w:b w:val="0"/>
          <w:bCs w:val="0"/>
          <w:sz w:val="32"/>
          <w:szCs w:val="32"/>
          <w:lang w:val="en-US" w:eastAsia="zh-CN"/>
        </w:rPr>
        <w:t>6.89</w:t>
      </w:r>
      <w:r>
        <w:rPr>
          <w:rFonts w:ascii="仿宋" w:hAnsi="仿宋" w:eastAsia="仿宋"/>
          <w:b w:val="0"/>
          <w:bCs w:val="0"/>
          <w:sz w:val="32"/>
          <w:szCs w:val="32"/>
        </w:rPr>
        <w:t>%</w:t>
      </w:r>
      <w:r>
        <w:rPr>
          <w:rFonts w:hint="eastAsia" w:ascii="仿宋" w:hAnsi="仿宋" w:eastAsia="仿宋"/>
          <w:b w:val="0"/>
          <w:bCs w:val="0"/>
          <w:sz w:val="32"/>
          <w:szCs w:val="32"/>
        </w:rPr>
        <w:t>。与202</w:t>
      </w:r>
      <w:r>
        <w:rPr>
          <w:rFonts w:hint="eastAsia" w:ascii="仿宋" w:hAnsi="仿宋" w:eastAsia="仿宋"/>
          <w:b w:val="0"/>
          <w:bCs w:val="0"/>
          <w:sz w:val="32"/>
          <w:szCs w:val="32"/>
          <w:lang w:val="en-US" w:eastAsia="zh-CN"/>
        </w:rPr>
        <w:t>3</w:t>
      </w:r>
      <w:r>
        <w:rPr>
          <w:rFonts w:hint="eastAsia" w:ascii="仿宋" w:hAnsi="仿宋" w:eastAsia="仿宋"/>
          <w:b w:val="0"/>
          <w:bCs w:val="0"/>
          <w:sz w:val="32"/>
          <w:szCs w:val="32"/>
        </w:rPr>
        <w:t>年度相比，一般公共预算财政拨款支出减少</w:t>
      </w:r>
      <w:r>
        <w:rPr>
          <w:rFonts w:hint="eastAsia" w:ascii="仿宋" w:hAnsi="仿宋" w:eastAsia="仿宋"/>
          <w:b w:val="0"/>
          <w:bCs w:val="0"/>
          <w:sz w:val="32"/>
          <w:szCs w:val="32"/>
          <w:lang w:val="en-US" w:eastAsia="zh-CN"/>
        </w:rPr>
        <w:t>78.53</w:t>
      </w:r>
      <w:r>
        <w:rPr>
          <w:rFonts w:hint="eastAsia" w:ascii="仿宋" w:hAnsi="仿宋" w:eastAsia="仿宋"/>
          <w:b w:val="0"/>
          <w:bCs w:val="0"/>
          <w:sz w:val="32"/>
          <w:szCs w:val="32"/>
        </w:rPr>
        <w:t>万元，下降</w:t>
      </w:r>
      <w:r>
        <w:rPr>
          <w:rFonts w:hint="eastAsia" w:ascii="仿宋" w:hAnsi="仿宋" w:eastAsia="仿宋"/>
          <w:b w:val="0"/>
          <w:bCs w:val="0"/>
          <w:sz w:val="32"/>
          <w:szCs w:val="32"/>
          <w:lang w:val="en-US" w:eastAsia="zh-CN"/>
        </w:rPr>
        <w:t>5.74</w:t>
      </w:r>
      <w:r>
        <w:rPr>
          <w:rFonts w:ascii="仿宋" w:hAnsi="仿宋" w:eastAsia="仿宋"/>
          <w:b w:val="0"/>
          <w:bCs w:val="0"/>
          <w:sz w:val="32"/>
          <w:szCs w:val="32"/>
        </w:rPr>
        <w:t>%</w:t>
      </w:r>
      <w:r>
        <w:rPr>
          <w:rFonts w:hint="eastAsia" w:ascii="仿宋" w:hAnsi="仿宋" w:eastAsia="仿宋"/>
          <w:b w:val="0"/>
          <w:bCs w:val="0"/>
          <w:sz w:val="32"/>
          <w:szCs w:val="32"/>
        </w:rPr>
        <w:t>。主要变动原因是本年度人员经费</w:t>
      </w:r>
      <w:r>
        <w:rPr>
          <w:rFonts w:hint="eastAsia" w:ascii="仿宋" w:hAnsi="仿宋" w:eastAsia="仿宋"/>
          <w:b w:val="0"/>
          <w:bCs w:val="0"/>
          <w:sz w:val="32"/>
          <w:szCs w:val="32"/>
          <w:lang w:val="en-US" w:eastAsia="zh-CN"/>
        </w:rPr>
        <w:t>减少。</w:t>
      </w:r>
    </w:p>
    <w:p w14:paraId="5C01BBD7">
      <w:pPr>
        <w:pStyle w:val="8"/>
        <w:jc w:val="center"/>
        <w:rPr>
          <w:rFonts w:hint="eastAsia" w:ascii="仿宋" w:hAnsi="仿宋" w:eastAsia="仿宋"/>
          <w:sz w:val="32"/>
          <w:szCs w:val="32"/>
          <w:lang w:val="en-US" w:eastAsia="zh-CN"/>
        </w:rPr>
      </w:pPr>
      <w:r>
        <mc:AlternateContent>
          <mc:Choice Requires="wps">
            <w:drawing>
              <wp:anchor distT="0" distB="0" distL="114300" distR="114300" simplePos="0" relativeHeight="251664384" behindDoc="0" locked="0" layoutInCell="1" allowOverlap="1">
                <wp:simplePos x="0" y="0"/>
                <wp:positionH relativeFrom="column">
                  <wp:posOffset>3834130</wp:posOffset>
                </wp:positionH>
                <wp:positionV relativeFrom="paragraph">
                  <wp:posOffset>188595</wp:posOffset>
                </wp:positionV>
                <wp:extent cx="1074420" cy="249555"/>
                <wp:effectExtent l="0" t="0" r="0" b="0"/>
                <wp:wrapNone/>
                <wp:docPr id="8" name="文本框 3"/>
                <wp:cNvGraphicFramePr/>
                <a:graphic xmlns:a="http://schemas.openxmlformats.org/drawingml/2006/main">
                  <a:graphicData uri="http://schemas.microsoft.com/office/word/2010/wordprocessingShape">
                    <wps:wsp>
                      <wps:cNvSpPr txBox="1"/>
                      <wps:spPr>
                        <a:xfrm>
                          <a:off x="0" y="0"/>
                          <a:ext cx="1074420" cy="249555"/>
                        </a:xfrm>
                        <a:prstGeom prst="rect">
                          <a:avLst/>
                        </a:prstGeom>
                      </wps:spPr>
                      <wps:txbx>
                        <w:txbxContent>
                          <w:p w14:paraId="2D04BCB4">
                            <w:pPr>
                              <w:pStyle w:val="15"/>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a:graphicData>
                </a:graphic>
              </wp:anchor>
            </w:drawing>
          </mc:Choice>
          <mc:Fallback>
            <w:pict>
              <v:shape id="文本框 3" o:spid="_x0000_s1026" o:spt="202" type="#_x0000_t202" style="position:absolute;left:0pt;margin-left:301.9pt;margin-top:14.85pt;height:19.65pt;width:84.6pt;z-index:251664384;mso-width-relative:page;mso-height-relative:page;" filled="f" stroked="f" coordsize="21600,21600" o:gfxdata="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jAeMtYAAAAJAQAADwAAAAAAAAABACAAAAAiAAAAZHJzL2Rvd25yZXYueG1s&#10;UEsBAhQAFAAAAAgAh07iQAM/QFzBAQAAawMAAA4AAAAAAAAAAQAgAAAAJQEAAGRycy9lMm9Eb2Mu&#10;eG1sUEsFBgAAAAAGAAYAWQEAAFgFAAAAAA==&#10;">
                <v:fill on="f" focussize="0,0"/>
                <v:stroke on="f"/>
                <v:imagedata o:title=""/>
                <o:lock v:ext="edit" aspectratio="f"/>
                <v:textbox>
                  <w:txbxContent>
                    <w:p w14:paraId="2D04BCB4">
                      <w:pPr>
                        <w:pStyle w:val="15"/>
                        <w:kinsoku/>
                        <w:ind w:left="0"/>
                        <w:jc w:val="left"/>
                      </w:pPr>
                      <w:r>
                        <w:rPr>
                          <w:rFonts w:asciiTheme="minorAscii" w:hAnsiTheme="minorBidi" w:eastAsiaTheme="minorEastAsia"/>
                          <w:kern w:val="24"/>
                          <w:sz w:val="22"/>
                          <w:szCs w:val="22"/>
                        </w:rPr>
                        <w:t>单位：万元</w:t>
                      </w:r>
                    </w:p>
                  </w:txbxContent>
                </v:textbox>
              </v:shape>
            </w:pict>
          </mc:Fallback>
        </mc:AlternateContent>
      </w:r>
      <w:r>
        <w:drawing>
          <wp:inline distT="0" distB="0" distL="114300" distR="114300">
            <wp:extent cx="4516120" cy="2472690"/>
            <wp:effectExtent l="4445" t="4445" r="13335" b="18415"/>
            <wp:docPr id="165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F5439B">
      <w:pPr>
        <w:pStyle w:val="8"/>
        <w:rPr>
          <w:rFonts w:hint="eastAsia" w:ascii="仿宋" w:hAnsi="仿宋" w:eastAsia="仿宋"/>
          <w:b/>
          <w:sz w:val="32"/>
          <w:szCs w:val="32"/>
        </w:rPr>
      </w:pPr>
      <w:bookmarkStart w:id="29" w:name="_Toc15377211"/>
      <w:r>
        <w:rPr>
          <w:rFonts w:hint="eastAsia" w:ascii="仿宋" w:hAnsi="仿宋" w:eastAsia="仿宋"/>
          <w:sz w:val="32"/>
          <w:szCs w:val="32"/>
        </w:rPr>
        <w:t>（图5：一般公共预算财政拨款支出决算变动情况）（柱状图）</w:t>
      </w:r>
    </w:p>
    <w:p w14:paraId="269EAA3A">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29"/>
    </w:p>
    <w:p w14:paraId="0BA6B9ED">
      <w:pPr>
        <w:spacing w:line="600" w:lineRule="exact"/>
        <w:ind w:firstLine="640"/>
        <w:rPr>
          <w:rFonts w:hint="eastAsia" w:ascii="仿宋" w:hAnsi="仿宋" w:eastAsia="仿宋"/>
          <w:b w:val="0"/>
          <w:bCs w:val="0"/>
          <w:color w:val="auto"/>
          <w:sz w:val="32"/>
          <w:szCs w:val="32"/>
          <w:lang w:val="en-US" w:eastAsia="zh-CN"/>
        </w:rPr>
      </w:pPr>
      <w:r>
        <mc:AlternateContent>
          <mc:Choice Requires="wps">
            <w:drawing>
              <wp:anchor distT="0" distB="0" distL="114300" distR="114300" simplePos="0" relativeHeight="251668480" behindDoc="0" locked="0" layoutInCell="1" allowOverlap="1">
                <wp:simplePos x="0" y="0"/>
                <wp:positionH relativeFrom="column">
                  <wp:posOffset>1374140</wp:posOffset>
                </wp:positionH>
                <wp:positionV relativeFrom="paragraph">
                  <wp:posOffset>1847215</wp:posOffset>
                </wp:positionV>
                <wp:extent cx="2759710" cy="344170"/>
                <wp:effectExtent l="0" t="0" r="0" b="0"/>
                <wp:wrapNone/>
                <wp:docPr id="5" name="文本框 4"/>
                <wp:cNvGraphicFramePr/>
                <a:graphic xmlns:a="http://schemas.openxmlformats.org/drawingml/2006/main">
                  <a:graphicData uri="http://schemas.microsoft.com/office/word/2010/wordprocessingShape">
                    <wps:wsp>
                      <wps:cNvSpPr txBox="1"/>
                      <wps:spPr>
                        <a:xfrm>
                          <a:off x="0" y="0"/>
                          <a:ext cx="2759710" cy="344170"/>
                        </a:xfrm>
                        <a:prstGeom prst="rect">
                          <a:avLst/>
                        </a:prstGeom>
                      </wps:spPr>
                      <wps:txbx>
                        <w:txbxContent>
                          <w:p w14:paraId="21730177">
                            <w:pPr>
                              <w:pStyle w:val="15"/>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a:graphicData>
                </a:graphic>
              </wp:anchor>
            </w:drawing>
          </mc:Choice>
          <mc:Fallback>
            <w:pict>
              <v:shape id="文本框 4" o:spid="_x0000_s1026" o:spt="202" type="#_x0000_t202" style="position:absolute;left:0pt;margin-left:108.2pt;margin-top:145.45pt;height:27.1pt;width:217.3pt;z-index:251668480;mso-width-relative:page;mso-height-relative:page;" filled="f" stroked="f" coordsize="21600,21600" o:gfxdata="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FxEaW2AAAAAsBAAAPAAAAAAAAAAEAIAAAACIAAABkcnMvZG93bnJldi54&#10;bWxQSwECFAAUAAAACACHTuJAmMb6RMEBAABrAwAADgAAAAAAAAABACAAAAAnAQAAZHJzL2Uyb0Rv&#10;Yy54bWxQSwUGAAAAAAYABgBZAQAAWgUAAAAA&#10;">
                <v:fill on="f" focussize="0,0"/>
                <v:stroke on="f"/>
                <v:imagedata o:title=""/>
                <o:lock v:ext="edit" aspectratio="f"/>
                <v:textbox>
                  <w:txbxContent>
                    <w:p w14:paraId="21730177">
                      <w:pPr>
                        <w:pStyle w:val="15"/>
                        <w:kinsoku/>
                        <w:ind w:left="0"/>
                        <w:jc w:val="left"/>
                      </w:pPr>
                      <w:r>
                        <w:rPr>
                          <w:rFonts w:asciiTheme="minorAscii" w:hAnsiTheme="minorBidi" w:eastAsiaTheme="minorEastAsia"/>
                          <w:kern w:val="24"/>
                          <w:sz w:val="22"/>
                          <w:szCs w:val="22"/>
                        </w:rPr>
                        <w:t>单位：万元</w:t>
                      </w:r>
                    </w:p>
                  </w:txbxContent>
                </v:textbox>
              </v:shape>
            </w:pict>
          </mc:Fallback>
        </mc:AlternateContent>
      </w:r>
      <w:r>
        <w:drawing>
          <wp:anchor distT="0" distB="0" distL="114300" distR="114300" simplePos="0" relativeHeight="251667456" behindDoc="0" locked="0" layoutInCell="1" allowOverlap="1">
            <wp:simplePos x="0" y="0"/>
            <wp:positionH relativeFrom="column">
              <wp:posOffset>906145</wp:posOffset>
            </wp:positionH>
            <wp:positionV relativeFrom="paragraph">
              <wp:posOffset>1740535</wp:posOffset>
            </wp:positionV>
            <wp:extent cx="3848100" cy="2254885"/>
            <wp:effectExtent l="4445" t="4445" r="14605" b="7620"/>
            <wp:wrapTopAndBottom/>
            <wp:docPr id="166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b w:val="0"/>
          <w:bCs w:val="0"/>
          <w:color w:val="auto"/>
          <w:sz w:val="32"/>
          <w:szCs w:val="32"/>
        </w:rPr>
        <w:t>202</w:t>
      </w:r>
      <w:r>
        <w:rPr>
          <w:rFonts w:hint="eastAsia" w:ascii="仿宋" w:hAnsi="仿宋" w:eastAsia="仿宋"/>
          <w:b w:val="0"/>
          <w:bCs w:val="0"/>
          <w:color w:val="auto"/>
          <w:sz w:val="32"/>
          <w:szCs w:val="32"/>
          <w:lang w:val="en-US" w:eastAsia="zh-CN"/>
        </w:rPr>
        <w:t>4</w:t>
      </w:r>
      <w:r>
        <w:rPr>
          <w:rFonts w:hint="eastAsia" w:ascii="仿宋" w:hAnsi="仿宋" w:eastAsia="仿宋"/>
          <w:b w:val="0"/>
          <w:bCs w:val="0"/>
          <w:color w:val="auto"/>
          <w:sz w:val="32"/>
          <w:szCs w:val="32"/>
        </w:rPr>
        <w:t>年度一般公共预算财政拨款支出</w:t>
      </w:r>
      <w:r>
        <w:rPr>
          <w:rFonts w:ascii="仿宋" w:hAnsi="仿宋" w:eastAsia="仿宋"/>
          <w:b w:val="0"/>
          <w:bCs w:val="0"/>
          <w:color w:val="auto"/>
          <w:sz w:val="32"/>
          <w:szCs w:val="32"/>
        </w:rPr>
        <w:t>1</w:t>
      </w:r>
      <w:r>
        <w:rPr>
          <w:rFonts w:hint="eastAsia" w:ascii="仿宋" w:hAnsi="仿宋" w:eastAsia="仿宋"/>
          <w:b w:val="0"/>
          <w:bCs w:val="0"/>
          <w:color w:val="auto"/>
          <w:sz w:val="32"/>
          <w:szCs w:val="32"/>
          <w:lang w:val="en-US" w:eastAsia="zh-CN"/>
        </w:rPr>
        <w:t>288.96</w:t>
      </w:r>
      <w:r>
        <w:rPr>
          <w:rFonts w:hint="eastAsia" w:ascii="仿宋" w:hAnsi="仿宋" w:eastAsia="仿宋"/>
          <w:b w:val="0"/>
          <w:bCs w:val="0"/>
          <w:color w:val="auto"/>
          <w:sz w:val="32"/>
          <w:szCs w:val="32"/>
        </w:rPr>
        <w:t>万元，主要用于以下方面</w:t>
      </w:r>
      <w:r>
        <w:rPr>
          <w:rFonts w:ascii="仿宋" w:hAnsi="仿宋" w:eastAsia="仿宋"/>
          <w:b w:val="0"/>
          <w:bCs w:val="0"/>
          <w:color w:val="auto"/>
          <w:sz w:val="32"/>
          <w:szCs w:val="32"/>
        </w:rPr>
        <w:t>:</w:t>
      </w:r>
      <w:r>
        <w:rPr>
          <w:rFonts w:hint="eastAsia" w:ascii="仿宋" w:hAnsi="仿宋" w:eastAsia="仿宋"/>
          <w:b w:val="0"/>
          <w:bCs w:val="0"/>
          <w:color w:val="auto"/>
          <w:sz w:val="32"/>
          <w:szCs w:val="32"/>
        </w:rPr>
        <w:t>教育支出</w:t>
      </w:r>
      <w:r>
        <w:rPr>
          <w:rFonts w:hint="eastAsia" w:ascii="仿宋" w:hAnsi="仿宋" w:eastAsia="仿宋"/>
          <w:b w:val="0"/>
          <w:bCs w:val="0"/>
          <w:color w:val="auto"/>
          <w:sz w:val="32"/>
          <w:szCs w:val="32"/>
          <w:lang w:val="en-US" w:eastAsia="zh-CN"/>
        </w:rPr>
        <w:t>984.11</w:t>
      </w:r>
      <w:r>
        <w:rPr>
          <w:rFonts w:hint="eastAsia" w:ascii="仿宋" w:hAnsi="仿宋" w:eastAsia="仿宋"/>
          <w:b w:val="0"/>
          <w:bCs w:val="0"/>
          <w:color w:val="auto"/>
          <w:sz w:val="32"/>
          <w:szCs w:val="32"/>
        </w:rPr>
        <w:t>万元，占</w:t>
      </w:r>
      <w:r>
        <w:rPr>
          <w:rFonts w:hint="eastAsia" w:ascii="仿宋" w:hAnsi="仿宋" w:eastAsia="仿宋"/>
          <w:b w:val="0"/>
          <w:bCs w:val="0"/>
          <w:color w:val="auto"/>
          <w:sz w:val="32"/>
          <w:szCs w:val="32"/>
          <w:lang w:val="en-US" w:eastAsia="zh-CN"/>
        </w:rPr>
        <w:t>76.35</w:t>
      </w:r>
      <w:r>
        <w:rPr>
          <w:rFonts w:ascii="仿宋" w:hAnsi="仿宋" w:eastAsia="仿宋"/>
          <w:b w:val="0"/>
          <w:bCs w:val="0"/>
          <w:color w:val="auto"/>
          <w:sz w:val="32"/>
          <w:szCs w:val="32"/>
        </w:rPr>
        <w:t>%</w:t>
      </w:r>
      <w:r>
        <w:rPr>
          <w:rFonts w:hint="eastAsia" w:ascii="仿宋" w:hAnsi="仿宋" w:eastAsia="仿宋"/>
          <w:b w:val="0"/>
          <w:bCs w:val="0"/>
          <w:color w:val="auto"/>
          <w:sz w:val="32"/>
          <w:szCs w:val="32"/>
        </w:rPr>
        <w:t>；社会保障和就业支出</w:t>
      </w:r>
      <w:r>
        <w:rPr>
          <w:rFonts w:hint="eastAsia" w:ascii="仿宋" w:hAnsi="仿宋" w:eastAsia="仿宋"/>
          <w:b w:val="0"/>
          <w:bCs w:val="0"/>
          <w:color w:val="auto"/>
          <w:sz w:val="32"/>
          <w:szCs w:val="32"/>
          <w:lang w:val="en-US" w:eastAsia="zh-CN"/>
        </w:rPr>
        <w:t>170.65</w:t>
      </w:r>
      <w:r>
        <w:rPr>
          <w:rFonts w:hint="eastAsia" w:ascii="仿宋" w:hAnsi="仿宋" w:eastAsia="仿宋"/>
          <w:b w:val="0"/>
          <w:bCs w:val="0"/>
          <w:color w:val="auto"/>
          <w:sz w:val="32"/>
          <w:szCs w:val="32"/>
        </w:rPr>
        <w:t>万元，占</w:t>
      </w:r>
      <w:r>
        <w:rPr>
          <w:rFonts w:hint="eastAsia" w:ascii="仿宋" w:hAnsi="仿宋" w:eastAsia="仿宋"/>
          <w:b w:val="0"/>
          <w:bCs w:val="0"/>
          <w:color w:val="auto"/>
          <w:sz w:val="32"/>
          <w:szCs w:val="32"/>
          <w:lang w:val="en-US" w:eastAsia="zh-CN"/>
        </w:rPr>
        <w:t>13.24</w:t>
      </w:r>
      <w:r>
        <w:rPr>
          <w:rFonts w:ascii="仿宋" w:hAnsi="仿宋" w:eastAsia="仿宋"/>
          <w:b w:val="0"/>
          <w:bCs w:val="0"/>
          <w:color w:val="auto"/>
          <w:sz w:val="32"/>
          <w:szCs w:val="32"/>
        </w:rPr>
        <w:t>%</w:t>
      </w:r>
      <w:r>
        <w:rPr>
          <w:rFonts w:hint="eastAsia" w:ascii="仿宋" w:hAnsi="仿宋" w:eastAsia="仿宋"/>
          <w:b w:val="0"/>
          <w:bCs w:val="0"/>
          <w:color w:val="auto"/>
          <w:sz w:val="32"/>
          <w:szCs w:val="32"/>
        </w:rPr>
        <w:t>；卫生健康支出</w:t>
      </w:r>
      <w:r>
        <w:rPr>
          <w:rFonts w:hint="eastAsia" w:ascii="仿宋" w:hAnsi="仿宋" w:eastAsia="仿宋"/>
          <w:b w:val="0"/>
          <w:bCs w:val="0"/>
          <w:color w:val="auto"/>
          <w:sz w:val="32"/>
          <w:szCs w:val="32"/>
          <w:lang w:val="en-US" w:eastAsia="zh-CN"/>
        </w:rPr>
        <w:t>40.06</w:t>
      </w:r>
      <w:r>
        <w:rPr>
          <w:rFonts w:hint="eastAsia" w:ascii="仿宋" w:hAnsi="仿宋" w:eastAsia="仿宋"/>
          <w:b w:val="0"/>
          <w:bCs w:val="0"/>
          <w:color w:val="auto"/>
          <w:sz w:val="32"/>
          <w:szCs w:val="32"/>
        </w:rPr>
        <w:t>万元，占</w:t>
      </w:r>
      <w:r>
        <w:rPr>
          <w:rFonts w:hint="eastAsia" w:ascii="仿宋" w:hAnsi="仿宋" w:eastAsia="仿宋"/>
          <w:b w:val="0"/>
          <w:bCs w:val="0"/>
          <w:color w:val="auto"/>
          <w:sz w:val="32"/>
          <w:szCs w:val="32"/>
          <w:lang w:val="en-US" w:eastAsia="zh-CN"/>
        </w:rPr>
        <w:t>3.11</w:t>
      </w:r>
      <w:r>
        <w:rPr>
          <w:rFonts w:ascii="仿宋" w:hAnsi="仿宋" w:eastAsia="仿宋"/>
          <w:b w:val="0"/>
          <w:bCs w:val="0"/>
          <w:color w:val="auto"/>
          <w:sz w:val="32"/>
          <w:szCs w:val="32"/>
        </w:rPr>
        <w:t>%</w:t>
      </w:r>
      <w:r>
        <w:rPr>
          <w:rFonts w:hint="eastAsia" w:ascii="仿宋" w:hAnsi="仿宋" w:eastAsia="仿宋"/>
          <w:b w:val="0"/>
          <w:bCs w:val="0"/>
          <w:color w:val="auto"/>
          <w:sz w:val="32"/>
          <w:szCs w:val="32"/>
        </w:rPr>
        <w:t>；住房保障支出</w:t>
      </w:r>
      <w:r>
        <w:rPr>
          <w:rFonts w:hint="eastAsia" w:ascii="仿宋" w:hAnsi="仿宋" w:eastAsia="仿宋"/>
          <w:b w:val="0"/>
          <w:bCs w:val="0"/>
          <w:color w:val="auto"/>
          <w:sz w:val="32"/>
          <w:szCs w:val="32"/>
          <w:lang w:val="en-US" w:eastAsia="zh-CN"/>
        </w:rPr>
        <w:t>94.13</w:t>
      </w:r>
      <w:r>
        <w:rPr>
          <w:rFonts w:hint="eastAsia" w:ascii="仿宋" w:hAnsi="仿宋" w:eastAsia="仿宋"/>
          <w:b w:val="0"/>
          <w:bCs w:val="0"/>
          <w:color w:val="auto"/>
          <w:sz w:val="32"/>
          <w:szCs w:val="32"/>
        </w:rPr>
        <w:t>万元，占</w:t>
      </w:r>
      <w:r>
        <w:rPr>
          <w:rFonts w:hint="eastAsia" w:ascii="仿宋" w:hAnsi="仿宋" w:eastAsia="仿宋"/>
          <w:b w:val="0"/>
          <w:bCs w:val="0"/>
          <w:color w:val="auto"/>
          <w:sz w:val="32"/>
          <w:szCs w:val="32"/>
          <w:lang w:val="en-US" w:eastAsia="zh-CN"/>
        </w:rPr>
        <w:t>7.30</w:t>
      </w:r>
      <w:r>
        <w:rPr>
          <w:rFonts w:ascii="仿宋" w:hAnsi="仿宋" w:eastAsia="仿宋"/>
          <w:b w:val="0"/>
          <w:bCs w:val="0"/>
          <w:color w:val="auto"/>
          <w:sz w:val="32"/>
          <w:szCs w:val="32"/>
        </w:rPr>
        <w:t>%</w:t>
      </w:r>
      <w:r>
        <w:rPr>
          <w:rFonts w:hint="eastAsia" w:ascii="仿宋" w:hAnsi="仿宋" w:eastAsia="仿宋"/>
          <w:b w:val="0"/>
          <w:bCs w:val="0"/>
          <w:color w:val="auto"/>
          <w:sz w:val="32"/>
          <w:szCs w:val="32"/>
          <w:lang w:val="en-US" w:eastAsia="zh-CN"/>
        </w:rPr>
        <w:t>。</w:t>
      </w:r>
    </w:p>
    <w:p w14:paraId="253A604E">
      <w:pPr>
        <w:pStyle w:val="8"/>
        <w:rPr>
          <w:rFonts w:ascii="仿宋" w:hAnsi="仿宋" w:eastAsia="仿宋"/>
          <w:sz w:val="32"/>
          <w:szCs w:val="32"/>
        </w:rPr>
      </w:pPr>
      <w:r>
        <w:rPr>
          <w:rFonts w:hint="eastAsia" w:ascii="仿宋" w:hAnsi="仿宋" w:eastAsia="仿宋"/>
          <w:sz w:val="32"/>
          <w:szCs w:val="32"/>
        </w:rPr>
        <w:t>（图6：一般公共预算财政拨款支出决算结构）（饼状图）</w:t>
      </w:r>
    </w:p>
    <w:p w14:paraId="0E000823">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6402FAE4">
      <w:pPr>
        <w:spacing w:line="600" w:lineRule="exact"/>
        <w:ind w:firstLine="643" w:firstLineChars="200"/>
        <w:outlineLvl w:val="2"/>
        <w:rPr>
          <w:rStyle w:val="18"/>
          <w:rFonts w:hint="eastAsia" w:ascii="仿宋" w:hAnsi="仿宋" w:eastAsia="仿宋"/>
          <w:bCs/>
          <w:sz w:val="32"/>
          <w:szCs w:val="32"/>
        </w:rPr>
      </w:pPr>
      <w:bookmarkStart w:id="31" w:name="_Toc15377444"/>
      <w:bookmarkStart w:id="32" w:name="_Toc15378460"/>
      <w:bookmarkStart w:id="33" w:name="_Toc15377213"/>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年度一般公共预算支出决算数为</w:t>
      </w:r>
      <w:r>
        <w:rPr>
          <w:rFonts w:hint="eastAsia" w:ascii="仿宋" w:hAnsi="仿宋" w:eastAsia="仿宋"/>
          <w:b/>
          <w:sz w:val="32"/>
          <w:szCs w:val="32"/>
          <w:lang w:val="en-US" w:eastAsia="zh-CN"/>
        </w:rPr>
        <w:t>1288.96</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1"/>
      <w:bookmarkEnd w:id="32"/>
      <w:bookmarkEnd w:id="33"/>
    </w:p>
    <w:p w14:paraId="0F572F11">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1</w:t>
      </w:r>
      <w:r>
        <w:rPr>
          <w:rStyle w:val="18"/>
          <w:rFonts w:ascii="仿宋" w:hAnsi="仿宋" w:eastAsia="仿宋"/>
          <w:bCs/>
          <w:sz w:val="32"/>
          <w:szCs w:val="32"/>
        </w:rPr>
        <w:t>.</w:t>
      </w:r>
      <w:r>
        <w:rPr>
          <w:rStyle w:val="18"/>
          <w:rFonts w:hint="eastAsia" w:ascii="仿宋" w:hAnsi="仿宋" w:eastAsia="仿宋"/>
          <w:bCs/>
          <w:sz w:val="32"/>
          <w:szCs w:val="32"/>
        </w:rPr>
        <w:t>教育（类）</w:t>
      </w:r>
      <w:r>
        <w:rPr>
          <w:rStyle w:val="18"/>
          <w:rFonts w:hint="eastAsia" w:ascii="仿宋" w:hAnsi="仿宋" w:eastAsia="仿宋"/>
          <w:bCs/>
          <w:sz w:val="32"/>
          <w:szCs w:val="32"/>
          <w:lang w:eastAsia="zh-CN"/>
        </w:rPr>
        <w:t>普通教育</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初中教育</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652.09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7ABA1E0C">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2</w:t>
      </w:r>
      <w:r>
        <w:rPr>
          <w:rStyle w:val="18"/>
          <w:rFonts w:ascii="仿宋" w:hAnsi="仿宋" w:eastAsia="仿宋"/>
          <w:bCs/>
          <w:sz w:val="32"/>
          <w:szCs w:val="32"/>
        </w:rPr>
        <w:t>.</w:t>
      </w:r>
      <w:r>
        <w:rPr>
          <w:rStyle w:val="18"/>
          <w:rFonts w:hint="eastAsia" w:ascii="仿宋" w:hAnsi="仿宋" w:eastAsia="仿宋"/>
          <w:bCs/>
          <w:sz w:val="32"/>
          <w:szCs w:val="32"/>
        </w:rPr>
        <w:t>教育（类）</w:t>
      </w:r>
      <w:r>
        <w:rPr>
          <w:rStyle w:val="18"/>
          <w:rFonts w:hint="eastAsia" w:ascii="仿宋" w:hAnsi="仿宋" w:eastAsia="仿宋"/>
          <w:bCs/>
          <w:sz w:val="32"/>
          <w:szCs w:val="32"/>
          <w:lang w:eastAsia="zh-CN"/>
        </w:rPr>
        <w:t>普通教育</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其他普通教育</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291.48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3204F9D1">
      <w:pPr>
        <w:spacing w:line="600" w:lineRule="exact"/>
        <w:ind w:firstLine="643" w:firstLineChars="200"/>
        <w:rPr>
          <w:rStyle w:val="18"/>
          <w:rFonts w:hint="eastAsia" w:ascii="仿宋" w:hAnsi="仿宋" w:eastAsia="仿宋"/>
          <w:b w:val="0"/>
          <w:bCs/>
          <w:sz w:val="32"/>
          <w:szCs w:val="32"/>
          <w:lang w:val="en-US" w:eastAsia="zh-CN"/>
        </w:rPr>
      </w:pPr>
      <w:r>
        <w:rPr>
          <w:rStyle w:val="18"/>
          <w:rFonts w:hint="eastAsia" w:ascii="仿宋" w:hAnsi="仿宋" w:eastAsia="仿宋"/>
          <w:bCs/>
          <w:sz w:val="32"/>
          <w:szCs w:val="32"/>
          <w:lang w:val="en-US" w:eastAsia="zh-CN"/>
        </w:rPr>
        <w:t>3.教育（类）教育费附加安排的支出（款）其他教育费附加安排的支出（项）：</w:t>
      </w:r>
      <w:r>
        <w:rPr>
          <w:rStyle w:val="18"/>
          <w:rFonts w:hint="eastAsia" w:ascii="仿宋" w:hAnsi="仿宋" w:eastAsia="仿宋"/>
          <w:b w:val="0"/>
          <w:bCs w:val="0"/>
          <w:sz w:val="32"/>
          <w:szCs w:val="32"/>
          <w:lang w:val="en-US" w:eastAsia="zh-CN"/>
        </w:rPr>
        <w:t>支</w:t>
      </w:r>
      <w:r>
        <w:rPr>
          <w:rStyle w:val="18"/>
          <w:rFonts w:hint="eastAsia" w:ascii="仿宋" w:hAnsi="仿宋" w:eastAsia="仿宋"/>
          <w:b w:val="0"/>
          <w:bCs w:val="0"/>
          <w:sz w:val="32"/>
          <w:szCs w:val="32"/>
        </w:rPr>
        <w:t>出决</w:t>
      </w:r>
      <w:r>
        <w:rPr>
          <w:rStyle w:val="18"/>
          <w:rFonts w:hint="eastAsia" w:ascii="仿宋" w:hAnsi="仿宋" w:eastAsia="仿宋"/>
          <w:b w:val="0"/>
          <w:bCs/>
          <w:sz w:val="32"/>
          <w:szCs w:val="32"/>
        </w:rPr>
        <w:t>算为</w:t>
      </w:r>
      <w:r>
        <w:rPr>
          <w:rStyle w:val="18"/>
          <w:rFonts w:hint="eastAsia" w:ascii="仿宋" w:hAnsi="仿宋" w:eastAsia="仿宋"/>
          <w:b w:val="0"/>
          <w:bCs/>
          <w:sz w:val="32"/>
          <w:szCs w:val="32"/>
          <w:lang w:val="en-US" w:eastAsia="zh-CN"/>
        </w:rPr>
        <w:t>40.59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304D6791">
      <w:pPr>
        <w:pStyle w:val="8"/>
        <w:ind w:firstLine="643" w:firstLineChars="200"/>
        <w:rPr>
          <w:rStyle w:val="18"/>
          <w:rFonts w:hint="eastAsia" w:ascii="仿宋" w:hAnsi="仿宋" w:eastAsia="仿宋"/>
          <w:b w:val="0"/>
          <w:bCs/>
          <w:color w:val="000000"/>
          <w:sz w:val="32"/>
          <w:szCs w:val="32"/>
          <w:lang w:eastAsia="zh-CN"/>
        </w:rPr>
      </w:pPr>
      <w:r>
        <w:rPr>
          <w:rStyle w:val="18"/>
          <w:rFonts w:hint="eastAsia" w:ascii="仿宋" w:hAnsi="仿宋" w:eastAsia="仿宋"/>
          <w:bCs/>
          <w:sz w:val="32"/>
          <w:szCs w:val="32"/>
          <w:lang w:val="en-US" w:eastAsia="zh-CN"/>
        </w:rPr>
        <w:t>4</w:t>
      </w:r>
      <w:r>
        <w:rPr>
          <w:rStyle w:val="18"/>
          <w:rFonts w:ascii="仿宋" w:hAnsi="仿宋" w:eastAsia="仿宋"/>
          <w:bCs/>
          <w:sz w:val="32"/>
          <w:szCs w:val="32"/>
        </w:rPr>
        <w:t>.</w:t>
      </w:r>
      <w:r>
        <w:rPr>
          <w:rStyle w:val="18"/>
          <w:rFonts w:hint="eastAsia" w:ascii="仿宋" w:hAnsi="仿宋" w:eastAsia="仿宋"/>
          <w:bCs/>
          <w:sz w:val="32"/>
          <w:szCs w:val="32"/>
          <w:lang w:eastAsia="zh-CN"/>
        </w:rPr>
        <w:t>社会保障和就业</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行政事业单位养老</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机关事业单位基本养老保险缴费</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94.33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color w:val="000000"/>
          <w:sz w:val="32"/>
          <w:szCs w:val="32"/>
          <w:lang w:eastAsia="zh-CN"/>
        </w:rPr>
        <w:t>。</w:t>
      </w:r>
    </w:p>
    <w:p w14:paraId="4DC989F5">
      <w:pPr>
        <w:pStyle w:val="8"/>
        <w:ind w:firstLine="643" w:firstLineChars="200"/>
        <w:rPr>
          <w:rStyle w:val="18"/>
          <w:rFonts w:hint="eastAsia" w:ascii="仿宋" w:hAnsi="仿宋" w:eastAsia="仿宋"/>
          <w:b w:val="0"/>
          <w:bCs/>
          <w:color w:val="000000"/>
          <w:sz w:val="32"/>
          <w:szCs w:val="32"/>
          <w:lang w:eastAsia="zh-CN"/>
        </w:rPr>
      </w:pPr>
      <w:r>
        <w:rPr>
          <w:rStyle w:val="18"/>
          <w:rFonts w:hint="eastAsia" w:ascii="仿宋" w:hAnsi="仿宋" w:eastAsia="仿宋"/>
          <w:bCs/>
          <w:sz w:val="32"/>
          <w:szCs w:val="32"/>
          <w:lang w:val="en-US" w:eastAsia="zh-CN"/>
        </w:rPr>
        <w:t>5</w:t>
      </w:r>
      <w:r>
        <w:rPr>
          <w:rStyle w:val="18"/>
          <w:rFonts w:ascii="仿宋" w:hAnsi="仿宋" w:eastAsia="仿宋"/>
          <w:bCs/>
          <w:sz w:val="32"/>
          <w:szCs w:val="32"/>
        </w:rPr>
        <w:t>.</w:t>
      </w:r>
      <w:r>
        <w:rPr>
          <w:rStyle w:val="18"/>
          <w:rFonts w:hint="eastAsia" w:ascii="仿宋" w:hAnsi="仿宋" w:eastAsia="仿宋"/>
          <w:bCs/>
          <w:sz w:val="32"/>
          <w:szCs w:val="32"/>
          <w:lang w:eastAsia="zh-CN"/>
        </w:rPr>
        <w:t>社会保障和就业</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行政事业单位养老</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机关事业单位职业年金缴费</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48.64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color w:val="000000"/>
          <w:sz w:val="32"/>
          <w:szCs w:val="32"/>
          <w:lang w:eastAsia="zh-CN"/>
        </w:rPr>
        <w:t>。</w:t>
      </w:r>
    </w:p>
    <w:p w14:paraId="54C05052">
      <w:pPr>
        <w:pStyle w:val="8"/>
        <w:ind w:firstLine="643" w:firstLineChars="200"/>
        <w:rPr>
          <w:rStyle w:val="18"/>
          <w:rFonts w:hint="eastAsia" w:ascii="仿宋" w:hAnsi="仿宋" w:eastAsia="仿宋"/>
          <w:b w:val="0"/>
          <w:bCs/>
          <w:color w:val="000000"/>
          <w:sz w:val="32"/>
          <w:szCs w:val="32"/>
          <w:lang w:eastAsia="zh-CN"/>
        </w:rPr>
      </w:pPr>
      <w:r>
        <w:rPr>
          <w:rStyle w:val="18"/>
          <w:rFonts w:hint="eastAsia" w:ascii="仿宋" w:hAnsi="仿宋" w:eastAsia="仿宋"/>
          <w:bCs/>
          <w:sz w:val="32"/>
          <w:szCs w:val="32"/>
          <w:lang w:val="en-US" w:eastAsia="zh-CN"/>
        </w:rPr>
        <w:t>6</w:t>
      </w:r>
      <w:r>
        <w:rPr>
          <w:rStyle w:val="18"/>
          <w:rFonts w:ascii="仿宋" w:hAnsi="仿宋" w:eastAsia="仿宋"/>
          <w:bCs/>
          <w:sz w:val="32"/>
          <w:szCs w:val="32"/>
        </w:rPr>
        <w:t>.</w:t>
      </w:r>
      <w:r>
        <w:rPr>
          <w:rStyle w:val="18"/>
          <w:rFonts w:hint="eastAsia" w:ascii="仿宋" w:hAnsi="仿宋" w:eastAsia="仿宋"/>
          <w:bCs/>
          <w:sz w:val="32"/>
          <w:szCs w:val="32"/>
          <w:lang w:eastAsia="zh-CN"/>
        </w:rPr>
        <w:t>社会保障和就业</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抚恤</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死亡抚恤</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6.50</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color w:val="000000"/>
          <w:sz w:val="32"/>
          <w:szCs w:val="32"/>
          <w:lang w:eastAsia="zh-CN"/>
        </w:rPr>
        <w:t>。</w:t>
      </w:r>
    </w:p>
    <w:p w14:paraId="753EBD1E">
      <w:pPr>
        <w:pStyle w:val="8"/>
        <w:ind w:firstLine="643" w:firstLineChars="200"/>
        <w:rPr>
          <w:rStyle w:val="18"/>
          <w:rFonts w:hint="eastAsia" w:ascii="仿宋" w:hAnsi="仿宋" w:eastAsia="仿宋"/>
          <w:b w:val="0"/>
          <w:bCs/>
          <w:color w:val="000000"/>
          <w:sz w:val="32"/>
          <w:szCs w:val="32"/>
          <w:lang w:eastAsia="zh-CN"/>
        </w:rPr>
      </w:pPr>
      <w:r>
        <w:rPr>
          <w:rStyle w:val="18"/>
          <w:rFonts w:hint="eastAsia" w:ascii="仿宋" w:hAnsi="仿宋" w:eastAsia="仿宋"/>
          <w:bCs/>
          <w:sz w:val="32"/>
          <w:szCs w:val="32"/>
          <w:lang w:val="en-US" w:eastAsia="zh-CN"/>
        </w:rPr>
        <w:t>7</w:t>
      </w:r>
      <w:r>
        <w:rPr>
          <w:rStyle w:val="18"/>
          <w:rFonts w:ascii="仿宋" w:hAnsi="仿宋" w:eastAsia="仿宋"/>
          <w:bCs/>
          <w:sz w:val="32"/>
          <w:szCs w:val="32"/>
        </w:rPr>
        <w:t>.</w:t>
      </w:r>
      <w:r>
        <w:rPr>
          <w:rStyle w:val="18"/>
          <w:rFonts w:hint="eastAsia" w:ascii="仿宋" w:hAnsi="仿宋" w:eastAsia="仿宋"/>
          <w:bCs/>
          <w:sz w:val="32"/>
          <w:szCs w:val="32"/>
          <w:lang w:eastAsia="zh-CN"/>
        </w:rPr>
        <w:t>社会保障和就业</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抚恤</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其他优抚支出</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4.79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color w:val="000000"/>
          <w:sz w:val="32"/>
          <w:szCs w:val="32"/>
          <w:lang w:eastAsia="zh-CN"/>
        </w:rPr>
        <w:t>。</w:t>
      </w:r>
    </w:p>
    <w:p w14:paraId="051922BA">
      <w:pPr>
        <w:pStyle w:val="8"/>
        <w:ind w:firstLine="643" w:firstLineChars="200"/>
        <w:rPr>
          <w:rStyle w:val="18"/>
          <w:rFonts w:hint="eastAsia" w:ascii="仿宋" w:hAnsi="仿宋" w:eastAsia="仿宋"/>
          <w:b w:val="0"/>
          <w:bCs/>
          <w:color w:val="000000"/>
          <w:sz w:val="32"/>
          <w:szCs w:val="32"/>
          <w:lang w:eastAsia="zh-CN"/>
        </w:rPr>
      </w:pPr>
      <w:r>
        <w:rPr>
          <w:rStyle w:val="18"/>
          <w:rFonts w:hint="eastAsia" w:ascii="仿宋" w:hAnsi="仿宋" w:eastAsia="仿宋"/>
          <w:bCs/>
          <w:sz w:val="32"/>
          <w:szCs w:val="32"/>
          <w:lang w:val="en-US" w:eastAsia="zh-CN"/>
        </w:rPr>
        <w:t>8</w:t>
      </w:r>
      <w:r>
        <w:rPr>
          <w:rStyle w:val="18"/>
          <w:rFonts w:ascii="仿宋" w:hAnsi="仿宋" w:eastAsia="仿宋"/>
          <w:bCs/>
          <w:sz w:val="32"/>
          <w:szCs w:val="32"/>
        </w:rPr>
        <w:t>.</w:t>
      </w:r>
      <w:r>
        <w:rPr>
          <w:rStyle w:val="18"/>
          <w:rFonts w:hint="eastAsia" w:ascii="仿宋" w:hAnsi="仿宋" w:eastAsia="仿宋"/>
          <w:bCs/>
          <w:sz w:val="32"/>
          <w:szCs w:val="32"/>
          <w:lang w:eastAsia="zh-CN"/>
        </w:rPr>
        <w:t>社会保障和就业</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其他社会保障和就业</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其他社会保障和就业</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16.39</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color w:val="000000"/>
          <w:sz w:val="32"/>
          <w:szCs w:val="32"/>
          <w:lang w:eastAsia="zh-CN"/>
        </w:rPr>
        <w:t>。</w:t>
      </w:r>
    </w:p>
    <w:p w14:paraId="29912481">
      <w:pPr>
        <w:ind w:firstLine="643" w:firstLineChars="200"/>
        <w:rPr>
          <w:rStyle w:val="18"/>
          <w:rFonts w:hint="eastAsia" w:ascii="仿宋" w:hAnsi="仿宋" w:eastAsia="仿宋"/>
          <w:b w:val="0"/>
          <w:bCs/>
          <w:color w:val="000000"/>
          <w:sz w:val="32"/>
          <w:szCs w:val="32"/>
          <w:lang w:eastAsia="zh-CN"/>
        </w:rPr>
      </w:pPr>
      <w:r>
        <w:rPr>
          <w:rStyle w:val="18"/>
          <w:rFonts w:hint="eastAsia" w:ascii="仿宋" w:hAnsi="仿宋" w:eastAsia="仿宋"/>
          <w:bCs/>
          <w:sz w:val="32"/>
          <w:szCs w:val="32"/>
          <w:lang w:val="en-US" w:eastAsia="zh-CN"/>
        </w:rPr>
        <w:t>9.</w:t>
      </w:r>
      <w:r>
        <w:rPr>
          <w:rStyle w:val="18"/>
          <w:rFonts w:hint="eastAsia" w:ascii="仿宋" w:hAnsi="仿宋" w:eastAsia="仿宋"/>
          <w:bCs/>
          <w:sz w:val="32"/>
          <w:szCs w:val="32"/>
          <w:lang w:eastAsia="zh-CN"/>
        </w:rPr>
        <w:t>卫生健康</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行政事业单位医疗</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事业单位医疗</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40.06</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color w:val="000000"/>
          <w:sz w:val="32"/>
          <w:szCs w:val="32"/>
          <w:lang w:eastAsia="zh-CN"/>
        </w:rPr>
        <w:t>。</w:t>
      </w:r>
    </w:p>
    <w:p w14:paraId="65692380">
      <w:pPr>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10</w:t>
      </w:r>
      <w:r>
        <w:rPr>
          <w:rStyle w:val="18"/>
          <w:rFonts w:ascii="仿宋" w:hAnsi="仿宋" w:eastAsia="仿宋"/>
          <w:bCs/>
          <w:sz w:val="32"/>
          <w:szCs w:val="32"/>
        </w:rPr>
        <w:t>.</w:t>
      </w:r>
      <w:r>
        <w:rPr>
          <w:rStyle w:val="18"/>
          <w:rFonts w:hint="eastAsia" w:ascii="仿宋" w:hAnsi="仿宋" w:eastAsia="仿宋"/>
          <w:bCs/>
          <w:sz w:val="32"/>
          <w:szCs w:val="32"/>
          <w:lang w:eastAsia="zh-CN"/>
        </w:rPr>
        <w:t>住房保障</w:t>
      </w:r>
      <w:r>
        <w:rPr>
          <w:rStyle w:val="18"/>
          <w:rFonts w:hint="eastAsia" w:ascii="仿宋" w:hAnsi="仿宋" w:eastAsia="仿宋"/>
          <w:bCs/>
          <w:sz w:val="32"/>
          <w:szCs w:val="32"/>
        </w:rPr>
        <w:t>（类）</w:t>
      </w:r>
      <w:r>
        <w:rPr>
          <w:rStyle w:val="18"/>
          <w:rFonts w:hint="eastAsia" w:ascii="仿宋" w:hAnsi="仿宋" w:eastAsia="仿宋"/>
          <w:bCs/>
          <w:sz w:val="32"/>
          <w:szCs w:val="32"/>
          <w:lang w:eastAsia="zh-CN"/>
        </w:rPr>
        <w:t>住房改革</w:t>
      </w:r>
      <w:r>
        <w:rPr>
          <w:rStyle w:val="18"/>
          <w:rFonts w:hint="eastAsia" w:ascii="仿宋" w:hAnsi="仿宋" w:eastAsia="仿宋"/>
          <w:bCs/>
          <w:sz w:val="32"/>
          <w:szCs w:val="32"/>
        </w:rPr>
        <w:t>（款）</w:t>
      </w:r>
      <w:r>
        <w:rPr>
          <w:rStyle w:val="18"/>
          <w:rFonts w:hint="eastAsia" w:ascii="仿宋" w:hAnsi="仿宋" w:eastAsia="仿宋"/>
          <w:bCs/>
          <w:sz w:val="32"/>
          <w:szCs w:val="32"/>
          <w:lang w:eastAsia="zh-CN"/>
        </w:rPr>
        <w:t>住房公积金</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94.13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color w:val="000000"/>
          <w:sz w:val="32"/>
          <w:szCs w:val="32"/>
          <w:lang w:eastAsia="zh-CN"/>
        </w:rPr>
        <w:t>。</w:t>
      </w:r>
    </w:p>
    <w:p w14:paraId="687448C9">
      <w:pPr>
        <w:tabs>
          <w:tab w:val="right" w:pos="8306"/>
        </w:tabs>
        <w:spacing w:line="600" w:lineRule="exact"/>
        <w:ind w:firstLine="640"/>
        <w:outlineLvl w:val="1"/>
        <w:rPr>
          <w:rStyle w:val="30"/>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4"/>
      <w:bookmarkEnd w:id="35"/>
      <w:r>
        <w:rPr>
          <w:rStyle w:val="30"/>
          <w:rFonts w:ascii="黑体" w:hAnsi="黑体" w:eastAsia="黑体"/>
          <w:b w:val="0"/>
        </w:rPr>
        <w:tab/>
      </w:r>
    </w:p>
    <w:p w14:paraId="350FCA50">
      <w:pPr>
        <w:spacing w:line="600" w:lineRule="exact"/>
        <w:ind w:firstLine="645"/>
        <w:rPr>
          <w:rFonts w:ascii="仿宋" w:hAnsi="仿宋" w:eastAsia="仿宋"/>
          <w:color w:val="auto"/>
          <w:sz w:val="32"/>
          <w:szCs w:val="32"/>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年度一般公共预算财政拨款基本支出</w:t>
      </w:r>
      <w:r>
        <w:rPr>
          <w:rFonts w:hint="eastAsia" w:ascii="仿宋" w:hAnsi="仿宋" w:eastAsia="仿宋"/>
          <w:color w:val="auto"/>
          <w:sz w:val="32"/>
          <w:szCs w:val="32"/>
          <w:lang w:val="en-US" w:eastAsia="zh-CN"/>
        </w:rPr>
        <w:t>1168.09</w:t>
      </w:r>
      <w:r>
        <w:rPr>
          <w:rFonts w:hint="eastAsia" w:ascii="仿宋" w:hAnsi="仿宋" w:eastAsia="仿宋"/>
          <w:color w:val="auto"/>
          <w:sz w:val="32"/>
          <w:szCs w:val="32"/>
        </w:rPr>
        <w:t>万元，其中：</w:t>
      </w:r>
    </w:p>
    <w:p w14:paraId="5B707627">
      <w:pPr>
        <w:spacing w:line="600" w:lineRule="exact"/>
        <w:ind w:firstLine="645"/>
        <w:rPr>
          <w:rFonts w:ascii="仿宋" w:hAnsi="仿宋" w:eastAsia="仿宋"/>
          <w:sz w:val="32"/>
          <w:szCs w:val="32"/>
        </w:rPr>
      </w:pPr>
      <w:r>
        <w:rPr>
          <w:rFonts w:hint="eastAsia" w:ascii="仿宋" w:hAnsi="仿宋" w:eastAsia="仿宋"/>
          <w:color w:val="auto"/>
          <w:sz w:val="32"/>
          <w:szCs w:val="32"/>
        </w:rPr>
        <w:t>人员经费</w:t>
      </w:r>
      <w:r>
        <w:rPr>
          <w:rFonts w:hint="eastAsia" w:ascii="仿宋" w:hAnsi="仿宋" w:eastAsia="仿宋"/>
          <w:color w:val="auto"/>
          <w:sz w:val="32"/>
          <w:szCs w:val="32"/>
          <w:lang w:val="en-US" w:eastAsia="zh-CN"/>
        </w:rPr>
        <w:t>1149.72</w:t>
      </w:r>
      <w:r>
        <w:rPr>
          <w:rFonts w:hint="eastAsia" w:ascii="仿宋" w:hAnsi="仿宋" w:eastAsia="仿宋"/>
          <w:color w:val="auto"/>
          <w:sz w:val="32"/>
          <w:szCs w:val="32"/>
        </w:rPr>
        <w:t>万元，主要包括：基本工资、津贴补贴、奖</w:t>
      </w:r>
      <w:r>
        <w:rPr>
          <w:rFonts w:hint="eastAsia" w:ascii="仿宋" w:hAnsi="仿宋" w:eastAsia="仿宋"/>
          <w:sz w:val="32"/>
          <w:szCs w:val="32"/>
        </w:rPr>
        <w:t>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18.37</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253FEDC">
      <w:pPr>
        <w:spacing w:line="600" w:lineRule="exact"/>
        <w:ind w:firstLine="640"/>
        <w:outlineLvl w:val="1"/>
        <w:rPr>
          <w:rStyle w:val="30"/>
          <w:rFonts w:ascii="黑体" w:hAnsi="黑体" w:eastAsia="黑体"/>
          <w:b w:val="0"/>
        </w:rPr>
      </w:pPr>
      <w:bookmarkStart w:id="36" w:name="_Toc15377215"/>
      <w:bookmarkStart w:id="37" w:name="_Toc15396609"/>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6"/>
      <w:bookmarkEnd w:id="37"/>
    </w:p>
    <w:p w14:paraId="04B63DF3">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3EC488FB">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w:t>
      </w:r>
      <w:r>
        <w:rPr>
          <w:rFonts w:hint="eastAsia" w:ascii="仿宋" w:hAnsi="仿宋" w:eastAsia="仿宋"/>
          <w:sz w:val="32"/>
          <w:szCs w:val="32"/>
          <w:lang w:val="en-US" w:eastAsia="zh-CN"/>
        </w:rPr>
        <w:t>无变化</w:t>
      </w:r>
      <w:r>
        <w:rPr>
          <w:rFonts w:hint="eastAsia" w:ascii="仿宋" w:hAnsi="仿宋" w:eastAsia="仿宋"/>
          <w:sz w:val="32"/>
          <w:szCs w:val="32"/>
        </w:rPr>
        <w:t>。</w:t>
      </w:r>
    </w:p>
    <w:p w14:paraId="095BA813">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5DB07602">
      <w:pPr>
        <w:spacing w:line="600" w:lineRule="exact"/>
        <w:ind w:firstLine="64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4F728957">
      <w:pPr>
        <w:spacing w:line="600" w:lineRule="exact"/>
        <w:ind w:firstLine="640"/>
        <w:outlineLvl w:val="1"/>
        <w:rPr>
          <w:rStyle w:val="30"/>
          <w:rFonts w:ascii="黑体" w:hAnsi="黑体" w:eastAsia="黑体"/>
        </w:rPr>
      </w:pPr>
      <w:bookmarkStart w:id="40" w:name="_Toc15396610"/>
      <w:bookmarkStart w:id="41" w:name="_Toc15377218"/>
      <w:r>
        <w:rPr>
          <w:rFonts w:hint="eastAsia" w:ascii="黑体" w:eastAsia="黑体"/>
          <w:sz w:val="32"/>
          <w:szCs w:val="32"/>
        </w:rPr>
        <w:t>八、</w:t>
      </w:r>
      <w:r>
        <w:rPr>
          <w:rStyle w:val="30"/>
          <w:rFonts w:hint="eastAsia" w:ascii="黑体" w:hAnsi="黑体" w:eastAsia="黑体"/>
          <w:b w:val="0"/>
        </w:rPr>
        <w:t>政府性基金预算支出决算情况说明</w:t>
      </w:r>
      <w:bookmarkEnd w:id="40"/>
      <w:bookmarkEnd w:id="41"/>
    </w:p>
    <w:p w14:paraId="4611DA24">
      <w:pPr>
        <w:spacing w:line="600" w:lineRule="exact"/>
        <w:ind w:firstLine="640"/>
        <w:rPr>
          <w:rFonts w:hint="default" w:ascii="仿宋_GB2312" w:eastAsia="仿宋_GB2312"/>
          <w:sz w:val="32"/>
          <w:szCs w:val="32"/>
          <w:lang w:val="en-US"/>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rFonts w:hint="eastAsia" w:ascii="仿宋_GB2312" w:eastAsia="仿宋_GB2312"/>
          <w:sz w:val="32"/>
          <w:szCs w:val="32"/>
          <w:lang w:val="en-US" w:eastAsia="zh-CN"/>
        </w:rPr>
        <w:t>10.06</w:t>
      </w:r>
      <w:r>
        <w:rPr>
          <w:rFonts w:hint="eastAsia" w:ascii="仿宋_GB2312" w:eastAsia="仿宋_GB2312"/>
          <w:sz w:val="32"/>
          <w:szCs w:val="32"/>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sz w:val="32"/>
          <w:szCs w:val="32"/>
        </w:rPr>
        <w:t>0.7</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27.59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73.28</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eastAsia="仿宋_GB2312" w:cs="仿宋_GB2312"/>
          <w:color w:val="auto"/>
          <w:kern w:val="2"/>
          <w:sz w:val="32"/>
          <w:szCs w:val="32"/>
          <w:highlight w:val="none"/>
          <w:lang w:val="en-US" w:eastAsia="zh-CN" w:bidi="ar-SA"/>
        </w:rPr>
        <w:t>是今年工程项目资金支出减少。</w:t>
      </w:r>
    </w:p>
    <w:p w14:paraId="74D98606">
      <w:pPr>
        <w:numPr>
          <w:ilvl w:val="0"/>
          <w:numId w:val="3"/>
        </w:numPr>
        <w:spacing w:line="600" w:lineRule="exact"/>
        <w:ind w:firstLine="640"/>
        <w:outlineLvl w:val="1"/>
        <w:rPr>
          <w:rStyle w:val="30"/>
          <w:rFonts w:ascii="黑体" w:hAnsi="黑体" w:eastAsia="黑体"/>
          <w:b w:val="0"/>
        </w:rPr>
      </w:pPr>
      <w:bookmarkStart w:id="42" w:name="_Toc15377219"/>
      <w:bookmarkStart w:id="43" w:name="_Toc15396611"/>
      <w:r>
        <w:rPr>
          <w:rStyle w:val="30"/>
          <w:rFonts w:hint="eastAsia" w:ascii="黑体" w:hAnsi="黑体" w:eastAsia="黑体"/>
          <w:b w:val="0"/>
        </w:rPr>
        <w:t>国有资本经营预算支出决算情况说明</w:t>
      </w:r>
      <w:bookmarkEnd w:id="42"/>
      <w:bookmarkEnd w:id="43"/>
    </w:p>
    <w:p w14:paraId="79F4153B">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27F20DA3">
      <w:pPr>
        <w:numPr>
          <w:ilvl w:val="0"/>
          <w:numId w:val="3"/>
        </w:numPr>
        <w:spacing w:line="600" w:lineRule="exact"/>
        <w:ind w:firstLine="640"/>
        <w:outlineLvl w:val="1"/>
        <w:rPr>
          <w:rStyle w:val="30"/>
          <w:rFonts w:ascii="黑体" w:hAnsi="黑体" w:eastAsia="黑体"/>
          <w:b w:val="0"/>
        </w:rPr>
      </w:pPr>
      <w:bookmarkStart w:id="44" w:name="_Toc15377221"/>
      <w:bookmarkStart w:id="45" w:name="_Toc15396612"/>
      <w:r>
        <w:rPr>
          <w:rStyle w:val="30"/>
          <w:rFonts w:hint="eastAsia" w:ascii="黑体" w:hAnsi="黑体" w:eastAsia="黑体"/>
          <w:b w:val="0"/>
        </w:rPr>
        <w:t>其他重要事项的情况说明</w:t>
      </w:r>
      <w:bookmarkEnd w:id="44"/>
      <w:bookmarkEnd w:id="45"/>
    </w:p>
    <w:p w14:paraId="6E242FD5">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07BE27AF">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年度，峨眉山市龙池镇初级中学校机关运行经费支出</w:t>
      </w:r>
      <w:r>
        <w:rPr>
          <w:rFonts w:ascii="仿宋" w:hAnsi="仿宋" w:eastAsia="仿宋"/>
          <w:b/>
          <w:sz w:val="32"/>
          <w:szCs w:val="32"/>
        </w:rPr>
        <w:t>0</w:t>
      </w:r>
      <w:r>
        <w:rPr>
          <w:rFonts w:hint="eastAsia" w:ascii="仿宋_GB2312" w:eastAsia="仿宋_GB2312"/>
          <w:sz w:val="32"/>
          <w:szCs w:val="32"/>
        </w:rPr>
        <w:t>万元，与202</w:t>
      </w:r>
      <w:r>
        <w:rPr>
          <w:rFonts w:hint="eastAsia" w:ascii="仿宋_GB2312" w:eastAsia="仿宋_GB2312"/>
          <w:sz w:val="32"/>
          <w:szCs w:val="32"/>
          <w:lang w:val="en-US" w:eastAsia="zh-CN"/>
        </w:rPr>
        <w:t>3</w:t>
      </w:r>
      <w:r>
        <w:rPr>
          <w:rFonts w:hint="eastAsia" w:ascii="仿宋_GB2312" w:eastAsia="仿宋_GB2312"/>
          <w:sz w:val="32"/>
          <w:szCs w:val="32"/>
        </w:rPr>
        <w:t>年度决算数持平。</w:t>
      </w:r>
    </w:p>
    <w:p w14:paraId="4A086E69">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651D2CFE">
      <w:pPr>
        <w:spacing w:line="6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度，峨眉山市龙池镇初级中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287FBADF">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649FBA91">
      <w:pPr>
        <w:autoSpaceDE w:val="0"/>
        <w:autoSpaceDN w:val="0"/>
        <w:adjustRightInd w:val="0"/>
        <w:spacing w:line="600" w:lineRule="exact"/>
        <w:ind w:firstLine="640" w:firstLineChars="200"/>
        <w:jc w:val="left"/>
        <w:rPr>
          <w:rFonts w:ascii="仿宋_GB2312" w:eastAsia="仿宋_GB2312"/>
          <w:b w:val="0"/>
          <w:bCs w:val="0"/>
          <w:sz w:val="32"/>
          <w:szCs w:val="32"/>
        </w:rPr>
      </w:pPr>
      <w:r>
        <w:rPr>
          <w:rFonts w:hint="eastAsia" w:ascii="仿宋_GB2312" w:eastAsia="仿宋_GB2312"/>
          <w:b w:val="0"/>
          <w:bCs w:val="0"/>
          <w:sz w:val="32"/>
          <w:szCs w:val="32"/>
        </w:rPr>
        <w:t>截至202</w:t>
      </w:r>
      <w:r>
        <w:rPr>
          <w:rFonts w:hint="eastAsia" w:ascii="仿宋_GB2312" w:eastAsia="仿宋_GB2312"/>
          <w:b w:val="0"/>
          <w:bCs w:val="0"/>
          <w:sz w:val="32"/>
          <w:szCs w:val="32"/>
          <w:lang w:val="en-US" w:eastAsia="zh-CN"/>
        </w:rPr>
        <w:t>4</w:t>
      </w:r>
      <w:r>
        <w:rPr>
          <w:rFonts w:hint="eastAsia" w:ascii="仿宋_GB2312" w:eastAsia="仿宋_GB2312"/>
          <w:b w:val="0"/>
          <w:bCs w:val="0"/>
          <w:sz w:val="32"/>
          <w:szCs w:val="32"/>
        </w:rPr>
        <w:t>年</w:t>
      </w:r>
      <w:r>
        <w:rPr>
          <w:rFonts w:ascii="仿宋_GB2312" w:eastAsia="仿宋_GB2312"/>
          <w:b w:val="0"/>
          <w:bCs w:val="0"/>
          <w:sz w:val="32"/>
          <w:szCs w:val="32"/>
        </w:rPr>
        <w:t>12</w:t>
      </w:r>
      <w:r>
        <w:rPr>
          <w:rFonts w:hint="eastAsia" w:ascii="仿宋_GB2312" w:eastAsia="仿宋_GB2312"/>
          <w:b w:val="0"/>
          <w:bCs w:val="0"/>
          <w:sz w:val="32"/>
          <w:szCs w:val="32"/>
        </w:rPr>
        <w:t>月</w:t>
      </w:r>
      <w:r>
        <w:rPr>
          <w:rFonts w:ascii="仿宋_GB2312" w:eastAsia="仿宋_GB2312"/>
          <w:b w:val="0"/>
          <w:bCs w:val="0"/>
          <w:sz w:val="32"/>
          <w:szCs w:val="32"/>
        </w:rPr>
        <w:t>31</w:t>
      </w:r>
      <w:r>
        <w:rPr>
          <w:rFonts w:hint="eastAsia" w:ascii="仿宋_GB2312" w:eastAsia="仿宋_GB2312"/>
          <w:b w:val="0"/>
          <w:bCs w:val="0"/>
          <w:sz w:val="32"/>
          <w:szCs w:val="32"/>
        </w:rPr>
        <w:t>日，</w:t>
      </w:r>
      <w:r>
        <w:rPr>
          <w:rFonts w:ascii="仿宋_GB2312" w:eastAsia="仿宋_GB2312"/>
          <w:b w:val="0"/>
          <w:bCs w:val="0"/>
          <w:sz w:val="32"/>
          <w:szCs w:val="32"/>
        </w:rPr>
        <w:t>峨眉山市龙池镇初级中学校</w:t>
      </w:r>
      <w:r>
        <w:rPr>
          <w:rFonts w:hint="eastAsia" w:ascii="仿宋_GB2312" w:eastAsia="仿宋_GB2312"/>
          <w:b w:val="0"/>
          <w:bCs w:val="0"/>
          <w:sz w:val="32"/>
          <w:szCs w:val="32"/>
        </w:rPr>
        <w:t>共有车辆0辆，其中：主要领导干部用车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辆、机要通信用车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辆、应急保障用车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辆、其他用车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辆。单价</w:t>
      </w:r>
      <w:r>
        <w:rPr>
          <w:rFonts w:ascii="仿宋_GB2312" w:eastAsia="仿宋_GB2312"/>
          <w:b w:val="0"/>
          <w:bCs w:val="0"/>
          <w:sz w:val="32"/>
          <w:szCs w:val="32"/>
        </w:rPr>
        <w:t>100</w:t>
      </w:r>
      <w:r>
        <w:rPr>
          <w:rFonts w:hint="eastAsia" w:ascii="仿宋_GB2312" w:eastAsia="仿宋_GB2312"/>
          <w:b w:val="0"/>
          <w:bCs w:val="0"/>
          <w:sz w:val="32"/>
          <w:szCs w:val="32"/>
        </w:rPr>
        <w:t>万元以上设备（不含车辆）</w:t>
      </w:r>
      <w:r>
        <w:rPr>
          <w:rFonts w:ascii="仿宋_GB2312" w:eastAsia="仿宋_GB2312"/>
          <w:b w:val="0"/>
          <w:bCs w:val="0"/>
          <w:sz w:val="32"/>
          <w:szCs w:val="32"/>
        </w:rPr>
        <w:t>0</w:t>
      </w:r>
      <w:r>
        <w:rPr>
          <w:rFonts w:hint="eastAsia" w:ascii="仿宋_GB2312" w:eastAsia="仿宋_GB2312"/>
          <w:b w:val="0"/>
          <w:bCs w:val="0"/>
          <w:sz w:val="32"/>
          <w:szCs w:val="32"/>
        </w:rPr>
        <w:t>台（套）。</w:t>
      </w:r>
    </w:p>
    <w:p w14:paraId="47960E6E">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4D3CF730">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根据预算绩效管理要求，本单位在202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年度预算编制阶段，组织对</w:t>
      </w:r>
      <w:r>
        <w:rPr>
          <w:rFonts w:hint="eastAsia" w:ascii="仿宋_GB2312" w:eastAsia="仿宋_GB2312"/>
          <w:sz w:val="32"/>
          <w:szCs w:val="32"/>
          <w:highlight w:val="none"/>
          <w:lang w:val="en-US" w:eastAsia="zh-CN"/>
        </w:rPr>
        <w:t>峨眉山市龙池镇初级中学校城乡义务教育公用经费</w:t>
      </w:r>
      <w:r>
        <w:rPr>
          <w:rFonts w:hint="eastAsia" w:ascii="仿宋_GB2312" w:eastAsia="仿宋_GB2312"/>
          <w:sz w:val="32"/>
          <w:szCs w:val="32"/>
          <w:highlight w:val="none"/>
        </w:rPr>
        <w:t>项目等</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个项目开展了预算事前绩效评估，对</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个项目编制了绩效目标，预算执行过程中，选取</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个项目开展绩效监控，组织对</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个项目开展绩效自评，绩效自评表详见第四部分附件。</w:t>
      </w:r>
    </w:p>
    <w:p w14:paraId="6871D58B">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4A7F4013">
      <w:pPr>
        <w:numPr>
          <w:ilvl w:val="0"/>
          <w:numId w:val="4"/>
        </w:numPr>
        <w:spacing w:line="600" w:lineRule="exact"/>
        <w:ind w:firstLine="660" w:firstLineChars="150"/>
        <w:jc w:val="center"/>
        <w:outlineLvl w:val="0"/>
        <w:rPr>
          <w:rStyle w:val="29"/>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9"/>
          <w:rFonts w:hint="eastAsia" w:ascii="黑体" w:hAnsi="黑体" w:eastAsia="黑体"/>
          <w:b w:val="0"/>
        </w:rPr>
        <w:t>词解释</w:t>
      </w:r>
      <w:bookmarkEnd w:id="49"/>
      <w:bookmarkEnd w:id="50"/>
    </w:p>
    <w:p w14:paraId="505E1CBD">
      <w:pPr>
        <w:spacing w:line="600" w:lineRule="exact"/>
        <w:jc w:val="left"/>
        <w:rPr>
          <w:rFonts w:ascii="宋体"/>
          <w:b/>
          <w:sz w:val="44"/>
          <w:szCs w:val="44"/>
        </w:rPr>
      </w:pPr>
    </w:p>
    <w:p w14:paraId="1980EA54">
      <w:pPr>
        <w:pStyle w:val="27"/>
        <w:spacing w:line="560" w:lineRule="exact"/>
        <w:ind w:firstLine="640" w:firstLineChars="200"/>
        <w:rPr>
          <w:rFonts w:ascii="仿宋_GB2312" w:eastAsia="仿宋_GB2312"/>
          <w:color w:val="auto"/>
          <w:sz w:val="32"/>
          <w:szCs w:val="32"/>
        </w:rPr>
      </w:pPr>
      <w:bookmarkStart w:id="51"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1C8D700">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65E1C0D6">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6EF3ACA4">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6ACAE98E">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w:t>
      </w:r>
      <w:r>
        <w:rPr>
          <w:rFonts w:hint="eastAsia" w:ascii="仿宋_GB2312" w:eastAsia="仿宋_GB2312"/>
          <w:color w:val="auto"/>
          <w:sz w:val="32"/>
          <w:szCs w:val="32"/>
          <w:lang w:eastAsia="zh-CN"/>
        </w:rPr>
        <w:t>（含专用结余）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65E5CB95">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2284E7B9">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73C291AD">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32CB82BC">
      <w:pPr>
        <w:spacing w:line="580" w:lineRule="exact"/>
        <w:ind w:firstLine="640" w:firstLineChars="200"/>
        <w:rPr>
          <w:rFonts w:hint="default" w:ascii="仿宋_GB2312" w:eastAsia="仿宋_GB2312"/>
          <w:sz w:val="32"/>
          <w:szCs w:val="32"/>
          <w:lang w:val="en-US" w:eastAsia="zh-CN"/>
        </w:rPr>
      </w:pPr>
      <w:r>
        <w:rPr>
          <w:rFonts w:ascii="仿宋_GB2312" w:eastAsia="仿宋_GB2312"/>
          <w:sz w:val="32"/>
          <w:szCs w:val="32"/>
        </w:rPr>
        <w:t>9.</w:t>
      </w:r>
      <w:r>
        <w:rPr>
          <w:rFonts w:hint="eastAsia" w:ascii="仿宋_GB2312" w:eastAsia="仿宋_GB2312"/>
          <w:sz w:val="32"/>
          <w:szCs w:val="32"/>
        </w:rPr>
        <w:t>教育支出（类）普通教育（款）初中教育（项）:指反映各部门举办的初中教育支出。</w:t>
      </w:r>
      <w:r>
        <w:rPr>
          <w:rFonts w:hint="eastAsia" w:ascii="仿宋_GB2312" w:eastAsia="仿宋_GB2312"/>
          <w:sz w:val="32"/>
          <w:szCs w:val="32"/>
          <w:lang w:eastAsia="zh-CN"/>
        </w:rPr>
        <w:t>政府各部门对社会组织等举办的初中的资助，如捐赠、补贴等。</w:t>
      </w:r>
    </w:p>
    <w:p w14:paraId="1F9244A1">
      <w:pPr>
        <w:spacing w:line="58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教育支出（类）普通教育（款）其他普通教育支出（项）:指反映除上述项目以外其他用于普通教育方面的支出。</w:t>
      </w:r>
    </w:p>
    <w:p w14:paraId="74529B75">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.社会保障和就业支出（类）</w:t>
      </w:r>
      <w:r>
        <w:rPr>
          <w:rFonts w:hint="eastAsia" w:ascii="仿宋_GB2312" w:hAnsi="Times New Roman" w:eastAsia="仿宋_GB2312" w:cs="Times New Roman"/>
          <w:sz w:val="32"/>
          <w:szCs w:val="32"/>
        </w:rPr>
        <w:t>行政事业单位</w:t>
      </w:r>
      <w:r>
        <w:rPr>
          <w:rFonts w:hint="eastAsia" w:ascii="仿宋_GB2312" w:hAnsi="Times New Roman" w:eastAsia="仿宋_GB2312" w:cs="Times New Roman"/>
          <w:sz w:val="32"/>
          <w:szCs w:val="32"/>
          <w:lang w:eastAsia="zh-CN"/>
        </w:rPr>
        <w:t>养老</w:t>
      </w:r>
      <w:r>
        <w:rPr>
          <w:rFonts w:hint="eastAsia" w:ascii="仿宋_GB2312" w:hAnsi="Times New Roman" w:eastAsia="仿宋_GB2312" w:cs="Times New Roman"/>
          <w:sz w:val="32"/>
          <w:szCs w:val="32"/>
        </w:rPr>
        <w:t>（款）机关事业单位基本养老保险缴费支出（项）: 指反映机</w:t>
      </w:r>
      <w:r>
        <w:rPr>
          <w:rFonts w:hint="eastAsia" w:ascii="仿宋_GB2312" w:eastAsia="仿宋_GB2312"/>
          <w:sz w:val="32"/>
          <w:szCs w:val="32"/>
        </w:rPr>
        <w:t>关事业单位实施养老保险制度由单位缴纳的基本养老保险费支出。</w:t>
      </w:r>
    </w:p>
    <w:p w14:paraId="73AAE70A">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（款）机关事业单位职业年金缴费支出（项）: 指反映机关事业单位实施养老保险制度由单位缴纳的职业年金支出。</w:t>
      </w:r>
    </w:p>
    <w:p w14:paraId="108B1FD6">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.社会保障和就业支出（类）抚恤（款）死亡抚恤（项）:指反映按规定用于烈士和牺牲、病故人员家属的一次性和定期抚恤金</w:t>
      </w:r>
      <w:r>
        <w:rPr>
          <w:rFonts w:hint="eastAsia" w:ascii="仿宋_GB2312" w:eastAsia="仿宋_GB2312"/>
          <w:sz w:val="32"/>
          <w:szCs w:val="32"/>
          <w:lang w:eastAsia="zh-CN"/>
        </w:rPr>
        <w:t>、</w:t>
      </w:r>
      <w:r>
        <w:rPr>
          <w:rFonts w:hint="eastAsia" w:ascii="仿宋_GB2312" w:eastAsia="仿宋_GB2312"/>
          <w:sz w:val="32"/>
          <w:szCs w:val="32"/>
        </w:rPr>
        <w:t>丧葬补助费</w:t>
      </w:r>
      <w:r>
        <w:rPr>
          <w:rFonts w:hint="eastAsia" w:ascii="仿宋_GB2312" w:eastAsia="仿宋_GB2312"/>
          <w:sz w:val="32"/>
          <w:szCs w:val="32"/>
          <w:lang w:eastAsia="zh-CN"/>
        </w:rPr>
        <w:t>以及烈士褒扬金</w:t>
      </w:r>
      <w:r>
        <w:rPr>
          <w:rFonts w:hint="eastAsia" w:ascii="仿宋_GB2312" w:eastAsia="仿宋_GB2312"/>
          <w:sz w:val="32"/>
          <w:szCs w:val="32"/>
        </w:rPr>
        <w:t>。</w:t>
      </w:r>
    </w:p>
    <w:p w14:paraId="355031FA">
      <w:pPr>
        <w:pStyle w:val="8"/>
        <w:ind w:firstLine="640" w:firstLineChars="200"/>
      </w:pPr>
      <w:r>
        <w:rPr>
          <w:rFonts w:hint="eastAsia" w:ascii="仿宋_GB2312" w:eastAsia="仿宋_GB2312"/>
          <w:sz w:val="32"/>
          <w:szCs w:val="32"/>
          <w:lang w:val="en-US" w:eastAsia="zh-CN"/>
        </w:rPr>
        <w:t>1</w:t>
      </w:r>
      <w:r>
        <w:rPr>
          <w:rFonts w:hint="eastAsia"/>
          <w:sz w:val="32"/>
          <w:szCs w:val="32"/>
          <w:lang w:val="en-US" w:eastAsia="zh-CN"/>
        </w:rPr>
        <w:t>4</w:t>
      </w:r>
      <w:r>
        <w:rPr>
          <w:rFonts w:hint="eastAsia" w:ascii="仿宋_GB2312" w:eastAsia="仿宋_GB2312"/>
          <w:sz w:val="32"/>
          <w:szCs w:val="32"/>
        </w:rPr>
        <w:t>.社会保障和就业支出（类）抚恤（款）</w:t>
      </w:r>
      <w:r>
        <w:rPr>
          <w:rFonts w:hint="eastAsia"/>
          <w:sz w:val="32"/>
          <w:szCs w:val="32"/>
          <w:lang w:val="en-US" w:eastAsia="zh-CN"/>
        </w:rPr>
        <w:t>其他优抚支出</w:t>
      </w:r>
      <w:r>
        <w:rPr>
          <w:rFonts w:hint="eastAsia" w:ascii="仿宋_GB2312" w:eastAsia="仿宋_GB2312"/>
          <w:sz w:val="32"/>
          <w:szCs w:val="32"/>
        </w:rPr>
        <w:t>（项）:指反映按规定用于</w:t>
      </w:r>
      <w:r>
        <w:rPr>
          <w:rFonts w:hint="eastAsia"/>
          <w:sz w:val="32"/>
          <w:szCs w:val="32"/>
          <w:lang w:val="en-US" w:eastAsia="zh-CN"/>
        </w:rPr>
        <w:t>死亡</w:t>
      </w:r>
      <w:r>
        <w:rPr>
          <w:rFonts w:hint="eastAsia" w:ascii="仿宋_GB2312" w:eastAsia="仿宋_GB2312"/>
          <w:sz w:val="32"/>
          <w:szCs w:val="32"/>
        </w:rPr>
        <w:t>人员家属的</w:t>
      </w:r>
      <w:r>
        <w:rPr>
          <w:rFonts w:hint="eastAsia"/>
          <w:sz w:val="32"/>
          <w:szCs w:val="32"/>
          <w:lang w:val="en-US" w:eastAsia="zh-CN"/>
        </w:rPr>
        <w:t>生活</w:t>
      </w:r>
      <w:r>
        <w:rPr>
          <w:rFonts w:hint="eastAsia" w:ascii="仿宋_GB2312" w:eastAsia="仿宋_GB2312"/>
          <w:sz w:val="32"/>
          <w:szCs w:val="32"/>
        </w:rPr>
        <w:t>补助费。</w:t>
      </w:r>
    </w:p>
    <w:p w14:paraId="64BD3760">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其他社会保障就业支出</w:t>
      </w:r>
      <w:r>
        <w:rPr>
          <w:rFonts w:hint="eastAsia" w:ascii="仿宋_GB2312" w:eastAsia="仿宋_GB2312"/>
          <w:sz w:val="32"/>
          <w:szCs w:val="32"/>
        </w:rPr>
        <w:t>（款）</w:t>
      </w:r>
      <w:r>
        <w:rPr>
          <w:rFonts w:hint="eastAsia" w:ascii="仿宋_GB2312" w:eastAsia="仿宋_GB2312"/>
          <w:sz w:val="32"/>
          <w:szCs w:val="32"/>
          <w:lang w:eastAsia="zh-CN"/>
        </w:rPr>
        <w:t>其他社会保障就业支出</w:t>
      </w:r>
      <w:r>
        <w:rPr>
          <w:rFonts w:hint="eastAsia" w:ascii="仿宋_GB2312" w:eastAsia="仿宋_GB2312"/>
          <w:sz w:val="32"/>
          <w:szCs w:val="32"/>
        </w:rPr>
        <w:t>（项）:指反映除上述项目以外</w:t>
      </w:r>
      <w:r>
        <w:rPr>
          <w:rFonts w:hint="eastAsia" w:ascii="仿宋_GB2312" w:eastAsia="仿宋_GB2312"/>
          <w:sz w:val="32"/>
          <w:szCs w:val="32"/>
          <w:lang w:eastAsia="zh-CN"/>
        </w:rPr>
        <w:t>其他用于社会保障和就业方面的</w:t>
      </w:r>
      <w:r>
        <w:rPr>
          <w:rFonts w:hint="eastAsia" w:ascii="仿宋_GB2312" w:eastAsia="仿宋_GB2312"/>
          <w:sz w:val="32"/>
          <w:szCs w:val="32"/>
        </w:rPr>
        <w:t>支出。</w:t>
      </w:r>
    </w:p>
    <w:p w14:paraId="2691F5D6">
      <w:pPr>
        <w:spacing w:line="58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.卫生健康支出（类）行政事业单位医疗（款）</w:t>
      </w:r>
      <w:r>
        <w:rPr>
          <w:rFonts w:hint="eastAsia" w:ascii="仿宋_GB2312" w:eastAsia="仿宋_GB2312"/>
          <w:sz w:val="32"/>
          <w:szCs w:val="32"/>
          <w:lang w:val="en-US" w:eastAsia="zh-CN"/>
        </w:rPr>
        <w:t>事业</w:t>
      </w:r>
      <w:r>
        <w:rPr>
          <w:rFonts w:hint="eastAsia" w:ascii="仿宋_GB2312" w:eastAsia="仿宋_GB2312"/>
          <w:sz w:val="32"/>
          <w:szCs w:val="32"/>
        </w:rPr>
        <w:t>单位医疗（项）:指反映</w:t>
      </w:r>
      <w:r>
        <w:rPr>
          <w:rFonts w:hint="eastAsia" w:ascii="仿宋_GB2312" w:hAnsi="Times New Roman" w:eastAsia="仿宋_GB2312" w:cs="Times New Roman"/>
          <w:sz w:val="32"/>
          <w:szCs w:val="32"/>
          <w:lang w:eastAsia="zh-CN"/>
        </w:rPr>
        <w:t>财政总计</w:t>
      </w:r>
      <w:r>
        <w:rPr>
          <w:rFonts w:hint="eastAsia" w:ascii="仿宋_GB2312" w:hAnsi="Times New Roman" w:eastAsia="仿宋_GB2312" w:cs="Times New Roman"/>
          <w:sz w:val="32"/>
          <w:szCs w:val="32"/>
          <w:lang w:val="en-US" w:eastAsia="zh-CN"/>
        </w:rPr>
        <w:t>安排的</w:t>
      </w:r>
      <w:r>
        <w:rPr>
          <w:rFonts w:hint="eastAsia" w:ascii="仿宋_GB2312" w:eastAsia="仿宋_GB2312"/>
          <w:sz w:val="32"/>
          <w:szCs w:val="32"/>
          <w:lang w:eastAsia="zh-CN"/>
        </w:rPr>
        <w:t>单位</w:t>
      </w:r>
      <w:r>
        <w:rPr>
          <w:rFonts w:hint="eastAsia" w:ascii="仿宋_GB2312" w:eastAsia="仿宋_GB2312"/>
          <w:sz w:val="32"/>
          <w:szCs w:val="32"/>
        </w:rPr>
        <w:t>基本医疗保险经费。</w:t>
      </w:r>
    </w:p>
    <w:p w14:paraId="55534CD8">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.住房保障支出（类）住房改革支出（款）住房公积金（项）: 指反映行政事业单位按人力资源和社会保障部、财政部规定的基本工资和津贴补贴以及规定比例为职工缴纳的住房公积金。</w:t>
      </w:r>
    </w:p>
    <w:p w14:paraId="32FE2B2F">
      <w:pPr>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10DF5B18">
      <w:pPr>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60CA2194">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56D7B16">
      <w:pPr>
        <w:spacing w:line="600" w:lineRule="exact"/>
        <w:ind w:firstLine="640" w:firstLineChars="200"/>
        <w:jc w:val="left"/>
        <w:outlineLvl w:val="0"/>
        <w:rPr>
          <w:rStyle w:val="29"/>
          <w:rFonts w:hint="eastAsia" w:ascii="黑体" w:hAnsi="黑体" w:eastAsia="黑体"/>
          <w:b w:val="0"/>
        </w:rPr>
      </w:pPr>
      <w:r>
        <w:rPr>
          <w:rFonts w:hint="eastAsia" w:ascii="仿宋_GB2312" w:eastAsia="仿宋_GB2312"/>
          <w:color w:val="auto"/>
          <w:sz w:val="32"/>
          <w:szCs w:val="32"/>
          <w:lang w:val="en-US" w:eastAsia="zh-CN"/>
        </w:rPr>
        <w:t>21</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宋体"/>
          <w:b/>
          <w:sz w:val="44"/>
          <w:szCs w:val="44"/>
        </w:rPr>
        <w:br w:type="page"/>
      </w:r>
      <w:bookmarkStart w:id="52" w:name="_Toc15396614"/>
      <w:r>
        <w:rPr>
          <w:rFonts w:hint="eastAsia" w:ascii="黑体" w:hAnsi="黑体" w:eastAsia="黑体"/>
          <w:sz w:val="44"/>
          <w:szCs w:val="44"/>
        </w:rPr>
        <w:t>第</w:t>
      </w:r>
      <w:r>
        <w:rPr>
          <w:rStyle w:val="29"/>
          <w:rFonts w:hint="eastAsia" w:ascii="黑体" w:hAnsi="黑体" w:eastAsia="黑体"/>
          <w:b w:val="0"/>
        </w:rPr>
        <w:t>四部分 附件</w:t>
      </w:r>
      <w:bookmarkEnd w:id="52"/>
    </w:p>
    <w:tbl>
      <w:tblPr>
        <w:tblStyle w:val="16"/>
        <w:tblW w:w="96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1"/>
        <w:gridCol w:w="1146"/>
        <w:gridCol w:w="1000"/>
        <w:gridCol w:w="327"/>
        <w:gridCol w:w="786"/>
        <w:gridCol w:w="189"/>
        <w:gridCol w:w="326"/>
        <w:gridCol w:w="274"/>
        <w:gridCol w:w="502"/>
        <w:gridCol w:w="533"/>
        <w:gridCol w:w="994"/>
        <w:gridCol w:w="881"/>
        <w:gridCol w:w="885"/>
        <w:gridCol w:w="1035"/>
      </w:tblGrid>
      <w:tr w14:paraId="2B041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64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B61F4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部门预算项目支出绩效自评表（2024年度）</w:t>
            </w:r>
          </w:p>
        </w:tc>
      </w:tr>
      <w:tr w14:paraId="40AA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B44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7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E0CF5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51118123T000007903462-公办学校安保经费</w:t>
            </w:r>
          </w:p>
        </w:tc>
      </w:tr>
      <w:tr w14:paraId="5586E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6776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A6A4B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教育局</w:t>
            </w:r>
          </w:p>
        </w:tc>
        <w:tc>
          <w:tcPr>
            <w:tcW w:w="994" w:type="dxa"/>
            <w:tcBorders>
              <w:top w:val="nil"/>
              <w:left w:val="nil"/>
              <w:bottom w:val="nil"/>
              <w:right w:val="nil"/>
            </w:tcBorders>
            <w:shd w:val="clear" w:color="auto" w:fill="auto"/>
            <w:vAlign w:val="center"/>
          </w:tcPr>
          <w:p w14:paraId="357F415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 （盖章）</w:t>
            </w:r>
          </w:p>
        </w:tc>
        <w:tc>
          <w:tcPr>
            <w:tcW w:w="2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661C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峨眉山市龙池镇初级中学校</w:t>
            </w:r>
          </w:p>
        </w:tc>
      </w:tr>
      <w:tr w14:paraId="6A72B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4627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项目基本情况</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F6F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1.项目年度目标完成情况</w:t>
            </w:r>
          </w:p>
        </w:tc>
        <w:tc>
          <w:tcPr>
            <w:tcW w:w="3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A373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项目年度目标</w:t>
            </w:r>
          </w:p>
        </w:tc>
        <w:tc>
          <w:tcPr>
            <w:tcW w:w="3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AFAD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年度目标完成情况</w:t>
            </w:r>
          </w:p>
        </w:tc>
      </w:tr>
      <w:tr w14:paraId="3262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B03DD">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8889F">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3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C56CE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目标1：维护学校安全秩序，保障学校师生财产和人身安全。　　　　　　　　　　　                                                           目标2：保障安保人员和宿管人员经费按时足额发放，维护安保和宿管人员稳定。</w:t>
            </w:r>
          </w:p>
        </w:tc>
        <w:tc>
          <w:tcPr>
            <w:tcW w:w="3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2433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完成年度目标</w:t>
            </w:r>
          </w:p>
        </w:tc>
      </w:tr>
      <w:tr w14:paraId="3F83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9B4B3">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E0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2.项目实施内容及过程概述</w:t>
            </w:r>
          </w:p>
        </w:tc>
        <w:tc>
          <w:tcPr>
            <w:tcW w:w="77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FABFF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据学校安保方案安排安保人员工作，按月发放安保人员经费，按月为安保人员购买社会保险。</w:t>
            </w:r>
          </w:p>
        </w:tc>
      </w:tr>
      <w:tr w14:paraId="3F404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A2F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预算执行情况（10分）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C4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02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48F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调整后预算数</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8FF3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预算执行数</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FF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58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A7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21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原因</w:t>
            </w:r>
          </w:p>
        </w:tc>
      </w:tr>
      <w:tr w14:paraId="1C6C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6D6C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B0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E8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23C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28.22</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2014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75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A9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C007">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10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31CCF">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iCs/>
                <w:color w:val="000000"/>
                <w:sz w:val="16"/>
                <w:szCs w:val="16"/>
                <w:u w:val="none"/>
              </w:rPr>
            </w:pPr>
          </w:p>
        </w:tc>
      </w:tr>
      <w:tr w14:paraId="1D8F2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2FC2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F3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6A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52B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28.22</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15FB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79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58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3B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98D5F">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iCs/>
                <w:color w:val="000000"/>
                <w:sz w:val="16"/>
                <w:szCs w:val="16"/>
                <w:u w:val="none"/>
              </w:rPr>
            </w:pPr>
          </w:p>
        </w:tc>
      </w:tr>
      <w:tr w14:paraId="0124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A0DF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CA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财政专户管理资金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B5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89E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8F98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FA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66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0F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F639E">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iCs/>
                <w:color w:val="000000"/>
                <w:sz w:val="16"/>
                <w:szCs w:val="16"/>
                <w:u w:val="none"/>
              </w:rPr>
            </w:pPr>
          </w:p>
        </w:tc>
      </w:tr>
      <w:tr w14:paraId="38957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01BD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4E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DE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64D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A653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3C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4D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B4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55202">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iCs/>
                <w:color w:val="000000"/>
                <w:sz w:val="16"/>
                <w:szCs w:val="16"/>
                <w:u w:val="none"/>
              </w:rPr>
            </w:pPr>
          </w:p>
        </w:tc>
      </w:tr>
      <w:tr w14:paraId="3402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E653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F6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B68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2953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C5598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CD2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C2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4E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446A2">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iCs/>
                <w:color w:val="000000"/>
                <w:sz w:val="16"/>
                <w:szCs w:val="16"/>
                <w:u w:val="none"/>
              </w:rPr>
            </w:pPr>
          </w:p>
        </w:tc>
      </w:tr>
      <w:tr w14:paraId="56EB4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316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C9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29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909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FE4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指标性质</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36E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B7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度量单位</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2E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完成值</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5E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DA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7F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未完成原因分析</w:t>
            </w:r>
          </w:p>
        </w:tc>
      </w:tr>
      <w:tr w14:paraId="1021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E5B0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9A5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5F3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A1A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配备安保人员和宿管人员数量</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BC3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743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73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FD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10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71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1B7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677A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742E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5413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302E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291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学生人数318人，增减率控制范围</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A9F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BDA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BA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67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56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98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B27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6D5C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DFC5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11D6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C122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06A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足额保障率</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10D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FF2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6B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0D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90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15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595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451C7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F78C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E718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D6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0C7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保障学校师生人身及财产安全</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F44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01B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13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E8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62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70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48D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15F12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F37A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C261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88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825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资金拨付周期</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898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2A2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2A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0D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F3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00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C3B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48DEB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8B7D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942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AC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21F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维持校园安全稳定，创造良好的校园安全环境</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168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13C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5FD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64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85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88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F50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4C30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BE21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E776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98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可持续发展指标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293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确保学校安保工作的持续开展，逐年提升校园安保水平</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3AF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D3B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36C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F4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3B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B6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53D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3735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46C9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30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9C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D63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师生及家长对校园安全工作的满意度</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FA1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1D5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67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B8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3E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3B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C41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61EB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8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8D35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4B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8FB3">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6266">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r>
      <w:tr w14:paraId="5ECF0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10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评价结论</w:t>
            </w:r>
          </w:p>
        </w:tc>
        <w:tc>
          <w:tcPr>
            <w:tcW w:w="887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628B0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全面完成年度目标，综合自评分100分</w:t>
            </w:r>
          </w:p>
        </w:tc>
      </w:tr>
      <w:tr w14:paraId="30E4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28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存在问题</w:t>
            </w:r>
          </w:p>
        </w:tc>
        <w:tc>
          <w:tcPr>
            <w:tcW w:w="887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53841BB">
            <w:pPr>
              <w:keepNext w:val="0"/>
              <w:keepLines w:val="0"/>
              <w:pageBreakBefore w:val="0"/>
              <w:widowControl/>
              <w:kinsoku/>
              <w:wordWrap/>
              <w:overflowPunct/>
              <w:topLinePunct w:val="0"/>
              <w:autoSpaceDE/>
              <w:autoSpaceDN/>
              <w:bidi w:val="0"/>
              <w:adjustRightInd w:val="0"/>
              <w:snapToGrid w:val="0"/>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无</w:t>
            </w:r>
          </w:p>
        </w:tc>
      </w:tr>
      <w:tr w14:paraId="0DAB3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B9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改进措施</w:t>
            </w:r>
          </w:p>
        </w:tc>
        <w:tc>
          <w:tcPr>
            <w:tcW w:w="887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722691E">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无</w:t>
            </w:r>
          </w:p>
        </w:tc>
      </w:tr>
      <w:tr w14:paraId="3A79B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45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5B62E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项目负责人：李明</w:t>
            </w:r>
          </w:p>
        </w:tc>
        <w:tc>
          <w:tcPr>
            <w:tcW w:w="51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C26EA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财务负责人：华玲</w:t>
            </w:r>
          </w:p>
        </w:tc>
      </w:tr>
      <w:tr w14:paraId="0940F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71" w:type="dxa"/>
            <w:tcBorders>
              <w:top w:val="nil"/>
              <w:left w:val="nil"/>
              <w:bottom w:val="nil"/>
              <w:right w:val="nil"/>
            </w:tcBorders>
            <w:shd w:val="clear" w:color="auto" w:fill="auto"/>
            <w:vAlign w:val="center"/>
          </w:tcPr>
          <w:p w14:paraId="3F63E9BC">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46" w:type="dxa"/>
            <w:tcBorders>
              <w:top w:val="nil"/>
              <w:left w:val="nil"/>
              <w:bottom w:val="nil"/>
              <w:right w:val="nil"/>
            </w:tcBorders>
            <w:shd w:val="clear" w:color="auto" w:fill="auto"/>
            <w:vAlign w:val="center"/>
          </w:tcPr>
          <w:p w14:paraId="221F17AF">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000" w:type="dxa"/>
            <w:tcBorders>
              <w:top w:val="nil"/>
              <w:left w:val="nil"/>
              <w:bottom w:val="nil"/>
              <w:right w:val="nil"/>
            </w:tcBorders>
            <w:shd w:val="clear" w:color="auto" w:fill="auto"/>
            <w:vAlign w:val="center"/>
          </w:tcPr>
          <w:p w14:paraId="67E3098D">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13" w:type="dxa"/>
            <w:gridSpan w:val="2"/>
            <w:tcBorders>
              <w:top w:val="nil"/>
              <w:left w:val="nil"/>
              <w:bottom w:val="nil"/>
              <w:right w:val="nil"/>
            </w:tcBorders>
            <w:shd w:val="clear" w:color="auto" w:fill="auto"/>
            <w:vAlign w:val="center"/>
          </w:tcPr>
          <w:p w14:paraId="5B8DA5C4">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515" w:type="dxa"/>
            <w:gridSpan w:val="2"/>
            <w:tcBorders>
              <w:top w:val="nil"/>
              <w:left w:val="nil"/>
              <w:bottom w:val="nil"/>
              <w:right w:val="nil"/>
            </w:tcBorders>
            <w:shd w:val="clear" w:color="auto" w:fill="auto"/>
            <w:vAlign w:val="center"/>
          </w:tcPr>
          <w:p w14:paraId="77EE8BD0">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776" w:type="dxa"/>
            <w:gridSpan w:val="2"/>
            <w:tcBorders>
              <w:top w:val="nil"/>
              <w:left w:val="nil"/>
              <w:bottom w:val="nil"/>
              <w:right w:val="nil"/>
            </w:tcBorders>
            <w:shd w:val="clear" w:color="auto" w:fill="auto"/>
            <w:vAlign w:val="center"/>
          </w:tcPr>
          <w:p w14:paraId="7609413A">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533" w:type="dxa"/>
            <w:tcBorders>
              <w:top w:val="nil"/>
              <w:left w:val="nil"/>
              <w:bottom w:val="nil"/>
              <w:right w:val="nil"/>
            </w:tcBorders>
            <w:shd w:val="clear" w:color="auto" w:fill="auto"/>
            <w:vAlign w:val="center"/>
          </w:tcPr>
          <w:p w14:paraId="2F5685CB">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994" w:type="dxa"/>
            <w:tcBorders>
              <w:top w:val="nil"/>
              <w:left w:val="nil"/>
              <w:bottom w:val="nil"/>
              <w:right w:val="nil"/>
            </w:tcBorders>
            <w:shd w:val="clear" w:color="auto" w:fill="auto"/>
            <w:vAlign w:val="center"/>
          </w:tcPr>
          <w:p w14:paraId="27FDC51D">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881" w:type="dxa"/>
            <w:tcBorders>
              <w:top w:val="nil"/>
              <w:left w:val="nil"/>
              <w:bottom w:val="nil"/>
              <w:right w:val="nil"/>
            </w:tcBorders>
            <w:shd w:val="clear" w:color="auto" w:fill="auto"/>
            <w:vAlign w:val="center"/>
          </w:tcPr>
          <w:p w14:paraId="75056986">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885" w:type="dxa"/>
            <w:tcBorders>
              <w:top w:val="nil"/>
              <w:left w:val="nil"/>
              <w:bottom w:val="nil"/>
              <w:right w:val="nil"/>
            </w:tcBorders>
            <w:shd w:val="clear" w:color="auto" w:fill="auto"/>
            <w:vAlign w:val="center"/>
          </w:tcPr>
          <w:p w14:paraId="438F889E">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035" w:type="dxa"/>
            <w:tcBorders>
              <w:top w:val="nil"/>
              <w:left w:val="nil"/>
              <w:bottom w:val="nil"/>
              <w:right w:val="nil"/>
            </w:tcBorders>
            <w:shd w:val="clear" w:color="auto" w:fill="auto"/>
            <w:vAlign w:val="center"/>
          </w:tcPr>
          <w:p w14:paraId="269CA469">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r>
      <w:tr w14:paraId="729AA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4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842E8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28"/>
                <w:szCs w:val="28"/>
                <w:u w:val="none"/>
                <w:lang w:val="en-US" w:eastAsia="zh-CN" w:bidi="ar"/>
              </w:rPr>
              <w:t>部门预算项目支出绩效自评表（2024年度）</w:t>
            </w:r>
          </w:p>
        </w:tc>
      </w:tr>
      <w:tr w14:paraId="329DF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97CA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7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8BF4F3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51118123T000007904955-学校骨干教师经费</w:t>
            </w:r>
          </w:p>
        </w:tc>
      </w:tr>
      <w:tr w14:paraId="6045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0F7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C6750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教育局</w:t>
            </w:r>
          </w:p>
        </w:tc>
        <w:tc>
          <w:tcPr>
            <w:tcW w:w="994" w:type="dxa"/>
            <w:tcBorders>
              <w:top w:val="nil"/>
              <w:left w:val="nil"/>
              <w:bottom w:val="nil"/>
              <w:right w:val="nil"/>
            </w:tcBorders>
            <w:shd w:val="clear" w:color="auto" w:fill="auto"/>
            <w:vAlign w:val="center"/>
          </w:tcPr>
          <w:p w14:paraId="45BB31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 （盖章）</w:t>
            </w:r>
          </w:p>
        </w:tc>
        <w:tc>
          <w:tcPr>
            <w:tcW w:w="2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360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峨眉山市龙池镇初级中学校</w:t>
            </w:r>
          </w:p>
        </w:tc>
      </w:tr>
      <w:tr w14:paraId="6D015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16B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项目基本情况</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CEAE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1.项目年度目标完成情况</w:t>
            </w:r>
          </w:p>
        </w:tc>
        <w:tc>
          <w:tcPr>
            <w:tcW w:w="3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F8C9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项目年度目标</w:t>
            </w:r>
          </w:p>
        </w:tc>
        <w:tc>
          <w:tcPr>
            <w:tcW w:w="3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586B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年度目标完成情况</w:t>
            </w:r>
          </w:p>
        </w:tc>
      </w:tr>
      <w:tr w14:paraId="4FA00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CF7A2">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51343">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3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3176A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目标1：起到骨干教师领头作用，提升校内教师队伍的素质和能力。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目标2：提升教育教学水平，推进教育事业发展。</w:t>
            </w:r>
          </w:p>
        </w:tc>
        <w:tc>
          <w:tcPr>
            <w:tcW w:w="3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9A4F4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完成年度目标</w:t>
            </w:r>
          </w:p>
        </w:tc>
      </w:tr>
      <w:tr w14:paraId="05958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89C4E">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095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2.项目实施内容及过程概述</w:t>
            </w:r>
          </w:p>
        </w:tc>
        <w:tc>
          <w:tcPr>
            <w:tcW w:w="77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E6929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保障骨干教师经费</w:t>
            </w:r>
          </w:p>
        </w:tc>
      </w:tr>
      <w:tr w14:paraId="3D4F0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E06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预算执行情况（10分）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5D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3A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1E1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调整后预算数</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17EB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预算执行数</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D2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79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92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B7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原因</w:t>
            </w:r>
          </w:p>
        </w:tc>
      </w:tr>
      <w:tr w14:paraId="3E07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D6F3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99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B4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BAB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3091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8A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30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5B02">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10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4BABD">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iCs/>
                <w:color w:val="000000"/>
                <w:sz w:val="16"/>
                <w:szCs w:val="16"/>
                <w:u w:val="none"/>
              </w:rPr>
            </w:pPr>
          </w:p>
        </w:tc>
      </w:tr>
      <w:tr w14:paraId="147E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FEC0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56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8F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C2E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B3CE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C7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4A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67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32E25">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iCs/>
                <w:color w:val="000000"/>
                <w:sz w:val="16"/>
                <w:szCs w:val="16"/>
                <w:u w:val="none"/>
              </w:rPr>
            </w:pPr>
          </w:p>
        </w:tc>
      </w:tr>
      <w:tr w14:paraId="7C47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A797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99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财政专户管理资金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55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A7A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EC2C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5A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A5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DE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E67F2">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iCs/>
                <w:color w:val="000000"/>
                <w:sz w:val="16"/>
                <w:szCs w:val="16"/>
                <w:u w:val="none"/>
              </w:rPr>
            </w:pPr>
          </w:p>
        </w:tc>
      </w:tr>
      <w:tr w14:paraId="491DD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A9D3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24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CE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207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F131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8C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21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B9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B5821">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iCs/>
                <w:color w:val="000000"/>
                <w:sz w:val="16"/>
                <w:szCs w:val="16"/>
                <w:u w:val="none"/>
              </w:rPr>
            </w:pPr>
          </w:p>
        </w:tc>
      </w:tr>
      <w:tr w14:paraId="12C3B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6E08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FA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99D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F13C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57C61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F99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94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80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057D3">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iCs/>
                <w:color w:val="000000"/>
                <w:sz w:val="16"/>
                <w:szCs w:val="16"/>
                <w:u w:val="none"/>
              </w:rPr>
            </w:pPr>
          </w:p>
        </w:tc>
      </w:tr>
      <w:tr w14:paraId="4DB8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673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58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4F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460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4AA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指标性质</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934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58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度量单位</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AF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完成值</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DB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79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4A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未完成原因分析</w:t>
            </w:r>
          </w:p>
        </w:tc>
      </w:tr>
      <w:tr w14:paraId="4FA9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BEDC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4FB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7F2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277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骨干教师人数</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A7F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67B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59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A4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CB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61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B16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22FA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B600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4026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5EFB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33C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足额保障率</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0F8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94A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23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5C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34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B8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FA7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5334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5211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80CE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C3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6F0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完成上级下达的骨干教师目标任务</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4C8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B46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75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3F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0F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B8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512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5EF6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4DAB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11C5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12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593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资金拨付周期</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BD6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4BE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2E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3A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E7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4C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A8D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30448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F107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096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49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615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提升教育教学水平，推进教育事业的发展</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380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F5F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7B3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AF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09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1F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AD9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4B695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E58B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52B3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AE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可持续发展指标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265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提升校内教师队伍的素质和能力</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091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D99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D87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13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6B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7B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1BC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7626F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0DD8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0E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88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668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学校和教师满意</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F48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F21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AD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04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07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D4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EDC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3B75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7608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2A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FCEF">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5709">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r>
      <w:tr w14:paraId="05C7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47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评价结论</w:t>
            </w:r>
          </w:p>
        </w:tc>
        <w:tc>
          <w:tcPr>
            <w:tcW w:w="887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185A5F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全面完成年度目标，综合自评分100分</w:t>
            </w:r>
          </w:p>
        </w:tc>
      </w:tr>
      <w:tr w14:paraId="5F86B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B1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存在问题</w:t>
            </w:r>
          </w:p>
        </w:tc>
        <w:tc>
          <w:tcPr>
            <w:tcW w:w="887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8DDEB7E">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无</w:t>
            </w:r>
          </w:p>
        </w:tc>
      </w:tr>
      <w:tr w14:paraId="0F5DE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C4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改进措施</w:t>
            </w:r>
          </w:p>
        </w:tc>
        <w:tc>
          <w:tcPr>
            <w:tcW w:w="887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718EA8C">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无</w:t>
            </w:r>
          </w:p>
        </w:tc>
      </w:tr>
      <w:tr w14:paraId="5472F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45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3E36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项目负责人：李明</w:t>
            </w:r>
          </w:p>
        </w:tc>
        <w:tc>
          <w:tcPr>
            <w:tcW w:w="51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175D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财务负责人：华玲</w:t>
            </w:r>
          </w:p>
        </w:tc>
      </w:tr>
      <w:tr w14:paraId="46BF9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71" w:type="dxa"/>
            <w:tcBorders>
              <w:top w:val="nil"/>
              <w:left w:val="nil"/>
              <w:bottom w:val="nil"/>
              <w:right w:val="nil"/>
            </w:tcBorders>
            <w:shd w:val="clear" w:color="auto" w:fill="auto"/>
            <w:vAlign w:val="center"/>
          </w:tcPr>
          <w:p w14:paraId="3D4C8785">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46" w:type="dxa"/>
            <w:tcBorders>
              <w:top w:val="nil"/>
              <w:left w:val="nil"/>
              <w:bottom w:val="nil"/>
              <w:right w:val="nil"/>
            </w:tcBorders>
            <w:shd w:val="clear" w:color="auto" w:fill="auto"/>
            <w:vAlign w:val="center"/>
          </w:tcPr>
          <w:p w14:paraId="74A31892">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000" w:type="dxa"/>
            <w:tcBorders>
              <w:top w:val="nil"/>
              <w:left w:val="nil"/>
              <w:bottom w:val="nil"/>
              <w:right w:val="nil"/>
            </w:tcBorders>
            <w:shd w:val="clear" w:color="auto" w:fill="auto"/>
            <w:vAlign w:val="center"/>
          </w:tcPr>
          <w:p w14:paraId="35428F5E">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13" w:type="dxa"/>
            <w:gridSpan w:val="2"/>
            <w:tcBorders>
              <w:top w:val="nil"/>
              <w:left w:val="nil"/>
              <w:bottom w:val="nil"/>
              <w:right w:val="nil"/>
            </w:tcBorders>
            <w:shd w:val="clear" w:color="auto" w:fill="auto"/>
            <w:vAlign w:val="center"/>
          </w:tcPr>
          <w:p w14:paraId="1A04C353">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515" w:type="dxa"/>
            <w:gridSpan w:val="2"/>
            <w:tcBorders>
              <w:top w:val="nil"/>
              <w:left w:val="nil"/>
              <w:bottom w:val="nil"/>
              <w:right w:val="nil"/>
            </w:tcBorders>
            <w:shd w:val="clear" w:color="auto" w:fill="auto"/>
            <w:vAlign w:val="center"/>
          </w:tcPr>
          <w:p w14:paraId="7B2FADEC">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776" w:type="dxa"/>
            <w:gridSpan w:val="2"/>
            <w:tcBorders>
              <w:top w:val="nil"/>
              <w:left w:val="nil"/>
              <w:bottom w:val="nil"/>
              <w:right w:val="nil"/>
            </w:tcBorders>
            <w:shd w:val="clear" w:color="auto" w:fill="auto"/>
            <w:vAlign w:val="center"/>
          </w:tcPr>
          <w:p w14:paraId="7B9320C1">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533" w:type="dxa"/>
            <w:tcBorders>
              <w:top w:val="nil"/>
              <w:left w:val="nil"/>
              <w:bottom w:val="nil"/>
              <w:right w:val="nil"/>
            </w:tcBorders>
            <w:shd w:val="clear" w:color="auto" w:fill="auto"/>
            <w:vAlign w:val="center"/>
          </w:tcPr>
          <w:p w14:paraId="59C582B7">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994" w:type="dxa"/>
            <w:tcBorders>
              <w:top w:val="nil"/>
              <w:left w:val="nil"/>
              <w:bottom w:val="nil"/>
              <w:right w:val="nil"/>
            </w:tcBorders>
            <w:shd w:val="clear" w:color="auto" w:fill="auto"/>
            <w:vAlign w:val="center"/>
          </w:tcPr>
          <w:p w14:paraId="4D86D312">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881" w:type="dxa"/>
            <w:tcBorders>
              <w:top w:val="nil"/>
              <w:left w:val="nil"/>
              <w:bottom w:val="nil"/>
              <w:right w:val="nil"/>
            </w:tcBorders>
            <w:shd w:val="clear" w:color="auto" w:fill="auto"/>
            <w:vAlign w:val="center"/>
          </w:tcPr>
          <w:p w14:paraId="62D68919">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885" w:type="dxa"/>
            <w:tcBorders>
              <w:top w:val="nil"/>
              <w:left w:val="nil"/>
              <w:bottom w:val="nil"/>
              <w:right w:val="nil"/>
            </w:tcBorders>
            <w:shd w:val="clear" w:color="auto" w:fill="auto"/>
            <w:vAlign w:val="center"/>
          </w:tcPr>
          <w:p w14:paraId="64228C9B">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035" w:type="dxa"/>
            <w:tcBorders>
              <w:top w:val="nil"/>
              <w:left w:val="nil"/>
              <w:bottom w:val="nil"/>
              <w:right w:val="nil"/>
            </w:tcBorders>
            <w:shd w:val="clear" w:color="auto" w:fill="auto"/>
            <w:vAlign w:val="center"/>
          </w:tcPr>
          <w:p w14:paraId="4A91D03F">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r>
      <w:tr w14:paraId="373E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71" w:type="dxa"/>
            <w:tcBorders>
              <w:top w:val="nil"/>
              <w:left w:val="nil"/>
              <w:bottom w:val="nil"/>
              <w:right w:val="nil"/>
            </w:tcBorders>
            <w:shd w:val="clear" w:color="auto" w:fill="auto"/>
            <w:vAlign w:val="center"/>
          </w:tcPr>
          <w:p w14:paraId="51CE311B">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46" w:type="dxa"/>
            <w:tcBorders>
              <w:top w:val="nil"/>
              <w:left w:val="nil"/>
              <w:bottom w:val="nil"/>
              <w:right w:val="nil"/>
            </w:tcBorders>
            <w:shd w:val="clear" w:color="auto" w:fill="auto"/>
            <w:vAlign w:val="center"/>
          </w:tcPr>
          <w:p w14:paraId="684BC700">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000" w:type="dxa"/>
            <w:tcBorders>
              <w:top w:val="nil"/>
              <w:left w:val="nil"/>
              <w:bottom w:val="nil"/>
              <w:right w:val="nil"/>
            </w:tcBorders>
            <w:shd w:val="clear" w:color="auto" w:fill="auto"/>
            <w:vAlign w:val="center"/>
          </w:tcPr>
          <w:p w14:paraId="0C13B623">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13" w:type="dxa"/>
            <w:gridSpan w:val="2"/>
            <w:tcBorders>
              <w:top w:val="nil"/>
              <w:left w:val="nil"/>
              <w:bottom w:val="nil"/>
              <w:right w:val="nil"/>
            </w:tcBorders>
            <w:shd w:val="clear" w:color="auto" w:fill="auto"/>
            <w:vAlign w:val="center"/>
          </w:tcPr>
          <w:p w14:paraId="0639953A">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515" w:type="dxa"/>
            <w:gridSpan w:val="2"/>
            <w:tcBorders>
              <w:top w:val="nil"/>
              <w:left w:val="nil"/>
              <w:bottom w:val="nil"/>
              <w:right w:val="nil"/>
            </w:tcBorders>
            <w:shd w:val="clear" w:color="auto" w:fill="auto"/>
            <w:vAlign w:val="center"/>
          </w:tcPr>
          <w:p w14:paraId="49C8372F">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776" w:type="dxa"/>
            <w:gridSpan w:val="2"/>
            <w:tcBorders>
              <w:top w:val="nil"/>
              <w:left w:val="nil"/>
              <w:bottom w:val="nil"/>
              <w:right w:val="nil"/>
            </w:tcBorders>
            <w:shd w:val="clear" w:color="auto" w:fill="auto"/>
            <w:vAlign w:val="center"/>
          </w:tcPr>
          <w:p w14:paraId="4AB148E4">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533" w:type="dxa"/>
            <w:tcBorders>
              <w:top w:val="nil"/>
              <w:left w:val="nil"/>
              <w:bottom w:val="nil"/>
              <w:right w:val="nil"/>
            </w:tcBorders>
            <w:shd w:val="clear" w:color="auto" w:fill="auto"/>
            <w:vAlign w:val="center"/>
          </w:tcPr>
          <w:p w14:paraId="33867DD5">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994" w:type="dxa"/>
            <w:tcBorders>
              <w:top w:val="nil"/>
              <w:left w:val="nil"/>
              <w:bottom w:val="nil"/>
              <w:right w:val="nil"/>
            </w:tcBorders>
            <w:shd w:val="clear" w:color="auto" w:fill="auto"/>
            <w:vAlign w:val="center"/>
          </w:tcPr>
          <w:p w14:paraId="5DEA17B5">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881" w:type="dxa"/>
            <w:tcBorders>
              <w:top w:val="nil"/>
              <w:left w:val="nil"/>
              <w:bottom w:val="nil"/>
              <w:right w:val="nil"/>
            </w:tcBorders>
            <w:shd w:val="clear" w:color="auto" w:fill="auto"/>
            <w:vAlign w:val="center"/>
          </w:tcPr>
          <w:p w14:paraId="79355B2A">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885" w:type="dxa"/>
            <w:tcBorders>
              <w:top w:val="nil"/>
              <w:left w:val="nil"/>
              <w:bottom w:val="nil"/>
              <w:right w:val="nil"/>
            </w:tcBorders>
            <w:shd w:val="clear" w:color="auto" w:fill="auto"/>
            <w:vAlign w:val="center"/>
          </w:tcPr>
          <w:p w14:paraId="3C24BDCD">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035" w:type="dxa"/>
            <w:tcBorders>
              <w:top w:val="nil"/>
              <w:left w:val="nil"/>
              <w:bottom w:val="nil"/>
              <w:right w:val="nil"/>
            </w:tcBorders>
            <w:shd w:val="clear" w:color="auto" w:fill="auto"/>
            <w:vAlign w:val="center"/>
          </w:tcPr>
          <w:p w14:paraId="6B0772F9">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r>
      <w:tr w14:paraId="114D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71" w:type="dxa"/>
            <w:tcBorders>
              <w:top w:val="nil"/>
              <w:left w:val="nil"/>
              <w:bottom w:val="nil"/>
              <w:right w:val="nil"/>
            </w:tcBorders>
            <w:shd w:val="clear" w:color="auto" w:fill="auto"/>
            <w:vAlign w:val="center"/>
          </w:tcPr>
          <w:p w14:paraId="335CBDE0">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46" w:type="dxa"/>
            <w:tcBorders>
              <w:top w:val="nil"/>
              <w:left w:val="nil"/>
              <w:bottom w:val="nil"/>
              <w:right w:val="nil"/>
            </w:tcBorders>
            <w:shd w:val="clear" w:color="auto" w:fill="auto"/>
            <w:vAlign w:val="center"/>
          </w:tcPr>
          <w:p w14:paraId="1628275F">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000" w:type="dxa"/>
            <w:tcBorders>
              <w:top w:val="nil"/>
              <w:left w:val="nil"/>
              <w:bottom w:val="nil"/>
              <w:right w:val="nil"/>
            </w:tcBorders>
            <w:shd w:val="clear" w:color="auto" w:fill="auto"/>
            <w:vAlign w:val="center"/>
          </w:tcPr>
          <w:p w14:paraId="2B801C9B">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13" w:type="dxa"/>
            <w:gridSpan w:val="2"/>
            <w:tcBorders>
              <w:top w:val="nil"/>
              <w:left w:val="nil"/>
              <w:bottom w:val="nil"/>
              <w:right w:val="nil"/>
            </w:tcBorders>
            <w:shd w:val="clear" w:color="auto" w:fill="auto"/>
            <w:vAlign w:val="center"/>
          </w:tcPr>
          <w:p w14:paraId="4C7132F1">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515" w:type="dxa"/>
            <w:gridSpan w:val="2"/>
            <w:tcBorders>
              <w:top w:val="nil"/>
              <w:left w:val="nil"/>
              <w:bottom w:val="nil"/>
              <w:right w:val="nil"/>
            </w:tcBorders>
            <w:shd w:val="clear" w:color="auto" w:fill="auto"/>
            <w:vAlign w:val="center"/>
          </w:tcPr>
          <w:p w14:paraId="6D7BC4C7">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776" w:type="dxa"/>
            <w:gridSpan w:val="2"/>
            <w:tcBorders>
              <w:top w:val="nil"/>
              <w:left w:val="nil"/>
              <w:bottom w:val="nil"/>
              <w:right w:val="nil"/>
            </w:tcBorders>
            <w:shd w:val="clear" w:color="auto" w:fill="auto"/>
            <w:vAlign w:val="center"/>
          </w:tcPr>
          <w:p w14:paraId="349BCADB">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533" w:type="dxa"/>
            <w:tcBorders>
              <w:top w:val="nil"/>
              <w:left w:val="nil"/>
              <w:bottom w:val="nil"/>
              <w:right w:val="nil"/>
            </w:tcBorders>
            <w:shd w:val="clear" w:color="auto" w:fill="auto"/>
            <w:vAlign w:val="center"/>
          </w:tcPr>
          <w:p w14:paraId="72CFE140">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994" w:type="dxa"/>
            <w:tcBorders>
              <w:top w:val="nil"/>
              <w:left w:val="nil"/>
              <w:bottom w:val="nil"/>
              <w:right w:val="nil"/>
            </w:tcBorders>
            <w:shd w:val="clear" w:color="auto" w:fill="auto"/>
            <w:vAlign w:val="center"/>
          </w:tcPr>
          <w:p w14:paraId="2B72217E">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881" w:type="dxa"/>
            <w:tcBorders>
              <w:top w:val="nil"/>
              <w:left w:val="nil"/>
              <w:bottom w:val="nil"/>
              <w:right w:val="nil"/>
            </w:tcBorders>
            <w:shd w:val="clear" w:color="auto" w:fill="auto"/>
            <w:vAlign w:val="center"/>
          </w:tcPr>
          <w:p w14:paraId="1A2EC950">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885" w:type="dxa"/>
            <w:tcBorders>
              <w:top w:val="nil"/>
              <w:left w:val="nil"/>
              <w:bottom w:val="nil"/>
              <w:right w:val="nil"/>
            </w:tcBorders>
            <w:shd w:val="clear" w:color="auto" w:fill="auto"/>
            <w:vAlign w:val="center"/>
          </w:tcPr>
          <w:p w14:paraId="45C2923B">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035" w:type="dxa"/>
            <w:tcBorders>
              <w:top w:val="nil"/>
              <w:left w:val="nil"/>
              <w:bottom w:val="nil"/>
              <w:right w:val="nil"/>
            </w:tcBorders>
            <w:shd w:val="clear" w:color="auto" w:fill="auto"/>
            <w:vAlign w:val="center"/>
          </w:tcPr>
          <w:p w14:paraId="1C0A8801">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r>
      <w:tr w14:paraId="7E51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4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68087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28"/>
                <w:szCs w:val="28"/>
                <w:u w:val="none"/>
                <w:lang w:val="en-US" w:eastAsia="zh-CN" w:bidi="ar"/>
              </w:rPr>
              <w:t>部门预算项目支出绩效自评表（2024年度）</w:t>
            </w:r>
          </w:p>
        </w:tc>
      </w:tr>
      <w:tr w14:paraId="104D5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6492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7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9BB9B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51118123T000008642747-义务教育阶段特殊教育学校和随班就读残疾学生生均公用经费</w:t>
            </w:r>
          </w:p>
        </w:tc>
      </w:tr>
      <w:tr w14:paraId="57049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057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BBB8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教育局</w:t>
            </w:r>
          </w:p>
        </w:tc>
        <w:tc>
          <w:tcPr>
            <w:tcW w:w="994" w:type="dxa"/>
            <w:tcBorders>
              <w:top w:val="nil"/>
              <w:left w:val="nil"/>
              <w:bottom w:val="nil"/>
              <w:right w:val="nil"/>
            </w:tcBorders>
            <w:shd w:val="clear" w:color="auto" w:fill="auto"/>
            <w:vAlign w:val="center"/>
          </w:tcPr>
          <w:p w14:paraId="3EA7F4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 （盖章）</w:t>
            </w:r>
          </w:p>
        </w:tc>
        <w:tc>
          <w:tcPr>
            <w:tcW w:w="2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B74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峨眉山市龙池镇初级中学校</w:t>
            </w:r>
          </w:p>
        </w:tc>
      </w:tr>
      <w:tr w14:paraId="5A96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1D1F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项目基本情况</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8E7F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1.项目年度目标完成情况</w:t>
            </w:r>
          </w:p>
        </w:tc>
        <w:tc>
          <w:tcPr>
            <w:tcW w:w="58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CFB3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项目年度目标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C11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年度目标完成情况</w:t>
            </w:r>
          </w:p>
        </w:tc>
      </w:tr>
      <w:tr w14:paraId="10CC8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58DE0">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FD78F">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58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E66E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目标1：落实城乡义务教育经费保障机制。</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目标2：实施免费义务教育，全面落实“三免一补”政策。推进义务教育均衡发展和促进教育公平。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目标3：随班就读残疾学生生均公用经费主要用于学校公用支出，保障学校教育教学秩序正常运转，完成上级下达的教学目标，全面发展义务教育事业。　　</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EF5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完成年度目标</w:t>
            </w:r>
          </w:p>
        </w:tc>
      </w:tr>
      <w:tr w14:paraId="0D32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4C7C6">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2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255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2.项目实施内容及过程概述</w:t>
            </w:r>
          </w:p>
        </w:tc>
        <w:tc>
          <w:tcPr>
            <w:tcW w:w="64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9FC2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保障随班就读残疾学生得到教育</w:t>
            </w:r>
          </w:p>
        </w:tc>
      </w:tr>
      <w:tr w14:paraId="02AAB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BF0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预算执行情况（10分）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3A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F6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567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调整后预算数</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F6BA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预算执行数</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51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F2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EF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CC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原因</w:t>
            </w:r>
          </w:p>
        </w:tc>
      </w:tr>
      <w:tr w14:paraId="6E2F9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FB56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CE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42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2DC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4B65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04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97.38%</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E0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6CE0">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10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A76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预留下一年水电等必须费用</w:t>
            </w:r>
          </w:p>
        </w:tc>
      </w:tr>
      <w:tr w14:paraId="1DC8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E054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AA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8C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2D0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553D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94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97.38%</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DA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6C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0C9D5">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r>
      <w:tr w14:paraId="3ADE6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8B4F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FE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财政专户管理资金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A7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2DB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7088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12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32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5D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5CEFB">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r>
      <w:tr w14:paraId="5C176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9707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2B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9B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85B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F814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56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E1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93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B8C83">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r>
      <w:tr w14:paraId="6F803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1C99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2A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84A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4DEB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E5FA0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10A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41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66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A683D">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r>
      <w:tr w14:paraId="1652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03A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8B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EF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FEC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995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指标性质</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4A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3A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度量单位</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46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完成值</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78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65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62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未完成原因分析</w:t>
            </w:r>
          </w:p>
        </w:tc>
      </w:tr>
      <w:tr w14:paraId="3C95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4E6B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DE5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DC5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667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享受免费义务教育随班就读残疾学生人数</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F86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0A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1D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9C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E6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DE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8C6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550A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2CD1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9B23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360A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202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义务教育随班就读残疾学生入学率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445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6A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5E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53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01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1D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E87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2B60D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0278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5B96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240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100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完成上级下达的教学目标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08E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78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17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50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0B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1A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7E4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157C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97EE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0D60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30A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300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九年义务教育巩固率</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60B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20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AE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F4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7B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39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ED4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4750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C06E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3E56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A0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7F3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当年内完成</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C39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2E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B3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53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4B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2B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386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35AF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EFCE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6AD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7F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990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落实国家政策，保障适龄随班就读残疾学生全面接受义务教育</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E30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2F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752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B4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E2F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26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005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5CD9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CBBC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6CFC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8D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可持续发展指标</w:t>
            </w:r>
          </w:p>
        </w:tc>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081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促进义务教育健康发展</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23B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40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1F8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6B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93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A5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10F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6CF9C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AD99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AB8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D68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7D9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家长和学生满意度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F1D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9F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36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89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8A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09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D97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6799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D458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6A2B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9004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40A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学校和教师满意度</w:t>
            </w:r>
          </w:p>
        </w:tc>
        <w:tc>
          <w:tcPr>
            <w:tcW w:w="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350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C1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1D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0B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BC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13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E90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394A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5B1B7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3C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B6B0">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61A0">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r>
      <w:tr w14:paraId="77E8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8C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评价结论</w:t>
            </w:r>
          </w:p>
        </w:tc>
        <w:tc>
          <w:tcPr>
            <w:tcW w:w="887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BD6931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结面完成年度目标，综合自评分100分</w:t>
            </w:r>
          </w:p>
        </w:tc>
      </w:tr>
      <w:tr w14:paraId="1BDE2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ED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存在问题</w:t>
            </w:r>
          </w:p>
        </w:tc>
        <w:tc>
          <w:tcPr>
            <w:tcW w:w="887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4202AD6">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无</w:t>
            </w:r>
          </w:p>
        </w:tc>
      </w:tr>
      <w:tr w14:paraId="2FFB3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25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改进措施</w:t>
            </w:r>
          </w:p>
        </w:tc>
        <w:tc>
          <w:tcPr>
            <w:tcW w:w="887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0E81CEA">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无</w:t>
            </w:r>
          </w:p>
        </w:tc>
      </w:tr>
      <w:tr w14:paraId="5C75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45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86B8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项目负责人：李明</w:t>
            </w:r>
          </w:p>
        </w:tc>
        <w:tc>
          <w:tcPr>
            <w:tcW w:w="51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99B3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财务负责人：华玲</w:t>
            </w:r>
          </w:p>
        </w:tc>
      </w:tr>
      <w:tr w14:paraId="1AF1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71" w:type="dxa"/>
            <w:tcBorders>
              <w:top w:val="nil"/>
              <w:left w:val="nil"/>
              <w:bottom w:val="nil"/>
              <w:right w:val="nil"/>
            </w:tcBorders>
            <w:shd w:val="clear" w:color="auto" w:fill="auto"/>
            <w:vAlign w:val="center"/>
          </w:tcPr>
          <w:p w14:paraId="52C65177">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46" w:type="dxa"/>
            <w:tcBorders>
              <w:top w:val="nil"/>
              <w:left w:val="nil"/>
              <w:bottom w:val="nil"/>
              <w:right w:val="nil"/>
            </w:tcBorders>
            <w:shd w:val="clear" w:color="auto" w:fill="auto"/>
            <w:vAlign w:val="center"/>
          </w:tcPr>
          <w:p w14:paraId="4087B595">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000" w:type="dxa"/>
            <w:tcBorders>
              <w:top w:val="nil"/>
              <w:left w:val="nil"/>
              <w:bottom w:val="nil"/>
              <w:right w:val="nil"/>
            </w:tcBorders>
            <w:shd w:val="clear" w:color="auto" w:fill="auto"/>
            <w:vAlign w:val="center"/>
          </w:tcPr>
          <w:p w14:paraId="3FD0CEBE">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13" w:type="dxa"/>
            <w:gridSpan w:val="2"/>
            <w:tcBorders>
              <w:top w:val="nil"/>
              <w:left w:val="nil"/>
              <w:bottom w:val="nil"/>
              <w:right w:val="nil"/>
            </w:tcBorders>
            <w:shd w:val="clear" w:color="auto" w:fill="auto"/>
            <w:vAlign w:val="center"/>
          </w:tcPr>
          <w:p w14:paraId="54569938">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515" w:type="dxa"/>
            <w:gridSpan w:val="2"/>
            <w:tcBorders>
              <w:top w:val="nil"/>
              <w:left w:val="nil"/>
              <w:bottom w:val="nil"/>
              <w:right w:val="nil"/>
            </w:tcBorders>
            <w:shd w:val="clear" w:color="auto" w:fill="auto"/>
            <w:vAlign w:val="center"/>
          </w:tcPr>
          <w:p w14:paraId="14BC3F71">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776" w:type="dxa"/>
            <w:gridSpan w:val="2"/>
            <w:tcBorders>
              <w:top w:val="nil"/>
              <w:left w:val="nil"/>
              <w:bottom w:val="nil"/>
              <w:right w:val="nil"/>
            </w:tcBorders>
            <w:shd w:val="clear" w:color="auto" w:fill="auto"/>
            <w:vAlign w:val="center"/>
          </w:tcPr>
          <w:p w14:paraId="107A4E73">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533" w:type="dxa"/>
            <w:tcBorders>
              <w:top w:val="nil"/>
              <w:left w:val="nil"/>
              <w:bottom w:val="nil"/>
              <w:right w:val="nil"/>
            </w:tcBorders>
            <w:shd w:val="clear" w:color="auto" w:fill="auto"/>
            <w:vAlign w:val="center"/>
          </w:tcPr>
          <w:p w14:paraId="02E29824">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994" w:type="dxa"/>
            <w:tcBorders>
              <w:top w:val="nil"/>
              <w:left w:val="nil"/>
              <w:bottom w:val="nil"/>
              <w:right w:val="nil"/>
            </w:tcBorders>
            <w:shd w:val="clear" w:color="auto" w:fill="auto"/>
            <w:vAlign w:val="center"/>
          </w:tcPr>
          <w:p w14:paraId="3AE301D8">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881" w:type="dxa"/>
            <w:tcBorders>
              <w:top w:val="nil"/>
              <w:left w:val="nil"/>
              <w:bottom w:val="nil"/>
              <w:right w:val="nil"/>
            </w:tcBorders>
            <w:shd w:val="clear" w:color="auto" w:fill="auto"/>
            <w:vAlign w:val="center"/>
          </w:tcPr>
          <w:p w14:paraId="37B9E613">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885" w:type="dxa"/>
            <w:tcBorders>
              <w:top w:val="nil"/>
              <w:left w:val="nil"/>
              <w:bottom w:val="nil"/>
              <w:right w:val="nil"/>
            </w:tcBorders>
            <w:shd w:val="clear" w:color="auto" w:fill="auto"/>
            <w:vAlign w:val="center"/>
          </w:tcPr>
          <w:p w14:paraId="33EE4A5A">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035" w:type="dxa"/>
            <w:tcBorders>
              <w:top w:val="nil"/>
              <w:left w:val="nil"/>
              <w:bottom w:val="nil"/>
              <w:right w:val="nil"/>
            </w:tcBorders>
            <w:shd w:val="clear" w:color="auto" w:fill="auto"/>
            <w:vAlign w:val="center"/>
          </w:tcPr>
          <w:p w14:paraId="76EDC8FE">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r>
      <w:tr w14:paraId="29C4D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4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CE0C8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28"/>
                <w:szCs w:val="28"/>
                <w:u w:val="none"/>
                <w:lang w:val="en-US" w:eastAsia="zh-CN" w:bidi="ar"/>
              </w:rPr>
              <w:t>部门预算项目支出绩效自评表（2024年度）</w:t>
            </w:r>
          </w:p>
        </w:tc>
      </w:tr>
      <w:tr w14:paraId="3DD7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2DD8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7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1B210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51118123T000009001352-（春节前）工程款</w:t>
            </w:r>
          </w:p>
        </w:tc>
      </w:tr>
      <w:tr w14:paraId="0E5AC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AF3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19FA9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教育局</w:t>
            </w:r>
          </w:p>
        </w:tc>
        <w:tc>
          <w:tcPr>
            <w:tcW w:w="994" w:type="dxa"/>
            <w:tcBorders>
              <w:top w:val="nil"/>
              <w:left w:val="nil"/>
              <w:bottom w:val="nil"/>
              <w:right w:val="nil"/>
            </w:tcBorders>
            <w:shd w:val="clear" w:color="auto" w:fill="auto"/>
            <w:vAlign w:val="center"/>
          </w:tcPr>
          <w:p w14:paraId="0579D1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 （盖章）</w:t>
            </w:r>
          </w:p>
        </w:tc>
        <w:tc>
          <w:tcPr>
            <w:tcW w:w="2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492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峨眉山市龙池镇初级中学校</w:t>
            </w:r>
          </w:p>
        </w:tc>
      </w:tr>
      <w:tr w14:paraId="185B1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73F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项目基本情况</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E28C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1.项目年度目标完成情况</w:t>
            </w:r>
          </w:p>
        </w:tc>
        <w:tc>
          <w:tcPr>
            <w:tcW w:w="3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666E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项目年度目标</w:t>
            </w:r>
          </w:p>
        </w:tc>
        <w:tc>
          <w:tcPr>
            <w:tcW w:w="3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F721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年度目标完成情况</w:t>
            </w:r>
          </w:p>
        </w:tc>
      </w:tr>
      <w:tr w14:paraId="05DB7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8B8B3">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E966D">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3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6C23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保障学校校舍安全，改善办学条件，提升本市办学水平。</w:t>
            </w:r>
          </w:p>
        </w:tc>
        <w:tc>
          <w:tcPr>
            <w:tcW w:w="3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26593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完成年度目标</w:t>
            </w:r>
          </w:p>
        </w:tc>
      </w:tr>
      <w:tr w14:paraId="399D5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031CD">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6BA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2.项目实施内容及过程概述</w:t>
            </w:r>
          </w:p>
        </w:tc>
        <w:tc>
          <w:tcPr>
            <w:tcW w:w="77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786172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支付各项工程款</w:t>
            </w:r>
          </w:p>
        </w:tc>
      </w:tr>
      <w:tr w14:paraId="547D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318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预算执行情况（10分）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7A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EB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5D9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调整后预算数</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E872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预算执行数</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78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0F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84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60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原因</w:t>
            </w:r>
          </w:p>
        </w:tc>
      </w:tr>
      <w:tr w14:paraId="280BB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B91B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47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4B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D6B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50.65</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540B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50.65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45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DD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ACDB">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10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E6152">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iCs/>
                <w:color w:val="000000"/>
                <w:sz w:val="16"/>
                <w:szCs w:val="16"/>
                <w:u w:val="none"/>
              </w:rPr>
            </w:pPr>
          </w:p>
        </w:tc>
      </w:tr>
      <w:tr w14:paraId="0753A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BE9D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A0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1A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16F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50.65</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0ED0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50.65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A4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B4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CE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7007F">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iCs/>
                <w:color w:val="000000"/>
                <w:sz w:val="16"/>
                <w:szCs w:val="16"/>
                <w:u w:val="none"/>
              </w:rPr>
            </w:pPr>
          </w:p>
        </w:tc>
      </w:tr>
      <w:tr w14:paraId="55B8E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ADF8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21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财政专户管理资金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38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EF7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59EB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4F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DE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9C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3316D">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iCs/>
                <w:color w:val="000000"/>
                <w:sz w:val="16"/>
                <w:szCs w:val="16"/>
                <w:u w:val="none"/>
              </w:rPr>
            </w:pPr>
          </w:p>
        </w:tc>
      </w:tr>
      <w:tr w14:paraId="1475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D4B5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3F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AE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A03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3B57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EA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20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D7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0487A">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iCs/>
                <w:color w:val="000000"/>
                <w:sz w:val="16"/>
                <w:szCs w:val="16"/>
                <w:u w:val="none"/>
              </w:rPr>
            </w:pPr>
          </w:p>
        </w:tc>
      </w:tr>
      <w:tr w14:paraId="411C0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1FCC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D6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647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3143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613E9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4AD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43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E7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B792D">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iCs/>
                <w:color w:val="000000"/>
                <w:sz w:val="16"/>
                <w:szCs w:val="16"/>
                <w:u w:val="none"/>
              </w:rPr>
            </w:pPr>
          </w:p>
        </w:tc>
      </w:tr>
      <w:tr w14:paraId="5E102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664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19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0D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E23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770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指标性质</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D25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C1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度量单位</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89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完成值</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43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32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18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未完成原因分析</w:t>
            </w:r>
          </w:p>
        </w:tc>
      </w:tr>
      <w:tr w14:paraId="326A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321D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3EB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875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AD0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修缮、改造任务完成率</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8F9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484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AE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F1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D9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B6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3B4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43B5F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FDF2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EFE9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7481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191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受益学生数</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7BF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2D3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318</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69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86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318</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78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CB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A9A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2D038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9825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6A50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9D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B81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工程验收合格率</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275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408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9A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DA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2F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FE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881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41ABD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4BAE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2E6C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8F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E66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工程按期完成率</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4E6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047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60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68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D3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18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159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79C6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2350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3E4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96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25C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改善办学条件，保障校舍安全</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1AA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575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AA6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82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C8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3A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319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2C65D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E6BE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1E61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FA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可持续发展指标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8D5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保障学校长期稳定的可持续发展</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B6A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641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640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36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B4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DF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653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050B1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996D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7D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06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D00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学校、学生和家长满意度</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344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E38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85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D7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ED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05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7A5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49C5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99E0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6C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55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经济成本指标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623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经费控制在预算下达范围内</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DDF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089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50.6496</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02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万元</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F6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50.6496</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C3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69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F6C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3B0A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54F4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A4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F54B">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D104">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r>
      <w:tr w14:paraId="1C5DE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B0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评价结论</w:t>
            </w:r>
          </w:p>
        </w:tc>
        <w:tc>
          <w:tcPr>
            <w:tcW w:w="887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B08F03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结面完成年度目标，综合自评分100分</w:t>
            </w:r>
          </w:p>
        </w:tc>
      </w:tr>
      <w:tr w14:paraId="310E2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D9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存在问题</w:t>
            </w:r>
          </w:p>
        </w:tc>
        <w:tc>
          <w:tcPr>
            <w:tcW w:w="887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EFCE99E">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无</w:t>
            </w:r>
          </w:p>
        </w:tc>
      </w:tr>
      <w:tr w14:paraId="275C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F6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改进措施</w:t>
            </w:r>
          </w:p>
        </w:tc>
        <w:tc>
          <w:tcPr>
            <w:tcW w:w="887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28DFD50">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无</w:t>
            </w:r>
          </w:p>
        </w:tc>
      </w:tr>
      <w:tr w14:paraId="1EEC6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45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22161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项目负责人：李明</w:t>
            </w:r>
          </w:p>
        </w:tc>
        <w:tc>
          <w:tcPr>
            <w:tcW w:w="51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CF6A5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财务负责人：华玲</w:t>
            </w:r>
          </w:p>
        </w:tc>
      </w:tr>
      <w:tr w14:paraId="1F1B6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71" w:type="dxa"/>
            <w:tcBorders>
              <w:top w:val="nil"/>
              <w:left w:val="nil"/>
              <w:bottom w:val="nil"/>
              <w:right w:val="nil"/>
            </w:tcBorders>
            <w:shd w:val="clear" w:color="auto" w:fill="auto"/>
            <w:vAlign w:val="center"/>
          </w:tcPr>
          <w:p w14:paraId="6753F768">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46" w:type="dxa"/>
            <w:tcBorders>
              <w:top w:val="nil"/>
              <w:left w:val="nil"/>
              <w:bottom w:val="nil"/>
              <w:right w:val="nil"/>
            </w:tcBorders>
            <w:shd w:val="clear" w:color="auto" w:fill="auto"/>
            <w:vAlign w:val="center"/>
          </w:tcPr>
          <w:p w14:paraId="737A8484">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000" w:type="dxa"/>
            <w:tcBorders>
              <w:top w:val="nil"/>
              <w:left w:val="nil"/>
              <w:bottom w:val="nil"/>
              <w:right w:val="nil"/>
            </w:tcBorders>
            <w:shd w:val="clear" w:color="auto" w:fill="auto"/>
            <w:vAlign w:val="center"/>
          </w:tcPr>
          <w:p w14:paraId="73381AAA">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13" w:type="dxa"/>
            <w:gridSpan w:val="2"/>
            <w:tcBorders>
              <w:top w:val="nil"/>
              <w:left w:val="nil"/>
              <w:bottom w:val="nil"/>
              <w:right w:val="nil"/>
            </w:tcBorders>
            <w:shd w:val="clear" w:color="auto" w:fill="auto"/>
            <w:vAlign w:val="center"/>
          </w:tcPr>
          <w:p w14:paraId="1BE45E73">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515" w:type="dxa"/>
            <w:gridSpan w:val="2"/>
            <w:tcBorders>
              <w:top w:val="nil"/>
              <w:left w:val="nil"/>
              <w:bottom w:val="nil"/>
              <w:right w:val="nil"/>
            </w:tcBorders>
            <w:shd w:val="clear" w:color="auto" w:fill="auto"/>
            <w:vAlign w:val="center"/>
          </w:tcPr>
          <w:p w14:paraId="764D933A">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776" w:type="dxa"/>
            <w:gridSpan w:val="2"/>
            <w:tcBorders>
              <w:top w:val="nil"/>
              <w:left w:val="nil"/>
              <w:bottom w:val="nil"/>
              <w:right w:val="nil"/>
            </w:tcBorders>
            <w:shd w:val="clear" w:color="auto" w:fill="auto"/>
            <w:vAlign w:val="center"/>
          </w:tcPr>
          <w:p w14:paraId="0900B8EC">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533" w:type="dxa"/>
            <w:tcBorders>
              <w:top w:val="nil"/>
              <w:left w:val="nil"/>
              <w:bottom w:val="nil"/>
              <w:right w:val="nil"/>
            </w:tcBorders>
            <w:shd w:val="clear" w:color="auto" w:fill="auto"/>
            <w:vAlign w:val="center"/>
          </w:tcPr>
          <w:p w14:paraId="5FB5165E">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994" w:type="dxa"/>
            <w:tcBorders>
              <w:top w:val="nil"/>
              <w:left w:val="nil"/>
              <w:bottom w:val="nil"/>
              <w:right w:val="nil"/>
            </w:tcBorders>
            <w:shd w:val="clear" w:color="auto" w:fill="auto"/>
            <w:vAlign w:val="center"/>
          </w:tcPr>
          <w:p w14:paraId="48BF9BBB">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881" w:type="dxa"/>
            <w:tcBorders>
              <w:top w:val="nil"/>
              <w:left w:val="nil"/>
              <w:bottom w:val="nil"/>
              <w:right w:val="nil"/>
            </w:tcBorders>
            <w:shd w:val="clear" w:color="auto" w:fill="auto"/>
            <w:vAlign w:val="center"/>
          </w:tcPr>
          <w:p w14:paraId="160620AF">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885" w:type="dxa"/>
            <w:tcBorders>
              <w:top w:val="nil"/>
              <w:left w:val="nil"/>
              <w:bottom w:val="nil"/>
              <w:right w:val="nil"/>
            </w:tcBorders>
            <w:shd w:val="clear" w:color="auto" w:fill="auto"/>
            <w:vAlign w:val="center"/>
          </w:tcPr>
          <w:p w14:paraId="4F17A190">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035" w:type="dxa"/>
            <w:tcBorders>
              <w:top w:val="nil"/>
              <w:left w:val="nil"/>
              <w:bottom w:val="nil"/>
              <w:right w:val="nil"/>
            </w:tcBorders>
            <w:shd w:val="clear" w:color="auto" w:fill="auto"/>
            <w:vAlign w:val="center"/>
          </w:tcPr>
          <w:p w14:paraId="1E30E5B0">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r>
      <w:tr w14:paraId="3D572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4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C2324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28"/>
                <w:szCs w:val="28"/>
                <w:u w:val="none"/>
                <w:lang w:val="en-US" w:eastAsia="zh-CN" w:bidi="ar"/>
              </w:rPr>
              <w:t>部门预算项目支出绩效自评表（2024年度）</w:t>
            </w:r>
          </w:p>
        </w:tc>
      </w:tr>
      <w:tr w14:paraId="375C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6897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7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32A61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51118123T000009930248-“三区”人才计划教师专项资金</w:t>
            </w:r>
          </w:p>
        </w:tc>
      </w:tr>
      <w:tr w14:paraId="6A4E9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D9C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3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9472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教育局</w:t>
            </w:r>
          </w:p>
        </w:tc>
        <w:tc>
          <w:tcPr>
            <w:tcW w:w="994" w:type="dxa"/>
            <w:tcBorders>
              <w:top w:val="nil"/>
              <w:left w:val="nil"/>
              <w:bottom w:val="nil"/>
              <w:right w:val="nil"/>
            </w:tcBorders>
            <w:shd w:val="clear" w:color="auto" w:fill="auto"/>
            <w:vAlign w:val="center"/>
          </w:tcPr>
          <w:p w14:paraId="575FE74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 （盖章）</w:t>
            </w:r>
          </w:p>
        </w:tc>
        <w:tc>
          <w:tcPr>
            <w:tcW w:w="2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5846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峨眉山市龙池镇初级中学校</w:t>
            </w:r>
          </w:p>
        </w:tc>
      </w:tr>
      <w:tr w14:paraId="71B7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ED2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项目基本情况</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355B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1.项目年度目标完成情况</w:t>
            </w:r>
          </w:p>
        </w:tc>
        <w:tc>
          <w:tcPr>
            <w:tcW w:w="3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9B53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项目年度目标</w:t>
            </w:r>
          </w:p>
        </w:tc>
        <w:tc>
          <w:tcPr>
            <w:tcW w:w="3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A72D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年度目标完成情况</w:t>
            </w:r>
          </w:p>
        </w:tc>
      </w:tr>
      <w:tr w14:paraId="5D7DA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A252F">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21394">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3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0BB6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目标1：提高受援地区学校教育教学和管理水平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目标2：推动受援地区教育事业发展:</w:t>
            </w:r>
          </w:p>
        </w:tc>
        <w:tc>
          <w:tcPr>
            <w:tcW w:w="3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EBA0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完成年度目标</w:t>
            </w:r>
          </w:p>
        </w:tc>
      </w:tr>
      <w:tr w14:paraId="7B4B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46B5F">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8B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2.项目实施内容及过程概述</w:t>
            </w:r>
          </w:p>
        </w:tc>
        <w:tc>
          <w:tcPr>
            <w:tcW w:w="77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92CD6AD">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r>
      <w:tr w14:paraId="072CF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282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预算执行情况（10分）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82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6E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2B9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调整后预算数</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E17A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预算执行数</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EE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32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13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2A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原因</w:t>
            </w:r>
          </w:p>
        </w:tc>
      </w:tr>
      <w:tr w14:paraId="6344C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72A5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FE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C6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E64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53B4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C1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AF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EF6C">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10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07EC1">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iCs/>
                <w:color w:val="000000"/>
                <w:sz w:val="16"/>
                <w:szCs w:val="16"/>
                <w:u w:val="none"/>
              </w:rPr>
            </w:pPr>
          </w:p>
        </w:tc>
      </w:tr>
      <w:tr w14:paraId="298BA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138F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E2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A9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5E2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8036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BE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89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74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4194A">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iCs/>
                <w:color w:val="000000"/>
                <w:sz w:val="16"/>
                <w:szCs w:val="16"/>
                <w:u w:val="none"/>
              </w:rPr>
            </w:pPr>
          </w:p>
        </w:tc>
      </w:tr>
      <w:tr w14:paraId="4F9B9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7C5B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C3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财政专户管理资金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3B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72E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0AC9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FE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48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ED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F5598">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iCs/>
                <w:color w:val="000000"/>
                <w:sz w:val="16"/>
                <w:szCs w:val="16"/>
                <w:u w:val="none"/>
              </w:rPr>
            </w:pPr>
          </w:p>
        </w:tc>
      </w:tr>
      <w:tr w14:paraId="30532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7317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16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6B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963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AB73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2D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85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88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932C5">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iCs/>
                <w:color w:val="000000"/>
                <w:sz w:val="16"/>
                <w:szCs w:val="16"/>
                <w:u w:val="none"/>
              </w:rPr>
            </w:pPr>
          </w:p>
        </w:tc>
      </w:tr>
      <w:tr w14:paraId="2717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391D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B6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B7A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26D3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2B3A2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908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A9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A2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F2AB9">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iCs/>
                <w:color w:val="000000"/>
                <w:sz w:val="16"/>
                <w:szCs w:val="16"/>
                <w:u w:val="none"/>
              </w:rPr>
            </w:pPr>
          </w:p>
        </w:tc>
      </w:tr>
      <w:tr w14:paraId="1C5D4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366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4E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4A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974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E0B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指标性质</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20E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45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度量单位</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BA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完成值</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BD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FB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85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未完成原因分析</w:t>
            </w:r>
          </w:p>
        </w:tc>
      </w:tr>
      <w:tr w14:paraId="479D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4ADED">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FCD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75E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4C1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对口派出教师人数</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6C8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AE2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73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人数</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C5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D8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7B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B05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586B2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009B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266C7">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8C22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01A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受援学校所数</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AD1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37D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DA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所</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44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BC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C9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64D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6BD6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7D92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2C0C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D0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79E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“三区”支教教师工作任务高质量完成</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9C9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F5F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4A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18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2E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ED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544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4A73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2F33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47CD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81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F1E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当年完成</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AD0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62C8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5F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D6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C7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48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08D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3876D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DB368">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C92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DD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E3E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提高受援地区学校教育教学和管理水平</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533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06A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1E9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17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76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C4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CB8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26E7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558D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3E6B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F2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可持续发展指标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6CF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推动受援地区教育事业发展</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886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D1C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优良</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E05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A7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C2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5D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685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44BE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D2F92">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5D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8B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服务对象满意度指标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7FB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受援地区学校师生、家长满意度</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727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534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B4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4B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05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C3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B6C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iCs/>
                <w:color w:val="000000"/>
                <w:sz w:val="16"/>
                <w:szCs w:val="16"/>
                <w:u w:val="none"/>
              </w:rPr>
            </w:pPr>
          </w:p>
        </w:tc>
      </w:tr>
      <w:tr w14:paraId="6A77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A0F4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40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8B16">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C530">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r>
      <w:tr w14:paraId="69B0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12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评价结论</w:t>
            </w:r>
          </w:p>
        </w:tc>
        <w:tc>
          <w:tcPr>
            <w:tcW w:w="887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8CED68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结面完成年度目标，综合自评分100分</w:t>
            </w:r>
          </w:p>
        </w:tc>
      </w:tr>
      <w:tr w14:paraId="5BD7E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41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存在问题</w:t>
            </w:r>
          </w:p>
        </w:tc>
        <w:tc>
          <w:tcPr>
            <w:tcW w:w="887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450C889">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无</w:t>
            </w:r>
          </w:p>
        </w:tc>
      </w:tr>
      <w:tr w14:paraId="2880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A1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改进措施</w:t>
            </w:r>
          </w:p>
        </w:tc>
        <w:tc>
          <w:tcPr>
            <w:tcW w:w="887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FF34470">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无</w:t>
            </w:r>
          </w:p>
        </w:tc>
      </w:tr>
      <w:tr w14:paraId="352B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45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BBC0D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项目负责人：李明</w:t>
            </w:r>
          </w:p>
        </w:tc>
        <w:tc>
          <w:tcPr>
            <w:tcW w:w="51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9C2A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财务负责人：华玲</w:t>
            </w:r>
          </w:p>
        </w:tc>
      </w:tr>
      <w:tr w14:paraId="68A7E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71" w:type="dxa"/>
            <w:tcBorders>
              <w:top w:val="nil"/>
              <w:left w:val="nil"/>
              <w:bottom w:val="nil"/>
              <w:right w:val="nil"/>
            </w:tcBorders>
            <w:shd w:val="clear" w:color="auto" w:fill="auto"/>
            <w:vAlign w:val="center"/>
          </w:tcPr>
          <w:p w14:paraId="51D63468">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46" w:type="dxa"/>
            <w:tcBorders>
              <w:top w:val="nil"/>
              <w:left w:val="nil"/>
              <w:bottom w:val="nil"/>
              <w:right w:val="nil"/>
            </w:tcBorders>
            <w:shd w:val="clear" w:color="auto" w:fill="auto"/>
            <w:vAlign w:val="center"/>
          </w:tcPr>
          <w:p w14:paraId="37B7F82F">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000" w:type="dxa"/>
            <w:tcBorders>
              <w:top w:val="nil"/>
              <w:left w:val="nil"/>
              <w:bottom w:val="nil"/>
              <w:right w:val="nil"/>
            </w:tcBorders>
            <w:shd w:val="clear" w:color="auto" w:fill="auto"/>
            <w:vAlign w:val="center"/>
          </w:tcPr>
          <w:p w14:paraId="5F19A113">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13" w:type="dxa"/>
            <w:gridSpan w:val="2"/>
            <w:tcBorders>
              <w:top w:val="nil"/>
              <w:left w:val="nil"/>
              <w:bottom w:val="nil"/>
              <w:right w:val="nil"/>
            </w:tcBorders>
            <w:shd w:val="clear" w:color="auto" w:fill="auto"/>
            <w:vAlign w:val="center"/>
          </w:tcPr>
          <w:p w14:paraId="1DC8A6F6">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515" w:type="dxa"/>
            <w:gridSpan w:val="2"/>
            <w:tcBorders>
              <w:top w:val="nil"/>
              <w:left w:val="nil"/>
              <w:bottom w:val="nil"/>
              <w:right w:val="nil"/>
            </w:tcBorders>
            <w:shd w:val="clear" w:color="auto" w:fill="auto"/>
            <w:vAlign w:val="center"/>
          </w:tcPr>
          <w:p w14:paraId="1485D0EE">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776" w:type="dxa"/>
            <w:gridSpan w:val="2"/>
            <w:tcBorders>
              <w:top w:val="nil"/>
              <w:left w:val="nil"/>
              <w:bottom w:val="nil"/>
              <w:right w:val="nil"/>
            </w:tcBorders>
            <w:shd w:val="clear" w:color="auto" w:fill="auto"/>
            <w:vAlign w:val="center"/>
          </w:tcPr>
          <w:p w14:paraId="3CB95875">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533" w:type="dxa"/>
            <w:tcBorders>
              <w:top w:val="nil"/>
              <w:left w:val="nil"/>
              <w:bottom w:val="nil"/>
              <w:right w:val="nil"/>
            </w:tcBorders>
            <w:shd w:val="clear" w:color="auto" w:fill="auto"/>
            <w:vAlign w:val="center"/>
          </w:tcPr>
          <w:p w14:paraId="2A419DE9">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994" w:type="dxa"/>
            <w:tcBorders>
              <w:top w:val="nil"/>
              <w:left w:val="nil"/>
              <w:bottom w:val="nil"/>
              <w:right w:val="nil"/>
            </w:tcBorders>
            <w:shd w:val="clear" w:color="auto" w:fill="auto"/>
            <w:vAlign w:val="center"/>
          </w:tcPr>
          <w:p w14:paraId="5021792B">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881" w:type="dxa"/>
            <w:tcBorders>
              <w:top w:val="nil"/>
              <w:left w:val="nil"/>
              <w:bottom w:val="nil"/>
              <w:right w:val="nil"/>
            </w:tcBorders>
            <w:shd w:val="clear" w:color="auto" w:fill="auto"/>
            <w:vAlign w:val="center"/>
          </w:tcPr>
          <w:p w14:paraId="3A2D60B8">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885" w:type="dxa"/>
            <w:tcBorders>
              <w:top w:val="nil"/>
              <w:left w:val="nil"/>
              <w:bottom w:val="nil"/>
              <w:right w:val="nil"/>
            </w:tcBorders>
            <w:shd w:val="clear" w:color="auto" w:fill="auto"/>
            <w:vAlign w:val="center"/>
          </w:tcPr>
          <w:p w14:paraId="5EC704F9">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035" w:type="dxa"/>
            <w:tcBorders>
              <w:top w:val="nil"/>
              <w:left w:val="nil"/>
              <w:bottom w:val="nil"/>
              <w:right w:val="nil"/>
            </w:tcBorders>
            <w:shd w:val="clear" w:color="auto" w:fill="auto"/>
            <w:vAlign w:val="center"/>
          </w:tcPr>
          <w:p w14:paraId="6B08FDF2">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r>
      <w:tr w14:paraId="0694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71" w:type="dxa"/>
            <w:tcBorders>
              <w:top w:val="nil"/>
              <w:left w:val="nil"/>
              <w:bottom w:val="nil"/>
              <w:right w:val="nil"/>
            </w:tcBorders>
            <w:shd w:val="clear" w:color="auto" w:fill="auto"/>
            <w:vAlign w:val="center"/>
          </w:tcPr>
          <w:p w14:paraId="6AA33486">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p w14:paraId="3355454D">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46" w:type="dxa"/>
            <w:tcBorders>
              <w:top w:val="nil"/>
              <w:left w:val="nil"/>
              <w:bottom w:val="nil"/>
              <w:right w:val="nil"/>
            </w:tcBorders>
            <w:shd w:val="clear" w:color="auto" w:fill="auto"/>
            <w:vAlign w:val="center"/>
          </w:tcPr>
          <w:p w14:paraId="6DF7B5F3">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000" w:type="dxa"/>
            <w:tcBorders>
              <w:top w:val="nil"/>
              <w:left w:val="nil"/>
              <w:bottom w:val="nil"/>
              <w:right w:val="nil"/>
            </w:tcBorders>
            <w:shd w:val="clear" w:color="auto" w:fill="auto"/>
            <w:vAlign w:val="center"/>
          </w:tcPr>
          <w:p w14:paraId="605D360B">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13" w:type="dxa"/>
            <w:gridSpan w:val="2"/>
            <w:tcBorders>
              <w:top w:val="nil"/>
              <w:left w:val="nil"/>
              <w:bottom w:val="nil"/>
              <w:right w:val="nil"/>
            </w:tcBorders>
            <w:shd w:val="clear" w:color="auto" w:fill="auto"/>
            <w:vAlign w:val="center"/>
          </w:tcPr>
          <w:p w14:paraId="3E38520E">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515" w:type="dxa"/>
            <w:gridSpan w:val="2"/>
            <w:tcBorders>
              <w:top w:val="nil"/>
              <w:left w:val="nil"/>
              <w:bottom w:val="nil"/>
              <w:right w:val="nil"/>
            </w:tcBorders>
            <w:shd w:val="clear" w:color="auto" w:fill="auto"/>
            <w:vAlign w:val="center"/>
          </w:tcPr>
          <w:p w14:paraId="085F470D">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776" w:type="dxa"/>
            <w:gridSpan w:val="2"/>
            <w:tcBorders>
              <w:top w:val="nil"/>
              <w:left w:val="nil"/>
              <w:bottom w:val="nil"/>
              <w:right w:val="nil"/>
            </w:tcBorders>
            <w:shd w:val="clear" w:color="auto" w:fill="auto"/>
            <w:vAlign w:val="center"/>
          </w:tcPr>
          <w:p w14:paraId="035CBEDB">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533" w:type="dxa"/>
            <w:tcBorders>
              <w:top w:val="nil"/>
              <w:left w:val="nil"/>
              <w:bottom w:val="nil"/>
              <w:right w:val="nil"/>
            </w:tcBorders>
            <w:shd w:val="clear" w:color="auto" w:fill="auto"/>
            <w:vAlign w:val="center"/>
          </w:tcPr>
          <w:p w14:paraId="03ECC4A9">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994" w:type="dxa"/>
            <w:tcBorders>
              <w:top w:val="nil"/>
              <w:left w:val="nil"/>
              <w:bottom w:val="nil"/>
              <w:right w:val="nil"/>
            </w:tcBorders>
            <w:shd w:val="clear" w:color="auto" w:fill="auto"/>
            <w:vAlign w:val="center"/>
          </w:tcPr>
          <w:p w14:paraId="5A80246B">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881" w:type="dxa"/>
            <w:tcBorders>
              <w:top w:val="nil"/>
              <w:left w:val="nil"/>
              <w:bottom w:val="nil"/>
              <w:right w:val="nil"/>
            </w:tcBorders>
            <w:shd w:val="clear" w:color="auto" w:fill="auto"/>
            <w:vAlign w:val="center"/>
          </w:tcPr>
          <w:p w14:paraId="767C745B">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885" w:type="dxa"/>
            <w:tcBorders>
              <w:top w:val="nil"/>
              <w:left w:val="nil"/>
              <w:bottom w:val="nil"/>
              <w:right w:val="nil"/>
            </w:tcBorders>
            <w:shd w:val="clear" w:color="auto" w:fill="auto"/>
            <w:vAlign w:val="center"/>
          </w:tcPr>
          <w:p w14:paraId="3D8A34DE">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035" w:type="dxa"/>
            <w:tcBorders>
              <w:top w:val="nil"/>
              <w:left w:val="nil"/>
              <w:bottom w:val="nil"/>
              <w:right w:val="nil"/>
            </w:tcBorders>
            <w:shd w:val="clear" w:color="auto" w:fill="auto"/>
            <w:vAlign w:val="center"/>
          </w:tcPr>
          <w:p w14:paraId="3C280CB5">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r>
      <w:tr w14:paraId="4BCCE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64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23C1F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黑体" w:hAnsi="宋体" w:eastAsia="黑体" w:cs="黑体"/>
                <w:b/>
                <w:bCs/>
                <w:i w:val="0"/>
                <w:iCs w:val="0"/>
                <w:color w:val="000000"/>
                <w:sz w:val="30"/>
                <w:szCs w:val="30"/>
                <w:u w:val="none"/>
              </w:rPr>
            </w:pPr>
            <w:r>
              <w:rPr>
                <w:rFonts w:hint="eastAsia" w:ascii="宋体" w:hAnsi="宋体" w:eastAsia="宋体" w:cs="宋体"/>
                <w:b/>
                <w:bCs/>
                <w:i w:val="0"/>
                <w:iCs w:val="0"/>
                <w:color w:val="000000"/>
                <w:kern w:val="0"/>
                <w:sz w:val="28"/>
                <w:szCs w:val="28"/>
                <w:u w:val="none"/>
                <w:lang w:val="en-US" w:eastAsia="zh-CN" w:bidi="ar"/>
              </w:rPr>
              <w:t>部门预算项目支出绩效自评表（2024年度）</w:t>
            </w:r>
          </w:p>
        </w:tc>
      </w:tr>
      <w:tr w14:paraId="0523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245F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77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B6B2FC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51118123T000008642585-城乡义务教育生均公用经费（初中）</w:t>
            </w:r>
          </w:p>
        </w:tc>
      </w:tr>
      <w:tr w14:paraId="5988B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F89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3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407CB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教育局</w:t>
            </w:r>
          </w:p>
        </w:tc>
        <w:tc>
          <w:tcPr>
            <w:tcW w:w="994" w:type="dxa"/>
            <w:tcBorders>
              <w:top w:val="nil"/>
              <w:left w:val="nil"/>
              <w:bottom w:val="nil"/>
              <w:right w:val="nil"/>
            </w:tcBorders>
            <w:shd w:val="clear" w:color="auto" w:fill="auto"/>
            <w:vAlign w:val="center"/>
          </w:tcPr>
          <w:p w14:paraId="1508606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BA2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峨眉山市龙池镇初级中学校</w:t>
            </w:r>
          </w:p>
        </w:tc>
      </w:tr>
      <w:tr w14:paraId="1FDA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811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6D7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3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1872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B423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40344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DFD6D">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F83CE">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393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AB369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目标1：落实城乡义务教育经费保障机制。</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6"/>
                <w:szCs w:val="16"/>
                <w:u w:val="none"/>
                <w:lang w:val="en-US" w:eastAsia="zh-CN" w:bidi="ar"/>
              </w:rPr>
              <w:br w:type="textWrapping"/>
            </w:r>
            <w:r>
              <w:rPr>
                <w:rFonts w:ascii="宋体" w:hAnsi="宋体" w:eastAsia="宋体" w:cs="宋体"/>
                <w:i w:val="0"/>
                <w:iCs w:val="0"/>
                <w:color w:val="000000"/>
                <w:kern w:val="0"/>
                <w:sz w:val="16"/>
                <w:szCs w:val="16"/>
                <w:u w:val="none"/>
                <w:lang w:val="en-US" w:eastAsia="zh-CN" w:bidi="ar"/>
              </w:rPr>
              <w:t>目标3：生均公用经费主要用于学校公用支出，保障学校教育教学秩序正常运转，完成上级下达的教学目标，全面发展义务教育事业。</w:t>
            </w:r>
          </w:p>
        </w:tc>
        <w:tc>
          <w:tcPr>
            <w:tcW w:w="3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8E17C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对照年度目标，说明相关任务目标的完成情况（100字以内）</w:t>
            </w:r>
          </w:p>
        </w:tc>
      </w:tr>
      <w:tr w14:paraId="07273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13F02">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9A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773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2DE5D52">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r>
      <w:tr w14:paraId="3FB20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BB2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FF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A7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004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2C39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F4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61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B4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F3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58E5C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D1FE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50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0F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19.37</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C1B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47.66</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C181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44.14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47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92.61%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52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4ABE">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10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31A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cs="宋体"/>
                <w:i w:val="0"/>
                <w:iCs w:val="0"/>
                <w:color w:val="000000"/>
                <w:sz w:val="16"/>
                <w:szCs w:val="16"/>
                <w:u w:val="none"/>
                <w:lang w:val="en-US" w:eastAsia="zh-CN"/>
              </w:rPr>
              <w:t>预留下一年水电等必须费用</w:t>
            </w:r>
          </w:p>
        </w:tc>
      </w:tr>
      <w:tr w14:paraId="5A514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89E7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41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71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19.37</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72D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47.66</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81A5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44.14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2E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92.61%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33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E4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166FB">
            <w:pPr>
              <w:keepNext w:val="0"/>
              <w:keepLines w:val="0"/>
              <w:pageBreakBefore w:val="0"/>
              <w:widowControl/>
              <w:kinsoku/>
              <w:wordWrap/>
              <w:overflowPunct/>
              <w:topLinePunct w:val="0"/>
              <w:autoSpaceDE/>
              <w:autoSpaceDN/>
              <w:bidi w:val="0"/>
              <w:adjustRightInd w:val="0"/>
              <w:snapToGrid w:val="0"/>
              <w:rPr>
                <w:rFonts w:hint="eastAsia" w:ascii="黑体" w:hAnsi="黑体" w:eastAsia="黑体" w:cs="黑体"/>
                <w:i/>
                <w:iCs/>
                <w:color w:val="000000"/>
                <w:sz w:val="16"/>
                <w:szCs w:val="16"/>
                <w:u w:val="none"/>
              </w:rPr>
            </w:pPr>
          </w:p>
        </w:tc>
      </w:tr>
      <w:tr w14:paraId="63667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B082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E7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46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A58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2F2F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58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6A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A3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232E5">
            <w:pPr>
              <w:keepNext w:val="0"/>
              <w:keepLines w:val="0"/>
              <w:pageBreakBefore w:val="0"/>
              <w:widowControl/>
              <w:kinsoku/>
              <w:wordWrap/>
              <w:overflowPunct/>
              <w:topLinePunct w:val="0"/>
              <w:autoSpaceDE/>
              <w:autoSpaceDN/>
              <w:bidi w:val="0"/>
              <w:adjustRightInd w:val="0"/>
              <w:snapToGrid w:val="0"/>
              <w:rPr>
                <w:rFonts w:hint="eastAsia" w:ascii="黑体" w:hAnsi="黑体" w:eastAsia="黑体" w:cs="黑体"/>
                <w:i/>
                <w:iCs/>
                <w:color w:val="000000"/>
                <w:sz w:val="16"/>
                <w:szCs w:val="16"/>
                <w:u w:val="none"/>
              </w:rPr>
            </w:pPr>
          </w:p>
        </w:tc>
      </w:tr>
      <w:tr w14:paraId="2443F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DC95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53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DB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230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4314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78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28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63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B89B1">
            <w:pPr>
              <w:keepNext w:val="0"/>
              <w:keepLines w:val="0"/>
              <w:pageBreakBefore w:val="0"/>
              <w:widowControl/>
              <w:kinsoku/>
              <w:wordWrap/>
              <w:overflowPunct/>
              <w:topLinePunct w:val="0"/>
              <w:autoSpaceDE/>
              <w:autoSpaceDN/>
              <w:bidi w:val="0"/>
              <w:adjustRightInd w:val="0"/>
              <w:snapToGrid w:val="0"/>
              <w:rPr>
                <w:rFonts w:hint="eastAsia" w:ascii="黑体" w:hAnsi="黑体" w:eastAsia="黑体" w:cs="黑体"/>
                <w:i/>
                <w:iCs/>
                <w:color w:val="000000"/>
                <w:sz w:val="16"/>
                <w:szCs w:val="16"/>
                <w:u w:val="none"/>
              </w:rPr>
            </w:pPr>
          </w:p>
        </w:tc>
      </w:tr>
      <w:tr w14:paraId="4CBFE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2055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5E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A6C7">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B6600">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18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50616A">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B3D5">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3A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1D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53F1D">
            <w:pPr>
              <w:keepNext w:val="0"/>
              <w:keepLines w:val="0"/>
              <w:pageBreakBefore w:val="0"/>
              <w:widowControl/>
              <w:kinsoku/>
              <w:wordWrap/>
              <w:overflowPunct/>
              <w:topLinePunct w:val="0"/>
              <w:autoSpaceDE/>
              <w:autoSpaceDN/>
              <w:bidi w:val="0"/>
              <w:adjustRightInd w:val="0"/>
              <w:snapToGrid w:val="0"/>
              <w:rPr>
                <w:rFonts w:hint="eastAsia" w:ascii="黑体" w:hAnsi="黑体" w:eastAsia="黑体" w:cs="黑体"/>
                <w:i/>
                <w:iCs/>
                <w:color w:val="000000"/>
                <w:sz w:val="16"/>
                <w:szCs w:val="16"/>
                <w:u w:val="none"/>
              </w:rPr>
            </w:pPr>
          </w:p>
        </w:tc>
      </w:tr>
      <w:tr w14:paraId="2978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211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31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08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054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0E7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D01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38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0F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5A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E5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50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26F5F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3BDD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D3D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B61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B14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享受免费义务教育学生人数318人，增减率控制范围</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4C3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A67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A2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4C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A0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D1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95AE">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3DA38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1132C">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6182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10E2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B48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义务教育学生入学率</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481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E9A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3C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12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27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7D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FBAC">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1ACA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E13C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837EB">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94E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质量指标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A1F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完成上级下达的教学目标</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FDE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BB2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C1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91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98</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38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F8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E897">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7C3C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D92C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92201">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CED94">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65B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九年义务教育巩固率</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ADF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F1D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41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39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F2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38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A576">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759EA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9BC0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2112F">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3D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时效指标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7FB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资金拨付周期</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B0F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805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40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CC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AC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A3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ascii="宋体" w:hAnsi="宋体" w:eastAsia="宋体" w:cs="宋体"/>
                <w:i w:val="0"/>
                <w:iCs w:val="0"/>
                <w:color w:val="000000"/>
                <w:kern w:val="0"/>
                <w:sz w:val="16"/>
                <w:szCs w:val="16"/>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D58B">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11972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22F96">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56C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7F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8C8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落实国家政策，保障适龄儿童全面接受义务教育</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5B7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9F2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优良</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DE0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70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14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06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ascii="宋体" w:hAnsi="宋体" w:eastAsia="宋体" w:cs="宋体"/>
                <w:i w:val="0"/>
                <w:iCs w:val="0"/>
                <w:color w:val="000000"/>
                <w:kern w:val="0"/>
                <w:sz w:val="16"/>
                <w:szCs w:val="16"/>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FAE7">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24F63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66CC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A3B2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66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可持续发展指标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66C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促进义务教育健康发展</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730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定性</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DF5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优良</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5170">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45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优</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C9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E6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ascii="宋体" w:hAnsi="宋体" w:eastAsia="宋体" w:cs="宋体"/>
                <w:i w:val="0"/>
                <w:iCs w:val="0"/>
                <w:color w:val="000000"/>
                <w:kern w:val="0"/>
                <w:sz w:val="16"/>
                <w:szCs w:val="16"/>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AB3E">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17F09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19B03">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01F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218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服务对象满意度指标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F65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家长和学生满意度</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F6F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CF1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71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2B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B4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80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16"/>
                <w:szCs w:val="16"/>
                <w:u w:val="none"/>
                <w:lang w:val="en-US" w:eastAsia="zh-CN" w:bidi="ar-SA"/>
              </w:rPr>
            </w:pPr>
            <w:r>
              <w:rPr>
                <w:rFonts w:ascii="宋体" w:hAnsi="宋体" w:eastAsia="宋体" w:cs="宋体"/>
                <w:i w:val="0"/>
                <w:iCs w:val="0"/>
                <w:color w:val="000000"/>
                <w:kern w:val="0"/>
                <w:sz w:val="16"/>
                <w:szCs w:val="16"/>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3296">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2F7FF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00F4E">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7D089">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A8AE5">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rPr>
            </w:pP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71D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学校和教师满意度</w:t>
            </w:r>
          </w:p>
        </w:tc>
        <w:tc>
          <w:tcPr>
            <w:tcW w:w="5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A9A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4D9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90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34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3D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95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3D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BBAA">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1F62">
            <w:pPr>
              <w:keepNext w:val="0"/>
              <w:keepLines w:val="0"/>
              <w:pageBreakBefore w:val="0"/>
              <w:widowControl/>
              <w:kinsoku/>
              <w:wordWrap/>
              <w:overflowPunct/>
              <w:topLinePunct w:val="0"/>
              <w:autoSpaceDE/>
              <w:autoSpaceDN/>
              <w:bidi w:val="0"/>
              <w:adjustRightInd w:val="0"/>
              <w:snapToGrid w:val="0"/>
              <w:jc w:val="center"/>
              <w:rPr>
                <w:rFonts w:hint="eastAsia" w:ascii="微软雅黑" w:hAnsi="微软雅黑" w:eastAsia="微软雅黑" w:cs="微软雅黑"/>
                <w:i/>
                <w:iCs/>
                <w:color w:val="000000"/>
                <w:sz w:val="16"/>
                <w:szCs w:val="16"/>
                <w:u w:val="none"/>
              </w:rPr>
            </w:pPr>
          </w:p>
        </w:tc>
      </w:tr>
      <w:tr w14:paraId="285FE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8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AE2D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98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77DB">
            <w:pPr>
              <w:keepNext w:val="0"/>
              <w:keepLines w:val="0"/>
              <w:pageBreakBefore w:val="0"/>
              <w:widowControl/>
              <w:kinsoku/>
              <w:wordWrap/>
              <w:overflowPunct/>
              <w:topLinePunct w:val="0"/>
              <w:autoSpaceDE/>
              <w:autoSpaceDN/>
              <w:bidi w:val="0"/>
              <w:adjustRightInd w:val="0"/>
              <w:snapToGrid w:val="0"/>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3380">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rPr>
            </w:pPr>
          </w:p>
        </w:tc>
      </w:tr>
      <w:tr w14:paraId="1AFC4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13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评价结论</w:t>
            </w:r>
          </w:p>
        </w:tc>
        <w:tc>
          <w:tcPr>
            <w:tcW w:w="887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08773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结面完成年度目标，综合自评分100分</w:t>
            </w:r>
          </w:p>
        </w:tc>
      </w:tr>
      <w:tr w14:paraId="761C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BB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存在问题</w:t>
            </w:r>
          </w:p>
        </w:tc>
        <w:tc>
          <w:tcPr>
            <w:tcW w:w="887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2C4E062">
            <w:pPr>
              <w:keepNext w:val="0"/>
              <w:keepLines w:val="0"/>
              <w:pageBreakBefore w:val="0"/>
              <w:widowControl/>
              <w:kinsoku/>
              <w:wordWrap/>
              <w:overflowPunct/>
              <w:topLinePunct w:val="0"/>
              <w:autoSpaceDE/>
              <w:autoSpaceDN/>
              <w:bidi w:val="0"/>
              <w:adjustRightInd w:val="0"/>
              <w:snapToGrid w:val="0"/>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无</w:t>
            </w:r>
          </w:p>
        </w:tc>
      </w:tr>
      <w:tr w14:paraId="57850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43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改进措施</w:t>
            </w:r>
          </w:p>
        </w:tc>
        <w:tc>
          <w:tcPr>
            <w:tcW w:w="887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73AE1CF">
            <w:pPr>
              <w:keepNext w:val="0"/>
              <w:keepLines w:val="0"/>
              <w:pageBreakBefore w:val="0"/>
              <w:widowControl/>
              <w:kinsoku/>
              <w:wordWrap/>
              <w:overflowPunct/>
              <w:topLinePunct w:val="0"/>
              <w:autoSpaceDE/>
              <w:autoSpaceDN/>
              <w:bidi w:val="0"/>
              <w:adjustRightInd w:val="0"/>
              <w:snapToGrid w:val="0"/>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无</w:t>
            </w:r>
          </w:p>
        </w:tc>
      </w:tr>
      <w:tr w14:paraId="7C594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45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EA3B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项目负责人：李明</w:t>
            </w:r>
          </w:p>
        </w:tc>
        <w:tc>
          <w:tcPr>
            <w:tcW w:w="510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07E05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财务负责人：华玲</w:t>
            </w:r>
          </w:p>
        </w:tc>
      </w:tr>
    </w:tbl>
    <w:p w14:paraId="6FCFB5C9">
      <w:pPr>
        <w:pStyle w:val="8"/>
        <w:spacing w:before="93"/>
        <w:rPr>
          <w:rFonts w:hAnsi="Calibri" w:cs="仿宋"/>
          <w:sz w:val="32"/>
          <w:szCs w:val="32"/>
        </w:rPr>
      </w:pPr>
      <w:bookmarkStart w:id="53" w:name="_Toc15396618"/>
    </w:p>
    <w:p w14:paraId="5540757F">
      <w:pPr>
        <w:spacing w:line="600" w:lineRule="exact"/>
        <w:jc w:val="center"/>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bookmarkEnd w:id="51"/>
      <w:bookmarkEnd w:id="53"/>
      <w:bookmarkStart w:id="54" w:name="_Toc15396619"/>
    </w:p>
    <w:p w14:paraId="27AEC41E">
      <w:pPr>
        <w:pStyle w:val="6"/>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54"/>
    </w:p>
    <w:p w14:paraId="28C2EC8B">
      <w:pPr>
        <w:pStyle w:val="6"/>
        <w:rPr>
          <w:rFonts w:ascii="仿宋" w:hAnsi="仿宋" w:eastAsia="仿宋"/>
        </w:rPr>
      </w:pPr>
      <w:bookmarkStart w:id="55" w:name="_Toc15396620"/>
      <w:r>
        <w:rPr>
          <w:rFonts w:hint="eastAsia" w:ascii="仿宋" w:hAnsi="仿宋" w:eastAsia="仿宋"/>
          <w:b w:val="0"/>
        </w:rPr>
        <w:t>二、收</w:t>
      </w:r>
      <w:r>
        <w:rPr>
          <w:rStyle w:val="30"/>
          <w:rFonts w:hint="eastAsia" w:ascii="仿宋" w:hAnsi="仿宋" w:eastAsia="仿宋"/>
          <w:b w:val="0"/>
          <w:bCs w:val="0"/>
        </w:rPr>
        <w:t>入决算表</w:t>
      </w:r>
      <w:bookmarkEnd w:id="55"/>
    </w:p>
    <w:p w14:paraId="714387FB">
      <w:pPr>
        <w:pStyle w:val="6"/>
        <w:rPr>
          <w:rFonts w:ascii="仿宋" w:hAnsi="仿宋" w:eastAsia="仿宋"/>
        </w:rPr>
      </w:pPr>
      <w:bookmarkStart w:id="56"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56"/>
    </w:p>
    <w:p w14:paraId="0CDC1509">
      <w:pPr>
        <w:pStyle w:val="6"/>
        <w:rPr>
          <w:rFonts w:ascii="仿宋" w:hAnsi="仿宋" w:eastAsia="仿宋"/>
          <w:b w:val="0"/>
        </w:rPr>
      </w:pPr>
      <w:bookmarkStart w:id="57"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57"/>
    </w:p>
    <w:p w14:paraId="442A237F">
      <w:pPr>
        <w:pStyle w:val="6"/>
        <w:rPr>
          <w:rStyle w:val="30"/>
          <w:rFonts w:ascii="仿宋" w:hAnsi="仿宋" w:eastAsia="仿宋"/>
          <w:b w:val="0"/>
          <w:bCs w:val="0"/>
        </w:rPr>
      </w:pPr>
      <w:bookmarkStart w:id="58"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58"/>
      <w:bookmarkStart w:id="59" w:name="_Toc15396624"/>
    </w:p>
    <w:p w14:paraId="3EDC7778">
      <w:pPr>
        <w:pStyle w:val="6"/>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59"/>
    </w:p>
    <w:p w14:paraId="44798375">
      <w:pPr>
        <w:pStyle w:val="6"/>
        <w:rPr>
          <w:rFonts w:ascii="仿宋" w:hAnsi="仿宋" w:eastAsia="仿宋"/>
        </w:rPr>
      </w:pPr>
      <w:bookmarkStart w:id="60"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0"/>
    </w:p>
    <w:p w14:paraId="270478CD">
      <w:pPr>
        <w:pStyle w:val="6"/>
        <w:rPr>
          <w:rFonts w:ascii="仿宋" w:hAnsi="仿宋" w:eastAsia="仿宋"/>
        </w:rPr>
      </w:pPr>
      <w:bookmarkStart w:id="61"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1"/>
    </w:p>
    <w:p w14:paraId="237851E9">
      <w:pPr>
        <w:pStyle w:val="6"/>
        <w:rPr>
          <w:rFonts w:ascii="仿宋" w:hAnsi="仿宋" w:eastAsia="仿宋"/>
        </w:rPr>
      </w:pPr>
      <w:bookmarkStart w:id="62"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2"/>
    </w:p>
    <w:p w14:paraId="4D458C57">
      <w:pPr>
        <w:pStyle w:val="6"/>
        <w:rPr>
          <w:rFonts w:ascii="仿宋" w:hAnsi="仿宋" w:eastAsia="仿宋"/>
        </w:rPr>
      </w:pPr>
      <w:bookmarkStart w:id="63" w:name="_Toc15396628"/>
      <w:r>
        <w:rPr>
          <w:rStyle w:val="30"/>
          <w:rFonts w:hint="eastAsia" w:ascii="仿宋" w:hAnsi="仿宋" w:eastAsia="仿宋"/>
          <w:b w:val="0"/>
          <w:bCs w:val="0"/>
        </w:rPr>
        <w:t>十、</w:t>
      </w:r>
      <w:bookmarkEnd w:id="63"/>
      <w:r>
        <w:rPr>
          <w:rFonts w:hint="eastAsia" w:ascii="仿宋" w:hAnsi="仿宋" w:eastAsia="仿宋"/>
          <w:b w:val="0"/>
        </w:rPr>
        <w:t>政</w:t>
      </w:r>
      <w:r>
        <w:rPr>
          <w:rStyle w:val="30"/>
          <w:rFonts w:hint="eastAsia" w:ascii="仿宋" w:hAnsi="仿宋" w:eastAsia="仿宋"/>
          <w:b w:val="0"/>
          <w:bCs w:val="0"/>
        </w:rPr>
        <w:t>府性基金预算财政拨款收入支出决算表</w:t>
      </w:r>
    </w:p>
    <w:p w14:paraId="7EFCAA96">
      <w:pPr>
        <w:pStyle w:val="6"/>
        <w:rPr>
          <w:rFonts w:ascii="仿宋" w:hAnsi="仿宋" w:eastAsia="仿宋"/>
        </w:rPr>
      </w:pPr>
      <w:bookmarkStart w:id="64" w:name="_Toc15396629"/>
      <w:r>
        <w:rPr>
          <w:rStyle w:val="30"/>
          <w:rFonts w:hint="eastAsia" w:ascii="仿宋" w:hAnsi="仿宋" w:eastAsia="仿宋"/>
          <w:b w:val="0"/>
          <w:bCs w:val="0"/>
        </w:rPr>
        <w:t>十一、</w:t>
      </w:r>
      <w:bookmarkEnd w:id="64"/>
      <w:r>
        <w:rPr>
          <w:rFonts w:hint="eastAsia" w:ascii="仿宋" w:hAnsi="仿宋" w:eastAsia="仿宋"/>
          <w:b w:val="0"/>
        </w:rPr>
        <w:t>国</w:t>
      </w:r>
      <w:r>
        <w:rPr>
          <w:rStyle w:val="30"/>
          <w:rFonts w:hint="eastAsia" w:ascii="仿宋" w:hAnsi="仿宋" w:eastAsia="仿宋"/>
          <w:b w:val="0"/>
          <w:bCs w:val="0"/>
        </w:rPr>
        <w:t>有资本经营预算财政拨款收入支出决算表</w:t>
      </w:r>
    </w:p>
    <w:p w14:paraId="4F19BE6E">
      <w:pPr>
        <w:pStyle w:val="6"/>
        <w:rPr>
          <w:rFonts w:ascii="仿宋" w:hAnsi="仿宋" w:eastAsia="仿宋"/>
        </w:rPr>
      </w:pPr>
      <w:bookmarkStart w:id="65" w:name="_Toc15396630"/>
      <w:r>
        <w:rPr>
          <w:rStyle w:val="30"/>
          <w:rFonts w:hint="eastAsia" w:ascii="仿宋" w:hAnsi="仿宋" w:eastAsia="仿宋"/>
          <w:b w:val="0"/>
          <w:bCs w:val="0"/>
        </w:rPr>
        <w:t>十二、</w:t>
      </w:r>
      <w:bookmarkEnd w:id="65"/>
      <w:r>
        <w:rPr>
          <w:rStyle w:val="30"/>
          <w:rFonts w:hint="eastAsia" w:ascii="仿宋" w:hAnsi="仿宋" w:eastAsia="仿宋"/>
          <w:b w:val="0"/>
          <w:bCs w:val="0"/>
        </w:rPr>
        <w:t>国有资本经营预算财政拨款支出决算表</w:t>
      </w:r>
    </w:p>
    <w:p w14:paraId="2A0AED74">
      <w:pPr>
        <w:pStyle w:val="6"/>
        <w:rPr>
          <w:rFonts w:eastAsia="仿宋"/>
        </w:rPr>
      </w:pPr>
      <w:bookmarkStart w:id="66" w:name="_Toc15396631"/>
      <w:r>
        <w:rPr>
          <w:rStyle w:val="30"/>
          <w:rFonts w:hint="eastAsia" w:ascii="仿宋" w:hAnsi="仿宋" w:eastAsia="仿宋"/>
          <w:b w:val="0"/>
          <w:bCs w:val="0"/>
        </w:rPr>
        <w:t>十三、</w:t>
      </w:r>
      <w:bookmarkEnd w:id="66"/>
      <w:r>
        <w:rPr>
          <w:rStyle w:val="30"/>
          <w:rFonts w:hint="eastAsia" w:ascii="仿宋" w:hAnsi="仿宋" w:eastAsia="仿宋"/>
          <w:b w:val="0"/>
          <w:bCs w:val="0"/>
        </w:rPr>
        <w:t>财政拨款“三公”经费支出决算表</w:t>
      </w:r>
    </w:p>
    <w:sectPr>
      <w:headerReference r:id="rId3" w:type="default"/>
      <w:footerReference r:id="rId4" w:type="default"/>
      <w:pgSz w:w="11906" w:h="16838"/>
      <w:pgMar w:top="1134" w:right="1134" w:bottom="1134" w:left="1134"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D9FB542">
        <w:pPr>
          <w:pStyle w:val="11"/>
          <w:jc w:val="center"/>
        </w:pPr>
        <w:r>
          <w:fldChar w:fldCharType="begin"/>
        </w:r>
        <w:r>
          <w:instrText xml:space="preserve">PAGE   \* MERGEFORMAT</w:instrText>
        </w:r>
        <w:r>
          <w:fldChar w:fldCharType="separate"/>
        </w:r>
        <w:r>
          <w:rPr>
            <w:lang w:val="zh-CN"/>
          </w:rPr>
          <w:t>15</w:t>
        </w:r>
        <w:r>
          <w:fldChar w:fldCharType="end"/>
        </w:r>
      </w:p>
    </w:sdtContent>
  </w:sdt>
  <w:p w14:paraId="753F0AD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9099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wM2U2Zjc4YWQ3YmM4ZTkzOWY0Y2IyOWZkZTQ3ZDU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47343"/>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712D3A"/>
    <w:rsid w:val="028358DC"/>
    <w:rsid w:val="030C4344"/>
    <w:rsid w:val="03DC2831"/>
    <w:rsid w:val="052838F5"/>
    <w:rsid w:val="071B0D17"/>
    <w:rsid w:val="07651475"/>
    <w:rsid w:val="081B5E94"/>
    <w:rsid w:val="08D24CB6"/>
    <w:rsid w:val="093328E0"/>
    <w:rsid w:val="09992D9D"/>
    <w:rsid w:val="09CF031F"/>
    <w:rsid w:val="0A2032A3"/>
    <w:rsid w:val="0B8A37D8"/>
    <w:rsid w:val="0E521DE6"/>
    <w:rsid w:val="0F2729AB"/>
    <w:rsid w:val="0F5FFB2F"/>
    <w:rsid w:val="0F8B6224"/>
    <w:rsid w:val="0FFFCF60"/>
    <w:rsid w:val="10C055FF"/>
    <w:rsid w:val="110636E8"/>
    <w:rsid w:val="11576F43"/>
    <w:rsid w:val="118107EC"/>
    <w:rsid w:val="11DD6519"/>
    <w:rsid w:val="11E50624"/>
    <w:rsid w:val="134C3D4D"/>
    <w:rsid w:val="13826402"/>
    <w:rsid w:val="14057E09"/>
    <w:rsid w:val="143F1A17"/>
    <w:rsid w:val="16563FC8"/>
    <w:rsid w:val="16BB723D"/>
    <w:rsid w:val="18015F3F"/>
    <w:rsid w:val="18120CFF"/>
    <w:rsid w:val="18E259B6"/>
    <w:rsid w:val="1BE8440E"/>
    <w:rsid w:val="1C7B4B3F"/>
    <w:rsid w:val="1C7D1864"/>
    <w:rsid w:val="1CD72439"/>
    <w:rsid w:val="1D155CEE"/>
    <w:rsid w:val="1D1B1A39"/>
    <w:rsid w:val="1E113539"/>
    <w:rsid w:val="1ED55F80"/>
    <w:rsid w:val="1FDBBF84"/>
    <w:rsid w:val="20255D17"/>
    <w:rsid w:val="20F57F95"/>
    <w:rsid w:val="22035D17"/>
    <w:rsid w:val="240371BF"/>
    <w:rsid w:val="244B32BA"/>
    <w:rsid w:val="25711CC6"/>
    <w:rsid w:val="25C741E6"/>
    <w:rsid w:val="26590CD6"/>
    <w:rsid w:val="276F80C0"/>
    <w:rsid w:val="27842671"/>
    <w:rsid w:val="28136044"/>
    <w:rsid w:val="28D974BD"/>
    <w:rsid w:val="28F039B6"/>
    <w:rsid w:val="29EC4C7A"/>
    <w:rsid w:val="29FD04D3"/>
    <w:rsid w:val="2A576D51"/>
    <w:rsid w:val="2AAE58D7"/>
    <w:rsid w:val="2ABE7A3E"/>
    <w:rsid w:val="2AFF09B6"/>
    <w:rsid w:val="2B29508C"/>
    <w:rsid w:val="2BC51F44"/>
    <w:rsid w:val="2CA234A8"/>
    <w:rsid w:val="2CF84E84"/>
    <w:rsid w:val="2D894753"/>
    <w:rsid w:val="2D9B28E0"/>
    <w:rsid w:val="2E893910"/>
    <w:rsid w:val="2EFA178C"/>
    <w:rsid w:val="2EFDF86C"/>
    <w:rsid w:val="2F2B28F9"/>
    <w:rsid w:val="2F3445FD"/>
    <w:rsid w:val="2F432A92"/>
    <w:rsid w:val="2F9D17E1"/>
    <w:rsid w:val="301315C6"/>
    <w:rsid w:val="306409D7"/>
    <w:rsid w:val="306E46E8"/>
    <w:rsid w:val="309D4424"/>
    <w:rsid w:val="30B46D73"/>
    <w:rsid w:val="311E416E"/>
    <w:rsid w:val="315A745C"/>
    <w:rsid w:val="319F7F4E"/>
    <w:rsid w:val="341C31FF"/>
    <w:rsid w:val="356A28F1"/>
    <w:rsid w:val="357C035A"/>
    <w:rsid w:val="3672016A"/>
    <w:rsid w:val="368E000D"/>
    <w:rsid w:val="36984C1B"/>
    <w:rsid w:val="36DD1A1E"/>
    <w:rsid w:val="37AE38EA"/>
    <w:rsid w:val="381F71CC"/>
    <w:rsid w:val="383D272C"/>
    <w:rsid w:val="38D46E50"/>
    <w:rsid w:val="39147C0B"/>
    <w:rsid w:val="393651E6"/>
    <w:rsid w:val="39AE70AB"/>
    <w:rsid w:val="3A4DCE41"/>
    <w:rsid w:val="3ABD7E73"/>
    <w:rsid w:val="3BCB56FA"/>
    <w:rsid w:val="3C0C0783"/>
    <w:rsid w:val="3D0328F4"/>
    <w:rsid w:val="3D232B0C"/>
    <w:rsid w:val="3D574570"/>
    <w:rsid w:val="3E1901F0"/>
    <w:rsid w:val="3EE7C2F4"/>
    <w:rsid w:val="3F371B56"/>
    <w:rsid w:val="3F792ED8"/>
    <w:rsid w:val="3F9F3A96"/>
    <w:rsid w:val="3FECA4B2"/>
    <w:rsid w:val="3FF58C48"/>
    <w:rsid w:val="41333DA5"/>
    <w:rsid w:val="42C6780A"/>
    <w:rsid w:val="42FF6694"/>
    <w:rsid w:val="44FA3744"/>
    <w:rsid w:val="45854C54"/>
    <w:rsid w:val="465028DE"/>
    <w:rsid w:val="469012F0"/>
    <w:rsid w:val="470F26FB"/>
    <w:rsid w:val="47D73004"/>
    <w:rsid w:val="48BF60AB"/>
    <w:rsid w:val="493C27E9"/>
    <w:rsid w:val="496F39ED"/>
    <w:rsid w:val="49A60729"/>
    <w:rsid w:val="49FF41D3"/>
    <w:rsid w:val="4BE068DB"/>
    <w:rsid w:val="4BF6002B"/>
    <w:rsid w:val="4BFFC6BE"/>
    <w:rsid w:val="4C123AC0"/>
    <w:rsid w:val="4C612351"/>
    <w:rsid w:val="4CD314A1"/>
    <w:rsid w:val="4D6869B1"/>
    <w:rsid w:val="4ECE2238"/>
    <w:rsid w:val="502E43F3"/>
    <w:rsid w:val="51165E00"/>
    <w:rsid w:val="51581F75"/>
    <w:rsid w:val="51DB4B86"/>
    <w:rsid w:val="51F64DB0"/>
    <w:rsid w:val="52550248"/>
    <w:rsid w:val="5336051D"/>
    <w:rsid w:val="53C96FE0"/>
    <w:rsid w:val="5517148C"/>
    <w:rsid w:val="55333C3E"/>
    <w:rsid w:val="57911526"/>
    <w:rsid w:val="586631C9"/>
    <w:rsid w:val="592D7C3F"/>
    <w:rsid w:val="5A3B264B"/>
    <w:rsid w:val="5ADA7E9F"/>
    <w:rsid w:val="5B950EA3"/>
    <w:rsid w:val="5C7B276E"/>
    <w:rsid w:val="5F214D72"/>
    <w:rsid w:val="5F67802D"/>
    <w:rsid w:val="5F7DC4F2"/>
    <w:rsid w:val="5FB36814"/>
    <w:rsid w:val="5FBB8E56"/>
    <w:rsid w:val="5FFB5535"/>
    <w:rsid w:val="602F4D26"/>
    <w:rsid w:val="60AE1C1B"/>
    <w:rsid w:val="62F34189"/>
    <w:rsid w:val="63A8314E"/>
    <w:rsid w:val="64CA39A1"/>
    <w:rsid w:val="654D46C8"/>
    <w:rsid w:val="6613649A"/>
    <w:rsid w:val="67812459"/>
    <w:rsid w:val="67A4786A"/>
    <w:rsid w:val="6887522F"/>
    <w:rsid w:val="69630ADE"/>
    <w:rsid w:val="696B3AB7"/>
    <w:rsid w:val="69BD5F13"/>
    <w:rsid w:val="69FB0B4B"/>
    <w:rsid w:val="6A2D2C78"/>
    <w:rsid w:val="6AC618D1"/>
    <w:rsid w:val="6BFFE1FB"/>
    <w:rsid w:val="6C3513D9"/>
    <w:rsid w:val="6C4A05C8"/>
    <w:rsid w:val="6CCF5389"/>
    <w:rsid w:val="6D3B1A89"/>
    <w:rsid w:val="6DB7D8A3"/>
    <w:rsid w:val="6EC78701"/>
    <w:rsid w:val="6F4E3F0C"/>
    <w:rsid w:val="6F7A5481"/>
    <w:rsid w:val="6FC373A7"/>
    <w:rsid w:val="6FFE07A9"/>
    <w:rsid w:val="71BF4EC2"/>
    <w:rsid w:val="71D21648"/>
    <w:rsid w:val="72734D90"/>
    <w:rsid w:val="72FD0918"/>
    <w:rsid w:val="73C24CEF"/>
    <w:rsid w:val="73E75B71"/>
    <w:rsid w:val="7412278C"/>
    <w:rsid w:val="74F45930"/>
    <w:rsid w:val="753A7A60"/>
    <w:rsid w:val="75DDCDA9"/>
    <w:rsid w:val="75FF44B1"/>
    <w:rsid w:val="76432944"/>
    <w:rsid w:val="76530DD9"/>
    <w:rsid w:val="76F36118"/>
    <w:rsid w:val="77351EE3"/>
    <w:rsid w:val="77670518"/>
    <w:rsid w:val="777FA627"/>
    <w:rsid w:val="77DF1B5F"/>
    <w:rsid w:val="77EF2D9D"/>
    <w:rsid w:val="780B3776"/>
    <w:rsid w:val="79E7B28D"/>
    <w:rsid w:val="7A0E7CF9"/>
    <w:rsid w:val="7A1F0FD2"/>
    <w:rsid w:val="7A332A76"/>
    <w:rsid w:val="7ACFF0C2"/>
    <w:rsid w:val="7AEF3C28"/>
    <w:rsid w:val="7AFB9108"/>
    <w:rsid w:val="7B0F49B4"/>
    <w:rsid w:val="7BB451E2"/>
    <w:rsid w:val="7BD5340C"/>
    <w:rsid w:val="7BFB19D2"/>
    <w:rsid w:val="7BFD1750"/>
    <w:rsid w:val="7BFDAA1B"/>
    <w:rsid w:val="7C0141DB"/>
    <w:rsid w:val="7CDF9A82"/>
    <w:rsid w:val="7CFFA1BD"/>
    <w:rsid w:val="7D2E3F7A"/>
    <w:rsid w:val="7DED9490"/>
    <w:rsid w:val="7DFF4872"/>
    <w:rsid w:val="7E7487E6"/>
    <w:rsid w:val="7E7C2A54"/>
    <w:rsid w:val="7EAA7A04"/>
    <w:rsid w:val="7EEEFD72"/>
    <w:rsid w:val="7F1D517C"/>
    <w:rsid w:val="7F5DA057"/>
    <w:rsid w:val="7F6C2237"/>
    <w:rsid w:val="7F7F319B"/>
    <w:rsid w:val="7F94415B"/>
    <w:rsid w:val="7F9F20EE"/>
    <w:rsid w:val="7FBBE890"/>
    <w:rsid w:val="7FBC2ABD"/>
    <w:rsid w:val="7FBF5D48"/>
    <w:rsid w:val="7FCCFC01"/>
    <w:rsid w:val="7FD6349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semiHidden/>
    <w:unhideWhenUsed/>
    <w:qFormat/>
    <w:uiPriority w:val="99"/>
    <w:rPr>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5"/>
    <w:qFormat/>
    <w:uiPriority w:val="9"/>
    <w:rPr>
      <w:rFonts w:ascii="Times New Roman" w:hAnsi="Times New Roman"/>
      <w:b/>
      <w:bCs/>
      <w:kern w:val="44"/>
      <w:sz w:val="44"/>
      <w:szCs w:val="44"/>
    </w:rPr>
  </w:style>
  <w:style w:type="character" w:customStyle="1" w:styleId="30">
    <w:name w:val="标题 2 字符"/>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semiHidden/>
    <w:qFormat/>
    <w:uiPriority w:val="99"/>
    <w:rPr>
      <w:rFonts w:ascii="Times New Roman" w:hAnsi="Times New Roman"/>
      <w:kern w:val="2"/>
      <w:sz w:val="18"/>
      <w:szCs w:val="18"/>
    </w:rPr>
  </w:style>
  <w:style w:type="character" w:customStyle="1" w:styleId="33">
    <w:name w:val="标题 3 字符"/>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font81"/>
    <w:basedOn w:val="17"/>
    <w:qFormat/>
    <w:uiPriority w:val="0"/>
    <w:rPr>
      <w:rFonts w:ascii="Arial" w:hAnsi="Arial" w:cs="Arial"/>
      <w:color w:val="000000"/>
      <w:sz w:val="18"/>
      <w:szCs w:val="18"/>
      <w:u w:val="none"/>
    </w:rPr>
  </w:style>
  <w:style w:type="character" w:customStyle="1" w:styleId="36">
    <w:name w:val="font21"/>
    <w:basedOn w:val="17"/>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40857;&#27744;&#20013;&#23398;\&#36130;&#21153;\&#19968;&#20307;&#21270;\11&#26376;\2024&#24180;&#20915;&#31639;&#20844;&#24320;\&#20915;&#31639;&#20844;&#24320;&#29992;&#22270;.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istrator\Desktop\&#20915;&#31639;&#20844;&#24320;\2024&#24180;&#20915;&#31639;&#20844;&#24320;\&#20915;&#31639;&#20844;&#24320;&#29992;&#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915;&#31639;&#20844;&#24320;\2024&#24180;&#20915;&#31639;&#20844;&#24320;\&#20915;&#31639;&#20844;&#24320;&#29992;&#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915;&#31639;&#20844;&#24320;\2024&#24180;&#20915;&#31639;&#20844;&#24320;\&#20915;&#31639;&#20844;&#24320;&#29992;&#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915;&#31639;&#20844;&#24320;\2024&#24180;&#20915;&#31639;&#20844;&#24320;\&#20915;&#31639;&#20844;&#24320;&#29992;&#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40857;&#27744;&#20013;&#23398;\&#36130;&#21153;\&#19968;&#20307;&#21270;\11&#26376;\&#20915;&#31639;&#20844;&#24320;\2024&#24180;&#20915;&#31639;&#20844;&#24320;\&#20915;&#31639;&#20844;&#24320;&#29992;&#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4"/>
          <c:h val="0.828939195100612"/>
        </c:manualLayout>
      </c:layout>
      <c:barChart>
        <c:barDir val="col"/>
        <c:grouping val="clustered"/>
        <c:varyColors val="0"/>
        <c:ser>
          <c:idx val="0"/>
          <c:order val="0"/>
          <c:invertIfNegative val="0"/>
          <c:dLbls>
            <c:dLbl>
              <c:idx val="0"/>
              <c:layout>
                <c:manualLayout>
                  <c:x val="0.00396825396825397"/>
                  <c:y val="0.036977491961414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[决算公开用图.xls]Sheet1!$A$38:$A$39</c:f>
              <c:strCache>
                <c:ptCount val="2"/>
                <c:pt idx="0">
                  <c:v>2023年财政拨款收、支</c:v>
                </c:pt>
                <c:pt idx="1">
                  <c:v>2024年财政拨款收、支</c:v>
                </c:pt>
              </c:strCache>
            </c:strRef>
          </c:cat>
          <c:val>
            <c:numRef>
              <c:f>[决算公开用图.xls]Sheet1!$B$38:$B$39</c:f>
              <c:numCache>
                <c:formatCode>General</c:formatCode>
                <c:ptCount val="2"/>
                <c:pt idx="0">
                  <c:v>1445.31</c:v>
                </c:pt>
                <c:pt idx="1">
                  <c:v>1337.64</c:v>
                </c:pt>
              </c:numCache>
            </c:numRef>
          </c:val>
        </c:ser>
        <c:dLbls>
          <c:showLegendKey val="0"/>
          <c:showVal val="0"/>
          <c:showCatName val="0"/>
          <c:showSerName val="0"/>
          <c:showPercent val="0"/>
          <c:showBubbleSize val="0"/>
        </c:dLbls>
        <c:gapWidth val="150"/>
        <c:overlap val="0"/>
        <c:axId val="773871530"/>
        <c:axId val="898941872"/>
      </c:barChart>
      <c:catAx>
        <c:axId val="77387153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898941872"/>
        <c:crosses val="autoZero"/>
        <c:auto val="1"/>
        <c:lblAlgn val="ctr"/>
        <c:lblOffset val="100"/>
        <c:noMultiLvlLbl val="0"/>
      </c:catAx>
      <c:valAx>
        <c:axId val="898941872"/>
        <c:scaling>
          <c:orientation val="minMax"/>
          <c:max val="2000"/>
          <c:min val="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773871530"/>
        <c:crosses val="autoZero"/>
        <c:crossBetween val="between"/>
      </c:valAx>
    </c:plotArea>
    <c:plotVisOnly val="1"/>
    <c:dispBlanksAs val="gap"/>
    <c:showDLblsOverMax val="0"/>
    <c:extLst>
      <c:ext uri="{0b15fc19-7d7d-44ad-8c2d-2c3a37ce22c3}">
        <chartProps xmlns="https://web.wps.cn/et/2018/main" chartId="{5d2f5bb0-28b7-45aa-9806-8a0261f8c32b}"/>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1"/>
              <c:layout>
                <c:manualLayout>
                  <c:x val="-0.190950506186727"/>
                  <c:y val="0.064735456023540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5846456692913"/>
                  <c:y val="-0.0079006270049577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46851862267217"/>
                  <c:y val="-0.033528752386101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33968285214348"/>
                  <c:y val="0.027984470691163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120208894328349"/>
                  <c:y val="-0.044991773136746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61789834485107"/>
                  <c:y val="0.044580130257439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[决算公开用图.xls]Sheet1!$B$2:$B$8</c:f>
              <c:numCache>
                <c:formatCode>General</c:formatCode>
                <c:ptCount val="7"/>
                <c:pt idx="0">
                  <c:v>1288.96</c:v>
                </c:pt>
                <c:pt idx="1">
                  <c:v>10.06</c:v>
                </c:pt>
                <c:pt idx="2">
                  <c:v>0</c:v>
                </c:pt>
                <c:pt idx="4">
                  <c:v>0</c:v>
                </c:pt>
                <c:pt idx="5">
                  <c:v>0</c:v>
                </c:pt>
                <c:pt idx="6">
                  <c:v>30.45</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25"/>
          <c:y val="0.05"/>
          <c:w val="0.33"/>
          <c:h val="0.93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f2f8d7b2-b317-4288-91a0-6e426649a4fa}"/>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Lbls>
            <c:dLbl>
              <c:idx val="2"/>
              <c:layout>
                <c:manualLayout>
                  <c:x val="-0.106966754155731"/>
                  <c:y val="0.03145815106445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[决算公开用图.xls]Sheet1!$A$18:$A$22</c:f>
              <c:strCache>
                <c:ptCount val="5"/>
                <c:pt idx="0">
                  <c:v>基本支出</c:v>
                </c:pt>
                <c:pt idx="1">
                  <c:v>项目支出</c:v>
                </c:pt>
                <c:pt idx="2">
                  <c:v>上缴上级支出</c:v>
                </c:pt>
                <c:pt idx="3">
                  <c:v>经营支出</c:v>
                </c:pt>
                <c:pt idx="4">
                  <c:v>对附属单位补助支出</c:v>
                </c:pt>
              </c:strCache>
            </c:strRef>
          </c:cat>
          <c:val>
            <c:numRef>
              <c:f>[决算公开用图.xls]Sheet1!$B$18:$B$22</c:f>
              <c:numCache>
                <c:formatCode>General</c:formatCode>
                <c:ptCount val="5"/>
                <c:pt idx="0">
                  <c:v>1168.09</c:v>
                </c:pt>
                <c:pt idx="1">
                  <c:v>162.18</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5"/>
          <c:y val="0.311777777777778"/>
          <c:w val="0.33"/>
          <c:h val="0.367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244290ad-c865-4111-8803-9b13434dfaa8}"/>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4"/>
          <c:h val="0.828939195100612"/>
        </c:manualLayout>
      </c:layout>
      <c:barChart>
        <c:barDir val="col"/>
        <c:grouping val="cluster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[决算公开用图.xls]Sheet1!$A$38:$A$39</c:f>
              <c:strCache>
                <c:ptCount val="2"/>
                <c:pt idx="0">
                  <c:v>2023年财政拨款收、支</c:v>
                </c:pt>
                <c:pt idx="1">
                  <c:v>2024年财政拨款收、支</c:v>
                </c:pt>
              </c:strCache>
            </c:strRef>
          </c:cat>
          <c:val>
            <c:numRef>
              <c:f>[决算公开用图.xls]Sheet1!$B$38:$B$39</c:f>
              <c:numCache>
                <c:formatCode>General</c:formatCode>
                <c:ptCount val="2"/>
                <c:pt idx="0">
                  <c:v>1405.14</c:v>
                </c:pt>
                <c:pt idx="1">
                  <c:v>1299.02</c:v>
                </c:pt>
              </c:numCache>
            </c:numRef>
          </c:val>
        </c:ser>
        <c:dLbls>
          <c:showLegendKey val="0"/>
          <c:showVal val="0"/>
          <c:showCatName val="0"/>
          <c:showSerName val="0"/>
          <c:showPercent val="0"/>
          <c:showBubbleSize val="0"/>
        </c:dLbls>
        <c:gapWidth val="150"/>
        <c:overlap val="0"/>
        <c:axId val="389465890"/>
        <c:axId val="918738421"/>
      </c:barChart>
      <c:catAx>
        <c:axId val="38946589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918738421"/>
        <c:crosses val="autoZero"/>
        <c:auto val="1"/>
        <c:lblAlgn val="ctr"/>
        <c:lblOffset val="100"/>
        <c:noMultiLvlLbl val="0"/>
      </c:catAx>
      <c:valAx>
        <c:axId val="918738421"/>
        <c:scaling>
          <c:orientation val="minMax"/>
          <c:max val="2000"/>
          <c:min val="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389465890"/>
        <c:crosses val="autoZero"/>
        <c:crossBetween val="between"/>
      </c:valAx>
    </c:plotArea>
    <c:plotVisOnly val="1"/>
    <c:dispBlanksAs val="gap"/>
    <c:showDLblsOverMax val="0"/>
    <c:extLst>
      <c:ext uri="{0b15fc19-7d7d-44ad-8c2d-2c3a37ce22c3}">
        <chartProps xmlns="https://web.wps.cn/et/2018/main" chartId="{721d909e-da5d-4160-9b30-3a155710e801}"/>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Lbl>
              <c:idx val="0"/>
              <c:layout>
                <c:manualLayout>
                  <c:x val="0.00291875086841739"/>
                  <c:y val="-0.3409055933051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58263859941642"/>
                  <c:y val="-0.31154916377016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[决算公开用图.xls]Sheet1!$A$59:$A$60</c:f>
              <c:strCache>
                <c:ptCount val="2"/>
                <c:pt idx="0">
                  <c:v>2023年度一般公共预算财政拨款支出</c:v>
                </c:pt>
                <c:pt idx="1">
                  <c:v>2024年度一般公共预算财政拨款支出</c:v>
                </c:pt>
              </c:strCache>
            </c:strRef>
          </c:cat>
          <c:val>
            <c:numRef>
              <c:f>[决算公开用图.xls]Sheet1!$B$59:$B$60</c:f>
              <c:numCache>
                <c:formatCode>General</c:formatCode>
                <c:ptCount val="2"/>
                <c:pt idx="0">
                  <c:v>1367.49</c:v>
                </c:pt>
                <c:pt idx="1" c:formatCode="0.00_ ">
                  <c:v>1288.96</c:v>
                </c:pt>
              </c:numCache>
            </c:numRef>
          </c:val>
        </c:ser>
        <c:dLbls>
          <c:showLegendKey val="0"/>
          <c:showVal val="0"/>
          <c:showCatName val="0"/>
          <c:showSerName val="0"/>
          <c:showPercent val="0"/>
          <c:showBubbleSize val="0"/>
        </c:dLbls>
        <c:gapWidth val="150"/>
        <c:overlap val="100"/>
        <c:axId val="157885086"/>
        <c:axId val="853027548"/>
      </c:barChart>
      <c:catAx>
        <c:axId val="15788508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3027548"/>
        <c:crosses val="autoZero"/>
        <c:auto val="1"/>
        <c:lblAlgn val="ctr"/>
        <c:lblOffset val="100"/>
        <c:noMultiLvlLbl val="0"/>
      </c:catAx>
      <c:valAx>
        <c:axId val="853027548"/>
        <c:scaling>
          <c:orientation val="minMax"/>
          <c:max val="2000"/>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7885086"/>
        <c:crosses val="autoZero"/>
        <c:crossBetween val="between"/>
      </c:valAx>
      <c:spPr>
        <a:noFill/>
        <a:ln>
          <a:noFill/>
        </a:ln>
        <a:effectLst/>
      </c:spPr>
    </c:plotArea>
    <c:plotVisOnly val="1"/>
    <c:dispBlanksAs val="gap"/>
    <c:showDLblsOverMax val="0"/>
    <c:extLst>
      <c:ext uri="{0b15fc19-7d7d-44ad-8c2d-2c3a37ce22c3}">
        <chartProps xmlns="https://web.wps.cn/et/2018/main" chartId="{7eb86ef4-71d2-4936-9d69-eb9c7a0de2de}"/>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depthPercent val="100"/>
      <c:rAngAx val="0"/>
      <c:perspective val="30"/>
    </c:view3D>
    <c:floor>
      <c:thickness val="0"/>
    </c:floor>
    <c:sideWall>
      <c:thickness val="0"/>
    </c:sideWall>
    <c:backWall>
      <c:thickness val="0"/>
    </c:backWall>
    <c:plotArea>
      <c:layout>
        <c:manualLayout>
          <c:layoutTarget val="inner"/>
          <c:xMode val="edge"/>
          <c:yMode val="edge"/>
          <c:x val="0.0298106739244506"/>
          <c:y val="0.157682433099634"/>
          <c:w val="0.656023611483767"/>
          <c:h val="0.834615384615385"/>
        </c:manualLayout>
      </c:layout>
      <c:pie3D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0"/>
              <c:layout>
                <c:manualLayout>
                  <c:x val="0.0322147651006711"/>
                  <c:y val="-0.08452357659949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73154362416107"/>
                  <c:y val="-0.011739385638818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34228187919463"/>
                  <c:y val="0.063392682449618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15436241610738"/>
                  <c:y val="-0.07278419096067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[决算公开用图.xls]Sheet1!$A$79:$A$85</c:f>
              <c:strCache>
                <c:ptCount val="7"/>
                <c:pt idx="0">
                  <c:v>一般公共服务支出</c:v>
                </c:pt>
                <c:pt idx="1">
                  <c:v>国防支出</c:v>
                </c:pt>
                <c:pt idx="2">
                  <c:v>教育支出</c:v>
                </c:pt>
                <c:pt idx="3">
                  <c:v>社会保障和就业支出</c:v>
                </c:pt>
                <c:pt idx="4">
                  <c:v>卫生健康支出</c:v>
                </c:pt>
                <c:pt idx="5">
                  <c:v>城乡社区支出</c:v>
                </c:pt>
                <c:pt idx="6">
                  <c:v>住房保障支出</c:v>
                </c:pt>
              </c:strCache>
            </c:strRef>
          </c:cat>
          <c:val>
            <c:numRef>
              <c:f>[决算公开用图.xls]Sheet1!$B$79:$B$85</c:f>
              <c:numCache>
                <c:formatCode>General</c:formatCode>
                <c:ptCount val="7"/>
                <c:pt idx="0">
                  <c:v>0</c:v>
                </c:pt>
                <c:pt idx="1">
                  <c:v>0</c:v>
                </c:pt>
                <c:pt idx="2">
                  <c:v>984.11</c:v>
                </c:pt>
                <c:pt idx="3">
                  <c:v>170.65</c:v>
                </c:pt>
                <c:pt idx="4">
                  <c:v>40.06</c:v>
                </c:pt>
                <c:pt idx="6">
                  <c:v>94.13</c:v>
                </c:pt>
              </c:numCache>
            </c:numRef>
          </c:val>
        </c:ser>
        <c:dLbls>
          <c:showLegendKey val="0"/>
          <c:showVal val="0"/>
          <c:showCatName val="0"/>
          <c:showSerName val="0"/>
          <c:showPercent val="0"/>
          <c:showBubbleSize val="0"/>
        </c:dLbls>
      </c:pie3DChart>
      <c:spPr>
        <a:noFill/>
        <a:ln w="3175">
          <a:noFill/>
        </a:ln>
      </c:spPr>
    </c:plotArea>
    <c:legend>
      <c:legendPos val="r"/>
      <c:layout>
        <c:manualLayout>
          <c:xMode val="edge"/>
          <c:yMode val="edge"/>
          <c:x val="0.71075"/>
          <c:y val="0.164"/>
          <c:w val="0.25175"/>
          <c:h val="0.63"/>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82111a38-070b-4061-8e05-f19b8f1b873d}"/>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0.0531746031746032</cdr:x>
      <cdr:y>0.868317519092803</cdr:y>
    </cdr:from>
    <cdr:to>
      <cdr:x>0.354761904761905</cdr:x>
      <cdr:y>0.955334413330248</cdr:y>
    </cdr:to>
    <cdr:sp>
      <cdr:nvSpPr>
        <cdr:cNvPr id="2" name="矩形 1"/>
        <cdr:cNvSpPr/>
      </cdr:nvSpPr>
      <cdr:spPr xmlns:a="http://schemas.openxmlformats.org/drawingml/2006/main">
        <a:xfrm xmlns:a="http://schemas.openxmlformats.org/drawingml/2006/main" flipH="1">
          <a:off x="212725" y="2382520"/>
          <a:ext cx="1206500" cy="23876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sz="1000"/>
            <a:t>单位：万元</a:t>
          </a:r>
          <a:endParaRPr lang="zh-CN" altLang="en-US" sz="10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7670</Words>
  <Characters>8377</Characters>
  <Lines>54</Lines>
  <Paragraphs>15</Paragraphs>
  <TotalTime>0</TotalTime>
  <ScaleCrop>false</ScaleCrop>
  <LinksUpToDate>false</LinksUpToDate>
  <CharactersWithSpaces>8570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Administrator</cp:lastModifiedBy>
  <cp:lastPrinted>2025-11-25T06:30:00Z</cp:lastPrinted>
  <dcterms:modified xsi:type="dcterms:W3CDTF">2025-12-04T00:18:55Z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ABB1C2C30EB5432F9F3E33C9530AEC2B_12</vt:lpwstr>
  </property>
  <property fmtid="{D5CDD505-2E9C-101B-9397-08002B2CF9AE}" pid="4" name="KSOTemplateDocerSaveRecord">
    <vt:lpwstr>eyJoZGlkIjoiNjY1ZjhmYjM0MDVlMmI3Y2E4YmJmMDI4MGI0MjllMWUifQ==</vt:lpwstr>
  </property>
</Properties>
</file>