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webExtension1.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73D0B">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8441"/>
      <w:bookmarkStart w:id="2" w:name="_Toc15396597"/>
      <w:bookmarkStart w:id="3" w:name="_Toc15377193"/>
      <w:bookmarkStart w:id="4" w:name="_Toc15377425"/>
      <w:bookmarkStart w:id="5" w:name="_Toc15396475"/>
    </w:p>
    <w:p w14:paraId="664E3D0D">
      <w:pPr>
        <w:pStyle w:val="2"/>
        <w:rPr>
          <w:rFonts w:hint="eastAsia" w:ascii="Times New Roman" w:hAnsi="Times New Roman" w:eastAsia="方正小标宋简体" w:cs="Times New Roman"/>
          <w:color w:val="auto"/>
          <w:kern w:val="2"/>
          <w:sz w:val="72"/>
          <w:szCs w:val="72"/>
          <w:highlight w:val="none"/>
          <w:lang w:val="en-US" w:eastAsia="zh-CN" w:bidi="ar-SA"/>
        </w:rPr>
      </w:pPr>
    </w:p>
    <w:p w14:paraId="775E42B8">
      <w:pPr>
        <w:pStyle w:val="2"/>
        <w:rPr>
          <w:rFonts w:hint="eastAsia" w:ascii="Times New Roman" w:hAnsi="Times New Roman" w:eastAsia="方正小标宋简体" w:cs="Times New Roman"/>
          <w:color w:val="auto"/>
          <w:kern w:val="2"/>
          <w:sz w:val="72"/>
          <w:szCs w:val="72"/>
          <w:highlight w:val="none"/>
          <w:lang w:val="en-US" w:eastAsia="zh-CN" w:bidi="ar-SA"/>
        </w:rPr>
      </w:pPr>
    </w:p>
    <w:p w14:paraId="4737A40F">
      <w:pPr>
        <w:adjustRightInd w:val="0"/>
        <w:snapToGrid w:val="0"/>
        <w:spacing w:line="360" w:lineRule="auto"/>
        <w:jc w:val="center"/>
        <w:outlineLvl w:val="0"/>
        <w:rPr>
          <w:rFonts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202</w:t>
      </w:r>
      <w:r>
        <w:rPr>
          <w:rFonts w:hint="eastAsia" w:ascii="方正小标宋简体" w:hAnsi="方正小标宋简体" w:eastAsia="方正小标宋简体" w:cs="方正小标宋简体"/>
          <w:b w:val="0"/>
          <w:bCs w:val="0"/>
          <w:sz w:val="72"/>
          <w:szCs w:val="72"/>
          <w:lang w:val="en-US" w:eastAsia="zh-CN"/>
        </w:rPr>
        <w:t>4</w:t>
      </w:r>
      <w:r>
        <w:rPr>
          <w:rFonts w:hint="eastAsia" w:ascii="方正小标宋简体" w:hAnsi="方正小标宋简体" w:eastAsia="方正小标宋简体" w:cs="方正小标宋简体"/>
          <w:b w:val="0"/>
          <w:bCs w:val="0"/>
          <w:sz w:val="72"/>
          <w:szCs w:val="72"/>
        </w:rPr>
        <w:t>年度</w:t>
      </w:r>
    </w:p>
    <w:p w14:paraId="393EFD70">
      <w:pPr>
        <w:adjustRightInd w:val="0"/>
        <w:snapToGrid w:val="0"/>
        <w:spacing w:line="360" w:lineRule="auto"/>
        <w:jc w:val="center"/>
        <w:outlineLvl w:val="0"/>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四川省乐山市峨眉山市</w:t>
      </w:r>
      <w:bookmarkStart w:id="63" w:name="_GoBack"/>
      <w:bookmarkEnd w:id="63"/>
    </w:p>
    <w:p w14:paraId="60FA866D">
      <w:pPr>
        <w:adjustRightInd w:val="0"/>
        <w:snapToGrid w:val="0"/>
        <w:spacing w:line="360" w:lineRule="auto"/>
        <w:jc w:val="center"/>
        <w:outlineLvl w:val="0"/>
        <w:rPr>
          <w:rFonts w:hint="eastAsia" w:ascii="方正小标宋简体" w:hAnsi="方正小标宋简体" w:eastAsia="方正小标宋简体" w:cs="方正小标宋简体"/>
          <w:b w:val="0"/>
          <w:bCs w:val="0"/>
          <w:sz w:val="72"/>
          <w:szCs w:val="72"/>
          <w:lang w:eastAsia="zh-CN"/>
        </w:rPr>
      </w:pPr>
      <w:r>
        <w:rPr>
          <w:rFonts w:hint="eastAsia" w:ascii="方正小标宋简体" w:hAnsi="方正小标宋简体" w:eastAsia="方正小标宋简体" w:cs="方正小标宋简体"/>
          <w:b w:val="0"/>
          <w:bCs w:val="0"/>
          <w:sz w:val="72"/>
          <w:szCs w:val="72"/>
        </w:rPr>
        <w:t>教育</w:t>
      </w:r>
      <w:r>
        <w:rPr>
          <w:rFonts w:hint="eastAsia" w:ascii="方正小标宋简体" w:hAnsi="方正小标宋简体" w:eastAsia="方正小标宋简体" w:cs="方正小标宋简体"/>
          <w:b w:val="0"/>
          <w:bCs w:val="0"/>
          <w:sz w:val="72"/>
          <w:szCs w:val="72"/>
          <w:lang w:val="en-US" w:eastAsia="zh-CN"/>
        </w:rPr>
        <w:t>考试中心</w:t>
      </w:r>
      <w:r>
        <w:rPr>
          <w:rFonts w:hint="eastAsia" w:ascii="方正小标宋简体" w:hAnsi="方正小标宋简体" w:eastAsia="方正小标宋简体" w:cs="方正小标宋简体"/>
          <w:b w:val="0"/>
          <w:bCs w:val="0"/>
          <w:sz w:val="72"/>
          <w:szCs w:val="72"/>
          <w:lang w:eastAsia="zh-CN"/>
        </w:rPr>
        <w:t>部</w:t>
      </w:r>
    </w:p>
    <w:p w14:paraId="537AF333">
      <w:pPr>
        <w:adjustRightInd w:val="0"/>
        <w:snapToGrid w:val="0"/>
        <w:spacing w:line="360" w:lineRule="auto"/>
        <w:jc w:val="center"/>
        <w:outlineLvl w:val="0"/>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lang w:eastAsia="zh-CN"/>
        </w:rPr>
        <w:t>单位</w:t>
      </w:r>
      <w:r>
        <w:rPr>
          <w:rFonts w:hint="eastAsia" w:ascii="方正小标宋简体" w:hAnsi="方正小标宋简体" w:eastAsia="方正小标宋简体" w:cs="方正小标宋简体"/>
          <w:b w:val="0"/>
          <w:bCs w:val="0"/>
          <w:sz w:val="72"/>
          <w:szCs w:val="72"/>
        </w:rPr>
        <w:t>决算</w:t>
      </w:r>
    </w:p>
    <w:p w14:paraId="2BB29D2A">
      <w:pPr>
        <w:spacing w:line="600" w:lineRule="exact"/>
        <w:jc w:val="center"/>
        <w:outlineLvl w:val="0"/>
        <w:rPr>
          <w:rFonts w:ascii="Times New Roman" w:hAnsi="Times New Roman" w:eastAsia="方正小标宋简体"/>
          <w:color w:val="auto"/>
          <w:sz w:val="72"/>
          <w:szCs w:val="72"/>
          <w:highlight w:val="none"/>
        </w:rPr>
      </w:pPr>
    </w:p>
    <w:p w14:paraId="667A7736">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259CC996">
      <w:pPr>
        <w:rPr>
          <w:rFonts w:ascii="Times New Roman" w:hAnsi="Times New Roman"/>
        </w:rPr>
      </w:pPr>
    </w:p>
    <w:bookmarkEnd w:id="0"/>
    <w:bookmarkEnd w:id="1"/>
    <w:bookmarkEnd w:id="2"/>
    <w:bookmarkEnd w:id="3"/>
    <w:bookmarkEnd w:id="4"/>
    <w:bookmarkEnd w:id="5"/>
    <w:p w14:paraId="4B98DA55">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054F18F6">
      <w:pPr>
        <w:widowControl/>
        <w:jc w:val="center"/>
        <w:rPr>
          <w:rFonts w:ascii="Times New Roman" w:hAnsi="Times New Roman" w:eastAsia="黑体" w:cstheme="minorBidi"/>
          <w:color w:val="auto"/>
          <w:sz w:val="28"/>
          <w:szCs w:val="28"/>
          <w:highlight w:val="none"/>
        </w:rPr>
      </w:pPr>
    </w:p>
    <w:p w14:paraId="6EF06276">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4 </w:t>
      </w:r>
      <w:r>
        <w:rPr>
          <w:rFonts w:hint="eastAsia" w:ascii="Times New Roman" w:hAnsi="Times New Roman" w:eastAsia="仿宋_GB2312" w:cs="仿宋_GB2312"/>
          <w:color w:val="auto"/>
          <w:sz w:val="32"/>
          <w:szCs w:val="32"/>
          <w:highlight w:val="none"/>
        </w:rPr>
        <w:t>日</w:t>
      </w:r>
    </w:p>
    <w:p w14:paraId="4FA1091D">
      <w:pPr>
        <w:rPr>
          <w:rFonts w:ascii="Times New Roman" w:hAnsi="Times New Roman"/>
          <w:color w:val="auto"/>
          <w:highlight w:val="none"/>
        </w:rPr>
      </w:pPr>
    </w:p>
    <w:p w14:paraId="1181BF59">
      <w:pPr>
        <w:pStyle w:val="15"/>
        <w:tabs>
          <w:tab w:val="right" w:leader="dot" w:pos="9730"/>
          <w:tab w:val="clear" w:pos="8296"/>
        </w:tabs>
        <w:ind w:left="0" w:leftChars="0" w:firstLine="0" w:firstLineChars="0"/>
        <w:rPr>
          <w:iCs w:val="0"/>
          <w:sz w:val="21"/>
          <w:szCs w:val="24"/>
        </w:rPr>
      </w:pPr>
      <w:bookmarkStart w:id="6" w:name="_Toc15396599"/>
      <w:bookmarkStart w:id="7" w:name="_Toc15377196"/>
      <w:r>
        <w:rPr>
          <w:rFonts w:hint="eastAsia" w:ascii="黑体" w:hAnsi="黑体" w:eastAsia="黑体" w:cs="黑体"/>
          <w:sz w:val="32"/>
          <w:szCs w:val="32"/>
        </w:rPr>
        <w:t>第一部分 单位概况</w:t>
      </w:r>
      <w:r>
        <w:fldChar w:fldCharType="begin"/>
      </w:r>
      <w:r>
        <w:instrText xml:space="preserve">HYPERLINK ""\l"_Toc60821794"</w:instrText>
      </w:r>
      <w:r>
        <w:fldChar w:fldCharType="separate"/>
      </w:r>
      <w:r>
        <w:tab/>
      </w:r>
      <w:r>
        <w:rPr>
          <w:rFonts w:hint="eastAsia"/>
          <w:lang w:val="en-US" w:eastAsia="zh-CN"/>
        </w:rPr>
        <w:t>4</w:t>
      </w:r>
      <w:r>
        <w:fldChar w:fldCharType="end"/>
      </w:r>
    </w:p>
    <w:p w14:paraId="168778B1">
      <w:pPr>
        <w:pStyle w:val="15"/>
        <w:tabs>
          <w:tab w:val="right" w:leader="dot" w:pos="9730"/>
          <w:tab w:val="clear" w:pos="8296"/>
        </w:tabs>
        <w:ind w:left="0" w:leftChars="0" w:firstLine="640" w:firstLineChars="200"/>
        <w:rPr>
          <w:iCs w:val="0"/>
          <w:sz w:val="21"/>
          <w:szCs w:val="24"/>
        </w:rPr>
      </w:pPr>
      <w:r>
        <w:rPr>
          <w:rFonts w:hint="eastAsia" w:ascii="仿宋_GB2312" w:hAnsi="仿宋_GB2312" w:eastAsia="仿宋_GB2312" w:cs="仿宋_GB2312"/>
          <w:sz w:val="32"/>
          <w:szCs w:val="32"/>
        </w:rPr>
        <w:t>一、主要职责</w:t>
      </w:r>
      <w:r>
        <w:fldChar w:fldCharType="begin"/>
      </w:r>
      <w:r>
        <w:instrText xml:space="preserve">HYPERLINK ""\l"_Toc60821794"</w:instrText>
      </w:r>
      <w:r>
        <w:fldChar w:fldCharType="separate"/>
      </w:r>
      <w:r>
        <w:tab/>
      </w:r>
      <w:r>
        <w:rPr>
          <w:rFonts w:hint="eastAsia"/>
          <w:lang w:val="en-US" w:eastAsia="zh-CN"/>
        </w:rPr>
        <w:t>4</w:t>
      </w:r>
      <w:r>
        <w:fldChar w:fldCharType="end"/>
      </w:r>
    </w:p>
    <w:p w14:paraId="5B072B6E">
      <w:pPr>
        <w:pStyle w:val="15"/>
        <w:tabs>
          <w:tab w:val="right" w:leader="dot" w:pos="9730"/>
          <w:tab w:val="clear" w:pos="8296"/>
        </w:tabs>
        <w:ind w:left="0" w:leftChars="0" w:firstLine="640" w:firstLineChars="200"/>
        <w:outlineLvl w:val="0"/>
        <w:rPr>
          <w:rFonts w:hint="eastAsia" w:eastAsia="宋体"/>
          <w:iCs w:val="0"/>
          <w:sz w:val="21"/>
          <w:szCs w:val="24"/>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机构设置</w:t>
      </w:r>
      <w:r>
        <w:fldChar w:fldCharType="begin"/>
      </w:r>
      <w:r>
        <w:instrText xml:space="preserve">HYPERLINK ""\l"_Toc60821794"</w:instrText>
      </w:r>
      <w:r>
        <w:fldChar w:fldCharType="separate"/>
      </w:r>
      <w:r>
        <w:tab/>
      </w:r>
      <w:r>
        <w:fldChar w:fldCharType="end"/>
      </w:r>
      <w:r>
        <w:rPr>
          <w:rFonts w:hint="eastAsia"/>
          <w:lang w:val="en-US" w:eastAsia="zh-CN"/>
        </w:rPr>
        <w:t>6</w:t>
      </w:r>
    </w:p>
    <w:p w14:paraId="32F12A33">
      <w:pPr>
        <w:pStyle w:val="15"/>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r>
        <w:fldChar w:fldCharType="begin"/>
      </w:r>
      <w:r>
        <w:instrText xml:space="preserve">HYPERLINK ""\l"_Toc60821794"</w:instrText>
      </w:r>
      <w:r>
        <w:fldChar w:fldCharType="separate"/>
      </w:r>
      <w:r>
        <w:tab/>
      </w:r>
      <w:r>
        <w:fldChar w:fldCharType="end"/>
      </w:r>
      <w:r>
        <w:rPr>
          <w:rFonts w:hint="eastAsia"/>
          <w:lang w:val="en-US" w:eastAsia="zh-CN"/>
        </w:rPr>
        <w:t>7</w:t>
      </w:r>
    </w:p>
    <w:p w14:paraId="11B0F9F0">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一、收入支出决算总体情况说明</w:t>
      </w:r>
      <w:r>
        <w:fldChar w:fldCharType="begin"/>
      </w:r>
      <w:r>
        <w:instrText xml:space="preserve">HYPERLINK ""\l"_Toc60821794"</w:instrText>
      </w:r>
      <w:r>
        <w:fldChar w:fldCharType="separate"/>
      </w:r>
      <w:r>
        <w:tab/>
      </w:r>
      <w:r>
        <w:fldChar w:fldCharType="end"/>
      </w:r>
      <w:r>
        <w:rPr>
          <w:rFonts w:hint="eastAsia"/>
          <w:lang w:val="en-US" w:eastAsia="zh-CN"/>
        </w:rPr>
        <w:t>7</w:t>
      </w:r>
    </w:p>
    <w:p w14:paraId="1D13C525">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二、收入决算情况说明</w:t>
      </w:r>
      <w:r>
        <w:fldChar w:fldCharType="begin"/>
      </w:r>
      <w:r>
        <w:instrText xml:space="preserve">HYPERLINK ""\l"_Toc60821794"</w:instrText>
      </w:r>
      <w:r>
        <w:fldChar w:fldCharType="separate"/>
      </w:r>
      <w:r>
        <w:tab/>
      </w:r>
      <w:r>
        <w:fldChar w:fldCharType="end"/>
      </w:r>
      <w:r>
        <w:rPr>
          <w:rFonts w:hint="eastAsia"/>
          <w:lang w:val="en-US" w:eastAsia="zh-CN"/>
        </w:rPr>
        <w:t>7</w:t>
      </w:r>
    </w:p>
    <w:p w14:paraId="38499F49">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三、支出决算情况说明</w:t>
      </w:r>
      <w:r>
        <w:fldChar w:fldCharType="begin"/>
      </w:r>
      <w:r>
        <w:instrText xml:space="preserve">HYPERLINK ""\l"_Toc60821794"</w:instrText>
      </w:r>
      <w:r>
        <w:fldChar w:fldCharType="separate"/>
      </w:r>
      <w:r>
        <w:tab/>
      </w:r>
      <w:r>
        <w:fldChar w:fldCharType="end"/>
      </w:r>
      <w:r>
        <w:rPr>
          <w:rFonts w:hint="eastAsia"/>
          <w:lang w:val="en-US" w:eastAsia="zh-CN"/>
        </w:rPr>
        <w:t>8</w:t>
      </w:r>
    </w:p>
    <w:p w14:paraId="55668BF9">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四、财政拨款收入支出决算总体情况说明</w:t>
      </w:r>
      <w:r>
        <w:fldChar w:fldCharType="begin"/>
      </w:r>
      <w:r>
        <w:instrText xml:space="preserve">HYPERLINK ""\l"_Toc60821794"</w:instrText>
      </w:r>
      <w:r>
        <w:fldChar w:fldCharType="separate"/>
      </w:r>
      <w:r>
        <w:tab/>
      </w:r>
      <w:r>
        <w:fldChar w:fldCharType="end"/>
      </w:r>
      <w:r>
        <w:rPr>
          <w:rFonts w:hint="eastAsia"/>
          <w:lang w:val="en-US" w:eastAsia="zh-CN"/>
        </w:rPr>
        <w:t>8</w:t>
      </w:r>
    </w:p>
    <w:p w14:paraId="0D90E8AB">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五、一般公共预算财政拨款支出决算情况说明</w:t>
      </w:r>
      <w:r>
        <w:fldChar w:fldCharType="begin"/>
      </w:r>
      <w:r>
        <w:instrText xml:space="preserve">HYPERLINK ""\l"_Toc60821794"</w:instrText>
      </w:r>
      <w:r>
        <w:fldChar w:fldCharType="separate"/>
      </w:r>
      <w:r>
        <w:tab/>
      </w:r>
      <w:r>
        <w:fldChar w:fldCharType="end"/>
      </w:r>
      <w:r>
        <w:rPr>
          <w:rFonts w:hint="eastAsia"/>
          <w:lang w:val="en-US" w:eastAsia="zh-CN"/>
        </w:rPr>
        <w:t>9</w:t>
      </w:r>
    </w:p>
    <w:p w14:paraId="15AF3ED6">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六、一般公共预算财政拨款基本支出决算情况说明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3</w:t>
      </w:r>
    </w:p>
    <w:p w14:paraId="6FE641E9">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七、“三公”经费财政拨款支出决算情况说明</w:t>
      </w:r>
      <w:r>
        <w:fldChar w:fldCharType="begin"/>
      </w:r>
      <w:r>
        <w:instrText xml:space="preserve">HYPERLINK ""\l"_Toc60821794"</w:instrText>
      </w:r>
      <w:r>
        <w:fldChar w:fldCharType="separate"/>
      </w:r>
      <w:r>
        <w:tab/>
      </w:r>
      <w:r>
        <w:fldChar w:fldCharType="end"/>
      </w:r>
      <w:r>
        <w:rPr>
          <w:rFonts w:hint="eastAsia"/>
          <w:lang w:val="en-US" w:eastAsia="zh-CN"/>
        </w:rPr>
        <w:t>13</w:t>
      </w:r>
    </w:p>
    <w:p w14:paraId="159BF9F2">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八、政府性基金预算支出决算情况说明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13</w:t>
      </w:r>
    </w:p>
    <w:p w14:paraId="0AA2AB08">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九、国有资本经营预算支出决算情况说明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14</w:t>
      </w:r>
    </w:p>
    <w:p w14:paraId="10787178">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十、其他重要事项的情况说明</w:t>
      </w:r>
      <w:r>
        <w:fldChar w:fldCharType="begin"/>
      </w:r>
      <w:r>
        <w:instrText xml:space="preserve">HYPERLINK ""\l"_Toc60821794"</w:instrText>
      </w:r>
      <w:r>
        <w:fldChar w:fldCharType="separate"/>
      </w:r>
      <w:r>
        <w:tab/>
      </w:r>
      <w:r>
        <w:fldChar w:fldCharType="end"/>
      </w:r>
      <w:r>
        <w:rPr>
          <w:rFonts w:hint="eastAsia"/>
          <w:lang w:val="en-US" w:eastAsia="zh-CN"/>
        </w:rPr>
        <w:t>14</w:t>
      </w:r>
    </w:p>
    <w:p w14:paraId="1ED21701">
      <w:pPr>
        <w:pStyle w:val="15"/>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第三部分 名词解释</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7</w:t>
      </w:r>
    </w:p>
    <w:p w14:paraId="5930917D">
      <w:pPr>
        <w:pStyle w:val="15"/>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第四部分 附件</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2</w:t>
      </w:r>
    </w:p>
    <w:p w14:paraId="4FDCFC5D">
      <w:pPr>
        <w:pStyle w:val="15"/>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第五部分 附表</w:t>
      </w:r>
      <w:r>
        <w:fldChar w:fldCharType="begin"/>
      </w:r>
      <w:r>
        <w:instrText xml:space="preserve">HYPERLINK ""\l"_Toc60821794"</w:instrText>
      </w:r>
      <w:r>
        <w:fldChar w:fldCharType="separate"/>
      </w:r>
      <w:r>
        <w:tab/>
      </w:r>
      <w:r>
        <w:fldChar w:fldCharType="end"/>
      </w:r>
      <w:r>
        <w:rPr>
          <w:rFonts w:hint="eastAsia"/>
          <w:lang w:val="en-US" w:eastAsia="zh-CN"/>
        </w:rPr>
        <w:t>27</w:t>
      </w:r>
    </w:p>
    <w:p w14:paraId="6E857885">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一、收入支出决算总表</w:t>
      </w:r>
      <w:r>
        <w:fldChar w:fldCharType="begin"/>
      </w:r>
      <w:r>
        <w:instrText xml:space="preserve">HYPERLINK ""\l"_Toc60821794"</w:instrText>
      </w:r>
      <w:r>
        <w:fldChar w:fldCharType="separate"/>
      </w:r>
      <w:r>
        <w:tab/>
      </w:r>
      <w:r>
        <w:fldChar w:fldCharType="end"/>
      </w:r>
      <w:r>
        <w:rPr>
          <w:rFonts w:hint="eastAsia"/>
          <w:lang w:val="en-US" w:eastAsia="zh-CN"/>
        </w:rPr>
        <w:t>27</w:t>
      </w:r>
    </w:p>
    <w:p w14:paraId="34E0487A">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二、收入决算表</w:t>
      </w:r>
      <w:r>
        <w:fldChar w:fldCharType="begin"/>
      </w:r>
      <w:r>
        <w:instrText xml:space="preserve">HYPERLINK ""\l"_Toc60821794"</w:instrText>
      </w:r>
      <w:r>
        <w:fldChar w:fldCharType="separate"/>
      </w:r>
      <w:r>
        <w:tab/>
      </w:r>
      <w:r>
        <w:fldChar w:fldCharType="end"/>
      </w:r>
      <w:r>
        <w:rPr>
          <w:rFonts w:hint="eastAsia"/>
          <w:lang w:val="en-US" w:eastAsia="zh-CN"/>
        </w:rPr>
        <w:t>27</w:t>
      </w:r>
    </w:p>
    <w:p w14:paraId="77C4F7A5">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三、支出决算表</w:t>
      </w:r>
      <w:r>
        <w:fldChar w:fldCharType="begin"/>
      </w:r>
      <w:r>
        <w:instrText xml:space="preserve">HYPERLINK ""\l"_Toc60821794"</w:instrText>
      </w:r>
      <w:r>
        <w:fldChar w:fldCharType="separate"/>
      </w:r>
      <w:r>
        <w:tab/>
      </w:r>
      <w:r>
        <w:fldChar w:fldCharType="end"/>
      </w:r>
      <w:r>
        <w:rPr>
          <w:rFonts w:hint="eastAsia"/>
          <w:lang w:val="en-US" w:eastAsia="zh-CN"/>
        </w:rPr>
        <w:t>27</w:t>
      </w:r>
    </w:p>
    <w:p w14:paraId="366F4739">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四、财政拨款收入支出决算总表</w:t>
      </w:r>
      <w:r>
        <w:fldChar w:fldCharType="begin"/>
      </w:r>
      <w:r>
        <w:instrText xml:space="preserve">HYPERLINK ""\l"_Toc60821794"</w:instrText>
      </w:r>
      <w:r>
        <w:fldChar w:fldCharType="separate"/>
      </w:r>
      <w:r>
        <w:tab/>
      </w:r>
      <w:r>
        <w:fldChar w:fldCharType="end"/>
      </w:r>
      <w:r>
        <w:rPr>
          <w:rFonts w:hint="eastAsia"/>
          <w:lang w:val="en-US" w:eastAsia="zh-CN"/>
        </w:rPr>
        <w:t>27</w:t>
      </w:r>
    </w:p>
    <w:p w14:paraId="75C8C14D">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27</w:t>
      </w:r>
    </w:p>
    <w:p w14:paraId="7A0BAED2">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27</w:t>
      </w:r>
    </w:p>
    <w:p w14:paraId="29E58CA0">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27</w:t>
      </w:r>
    </w:p>
    <w:p w14:paraId="47B66A59">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fldChar w:fldCharType="begin"/>
      </w:r>
      <w:r>
        <w:instrText xml:space="preserve">HYPERLINK ""\l"_Toc60821794"</w:instrText>
      </w:r>
      <w:r>
        <w:fldChar w:fldCharType="separate"/>
      </w:r>
      <w:r>
        <w:tab/>
      </w:r>
      <w:r>
        <w:fldChar w:fldCharType="end"/>
      </w:r>
      <w:r>
        <w:rPr>
          <w:rFonts w:hint="eastAsia"/>
          <w:lang w:val="en-US" w:eastAsia="zh-CN"/>
        </w:rPr>
        <w:t>27</w:t>
      </w:r>
    </w:p>
    <w:p w14:paraId="2110BFCF">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fldChar w:fldCharType="begin"/>
      </w:r>
      <w:r>
        <w:instrText xml:space="preserve">HYPERLINK ""\l"_Toc60821794"</w:instrText>
      </w:r>
      <w:r>
        <w:fldChar w:fldCharType="separate"/>
      </w:r>
      <w:r>
        <w:tab/>
      </w:r>
      <w:r>
        <w:fldChar w:fldCharType="end"/>
      </w:r>
      <w:r>
        <w:rPr>
          <w:rFonts w:hint="eastAsia"/>
          <w:lang w:val="en-US" w:eastAsia="zh-CN"/>
        </w:rPr>
        <w:t>27</w:t>
      </w:r>
    </w:p>
    <w:p w14:paraId="58EA18B0">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27</w:t>
      </w:r>
    </w:p>
    <w:p w14:paraId="7B0C5385">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十一、国有资本经营预算财政拨款收入支出决算表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27</w:t>
      </w:r>
    </w:p>
    <w:p w14:paraId="02D85335">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27</w:t>
      </w:r>
    </w:p>
    <w:p w14:paraId="6C59B4EC">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十三、财政拨款“三公”经费支出决算表</w:t>
      </w:r>
      <w:r>
        <w:fldChar w:fldCharType="begin"/>
      </w:r>
      <w:r>
        <w:instrText xml:space="preserve">HYPERLINK ""\l"_Toc60821794"</w:instrText>
      </w:r>
      <w:r>
        <w:fldChar w:fldCharType="separate"/>
      </w:r>
      <w:r>
        <w:tab/>
      </w:r>
      <w:r>
        <w:fldChar w:fldCharType="end"/>
      </w:r>
      <w:r>
        <w:rPr>
          <w:rFonts w:hint="eastAsia"/>
          <w:lang w:val="en-US" w:eastAsia="zh-CN"/>
        </w:rPr>
        <w:t>27</w:t>
      </w:r>
    </w:p>
    <w:p w14:paraId="68768D5C">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1725F985">
      <w:pPr>
        <w:pStyle w:val="3"/>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p>
    <w:p w14:paraId="0AB4E431">
      <w:pPr>
        <w:widowControl/>
        <w:jc w:val="left"/>
        <w:rPr>
          <w:rFonts w:ascii="Times New Roman" w:hAnsi="Times New Roman" w:eastAsia="黑体"/>
          <w:color w:val="auto"/>
          <w:sz w:val="32"/>
          <w:szCs w:val="32"/>
          <w:highlight w:val="none"/>
        </w:rPr>
      </w:pPr>
    </w:p>
    <w:p w14:paraId="1A6A9158">
      <w:pPr>
        <w:pStyle w:val="4"/>
        <w:rPr>
          <w:rFonts w:hint="eastAsia" w:ascii="Times New Roman" w:hAnsi="Times New Roman" w:eastAsia="黑体"/>
          <w:b w:val="0"/>
          <w:color w:val="auto"/>
          <w:highlight w:val="none"/>
          <w:lang w:eastAsia="zh-CN"/>
        </w:rPr>
      </w:pPr>
      <w:bookmarkStart w:id="8" w:name="_Toc15396600"/>
      <w:bookmarkStart w:id="9" w:name="_Toc15377197"/>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1E4CCD96">
      <w:pPr>
        <w:pageBreakBefore w:val="0"/>
        <w:widowControl w:val="0"/>
        <w:kinsoku/>
        <w:wordWrap/>
        <w:overflowPunct/>
        <w:topLinePunct w:val="0"/>
        <w:autoSpaceDE/>
        <w:autoSpaceDN/>
        <w:bidi w:val="0"/>
        <w:adjustRightInd/>
        <w:snapToGrid/>
        <w:spacing w:line="240" w:lineRule="auto"/>
        <w:ind w:firstLine="210" w:firstLineChars="100"/>
        <w:textAlignment w:val="auto"/>
        <w:outlineLvl w:val="1"/>
        <w:rPr>
          <w:rFonts w:hint="eastAsia" w:ascii="仿宋_GB2312" w:hAnsi="宋体" w:eastAsia="仿宋_GB2312"/>
          <w:b/>
          <w:bCs/>
          <w:sz w:val="32"/>
          <w:szCs w:val="32"/>
          <w:lang w:eastAsia="zh-CN"/>
        </w:rPr>
      </w:pPr>
      <w:r>
        <w:rPr>
          <w:rFonts w:hint="eastAsia"/>
          <w:lang w:val="en-US" w:eastAsia="zh-CN"/>
        </w:rPr>
        <w:t xml:space="preserve">  </w:t>
      </w:r>
      <w:r>
        <w:rPr>
          <w:rFonts w:hint="eastAsia" w:ascii="仿宋_GB2312" w:hAnsi="宋体" w:eastAsia="仿宋_GB2312"/>
          <w:b/>
          <w:bCs/>
          <w:sz w:val="32"/>
          <w:szCs w:val="32"/>
          <w:lang w:eastAsia="zh-CN"/>
        </w:rPr>
        <w:t>（一）</w:t>
      </w:r>
      <w:r>
        <w:rPr>
          <w:rFonts w:hint="eastAsia" w:ascii="仿宋_GB2312" w:hAnsi="宋体" w:eastAsia="仿宋_GB2312"/>
          <w:b/>
          <w:bCs/>
          <w:sz w:val="32"/>
          <w:szCs w:val="32"/>
        </w:rPr>
        <w:t>主要职</w:t>
      </w:r>
      <w:r>
        <w:rPr>
          <w:rFonts w:hint="eastAsia" w:ascii="仿宋_GB2312" w:hAnsi="宋体" w:eastAsia="仿宋_GB2312"/>
          <w:b/>
          <w:bCs/>
          <w:sz w:val="32"/>
          <w:szCs w:val="32"/>
          <w:lang w:eastAsia="zh-CN"/>
        </w:rPr>
        <w:t>责</w:t>
      </w:r>
    </w:p>
    <w:p w14:paraId="2599FD26">
      <w:pPr>
        <w:spacing w:line="600" w:lineRule="exact"/>
        <w:ind w:firstLine="640" w:firstLineChars="200"/>
        <w:outlineLvl w:val="1"/>
        <w:rPr>
          <w:rFonts w:hint="eastAsia" w:ascii="仿宋_GB2312" w:hAnsi="宋体" w:eastAsia="仿宋_GB2312"/>
          <w:sz w:val="32"/>
          <w:szCs w:val="32"/>
          <w:lang w:eastAsia="zh-CN"/>
        </w:rPr>
      </w:pPr>
      <w:r>
        <w:rPr>
          <w:rFonts w:hint="eastAsia" w:ascii="仿宋_GB2312" w:hAnsi="宋体" w:eastAsia="仿宋_GB2312"/>
          <w:sz w:val="32"/>
          <w:szCs w:val="32"/>
        </w:rPr>
        <w:t>为各类招生自学考试生提供服务；负责大中专招生和自学考试生的报名、考务、录取等服务</w:t>
      </w:r>
      <w:r>
        <w:rPr>
          <w:rFonts w:hint="eastAsia" w:ascii="仿宋_GB2312" w:hAnsi="宋体" w:eastAsia="仿宋_GB2312"/>
          <w:sz w:val="32"/>
          <w:szCs w:val="32"/>
          <w:lang w:eastAsia="zh-CN"/>
        </w:rPr>
        <w:t>。</w:t>
      </w:r>
    </w:p>
    <w:p w14:paraId="5F5EC19B">
      <w:pPr>
        <w:pStyle w:val="2"/>
        <w:ind w:firstLine="321" w:firstLineChars="100"/>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（二）202</w:t>
      </w:r>
      <w:r>
        <w:rPr>
          <w:rFonts w:hint="eastAsia" w:hAnsi="宋体" w:cs="Times New Roman"/>
          <w:b/>
          <w:bCs/>
          <w:kern w:val="2"/>
          <w:sz w:val="32"/>
          <w:szCs w:val="32"/>
          <w:lang w:val="en-US" w:eastAsia="zh-CN" w:bidi="ar-SA"/>
        </w:rPr>
        <w:t>4</w:t>
      </w:r>
      <w:r>
        <w:rPr>
          <w:rFonts w:hint="eastAsia" w:ascii="仿宋_GB2312" w:hAnsi="宋体" w:eastAsia="仿宋_GB2312" w:cs="Times New Roman"/>
          <w:b/>
          <w:bCs/>
          <w:kern w:val="2"/>
          <w:sz w:val="32"/>
          <w:szCs w:val="32"/>
          <w:lang w:val="en-US" w:eastAsia="zh-CN" w:bidi="ar-SA"/>
        </w:rPr>
        <w:t>年重点工作完成情况</w:t>
      </w:r>
      <w:bookmarkStart w:id="10" w:name="_Toc15396601"/>
      <w:bookmarkStart w:id="11" w:name="_Toc15377200"/>
    </w:p>
    <w:p w14:paraId="21DEE3C7">
      <w:pPr>
        <w:pStyle w:val="2"/>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一年来，坚持以习近平中国特色社会主义思想为指导，在市委、市政府高度重视下，在市招考委统筹领导下，在教育主管部门和上级招考机构的指导下，在保考部门的大力支持和学校配合下，考试中心全体同志共同努力，顺利完成2024年我市各类招生考试工作任务，圆满实现了“平安考试、健康考试”工作目标。现将工作情况总结如下：</w:t>
      </w:r>
    </w:p>
    <w:p w14:paraId="287B8540">
      <w:pPr>
        <w:pStyle w:val="2"/>
        <w:numPr>
          <w:ilvl w:val="0"/>
          <w:numId w:val="0"/>
        </w:numPr>
        <w:ind w:left="480" w:leftChars="0"/>
        <w:rPr>
          <w:rFonts w:hint="eastAsia" w:ascii="仿宋_GB2312" w:hAnsi="宋体" w:eastAsia="仿宋_GB2312" w:cs="Times New Roman"/>
          <w:sz w:val="32"/>
          <w:szCs w:val="32"/>
          <w:lang w:val="en-US" w:eastAsia="zh-CN"/>
        </w:rPr>
      </w:pPr>
      <w:r>
        <w:rPr>
          <w:rFonts w:hint="eastAsia" w:hAnsi="宋体" w:cs="Times New Roman"/>
          <w:sz w:val="32"/>
          <w:szCs w:val="32"/>
          <w:lang w:val="en-US" w:eastAsia="zh-CN"/>
        </w:rPr>
        <w:t>1.</w:t>
      </w:r>
      <w:r>
        <w:rPr>
          <w:rFonts w:hint="eastAsia" w:ascii="仿宋_GB2312" w:hAnsi="宋体" w:eastAsia="仿宋_GB2312" w:cs="Times New Roman"/>
          <w:sz w:val="32"/>
          <w:szCs w:val="32"/>
          <w:lang w:val="en-US" w:eastAsia="zh-CN"/>
        </w:rPr>
        <w:t xml:space="preserve">基本情况和数据 </w:t>
      </w:r>
    </w:p>
    <w:p w14:paraId="4C7E9132">
      <w:pPr>
        <w:pStyle w:val="2"/>
        <w:numPr>
          <w:ilvl w:val="0"/>
          <w:numId w:val="0"/>
        </w:numPr>
        <w:ind w:firstLine="640" w:firstLineChars="200"/>
        <w:rPr>
          <w:rFonts w:hint="eastAsia" w:ascii="仿宋_GB2312" w:hAnsi="宋体" w:eastAsia="仿宋_GB2312" w:cs="Times New Roman"/>
          <w:sz w:val="32"/>
          <w:szCs w:val="32"/>
          <w:lang w:val="en-US" w:eastAsia="zh-CN"/>
        </w:rPr>
      </w:pPr>
      <w:r>
        <w:rPr>
          <w:rFonts w:hint="eastAsia" w:hAnsi="宋体" w:cs="Times New Roman"/>
          <w:sz w:val="32"/>
          <w:szCs w:val="32"/>
          <w:lang w:val="en-US" w:eastAsia="zh-CN"/>
        </w:rPr>
        <w:t>（1）</w:t>
      </w:r>
      <w:r>
        <w:rPr>
          <w:rFonts w:hint="eastAsia" w:ascii="仿宋_GB2312" w:hAnsi="宋体" w:eastAsia="仿宋_GB2312" w:cs="Times New Roman"/>
          <w:sz w:val="32"/>
          <w:szCs w:val="32"/>
          <w:lang w:val="en-US" w:eastAsia="zh-CN"/>
        </w:rPr>
        <w:t xml:space="preserve">普通高考情况 2024年，我市高考报名人数3266人,其中文科919人，理科1121人，对口类1226人。现高职院校单招已录取1046人，全市参加高考共计2220人，设置两个考点，75个考场（不含备考用考场）。峨眉一中为文科考点，设置文科考场26个，考生779人（其中小语种考生132人）。峨眉二中（高中部）为理科、对口考点，理科考场32个，考生960人（其中小语种考生43人）；对口类考场17个，考生481人。 高考成绩情况：清华2人，一本硬上线338人，上线率19.13%；本科上线1085人，本科率61.4%。有6人进入乐山市理科前十名，600分以上100人，居乐山市区县第一；博睿特朱启航理科711分，列乐山市第一名、全省第三名；峨眉二中宋宇豪理科679分，列乐山市公办学校第一名、全市第五名。 </w:t>
      </w:r>
    </w:p>
    <w:p w14:paraId="5B219854">
      <w:pPr>
        <w:pStyle w:val="2"/>
        <w:numPr>
          <w:ilvl w:val="0"/>
          <w:numId w:val="0"/>
        </w:numPr>
        <w:ind w:firstLine="640" w:firstLineChars="200"/>
        <w:rPr>
          <w:rStyle w:val="31"/>
          <w:rFonts w:ascii="Times New Roman" w:hAnsi="Times New Roman"/>
          <w:b w:val="0"/>
          <w:bCs w:val="0"/>
          <w:color w:val="auto"/>
          <w:highlight w:val="none"/>
        </w:rPr>
      </w:pPr>
      <w:r>
        <w:rPr>
          <w:rFonts w:hint="eastAsia" w:hAnsi="宋体" w:cs="Times New Roman"/>
          <w:sz w:val="32"/>
          <w:szCs w:val="32"/>
          <w:lang w:val="en-US" w:eastAsia="zh-CN"/>
        </w:rPr>
        <w:t>（2）</w:t>
      </w:r>
      <w:r>
        <w:rPr>
          <w:rFonts w:hint="eastAsia" w:ascii="仿宋_GB2312" w:hAnsi="宋体" w:eastAsia="仿宋_GB2312" w:cs="Times New Roman"/>
          <w:sz w:val="32"/>
          <w:szCs w:val="32"/>
          <w:lang w:val="en-US" w:eastAsia="zh-CN"/>
        </w:rPr>
        <w:t xml:space="preserve">中考情况 2024年全市中考报名人数3235人，中考报名学校共计10所。设置三个考点，考场总数109个（不含备用考场）。峨眉二中（城东校区）考点设置54个考场，考生1608人；峨眉一中（初中部）考点设置23个考场，考生681人；峨眉四中考点设置 32 个考场，考生946人。 初二学业水平考试报名人数3347人，报名学校共10所。全市设置考点三个，考场总数112个（不含备用考场）。峨眉二中（城东校区）考点设置54个考场，考生1613人；峨眉一中（初中部）考点设置23个考场，考生675人；峨眉四中考点设置35个考场，考生1059人。 中考考试情况：普通高中录取2016人，中职及“3+2”录取899人，未被录取人数405人。初二生物合格率89.51%，地理合格率90.35%。 </w:t>
      </w:r>
    </w:p>
    <w:p w14:paraId="5598E87B">
      <w:pPr>
        <w:pStyle w:val="2"/>
        <w:numPr>
          <w:ilvl w:val="0"/>
          <w:numId w:val="0"/>
        </w:numPr>
        <w:ind w:firstLine="640" w:firstLineChars="200"/>
        <w:rPr>
          <w:rStyle w:val="31"/>
          <w:rFonts w:ascii="Times New Roman" w:hAnsi="Times New Roman"/>
          <w:b w:val="0"/>
          <w:bCs w:val="0"/>
          <w:color w:val="auto"/>
          <w:highlight w:val="none"/>
        </w:rPr>
      </w:pPr>
      <w:r>
        <w:rPr>
          <w:rFonts w:hint="eastAsia" w:hAnsi="宋体" w:cs="Times New Roman"/>
          <w:sz w:val="32"/>
          <w:szCs w:val="32"/>
          <w:lang w:val="en-US" w:eastAsia="zh-CN"/>
        </w:rPr>
        <w:t>（3）</w:t>
      </w:r>
      <w:r>
        <w:rPr>
          <w:rFonts w:hint="eastAsia" w:ascii="仿宋_GB2312" w:hAnsi="宋体" w:eastAsia="仿宋_GB2312" w:cs="Times New Roman"/>
          <w:sz w:val="32"/>
          <w:szCs w:val="32"/>
          <w:lang w:val="en-US" w:eastAsia="zh-CN"/>
        </w:rPr>
        <w:t xml:space="preserve">成人高考情况 成人高考报名723人，免试40人，参加考试683人，高中起点专科考生247人，专升本考生436人，在峨眉四中考点设置考场26个。 </w:t>
      </w:r>
    </w:p>
    <w:p w14:paraId="5C964966">
      <w:pPr>
        <w:pStyle w:val="2"/>
        <w:numPr>
          <w:ilvl w:val="0"/>
          <w:numId w:val="0"/>
        </w:numPr>
        <w:ind w:firstLine="640" w:firstLineChars="200"/>
        <w:rPr>
          <w:rStyle w:val="31"/>
          <w:rFonts w:ascii="Times New Roman" w:hAnsi="Times New Roman"/>
          <w:b w:val="0"/>
          <w:bCs w:val="0"/>
          <w:color w:val="auto"/>
          <w:highlight w:val="none"/>
        </w:rPr>
      </w:pPr>
      <w:r>
        <w:rPr>
          <w:rFonts w:hint="eastAsia" w:hAnsi="宋体" w:cs="Times New Roman"/>
          <w:sz w:val="32"/>
          <w:szCs w:val="32"/>
          <w:lang w:val="en-US" w:eastAsia="zh-CN"/>
        </w:rPr>
        <w:t>（4）</w:t>
      </w:r>
      <w:r>
        <w:rPr>
          <w:rFonts w:hint="eastAsia" w:ascii="仿宋_GB2312" w:hAnsi="宋体" w:eastAsia="仿宋_GB2312" w:cs="Times New Roman"/>
          <w:sz w:val="32"/>
          <w:szCs w:val="32"/>
          <w:lang w:val="en-US" w:eastAsia="zh-CN"/>
        </w:rPr>
        <w:t>高等教育自学考试情况 组织全国高等教育自学考试两次，其中24.1次涉及报考人数1103人，2381科次，在峨眉四中考点设置考场总数102个（含备用）。24.2次涉及报考人数1021人，2282科次，在峨眉四中考点设置考场23个（含备用）。</w:t>
      </w:r>
    </w:p>
    <w:p w14:paraId="74D82DF2">
      <w:pPr>
        <w:pStyle w:val="2"/>
        <w:numPr>
          <w:ilvl w:val="0"/>
          <w:numId w:val="0"/>
        </w:numPr>
        <w:ind w:firstLine="640" w:firstLineChars="200"/>
        <w:rPr>
          <w:rStyle w:val="31"/>
          <w:rFonts w:ascii="Times New Roman" w:hAnsi="Times New Roman"/>
          <w:b w:val="0"/>
          <w:bCs w:val="0"/>
          <w:color w:val="auto"/>
          <w:highlight w:val="none"/>
        </w:rPr>
      </w:pPr>
      <w:r>
        <w:rPr>
          <w:rFonts w:hint="eastAsia" w:hAnsi="宋体" w:cs="Times New Roman"/>
          <w:sz w:val="32"/>
          <w:szCs w:val="32"/>
          <w:lang w:val="en-US" w:eastAsia="zh-CN"/>
        </w:rPr>
        <w:t>（5）</w:t>
      </w:r>
      <w:r>
        <w:rPr>
          <w:rFonts w:hint="eastAsia" w:ascii="仿宋_GB2312" w:hAnsi="宋体" w:eastAsia="仿宋_GB2312" w:cs="Times New Roman"/>
          <w:sz w:val="32"/>
          <w:szCs w:val="32"/>
          <w:lang w:val="en-US" w:eastAsia="zh-CN"/>
        </w:rPr>
        <w:t xml:space="preserve">学考工作 按照要求，我市合格考考试在一中、二中、文旅综合高中、博睿特高中4个标准化考点组织实施，顺利组织完成1月、6月、9月高中学业水平合格性考试正考及补考工作。 </w:t>
      </w:r>
    </w:p>
    <w:p w14:paraId="7EA65E82">
      <w:pPr>
        <w:pStyle w:val="2"/>
        <w:numPr>
          <w:ilvl w:val="0"/>
          <w:numId w:val="0"/>
        </w:numPr>
        <w:ind w:firstLine="640" w:firstLineChars="200"/>
        <w:rPr>
          <w:rStyle w:val="31"/>
          <w:rFonts w:ascii="Times New Roman" w:hAnsi="Times New Roman"/>
          <w:b w:val="0"/>
          <w:bCs w:val="0"/>
          <w:color w:val="auto"/>
          <w:highlight w:val="none"/>
        </w:rPr>
      </w:pPr>
      <w:r>
        <w:rPr>
          <w:rFonts w:hint="eastAsia" w:hAnsi="宋体" w:cs="Times New Roman"/>
          <w:sz w:val="32"/>
          <w:szCs w:val="32"/>
          <w:lang w:val="en-US" w:eastAsia="zh-CN"/>
        </w:rPr>
        <w:t>（6）</w:t>
      </w:r>
      <w:r>
        <w:rPr>
          <w:rFonts w:hint="eastAsia" w:ascii="仿宋_GB2312" w:hAnsi="宋体" w:eastAsia="仿宋_GB2312" w:cs="Times New Roman"/>
          <w:sz w:val="32"/>
          <w:szCs w:val="32"/>
          <w:lang w:val="en-US" w:eastAsia="zh-CN"/>
        </w:rPr>
        <w:t xml:space="preserve">书法水平测试情况 书法水平报名测试136人，其中硬笔书法测试115人，毛笔书法测试21人。 </w:t>
      </w:r>
    </w:p>
    <w:p w14:paraId="24152D55">
      <w:pPr>
        <w:pStyle w:val="2"/>
        <w:numPr>
          <w:ilvl w:val="0"/>
          <w:numId w:val="0"/>
        </w:numPr>
        <w:ind w:firstLine="640" w:firstLineChars="200"/>
        <w:rPr>
          <w:rFonts w:hint="eastAsia" w:ascii="仿宋_GB2312" w:hAnsi="宋体" w:eastAsia="仿宋_GB2312" w:cs="Times New Roman"/>
          <w:sz w:val="32"/>
          <w:szCs w:val="32"/>
          <w:lang w:val="en-US" w:eastAsia="zh-CN"/>
        </w:rPr>
      </w:pPr>
      <w:r>
        <w:rPr>
          <w:rFonts w:hint="eastAsia" w:hAnsi="宋体" w:cs="Times New Roman"/>
          <w:sz w:val="32"/>
          <w:szCs w:val="32"/>
          <w:lang w:val="en-US" w:eastAsia="zh-CN"/>
        </w:rPr>
        <w:t>2.</w:t>
      </w:r>
      <w:r>
        <w:rPr>
          <w:rFonts w:hint="eastAsia" w:ascii="仿宋_GB2312" w:hAnsi="宋体" w:eastAsia="仿宋_GB2312" w:cs="Times New Roman"/>
          <w:sz w:val="32"/>
          <w:szCs w:val="32"/>
          <w:lang w:val="en-US" w:eastAsia="zh-CN"/>
        </w:rPr>
        <w:t xml:space="preserve">工作举措 </w:t>
      </w:r>
    </w:p>
    <w:p w14:paraId="1B4C1F5F">
      <w:pPr>
        <w:pStyle w:val="2"/>
        <w:numPr>
          <w:ilvl w:val="0"/>
          <w:numId w:val="0"/>
        </w:numPr>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w:t>
      </w:r>
      <w:r>
        <w:rPr>
          <w:rFonts w:hint="eastAsia" w:hAnsi="宋体" w:cs="Times New Roman"/>
          <w:sz w:val="32"/>
          <w:szCs w:val="32"/>
          <w:lang w:val="en-US" w:eastAsia="zh-CN"/>
        </w:rPr>
        <w:t>1</w:t>
      </w:r>
      <w:r>
        <w:rPr>
          <w:rFonts w:hint="eastAsia" w:ascii="仿宋_GB2312" w:hAnsi="宋体" w:eastAsia="仿宋_GB2312" w:cs="Times New Roman"/>
          <w:sz w:val="32"/>
          <w:szCs w:val="32"/>
          <w:lang w:val="en-US" w:eastAsia="zh-CN"/>
        </w:rPr>
        <w:t>）明确职责分工，落实工作责任：成立考试工作领导小组和安全指挥部，明确各部门职责；分层签订责任书，压实责任；制定各类工作方案和应急预案，确保全面覆盖。</w:t>
      </w:r>
    </w:p>
    <w:p w14:paraId="3C4F10BD">
      <w:pPr>
        <w:pStyle w:val="2"/>
        <w:numPr>
          <w:ilvl w:val="0"/>
          <w:numId w:val="0"/>
        </w:numPr>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w:t>
      </w:r>
      <w:r>
        <w:rPr>
          <w:rFonts w:hint="eastAsia" w:hAnsi="宋体" w:cs="Times New Roman"/>
          <w:sz w:val="32"/>
          <w:szCs w:val="32"/>
          <w:lang w:val="en-US" w:eastAsia="zh-CN"/>
        </w:rPr>
        <w:t>2</w:t>
      </w:r>
      <w:r>
        <w:rPr>
          <w:rFonts w:hint="eastAsia" w:ascii="仿宋_GB2312" w:hAnsi="宋体" w:eastAsia="仿宋_GB2312" w:cs="Times New Roman"/>
          <w:sz w:val="32"/>
          <w:szCs w:val="32"/>
          <w:lang w:val="en-US" w:eastAsia="zh-CN"/>
        </w:rPr>
        <w:t>）加强综合治理，营造考试氛围：开展专项整治行动，净化考试环境；加强噪声治理，确保安静；实施交通管制，保障畅通；排查相关人员，消除安全隐患。</w:t>
      </w:r>
    </w:p>
    <w:p w14:paraId="6A01A7B3">
      <w:pPr>
        <w:pStyle w:val="2"/>
        <w:numPr>
          <w:ilvl w:val="0"/>
          <w:numId w:val="0"/>
        </w:numPr>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w:t>
      </w:r>
      <w:r>
        <w:rPr>
          <w:rFonts w:hint="eastAsia" w:hAnsi="宋体" w:cs="Times New Roman"/>
          <w:sz w:val="32"/>
          <w:szCs w:val="32"/>
          <w:lang w:val="en-US" w:eastAsia="zh-CN"/>
        </w:rPr>
        <w:t>3</w:t>
      </w:r>
      <w:r>
        <w:rPr>
          <w:rFonts w:hint="eastAsia" w:ascii="仿宋_GB2312" w:hAnsi="宋体" w:eastAsia="仿宋_GB2312" w:cs="Times New Roman"/>
          <w:sz w:val="32"/>
          <w:szCs w:val="32"/>
          <w:lang w:val="en-US" w:eastAsia="zh-CN"/>
        </w:rPr>
        <w:t>）加强考务管理，抓实关键环节：严格试卷保密管理；提前排查维护考试系统；开展考务培训，规范操作；进行考前教育，促进诚信考试。</w:t>
      </w:r>
    </w:p>
    <w:p w14:paraId="2829F202">
      <w:pPr>
        <w:pStyle w:val="2"/>
        <w:numPr>
          <w:ilvl w:val="0"/>
          <w:numId w:val="0"/>
        </w:numPr>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w:t>
      </w:r>
      <w:r>
        <w:rPr>
          <w:rFonts w:hint="eastAsia" w:hAnsi="宋体" w:cs="Times New Roman"/>
          <w:sz w:val="32"/>
          <w:szCs w:val="32"/>
          <w:lang w:val="en-US" w:eastAsia="zh-CN"/>
        </w:rPr>
        <w:t>4</w:t>
      </w:r>
      <w:r>
        <w:rPr>
          <w:rFonts w:hint="eastAsia" w:ascii="仿宋_GB2312" w:hAnsi="宋体" w:eastAsia="仿宋_GB2312" w:cs="Times New Roman"/>
          <w:sz w:val="32"/>
          <w:szCs w:val="32"/>
          <w:lang w:val="en-US" w:eastAsia="zh-CN"/>
        </w:rPr>
        <w:t>）来年打算：加强考试组织，应对新增考试；加强业务培训，提高能力；加强政策宣传和服务，提升满意度。</w:t>
      </w:r>
    </w:p>
    <w:p w14:paraId="37FCFB14">
      <w:pPr>
        <w:pStyle w:val="2"/>
        <w:numPr>
          <w:ilvl w:val="0"/>
          <w:numId w:val="0"/>
        </w:numPr>
        <w:ind w:firstLine="640" w:firstLineChars="200"/>
        <w:rPr>
          <w:rFonts w:hint="eastAsia" w:ascii="仿宋_GB2312" w:hAnsi="宋体" w:eastAsia="仿宋_GB2312" w:cs="Times New Roman"/>
          <w:sz w:val="32"/>
          <w:szCs w:val="32"/>
          <w:lang w:val="en-US" w:eastAsia="zh-CN"/>
        </w:rPr>
      </w:pPr>
      <w:r>
        <w:rPr>
          <w:rFonts w:hint="eastAsia" w:hAnsi="宋体" w:cs="Times New Roman"/>
          <w:sz w:val="32"/>
          <w:szCs w:val="32"/>
          <w:lang w:val="en-US" w:eastAsia="zh-CN"/>
        </w:rPr>
        <w:t>3.</w:t>
      </w:r>
      <w:r>
        <w:rPr>
          <w:rFonts w:hint="eastAsia" w:ascii="仿宋_GB2312" w:hAnsi="宋体" w:eastAsia="仿宋_GB2312" w:cs="Times New Roman"/>
          <w:sz w:val="32"/>
          <w:szCs w:val="32"/>
          <w:lang w:val="en-US" w:eastAsia="zh-CN"/>
        </w:rPr>
        <w:t>工作方法及成效：</w:t>
      </w:r>
    </w:p>
    <w:p w14:paraId="7408AFCA">
      <w:pPr>
        <w:pStyle w:val="2"/>
        <w:numPr>
          <w:ilvl w:val="0"/>
          <w:numId w:val="0"/>
        </w:numPr>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领导高度重视，亲自部署巡视；部门密切配合，联合保考；管理措施到位，加强培训考纪，完善保密制度；树立安全理念，重视内部维稳。</w:t>
      </w:r>
    </w:p>
    <w:p w14:paraId="2F3F78FB">
      <w:pPr>
        <w:pStyle w:val="2"/>
        <w:numPr>
          <w:ilvl w:val="0"/>
          <w:numId w:val="0"/>
        </w:numPr>
        <w:ind w:left="480" w:leftChars="0"/>
        <w:rPr>
          <w:rStyle w:val="31"/>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0"/>
      <w:bookmarkEnd w:id="11"/>
    </w:p>
    <w:p w14:paraId="05F6EEFC">
      <w:pPr>
        <w:ind w:firstLine="800" w:firstLineChars="250"/>
        <w:rPr>
          <w:rFonts w:hint="eastAsia" w:ascii="Times New Roman" w:hAnsi="Times New Roman" w:eastAsia="仿宋_GB2312" w:cs="仿宋_GB2312"/>
          <w:color w:val="auto"/>
          <w:sz w:val="32"/>
          <w:szCs w:val="32"/>
          <w:highlight w:val="none"/>
        </w:rPr>
      </w:pPr>
      <w:r>
        <w:rPr>
          <w:rFonts w:hint="eastAsia" w:ascii="仿宋" w:hAnsi="仿宋" w:eastAsia="仿宋"/>
          <w:color w:val="auto"/>
          <w:sz w:val="32"/>
          <w:szCs w:val="32"/>
          <w:lang w:eastAsia="zh-CN"/>
        </w:rPr>
        <w:t>峨眉山市教育</w:t>
      </w:r>
      <w:r>
        <w:rPr>
          <w:rFonts w:hint="eastAsia" w:ascii="仿宋" w:hAnsi="仿宋" w:eastAsia="仿宋"/>
          <w:color w:val="auto"/>
          <w:sz w:val="32"/>
          <w:szCs w:val="32"/>
          <w:lang w:val="en-US" w:eastAsia="zh-CN"/>
        </w:rPr>
        <w:t>考试中心</w:t>
      </w:r>
      <w:r>
        <w:rPr>
          <w:rFonts w:hint="eastAsia" w:ascii="仿宋" w:hAnsi="仿宋" w:eastAsia="仿宋"/>
          <w:sz w:val="32"/>
          <w:szCs w:val="32"/>
        </w:rPr>
        <w:t>属于</w:t>
      </w:r>
      <w:r>
        <w:rPr>
          <w:rFonts w:hint="eastAsia" w:ascii="仿宋" w:hAnsi="仿宋" w:eastAsia="仿宋"/>
          <w:sz w:val="32"/>
          <w:szCs w:val="32"/>
          <w:lang w:eastAsia="zh-CN"/>
        </w:rPr>
        <w:t>峨眉山市教育局</w:t>
      </w:r>
      <w:r>
        <w:rPr>
          <w:rFonts w:hint="eastAsia" w:ascii="仿宋" w:hAnsi="仿宋" w:eastAsia="仿宋"/>
          <w:sz w:val="32"/>
          <w:szCs w:val="32"/>
        </w:rPr>
        <w:t>部门下属的二级预算单位，下设独立编制机构</w:t>
      </w:r>
      <w:r>
        <w:rPr>
          <w:rFonts w:hint="eastAsia" w:ascii="仿宋" w:hAnsi="仿宋" w:eastAsia="仿宋"/>
          <w:sz w:val="32"/>
          <w:szCs w:val="32"/>
          <w:lang w:val="en-US" w:eastAsia="zh-CN"/>
        </w:rPr>
        <w:t>0</w:t>
      </w:r>
      <w:r>
        <w:rPr>
          <w:rFonts w:hint="eastAsia" w:ascii="仿宋" w:hAnsi="仿宋" w:eastAsia="仿宋"/>
          <w:sz w:val="32"/>
          <w:szCs w:val="32"/>
        </w:rPr>
        <w:t>个，其中行政机构</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个，参照公务员法管理的事业机构</w:t>
      </w:r>
      <w:r>
        <w:rPr>
          <w:rFonts w:hint="eastAsia" w:ascii="仿宋" w:hAnsi="仿宋" w:eastAsia="仿宋"/>
          <w:sz w:val="32"/>
          <w:szCs w:val="32"/>
          <w:lang w:val="en-US" w:eastAsia="zh-CN"/>
        </w:rPr>
        <w:t>0</w:t>
      </w:r>
      <w:r>
        <w:rPr>
          <w:rFonts w:hint="eastAsia" w:ascii="仿宋" w:hAnsi="仿宋" w:eastAsia="仿宋"/>
          <w:sz w:val="32"/>
          <w:szCs w:val="32"/>
        </w:rPr>
        <w:t>个，其他事业机构</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Times New Roman" w:hAnsi="Times New Roman" w:eastAsia="仿宋_GB2312" w:cs="仿宋_GB2312"/>
          <w:color w:val="auto"/>
          <w:sz w:val="32"/>
          <w:szCs w:val="32"/>
          <w:highlight w:val="none"/>
        </w:rPr>
        <w:t>。</w:t>
      </w:r>
    </w:p>
    <w:p w14:paraId="7A472351">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部门决算编制范围的预算单位包括：</w:t>
      </w:r>
    </w:p>
    <w:p w14:paraId="47DEE717">
      <w:pPr>
        <w:pStyle w:val="2"/>
        <w:numPr>
          <w:ilvl w:val="0"/>
          <w:numId w:val="1"/>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cs="仿宋_GB2312"/>
          <w:color w:val="auto"/>
          <w:sz w:val="32"/>
          <w:szCs w:val="32"/>
          <w:highlight w:val="none"/>
          <w:lang w:eastAsia="zh-CN"/>
        </w:rPr>
        <w:t>峨眉山市教育考试中心</w:t>
      </w:r>
      <w:r>
        <w:rPr>
          <w:rFonts w:hint="eastAsia" w:ascii="仿宋" w:hAnsi="仿宋" w:eastAsia="仿宋"/>
          <w:color w:val="auto"/>
          <w:sz w:val="32"/>
          <w:szCs w:val="32"/>
          <w:lang w:eastAsia="zh-CN"/>
        </w:rPr>
        <w:t>。</w:t>
      </w:r>
    </w:p>
    <w:p w14:paraId="137A5F9D">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DCF74FA">
      <w:pPr>
        <w:pStyle w:val="3"/>
        <w:jc w:val="center"/>
        <w:rPr>
          <w:rFonts w:hint="eastAsia" w:ascii="Times New Roman" w:hAnsi="Times New Roman" w:eastAsia="方正小标宋简体" w:cs="方正小标宋简体"/>
          <w:b w:val="0"/>
          <w:color w:val="auto"/>
          <w:highlight w:val="none"/>
        </w:rPr>
      </w:pPr>
      <w:bookmarkStart w:id="12" w:name="_Toc15377204"/>
      <w:bookmarkStart w:id="1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14:paraId="65739172">
      <w:pPr>
        <w:rPr>
          <w:rFonts w:ascii="Times New Roman" w:hAnsi="Times New Roman"/>
          <w:color w:val="auto"/>
          <w:highlight w:val="none"/>
        </w:rPr>
      </w:pPr>
    </w:p>
    <w:p w14:paraId="5CC25F5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4"/>
      <w:bookmarkEnd w:id="15"/>
    </w:p>
    <w:p w14:paraId="3952C0C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lang w:val="en-US" w:eastAsia="zh-CN"/>
        </w:rPr>
        <w:t>273.33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r>
        <w:rPr>
          <w:rFonts w:hint="eastAsia" w:eastAsia="仿宋_GB2312" w:cs="仿宋_GB2312"/>
          <w:color w:val="auto"/>
          <w:sz w:val="32"/>
          <w:szCs w:val="32"/>
          <w:highlight w:val="none"/>
          <w:lang w:val="en-US" w:eastAsia="zh-CN"/>
        </w:rPr>
        <w:t>增加50.01</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上升22.39</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工准则标准调整导致人员工资增加，各项保险费用也增加</w:t>
      </w:r>
      <w:r>
        <w:rPr>
          <w:rFonts w:hint="eastAsia" w:eastAsia="仿宋_GB2312" w:cs="仿宋_GB2312"/>
          <w:color w:val="auto"/>
          <w:sz w:val="32"/>
          <w:szCs w:val="32"/>
          <w:highlight w:val="none"/>
          <w:lang w:eastAsia="zh-CN"/>
        </w:rPr>
        <w:t>。</w:t>
      </w:r>
    </w:p>
    <w:p w14:paraId="18EBE5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3969F8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lang w:eastAsia="zh-CN"/>
        </w:rPr>
      </w:pPr>
      <w:r>
        <w:drawing>
          <wp:inline distT="0" distB="0" distL="114300" distR="114300">
            <wp:extent cx="5801360" cy="3381375"/>
            <wp:effectExtent l="9525" t="9525" r="18415" b="19050"/>
            <wp:docPr id="7" name="图表 3"/>
            <wp:cNvGraphicFramePr/>
            <a:graphic xmlns:a="http://schemas.openxmlformats.org/drawingml/2006/main">
              <a:graphicData uri="http://schemas.openxmlformats.org/drawingml/2006/picture">
                <pic:pic xmlns:pic="http://schemas.openxmlformats.org/drawingml/2006/picture">
                  <pic:nvPicPr>
                    <pic:cNvPr id="7" name="图表 3"/>
                    <pic:cNvPicPr/>
                  </pic:nvPicPr>
                  <pic:blipFill>
                    <a:blip r:embed="rId9"/>
                    <a:stretch>
                      <a:fillRect/>
                    </a:stretch>
                  </pic:blipFill>
                  <pic:spPr>
                    <a:xfrm>
                      <a:off x="0" y="0"/>
                      <a:ext cx="5801360" cy="3381375"/>
                    </a:xfrm>
                    <a:prstGeom prst="rect">
                      <a:avLst/>
                    </a:prstGeom>
                    <a:ln>
                      <a:solidFill>
                        <a:srgbClr val="4874CB"/>
                      </a:solidFill>
                    </a:ln>
                    <a:extLst>
                      <wpswe:webExtensionRef xmlns:wpswe="http://www.wps.cn/officeDocument/2018/webExtension" r:id="rId8"/>
                    </a:extLst>
                  </pic:spPr>
                </pic:pic>
              </a:graphicData>
            </a:graphic>
          </wp:inline>
        </w:drawing>
      </w:r>
    </w:p>
    <w:p w14:paraId="1D71201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96604"/>
      <w:bookmarkStart w:id="17" w:name="_Toc15377206"/>
      <w:r>
        <w:rPr>
          <w:rFonts w:hint="eastAsia" w:ascii="Times New Roman" w:hAnsi="Times New Roman" w:eastAsia="黑体"/>
          <w:color w:val="auto"/>
          <w:sz w:val="32"/>
          <w:szCs w:val="32"/>
          <w:highlight w:val="none"/>
          <w:lang w:eastAsia="zh-CN"/>
        </w:rPr>
        <w:t>二、收入决算情况说明</w:t>
      </w:r>
      <w:bookmarkEnd w:id="16"/>
      <w:bookmarkEnd w:id="17"/>
    </w:p>
    <w:p w14:paraId="6CA8182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color w:val="auto"/>
          <w:sz w:val="32"/>
          <w:szCs w:val="32"/>
          <w:highlight w:val="none"/>
          <w:lang w:val="en-US" w:eastAsia="zh-CN"/>
        </w:rPr>
        <w:t>208.02</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186.66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89.73</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1.68</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lang w:val="en-US" w:eastAsia="zh-CN"/>
        </w:rPr>
        <w:t>60.71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22.21</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7DCA45F0">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4102882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011295" cy="2846705"/>
            <wp:effectExtent l="0" t="0" r="12065" b="317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0"/>
                    <a:stretch>
                      <a:fillRect/>
                    </a:stretch>
                  </pic:blipFill>
                  <pic:spPr>
                    <a:xfrm>
                      <a:off x="0" y="0"/>
                      <a:ext cx="4011295" cy="2846705"/>
                    </a:xfrm>
                    <a:prstGeom prst="rect">
                      <a:avLst/>
                    </a:prstGeom>
                  </pic:spPr>
                </pic:pic>
              </a:graphicData>
            </a:graphic>
          </wp:inline>
        </w:drawing>
      </w:r>
    </w:p>
    <w:p w14:paraId="364F6D8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18"/>
      <w:bookmarkEnd w:id="19"/>
    </w:p>
    <w:p w14:paraId="46DA6B7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lang w:val="en-US" w:eastAsia="zh-CN"/>
        </w:rPr>
        <w:t>273.33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lang w:val="en-US" w:eastAsia="zh-CN"/>
        </w:rPr>
        <w:t>101.32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37.07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color w:val="auto"/>
          <w:sz w:val="32"/>
          <w:szCs w:val="32"/>
          <w:highlight w:val="none"/>
          <w:lang w:val="en-US" w:eastAsia="zh-CN"/>
        </w:rPr>
        <w:t>172.01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62.93</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0362BFC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2E9E0C34">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3615690" cy="2659380"/>
            <wp:effectExtent l="0" t="0" r="11430" b="7620"/>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11"/>
                    <a:stretch>
                      <a:fillRect/>
                    </a:stretch>
                  </pic:blipFill>
                  <pic:spPr>
                    <a:xfrm>
                      <a:off x="0" y="0"/>
                      <a:ext cx="3615690" cy="2659380"/>
                    </a:xfrm>
                    <a:prstGeom prst="rect">
                      <a:avLst/>
                    </a:prstGeom>
                  </pic:spPr>
                </pic:pic>
              </a:graphicData>
            </a:graphic>
          </wp:inline>
        </w:drawing>
      </w:r>
    </w:p>
    <w:p w14:paraId="6AF89FF6">
      <w:pPr>
        <w:spacing w:line="600" w:lineRule="exact"/>
        <w:ind w:firstLine="640" w:firstLineChars="200"/>
        <w:outlineLvl w:val="1"/>
        <w:rPr>
          <w:rStyle w:val="31"/>
          <w:rFonts w:ascii="Times New Roman" w:hAnsi="Times New Roman" w:eastAsia="黑体"/>
          <w:b w:val="0"/>
          <w:color w:val="auto"/>
          <w:highlight w:val="none"/>
        </w:rPr>
      </w:pPr>
      <w:bookmarkStart w:id="20" w:name="_Toc15396606"/>
      <w:bookmarkStart w:id="21"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0"/>
      <w:bookmarkEnd w:id="21"/>
    </w:p>
    <w:p w14:paraId="7DF5ACD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lang w:val="en-US" w:eastAsia="zh-CN"/>
        </w:rPr>
        <w:t>273.33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eastAsia="仿宋_GB2312" w:cs="仿宋_GB2312"/>
          <w:color w:val="auto"/>
          <w:kern w:val="2"/>
          <w:sz w:val="32"/>
          <w:szCs w:val="32"/>
          <w:highlight w:val="none"/>
          <w:lang w:val="en-US" w:eastAsia="zh-CN" w:bidi="ar-SA"/>
        </w:rPr>
        <w:t>增加50.01</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上升</w:t>
      </w:r>
      <w:r>
        <w:rPr>
          <w:rFonts w:hint="eastAsia" w:eastAsia="仿宋_GB2312" w:cs="仿宋_GB2312"/>
          <w:color w:val="auto"/>
          <w:sz w:val="32"/>
          <w:szCs w:val="32"/>
          <w:highlight w:val="none"/>
          <w:lang w:val="en-US" w:eastAsia="zh-CN"/>
        </w:rPr>
        <w:t>22.39</w:t>
      </w:r>
      <w:r>
        <w:rPr>
          <w:rFonts w:hint="eastAsia" w:ascii="Times New Roman" w:hAnsi="Times New Roman" w:eastAsia="仿宋_GB2312" w:cs="仿宋_GB2312"/>
          <w:color w:val="auto"/>
          <w:kern w:val="2"/>
          <w:sz w:val="32"/>
          <w:szCs w:val="32"/>
          <w:highlight w:val="none"/>
          <w:lang w:val="en-US" w:eastAsia="zh-CN" w:bidi="ar-SA"/>
        </w:rPr>
        <w:t>%。主要变动原因是工准则标准调整导致人员工资增加，各项保险费用也增加。</w:t>
      </w:r>
      <w:r>
        <w:rPr>
          <w:rFonts w:hint="eastAsia" w:eastAsia="仿宋_GB2312" w:cs="仿宋_GB2312"/>
          <w:color w:val="auto"/>
          <w:sz w:val="32"/>
          <w:szCs w:val="32"/>
          <w:highlight w:val="none"/>
          <w:lang w:val="en-US" w:eastAsia="zh-CN"/>
        </w:rPr>
        <w:t>。</w:t>
      </w:r>
    </w:p>
    <w:p w14:paraId="69503C9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6D7DBF79">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826000" cy="2743200"/>
            <wp:effectExtent l="4445" t="4445" r="8255" b="14605"/>
            <wp:docPr id="1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EEC69E">
      <w:pPr>
        <w:spacing w:line="600" w:lineRule="exact"/>
        <w:ind w:firstLine="640" w:firstLineChars="200"/>
        <w:outlineLvl w:val="1"/>
        <w:rPr>
          <w:rStyle w:val="31"/>
          <w:rFonts w:ascii="Times New Roman" w:hAnsi="Times New Roman" w:eastAsia="黑体"/>
          <w:b w:val="0"/>
          <w:color w:val="auto"/>
          <w:highlight w:val="none"/>
        </w:rPr>
      </w:pPr>
      <w:bookmarkStart w:id="22" w:name="_Toc15396607"/>
      <w:bookmarkStart w:id="2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2"/>
      <w:bookmarkEnd w:id="23"/>
    </w:p>
    <w:p w14:paraId="108DE5E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4186174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lang w:val="en-US" w:eastAsia="zh-CN"/>
        </w:rPr>
        <w:t>208.02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%。与2023年度相比，一般公共预算财政拨款支出增加70.23万元，增长50.96%。主要变动原因是工资标准调整导致人员工资增加，各项保险费用也增加，项目增加。</w:t>
      </w:r>
    </w:p>
    <w:p w14:paraId="4B5DCF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36148204">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826000" cy="2743200"/>
            <wp:effectExtent l="4445" t="4445" r="8255" b="14605"/>
            <wp:docPr id="12"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2F249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364987A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lang w:val="en-US" w:eastAsia="zh-CN"/>
        </w:rPr>
        <w:t>208.02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186.66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90.50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11.73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5.63</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6.82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3.28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0E0EAF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0E9B2551">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3996690" cy="2748280"/>
            <wp:effectExtent l="0" t="0" r="11430" b="10160"/>
            <wp:docPr id="4" name="图片 4"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3"/>
                    <pic:cNvPicPr>
                      <a:picLocks noChangeAspect="1"/>
                    </pic:cNvPicPr>
                  </pic:nvPicPr>
                  <pic:blipFill>
                    <a:blip r:embed="rId14"/>
                    <a:stretch>
                      <a:fillRect/>
                    </a:stretch>
                  </pic:blipFill>
                  <pic:spPr>
                    <a:xfrm>
                      <a:off x="0" y="0"/>
                      <a:ext cx="3996690" cy="2748280"/>
                    </a:xfrm>
                    <a:prstGeom prst="rect">
                      <a:avLst/>
                    </a:prstGeom>
                  </pic:spPr>
                </pic:pic>
              </a:graphicData>
            </a:graphic>
          </wp:inline>
        </w:drawing>
      </w:r>
    </w:p>
    <w:p w14:paraId="3FB4F75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3F53F6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7213"/>
      <w:bookmarkStart w:id="28" w:name="_Toc15378460"/>
      <w:bookmarkStart w:id="29"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w:t>
      </w:r>
      <w:r>
        <w:rPr>
          <w:rFonts w:hint="eastAsia" w:eastAsia="仿宋_GB2312" w:cs="仿宋_GB2312"/>
          <w:color w:val="auto"/>
          <w:kern w:val="2"/>
          <w:sz w:val="32"/>
          <w:szCs w:val="32"/>
          <w:highlight w:val="none"/>
          <w:lang w:val="en-US" w:eastAsia="zh-CN" w:bidi="ar-SA"/>
        </w:rPr>
        <w:t>208.02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520F09B9">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1.教育（类）普通教育（款）其他普通教育（项）: 支出决算为</w:t>
      </w:r>
      <w:r>
        <w:rPr>
          <w:rFonts w:hint="eastAsia" w:ascii="Times New Roman" w:cs="仿宋_GB2312"/>
          <w:color w:val="auto"/>
          <w:kern w:val="2"/>
          <w:sz w:val="32"/>
          <w:szCs w:val="32"/>
          <w:highlight w:val="none"/>
          <w:lang w:val="en-US" w:eastAsia="zh-CN" w:bidi="ar-SA"/>
        </w:rPr>
        <w:t>29.95</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1A482DCA">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.教育（类）普通教育（款）</w:t>
      </w:r>
      <w:r>
        <w:rPr>
          <w:rFonts w:hint="eastAsia" w:ascii="Times New Roman" w:cs="仿宋_GB2312"/>
          <w:color w:val="auto"/>
          <w:kern w:val="2"/>
          <w:sz w:val="32"/>
          <w:szCs w:val="32"/>
          <w:highlight w:val="none"/>
          <w:lang w:val="en-US" w:eastAsia="zh-CN" w:bidi="ar-SA"/>
        </w:rPr>
        <w:t>成人高等教育</w:t>
      </w:r>
      <w:r>
        <w:rPr>
          <w:rFonts w:hint="eastAsia" w:ascii="Times New Roman" w:hAnsi="Times New Roman" w:eastAsia="仿宋_GB2312" w:cs="仿宋_GB2312"/>
          <w:color w:val="auto"/>
          <w:kern w:val="2"/>
          <w:sz w:val="32"/>
          <w:szCs w:val="32"/>
          <w:highlight w:val="none"/>
          <w:lang w:val="en-US" w:eastAsia="zh-CN" w:bidi="ar-SA"/>
        </w:rPr>
        <w:t>（项）: 支出决算为</w:t>
      </w:r>
      <w:r>
        <w:rPr>
          <w:rFonts w:hint="eastAsia" w:ascii="Times New Roman" w:cs="仿宋_GB2312"/>
          <w:color w:val="auto"/>
          <w:kern w:val="2"/>
          <w:sz w:val="32"/>
          <w:szCs w:val="32"/>
          <w:highlight w:val="none"/>
          <w:lang w:val="en-US" w:eastAsia="zh-CN" w:bidi="ar-SA"/>
        </w:rPr>
        <w:t>114</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42F5D782">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.教育（类）其他教育费附加安排的支出（款）</w:t>
      </w:r>
      <w:r>
        <w:rPr>
          <w:rFonts w:hint="eastAsia" w:ascii="Times New Roman" w:cs="仿宋_GB2312"/>
          <w:color w:val="auto"/>
          <w:kern w:val="2"/>
          <w:sz w:val="32"/>
          <w:szCs w:val="32"/>
          <w:highlight w:val="none"/>
          <w:lang w:val="en-US" w:eastAsia="zh-CN" w:bidi="ar-SA"/>
        </w:rPr>
        <w:t>其他教育费附加安排的支出</w:t>
      </w:r>
      <w:r>
        <w:rPr>
          <w:rFonts w:hint="eastAsia" w:ascii="Times New Roman" w:hAnsi="Times New Roman" w:eastAsia="仿宋_GB2312" w:cs="仿宋_GB2312"/>
          <w:color w:val="auto"/>
          <w:kern w:val="2"/>
          <w:sz w:val="32"/>
          <w:szCs w:val="32"/>
          <w:highlight w:val="none"/>
          <w:lang w:val="en-US" w:eastAsia="zh-CN" w:bidi="ar-SA"/>
        </w:rPr>
        <w:t>（项）: 支出决算为</w:t>
      </w:r>
      <w:r>
        <w:rPr>
          <w:rFonts w:hint="eastAsia" w:ascii="Times New Roman" w:cs="仿宋_GB2312"/>
          <w:color w:val="auto"/>
          <w:kern w:val="2"/>
          <w:sz w:val="32"/>
          <w:szCs w:val="32"/>
          <w:highlight w:val="none"/>
          <w:lang w:val="en-US" w:eastAsia="zh-CN" w:bidi="ar-SA"/>
        </w:rPr>
        <w:t>42.71</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521E0FC2">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cs="仿宋_GB2312"/>
          <w:color w:val="auto"/>
          <w:kern w:val="2"/>
          <w:sz w:val="32"/>
          <w:szCs w:val="32"/>
          <w:highlight w:val="none"/>
          <w:lang w:val="en-US" w:eastAsia="zh-CN" w:bidi="ar-SA"/>
        </w:rPr>
      </w:pPr>
      <w:r>
        <w:rPr>
          <w:rFonts w:hint="eastAsia" w:ascii="Times New Roman" w:cs="仿宋_GB2312"/>
          <w:color w:val="auto"/>
          <w:kern w:val="2"/>
          <w:sz w:val="32"/>
          <w:szCs w:val="32"/>
          <w:highlight w:val="none"/>
          <w:lang w:val="en-US" w:eastAsia="zh-CN" w:bidi="ar-SA"/>
        </w:rPr>
        <w:t>4.社会保障和就业（类）行政事业单位养老（款）事业单位离退休（项）: 支出决算为11.73万元，完成预算100%。</w:t>
      </w:r>
    </w:p>
    <w:p w14:paraId="74B33A03">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cs="仿宋_GB2312"/>
          <w:color w:val="auto"/>
          <w:kern w:val="2"/>
          <w:sz w:val="32"/>
          <w:szCs w:val="32"/>
          <w:highlight w:val="none"/>
          <w:lang w:val="en-US" w:eastAsia="zh-CN" w:bidi="ar-SA"/>
        </w:rPr>
      </w:pPr>
      <w:r>
        <w:rPr>
          <w:rFonts w:hint="eastAsia" w:ascii="Times New Roman" w:cs="仿宋_GB2312"/>
          <w:color w:val="auto"/>
          <w:kern w:val="2"/>
          <w:sz w:val="32"/>
          <w:szCs w:val="32"/>
          <w:highlight w:val="none"/>
          <w:lang w:val="en-US" w:eastAsia="zh-CN" w:bidi="ar-SA"/>
        </w:rPr>
        <w:t>5.社会保障和就业（类）行政事业单位养老（款）机关事业单位基本养老保险缴费（项）：支出决算为7.36万元，完成预算100%。</w:t>
      </w:r>
    </w:p>
    <w:p w14:paraId="0DA435CC">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cs="仿宋_GB2312"/>
          <w:color w:val="auto"/>
          <w:kern w:val="2"/>
          <w:sz w:val="32"/>
          <w:szCs w:val="32"/>
          <w:highlight w:val="none"/>
          <w:lang w:val="en-US" w:eastAsia="zh-CN" w:bidi="ar-SA"/>
        </w:rPr>
      </w:pPr>
      <w:r>
        <w:rPr>
          <w:rFonts w:hint="eastAsia" w:ascii="Times New Roman" w:cs="仿宋_GB2312"/>
          <w:color w:val="auto"/>
          <w:kern w:val="2"/>
          <w:sz w:val="32"/>
          <w:szCs w:val="32"/>
          <w:highlight w:val="none"/>
          <w:lang w:val="en-US" w:eastAsia="zh-CN" w:bidi="ar-SA"/>
        </w:rPr>
        <w:t>6.社会保障和就业（类）行政事业单位养老（款）机关事业单位职业年金缴费（项）: 支出决算为3.68万元，完成预算100%。</w:t>
      </w:r>
    </w:p>
    <w:p w14:paraId="155AAA33">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cs="仿宋_GB2312"/>
          <w:color w:val="auto"/>
          <w:kern w:val="2"/>
          <w:sz w:val="32"/>
          <w:szCs w:val="32"/>
          <w:highlight w:val="none"/>
          <w:lang w:val="en-US" w:eastAsia="zh-CN" w:bidi="ar-SA"/>
        </w:rPr>
      </w:pPr>
      <w:r>
        <w:rPr>
          <w:rFonts w:hint="eastAsia" w:ascii="Times New Roman" w:cs="仿宋_GB2312"/>
          <w:color w:val="auto"/>
          <w:kern w:val="2"/>
          <w:sz w:val="32"/>
          <w:szCs w:val="32"/>
          <w:highlight w:val="none"/>
          <w:lang w:val="en-US" w:eastAsia="zh-CN" w:bidi="ar-SA"/>
        </w:rPr>
        <w:t>7.社会保障和就业（类）其他社会保障和就业（款）其他社会保障和就业（项）: 支出决算为0.70万元，完成预算100%。</w:t>
      </w:r>
    </w:p>
    <w:p w14:paraId="33F437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 支出决算为</w:t>
      </w:r>
      <w:r>
        <w:rPr>
          <w:rFonts w:hint="eastAsia" w:eastAsia="仿宋_GB2312" w:cs="仿宋_GB2312"/>
          <w:color w:val="auto"/>
          <w:kern w:val="2"/>
          <w:sz w:val="32"/>
          <w:szCs w:val="32"/>
          <w:highlight w:val="none"/>
          <w:lang w:val="en-US" w:eastAsia="zh-CN" w:bidi="ar-SA"/>
        </w:rPr>
        <w:t>2.80</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5FE4D5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住房保障（类）住房改革（款）住房公积金（项）: 支出决算为</w:t>
      </w:r>
      <w:r>
        <w:rPr>
          <w:rFonts w:hint="eastAsia" w:eastAsia="仿宋_GB2312" w:cs="仿宋_GB2312"/>
          <w:color w:val="auto"/>
          <w:kern w:val="2"/>
          <w:sz w:val="32"/>
          <w:szCs w:val="32"/>
          <w:highlight w:val="none"/>
          <w:lang w:val="en-US" w:eastAsia="zh-CN" w:bidi="ar-SA"/>
        </w:rPr>
        <w:t>6.82</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2BAD2511">
      <w:pPr>
        <w:tabs>
          <w:tab w:val="right" w:pos="8306"/>
        </w:tabs>
        <w:spacing w:line="600" w:lineRule="exact"/>
        <w:ind w:firstLine="640"/>
        <w:outlineLvl w:val="1"/>
        <w:rPr>
          <w:rStyle w:val="31"/>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0"/>
      <w:bookmarkEnd w:id="31"/>
      <w:r>
        <w:rPr>
          <w:rStyle w:val="31"/>
          <w:rFonts w:ascii="Times New Roman" w:hAnsi="Times New Roman" w:eastAsia="黑体"/>
          <w:b w:val="0"/>
          <w:color w:val="auto"/>
          <w:highlight w:val="none"/>
        </w:rPr>
        <w:tab/>
      </w:r>
    </w:p>
    <w:p w14:paraId="298440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lang w:val="en-US" w:eastAsia="zh-CN"/>
        </w:rPr>
        <w:t>208.02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72786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lang w:val="en-US" w:eastAsia="zh-CN"/>
        </w:rPr>
        <w:t>93.79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lang w:val="en-US" w:eastAsia="zh-CN"/>
        </w:rPr>
        <w:t>7.53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29E14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BF4253A">
      <w:pPr>
        <w:spacing w:line="600" w:lineRule="exact"/>
        <w:ind w:firstLine="640"/>
        <w:outlineLvl w:val="1"/>
        <w:rPr>
          <w:rStyle w:val="31"/>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2"/>
      <w:bookmarkEnd w:id="33"/>
    </w:p>
    <w:p w14:paraId="50E733C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1E71B45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lang w:val="en-US" w:eastAsia="zh-CN"/>
        </w:rPr>
        <w:t>2.38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eastAsia="仿宋_GB2312" w:cs="仿宋_GB2312"/>
          <w:color w:val="auto"/>
          <w:kern w:val="2"/>
          <w:sz w:val="32"/>
          <w:szCs w:val="32"/>
          <w:highlight w:val="none"/>
          <w:lang w:val="en-US" w:eastAsia="zh-CN" w:bidi="ar-SA"/>
        </w:rPr>
        <w:t>增加0.89</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上升59.73</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 w:hAnsi="仿宋" w:eastAsia="仿宋"/>
          <w:b w:val="0"/>
          <w:bCs/>
          <w:color w:val="000000"/>
          <w:sz w:val="32"/>
          <w:szCs w:val="32"/>
        </w:rPr>
        <w:t>决算数等于预算数的主要原因是</w:t>
      </w:r>
      <w:r>
        <w:rPr>
          <w:rStyle w:val="19"/>
          <w:rFonts w:hint="eastAsia" w:ascii="仿宋" w:hAnsi="仿宋" w:eastAsia="仿宋"/>
          <w:b w:val="0"/>
          <w:bCs/>
          <w:color w:val="000000"/>
          <w:sz w:val="32"/>
          <w:szCs w:val="32"/>
          <w:lang w:eastAsia="zh-CN"/>
        </w:rPr>
        <w:t>全面完成预算所列“三公”经费支出，</w:t>
      </w:r>
      <w:r>
        <w:rPr>
          <w:rStyle w:val="19"/>
          <w:rFonts w:hint="eastAsia" w:ascii="仿宋" w:hAnsi="仿宋" w:eastAsia="仿宋"/>
          <w:b w:val="0"/>
          <w:bCs/>
          <w:color w:val="000000"/>
          <w:sz w:val="32"/>
          <w:szCs w:val="32"/>
          <w:lang w:val="en-US" w:eastAsia="zh-CN"/>
        </w:rPr>
        <w:t>公务用车维护维修费增加</w:t>
      </w:r>
      <w:r>
        <w:rPr>
          <w:rFonts w:hint="eastAsia" w:ascii="仿宋" w:hAnsi="仿宋" w:eastAsia="仿宋"/>
          <w:sz w:val="32"/>
          <w:szCs w:val="32"/>
        </w:rPr>
        <w:t>。</w:t>
      </w:r>
    </w:p>
    <w:p w14:paraId="25384AA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702A09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31F61B66">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14:paraId="75E515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2.38万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0.89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59.73</w:t>
      </w:r>
      <w:r>
        <w:rPr>
          <w:rFonts w:hint="eastAsia" w:ascii="Times New Roman" w:hAnsi="Times New Roman" w:eastAsia="仿宋_GB2312" w:cs="仿宋_GB2312"/>
          <w:color w:val="auto"/>
          <w:kern w:val="2"/>
          <w:sz w:val="32"/>
          <w:szCs w:val="32"/>
          <w:highlight w:val="none"/>
          <w:lang w:val="en-US" w:eastAsia="zh-CN" w:bidi="ar-SA"/>
        </w:rPr>
        <w:t>%。</w:t>
      </w:r>
    </w:p>
    <w:p w14:paraId="6F375AB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36AE82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2.38</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用</w:t>
      </w:r>
      <w:r>
        <w:rPr>
          <w:rFonts w:hint="eastAsia" w:ascii="仿宋_GB2312" w:eastAsia="仿宋_GB2312"/>
          <w:sz w:val="32"/>
          <w:szCs w:val="32"/>
          <w:lang w:eastAsia="zh-CN"/>
        </w:rPr>
        <w:t>公务用</w:t>
      </w:r>
      <w:r>
        <w:rPr>
          <w:rFonts w:hint="eastAsia" w:ascii="仿宋_GB2312" w:eastAsia="仿宋_GB2312"/>
          <w:color w:val="000000"/>
          <w:sz w:val="32"/>
          <w:szCs w:val="32"/>
          <w:lang w:eastAsia="zh-CN"/>
        </w:rPr>
        <w:t>车</w:t>
      </w:r>
      <w:r>
        <w:rPr>
          <w:rFonts w:hint="eastAsia" w:ascii="仿宋_GB2312" w:eastAsia="仿宋_GB2312"/>
          <w:color w:val="000000"/>
          <w:sz w:val="32"/>
          <w:szCs w:val="32"/>
          <w:lang w:val="en-US" w:eastAsia="zh-CN"/>
        </w:rPr>
        <w:t>燃油费、保险费、过路费、维护维修费等</w:t>
      </w:r>
      <w:r>
        <w:rPr>
          <w:rFonts w:hint="eastAsia" w:ascii="Times New Roman" w:hAnsi="Times New Roman" w:eastAsia="仿宋_GB2312" w:cs="仿宋_GB2312"/>
          <w:color w:val="auto"/>
          <w:kern w:val="2"/>
          <w:sz w:val="32"/>
          <w:szCs w:val="32"/>
          <w:highlight w:val="none"/>
          <w:lang w:val="en-US" w:eastAsia="zh-CN" w:bidi="ar-SA"/>
        </w:rPr>
        <w:t>。</w:t>
      </w:r>
    </w:p>
    <w:p w14:paraId="5CAAF3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2.38万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lang w:eastAsia="zh-CN"/>
        </w:rPr>
        <w:t>厉行节约，严格控制公务接待支出</w:t>
      </w:r>
      <w:r>
        <w:rPr>
          <w:rFonts w:hint="eastAsia" w:ascii="Times New Roman" w:hAnsi="Times New Roman" w:eastAsia="仿宋_GB2312" w:cs="仿宋_GB2312"/>
          <w:color w:val="auto"/>
          <w:kern w:val="2"/>
          <w:sz w:val="32"/>
          <w:szCs w:val="32"/>
          <w:highlight w:val="none"/>
          <w:lang w:val="en-US" w:eastAsia="zh-CN" w:bidi="ar-SA"/>
        </w:rPr>
        <w:t>。其中：</w:t>
      </w:r>
    </w:p>
    <w:p w14:paraId="6C0768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w:t>
      </w:r>
    </w:p>
    <w:p w14:paraId="3C7422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w:t>
      </w:r>
      <w:r>
        <w:rPr>
          <w:rFonts w:hint="eastAsia" w:ascii="Times New Roman" w:hAnsi="Times New Roman" w:eastAsia="仿宋_GB2312" w:cs="仿宋_GB2312"/>
          <w:color w:val="auto"/>
          <w:kern w:val="2"/>
          <w:sz w:val="32"/>
          <w:szCs w:val="32"/>
          <w:highlight w:val="none"/>
          <w:lang w:val="en-US" w:eastAsia="zh-CN" w:bidi="ar-SA"/>
        </w:rPr>
        <w:t>。</w:t>
      </w:r>
    </w:p>
    <w:p w14:paraId="37F032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96610"/>
      <w:bookmarkStart w:id="37" w:name="_Toc15377218"/>
    </w:p>
    <w:p w14:paraId="3D664D67">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6"/>
      <w:bookmarkEnd w:id="37"/>
    </w:p>
    <w:p w14:paraId="68E570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color w:val="auto"/>
          <w:kern w:val="2"/>
          <w:sz w:val="32"/>
          <w:szCs w:val="32"/>
          <w:highlight w:val="none"/>
          <w:lang w:val="en-US" w:eastAsia="zh-CN" w:bidi="ar-SA"/>
        </w:rPr>
        <w:t>万元，占本年支出合计的1.68%</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18.6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80.17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今年安排政府性基金预算支出减少。</w:t>
      </w:r>
    </w:p>
    <w:p w14:paraId="40AACA37">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38" w:name="_Toc15377219"/>
      <w:bookmarkStart w:id="39"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38"/>
      <w:bookmarkEnd w:id="39"/>
    </w:p>
    <w:p w14:paraId="48CC6D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724D19D3">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0" w:name="_Toc15396612"/>
      <w:bookmarkStart w:id="41"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0"/>
      <w:bookmarkEnd w:id="41"/>
    </w:p>
    <w:p w14:paraId="3B23354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726CCD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峨眉山市教育</w:t>
      </w:r>
      <w:r>
        <w:rPr>
          <w:rFonts w:hint="eastAsia" w:ascii="仿宋_GB2312" w:hAnsi="仿宋_GB2312" w:eastAsia="仿宋_GB2312" w:cs="仿宋_GB2312"/>
          <w:sz w:val="32"/>
          <w:szCs w:val="32"/>
          <w:lang w:val="en-US" w:eastAsia="zh-CN"/>
        </w:rPr>
        <w:t>考试中心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4C8E197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443E97C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峨眉山市教育</w:t>
      </w:r>
      <w:r>
        <w:rPr>
          <w:rFonts w:hint="eastAsia" w:ascii="仿宋_GB2312" w:hAnsi="仿宋_GB2312" w:eastAsia="仿宋_GB2312" w:cs="仿宋_GB2312"/>
          <w:sz w:val="32"/>
          <w:szCs w:val="32"/>
          <w:lang w:val="en-US" w:eastAsia="zh-CN"/>
        </w:rPr>
        <w:t>考试中心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2.61</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万元。主要用于采购办公用空调。授予中小企业合同金额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w:t>
      </w:r>
    </w:p>
    <w:p w14:paraId="374DCD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7077A7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024274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峨眉山市教育局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eastAsia="仿宋_GB2312"/>
          <w:color w:val="000000"/>
          <w:sz w:val="32"/>
          <w:szCs w:val="32"/>
          <w:lang w:eastAsia="zh-CN"/>
        </w:rPr>
        <w:t>教育各项检查、会议、扶贫、大走访、应急处置等</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854A3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6B6A04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99103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峨眉山市教育考试中心</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eastAsia="仿宋_GB2312"/>
          <w:sz w:val="32"/>
          <w:szCs w:val="32"/>
        </w:rPr>
        <w:t>教育核算中心运行经费</w:t>
      </w:r>
      <w:r>
        <w:rPr>
          <w:rFonts w:hint="eastAsia" w:ascii="Times New Roman" w:hAnsi="Times New Roman" w:eastAsia="仿宋_GB2312" w:cs="仿宋_GB2312"/>
          <w:color w:val="auto"/>
          <w:kern w:val="2"/>
          <w:sz w:val="32"/>
          <w:szCs w:val="32"/>
          <w:highlight w:val="none"/>
          <w:lang w:val="en-US" w:eastAsia="zh-CN" w:bidi="ar-SA"/>
        </w:rPr>
        <w:t>（项目名称）等</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eastAsia="仿宋_GB2312" w:cs="仿宋_GB2312"/>
          <w:color w:val="auto"/>
          <w:kern w:val="2"/>
          <w:sz w:val="32"/>
          <w:szCs w:val="32"/>
          <w:highlight w:val="none"/>
          <w:lang w:val="en-US" w:eastAsia="zh-CN" w:bidi="ar-SA"/>
        </w:rPr>
        <w:t>，</w:t>
      </w:r>
      <w:r>
        <w:rPr>
          <w:rFonts w:hint="eastAsia" w:ascii="仿宋_GB2312" w:eastAsia="仿宋_GB2312"/>
          <w:sz w:val="32"/>
          <w:szCs w:val="32"/>
        </w:rPr>
        <w:t>组织对</w:t>
      </w:r>
      <w:r>
        <w:rPr>
          <w:rFonts w:hint="eastAsia" w:ascii="仿宋_GB2312" w:eastAsia="仿宋_GB2312"/>
          <w:sz w:val="32"/>
          <w:szCs w:val="32"/>
          <w:lang w:val="en-US" w:eastAsia="zh-CN"/>
        </w:rPr>
        <w:t>4</w:t>
      </w:r>
      <w:r>
        <w:rPr>
          <w:rFonts w:hint="eastAsia" w:ascii="仿宋_GB2312" w:eastAsia="仿宋_GB2312"/>
          <w:sz w:val="32"/>
          <w:szCs w:val="32"/>
        </w:rPr>
        <w:t>个项目开展绩效自评，绩效自评表详见第四部分附件。</w:t>
      </w:r>
    </w:p>
    <w:p w14:paraId="33A0C8C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7035C801">
      <w:pPr>
        <w:pStyle w:val="2"/>
        <w:rPr>
          <w:rFonts w:hint="eastAsia" w:ascii="Times New Roman" w:hAnsi="Times New Roman" w:eastAsia="仿宋_GB2312" w:cs="仿宋_GB2312"/>
          <w:b/>
          <w:bCs/>
          <w:color w:val="auto"/>
          <w:kern w:val="2"/>
          <w:sz w:val="32"/>
          <w:szCs w:val="32"/>
          <w:highlight w:val="none"/>
          <w:lang w:val="en-US" w:eastAsia="zh-CN" w:bidi="ar-SA"/>
        </w:rPr>
      </w:pPr>
    </w:p>
    <w:p w14:paraId="130B942C">
      <w:pPr>
        <w:rPr>
          <w:rFonts w:hint="eastAsia" w:ascii="Times New Roman" w:hAnsi="Times New Roman" w:eastAsia="仿宋_GB2312" w:cs="仿宋_GB2312"/>
          <w:b/>
          <w:bCs/>
          <w:color w:val="auto"/>
          <w:kern w:val="2"/>
          <w:sz w:val="32"/>
          <w:szCs w:val="32"/>
          <w:highlight w:val="none"/>
          <w:lang w:val="en-US" w:eastAsia="zh-CN" w:bidi="ar-SA"/>
        </w:rPr>
      </w:pPr>
    </w:p>
    <w:p w14:paraId="3D28000F">
      <w:pPr>
        <w:pStyle w:val="2"/>
        <w:rPr>
          <w:rFonts w:hint="eastAsia" w:ascii="Times New Roman" w:hAnsi="Times New Roman" w:eastAsia="仿宋_GB2312" w:cs="仿宋_GB2312"/>
          <w:b/>
          <w:bCs/>
          <w:color w:val="auto"/>
          <w:kern w:val="2"/>
          <w:sz w:val="32"/>
          <w:szCs w:val="32"/>
          <w:highlight w:val="none"/>
          <w:lang w:val="en-US" w:eastAsia="zh-CN" w:bidi="ar-SA"/>
        </w:rPr>
      </w:pPr>
    </w:p>
    <w:p w14:paraId="32E412FA">
      <w:pPr>
        <w:rPr>
          <w:rFonts w:hint="eastAsia" w:ascii="Times New Roman" w:hAnsi="Times New Roman" w:eastAsia="仿宋_GB2312" w:cs="仿宋_GB2312"/>
          <w:b/>
          <w:bCs/>
          <w:color w:val="auto"/>
          <w:kern w:val="2"/>
          <w:sz w:val="32"/>
          <w:szCs w:val="32"/>
          <w:highlight w:val="none"/>
          <w:lang w:val="en-US" w:eastAsia="zh-CN" w:bidi="ar-SA"/>
        </w:rPr>
      </w:pPr>
    </w:p>
    <w:p w14:paraId="647A5D09">
      <w:pPr>
        <w:pStyle w:val="2"/>
        <w:rPr>
          <w:rFonts w:hint="eastAsia" w:ascii="Times New Roman" w:hAnsi="Times New Roman" w:eastAsia="仿宋_GB2312" w:cs="仿宋_GB2312"/>
          <w:b/>
          <w:bCs/>
          <w:color w:val="auto"/>
          <w:kern w:val="2"/>
          <w:sz w:val="32"/>
          <w:szCs w:val="32"/>
          <w:highlight w:val="none"/>
          <w:lang w:val="en-US" w:eastAsia="zh-CN" w:bidi="ar-SA"/>
        </w:rPr>
      </w:pPr>
    </w:p>
    <w:p w14:paraId="0A6A2DA7">
      <w:pPr>
        <w:rPr>
          <w:rFonts w:hint="eastAsia" w:ascii="Times New Roman" w:hAnsi="Times New Roman" w:eastAsia="仿宋_GB2312" w:cs="仿宋_GB2312"/>
          <w:b/>
          <w:bCs/>
          <w:color w:val="auto"/>
          <w:kern w:val="2"/>
          <w:sz w:val="32"/>
          <w:szCs w:val="32"/>
          <w:highlight w:val="none"/>
          <w:lang w:val="en-US" w:eastAsia="zh-CN" w:bidi="ar-SA"/>
        </w:rPr>
      </w:pPr>
    </w:p>
    <w:p w14:paraId="73F222DE">
      <w:pPr>
        <w:pStyle w:val="2"/>
        <w:rPr>
          <w:rFonts w:hint="eastAsia" w:ascii="Times New Roman" w:hAnsi="Times New Roman" w:eastAsia="仿宋_GB2312" w:cs="仿宋_GB2312"/>
          <w:b/>
          <w:bCs/>
          <w:color w:val="auto"/>
          <w:kern w:val="2"/>
          <w:sz w:val="32"/>
          <w:szCs w:val="32"/>
          <w:highlight w:val="none"/>
          <w:lang w:val="en-US" w:eastAsia="zh-CN" w:bidi="ar-SA"/>
        </w:rPr>
      </w:pPr>
    </w:p>
    <w:p w14:paraId="2AA029DB">
      <w:pPr>
        <w:rPr>
          <w:rFonts w:hint="eastAsia" w:ascii="Times New Roman" w:hAnsi="Times New Roman" w:eastAsia="仿宋_GB2312" w:cs="仿宋_GB2312"/>
          <w:b/>
          <w:bCs/>
          <w:color w:val="auto"/>
          <w:kern w:val="2"/>
          <w:sz w:val="32"/>
          <w:szCs w:val="32"/>
          <w:highlight w:val="none"/>
          <w:lang w:val="en-US" w:eastAsia="zh-CN" w:bidi="ar-SA"/>
        </w:rPr>
      </w:pPr>
    </w:p>
    <w:p w14:paraId="1388E672">
      <w:pPr>
        <w:pStyle w:val="2"/>
        <w:rPr>
          <w:rFonts w:hint="eastAsia"/>
          <w:lang w:val="en-US" w:eastAsia="zh-CN"/>
        </w:rPr>
      </w:pPr>
    </w:p>
    <w:p w14:paraId="3257DF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20FD2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8D9CDF9">
      <w:pPr>
        <w:rPr>
          <w:rFonts w:hint="eastAsia" w:ascii="Times New Roman" w:hAnsi="Times New Roman" w:eastAsia="黑体"/>
          <w:color w:val="auto"/>
          <w:sz w:val="44"/>
          <w:szCs w:val="44"/>
          <w:highlight w:val="none"/>
        </w:rPr>
      </w:pPr>
      <w:bookmarkStart w:id="45" w:name="_Toc15396613"/>
      <w:bookmarkStart w:id="46" w:name="_Toc15377225"/>
      <w:r>
        <w:rPr>
          <w:rFonts w:hint="eastAsia" w:ascii="Times New Roman" w:hAnsi="Times New Roman" w:eastAsia="黑体"/>
          <w:color w:val="auto"/>
          <w:sz w:val="44"/>
          <w:szCs w:val="44"/>
          <w:highlight w:val="none"/>
        </w:rPr>
        <w:br w:type="page"/>
      </w:r>
    </w:p>
    <w:p w14:paraId="743FE6A0">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24EACF7C">
      <w:pPr>
        <w:spacing w:line="600" w:lineRule="exact"/>
        <w:jc w:val="left"/>
        <w:rPr>
          <w:rFonts w:ascii="Times New Roman" w:hAnsi="Times New Roman"/>
          <w:b/>
          <w:color w:val="auto"/>
          <w:sz w:val="44"/>
          <w:szCs w:val="44"/>
          <w:highlight w:val="none"/>
        </w:rPr>
      </w:pPr>
    </w:p>
    <w:p w14:paraId="7015D21C">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46476FB">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000CDFAB">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0C2A3228">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26EB74E0">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w:t>
      </w:r>
      <w:r>
        <w:rPr>
          <w:rFonts w:hint="eastAsia" w:ascii="仿宋_GB2312" w:eastAsia="仿宋_GB2312"/>
          <w:color w:val="auto"/>
          <w:sz w:val="32"/>
          <w:szCs w:val="32"/>
          <w:lang w:eastAsia="zh-CN"/>
        </w:rPr>
        <w:t>（含专用结余）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53083D2E">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65E7DD64">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483A3BCD">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442D71CF">
      <w:pPr>
        <w:ind w:firstLine="640" w:firstLineChars="200"/>
        <w:rPr>
          <w:rFonts w:hint="eastAsia" w:ascii="仿宋_GB2312" w:eastAsia="仿宋_GB2312"/>
          <w:sz w:val="32"/>
          <w:szCs w:val="32"/>
        </w:rPr>
      </w:pPr>
      <w:r>
        <w:rPr>
          <w:rFonts w:ascii="仿宋_GB2312" w:eastAsia="仿宋_GB2312"/>
          <w:sz w:val="32"/>
          <w:szCs w:val="32"/>
        </w:rPr>
        <w:t>9.</w:t>
      </w:r>
      <w:r>
        <w:rPr>
          <w:rFonts w:hint="eastAsia" w:ascii="仿宋_GB2312" w:eastAsia="仿宋_GB2312"/>
          <w:sz w:val="32"/>
          <w:szCs w:val="32"/>
        </w:rPr>
        <w:t>教育</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教育管理事务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（项）：指反映</w:t>
      </w:r>
      <w:r>
        <w:rPr>
          <w:rFonts w:hint="eastAsia" w:ascii="仿宋_GB2312" w:eastAsia="仿宋_GB2312"/>
          <w:sz w:val="32"/>
          <w:szCs w:val="32"/>
          <w:lang w:eastAsia="zh-CN"/>
        </w:rPr>
        <w:t>行政单位（包括实行公务员管理的事业单位）的基本</w:t>
      </w:r>
      <w:r>
        <w:rPr>
          <w:rFonts w:hint="eastAsia" w:ascii="仿宋_GB2312" w:eastAsia="仿宋_GB2312"/>
          <w:sz w:val="32"/>
          <w:szCs w:val="32"/>
        </w:rPr>
        <w:t>支出。</w:t>
      </w:r>
    </w:p>
    <w:p w14:paraId="0A8D238F">
      <w:pPr>
        <w:pStyle w:val="2"/>
        <w:ind w:firstLine="640" w:firstLineChars="200"/>
        <w:rPr>
          <w:rFonts w:hint="default" w:eastAsia="仿宋_GB2312"/>
          <w:lang w:val="en-US" w:eastAsia="zh-CN"/>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ascii="仿宋_GB2312" w:eastAsia="仿宋_GB2312"/>
          <w:sz w:val="32"/>
          <w:szCs w:val="32"/>
        </w:rPr>
        <w:t>教育</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教育管理事务</w:t>
      </w:r>
      <w:r>
        <w:rPr>
          <w:rFonts w:hint="eastAsia" w:ascii="仿宋_GB2312" w:eastAsia="仿宋_GB2312"/>
          <w:sz w:val="32"/>
          <w:szCs w:val="32"/>
        </w:rPr>
        <w:t>（款）</w:t>
      </w:r>
      <w:r>
        <w:rPr>
          <w:rFonts w:hint="eastAsia"/>
          <w:sz w:val="32"/>
          <w:szCs w:val="32"/>
          <w:lang w:eastAsia="zh-CN"/>
        </w:rPr>
        <w:t>一般行政管理事务</w:t>
      </w:r>
      <w:r>
        <w:rPr>
          <w:rFonts w:hint="eastAsia" w:ascii="仿宋_GB2312" w:eastAsia="仿宋_GB2312"/>
          <w:sz w:val="32"/>
          <w:szCs w:val="32"/>
        </w:rPr>
        <w:t>（项）：指反映</w:t>
      </w:r>
      <w:r>
        <w:rPr>
          <w:rFonts w:hint="eastAsia" w:ascii="仿宋_GB2312" w:eastAsia="仿宋_GB2312"/>
          <w:sz w:val="32"/>
          <w:szCs w:val="32"/>
          <w:lang w:eastAsia="zh-CN"/>
        </w:rPr>
        <w:t>行政单位（包括实行公务员管理的事业单位）的</w:t>
      </w:r>
      <w:r>
        <w:rPr>
          <w:rFonts w:hint="eastAsia"/>
          <w:sz w:val="32"/>
          <w:szCs w:val="32"/>
          <w:lang w:eastAsia="zh-CN"/>
        </w:rPr>
        <w:t>未单独设置项级科目的其他项目</w:t>
      </w:r>
      <w:r>
        <w:rPr>
          <w:rFonts w:hint="eastAsia" w:ascii="仿宋_GB2312" w:eastAsia="仿宋_GB2312"/>
          <w:sz w:val="32"/>
          <w:szCs w:val="32"/>
        </w:rPr>
        <w:t>支出。</w:t>
      </w:r>
    </w:p>
    <w:p w14:paraId="1FC40C6D">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教育支出（类）普通教育（款）</w:t>
      </w:r>
      <w:r>
        <w:rPr>
          <w:rFonts w:hint="eastAsia" w:ascii="仿宋_GB2312" w:eastAsia="仿宋_GB2312"/>
          <w:sz w:val="32"/>
          <w:szCs w:val="32"/>
          <w:lang w:eastAsia="zh-CN"/>
        </w:rPr>
        <w:t>学前</w:t>
      </w:r>
      <w:r>
        <w:rPr>
          <w:rFonts w:hint="eastAsia" w:ascii="仿宋_GB2312" w:eastAsia="仿宋_GB2312"/>
          <w:sz w:val="32"/>
          <w:szCs w:val="32"/>
        </w:rPr>
        <w:t>教育（项）:指反映各部门举办的</w:t>
      </w:r>
      <w:r>
        <w:rPr>
          <w:rFonts w:hint="eastAsia" w:ascii="仿宋_GB2312" w:eastAsia="仿宋_GB2312"/>
          <w:sz w:val="32"/>
          <w:szCs w:val="32"/>
          <w:lang w:eastAsia="zh-CN"/>
        </w:rPr>
        <w:t>学前</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政府各部门对社会组织等举办的幼儿园的资助，如捐赠、补贴等。</w:t>
      </w:r>
    </w:p>
    <w:p w14:paraId="41A03640">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教育支出（类）普通教育（款）</w:t>
      </w:r>
      <w:r>
        <w:rPr>
          <w:rFonts w:hint="eastAsia" w:ascii="仿宋_GB2312" w:eastAsia="仿宋_GB2312"/>
          <w:sz w:val="32"/>
          <w:szCs w:val="32"/>
          <w:lang w:eastAsia="zh-CN"/>
        </w:rPr>
        <w:t>小学</w:t>
      </w:r>
      <w:r>
        <w:rPr>
          <w:rFonts w:hint="eastAsia" w:ascii="仿宋_GB2312" w:eastAsia="仿宋_GB2312"/>
          <w:sz w:val="32"/>
          <w:szCs w:val="32"/>
        </w:rPr>
        <w:t>教育（项）:指反映各部门举办的</w:t>
      </w:r>
      <w:r>
        <w:rPr>
          <w:rFonts w:hint="eastAsia" w:ascii="仿宋_GB2312" w:eastAsia="仿宋_GB2312"/>
          <w:sz w:val="32"/>
          <w:szCs w:val="32"/>
          <w:lang w:eastAsia="zh-CN"/>
        </w:rPr>
        <w:t>小学</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政府各部门对社会组织等举办的小学的资助，如捐赠、补贴等。</w:t>
      </w:r>
    </w:p>
    <w:p w14:paraId="408746BC">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教育支出（类）普通教育（款）初中教育（项）:指反映各部门举办的初中教育支出。</w:t>
      </w:r>
      <w:r>
        <w:rPr>
          <w:rFonts w:hint="eastAsia" w:ascii="仿宋_GB2312" w:eastAsia="仿宋_GB2312"/>
          <w:sz w:val="32"/>
          <w:szCs w:val="32"/>
          <w:lang w:eastAsia="zh-CN"/>
        </w:rPr>
        <w:t>政府各部门对社会组织等举办的初中的资助，如捐赠、补贴等。</w:t>
      </w:r>
    </w:p>
    <w:p w14:paraId="5F67A2F4">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 xml:space="preserve"> 教育支出（类）普通教育（款）高中教育（项）:指反映各部门举办的高级中学教育支出。</w:t>
      </w:r>
      <w:r>
        <w:rPr>
          <w:rFonts w:hint="eastAsia" w:ascii="仿宋_GB2312" w:eastAsia="仿宋_GB2312"/>
          <w:sz w:val="32"/>
          <w:szCs w:val="32"/>
          <w:lang w:eastAsia="zh-CN"/>
        </w:rPr>
        <w:t>政府各部门对社会组织等举办的高中的资助，如捐赠、补贴等。</w:t>
      </w:r>
    </w:p>
    <w:p w14:paraId="07004CB2">
      <w:pPr>
        <w:spacing w:line="58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教育支出（类）普通教育（款）其他普通教育支出（项）:指反映除上述项目以外其他用于普通教育方面的支出。</w:t>
      </w:r>
    </w:p>
    <w:p w14:paraId="4D46E84F">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eastAsia="zh-CN"/>
        </w:rPr>
        <w:t>职业</w:t>
      </w:r>
      <w:r>
        <w:rPr>
          <w:rFonts w:hint="eastAsia" w:ascii="仿宋_GB2312" w:eastAsia="仿宋_GB2312"/>
          <w:sz w:val="32"/>
          <w:szCs w:val="32"/>
        </w:rPr>
        <w:t>教育（款）</w:t>
      </w:r>
      <w:r>
        <w:rPr>
          <w:rFonts w:hint="eastAsia" w:ascii="仿宋_GB2312" w:eastAsia="仿宋_GB2312"/>
          <w:sz w:val="32"/>
          <w:szCs w:val="32"/>
          <w:lang w:eastAsia="zh-CN"/>
        </w:rPr>
        <w:t>中等职业</w:t>
      </w:r>
      <w:r>
        <w:rPr>
          <w:rFonts w:hint="eastAsia" w:ascii="仿宋_GB2312" w:eastAsia="仿宋_GB2312"/>
          <w:sz w:val="32"/>
          <w:szCs w:val="32"/>
        </w:rPr>
        <w:t>教育（项）:指反映各部门举办的</w:t>
      </w:r>
      <w:r>
        <w:rPr>
          <w:rFonts w:hint="eastAsia" w:ascii="仿宋_GB2312" w:eastAsia="仿宋_GB2312"/>
          <w:sz w:val="32"/>
          <w:szCs w:val="32"/>
          <w:lang w:eastAsia="zh-CN"/>
        </w:rPr>
        <w:t>中等职业</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政府各部门对社会组织等举办的初等职业学校的资助，如捐赠、补贴等。</w:t>
      </w:r>
    </w:p>
    <w:p w14:paraId="1E430EB9">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eastAsia="zh-CN"/>
        </w:rPr>
        <w:t>成人教育</w:t>
      </w:r>
      <w:r>
        <w:rPr>
          <w:rFonts w:hint="eastAsia" w:ascii="仿宋_GB2312" w:eastAsia="仿宋_GB2312"/>
          <w:sz w:val="32"/>
          <w:szCs w:val="32"/>
        </w:rPr>
        <w:t>（款）</w:t>
      </w:r>
      <w:r>
        <w:rPr>
          <w:rFonts w:hint="eastAsia" w:ascii="仿宋_GB2312" w:eastAsia="仿宋_GB2312"/>
          <w:sz w:val="32"/>
          <w:szCs w:val="32"/>
          <w:lang w:eastAsia="zh-CN"/>
        </w:rPr>
        <w:t>成人高等</w:t>
      </w:r>
      <w:r>
        <w:rPr>
          <w:rFonts w:hint="eastAsia" w:ascii="仿宋_GB2312" w:eastAsia="仿宋_GB2312"/>
          <w:sz w:val="32"/>
          <w:szCs w:val="32"/>
        </w:rPr>
        <w:t>教育（项）:指反映</w:t>
      </w:r>
      <w:r>
        <w:rPr>
          <w:rFonts w:hint="eastAsia" w:ascii="仿宋_GB2312" w:eastAsia="仿宋_GB2312"/>
          <w:sz w:val="32"/>
          <w:szCs w:val="32"/>
          <w:lang w:eastAsia="zh-CN"/>
        </w:rPr>
        <w:t>各部门举办函授、夜大、高等教育自学考试等方面的支出。</w:t>
      </w:r>
    </w:p>
    <w:p w14:paraId="1F2BE323">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eastAsia="zh-CN"/>
        </w:rPr>
        <w:t>特殊教育</w:t>
      </w:r>
      <w:r>
        <w:rPr>
          <w:rFonts w:hint="eastAsia" w:ascii="仿宋_GB2312" w:eastAsia="仿宋_GB2312"/>
          <w:sz w:val="32"/>
          <w:szCs w:val="32"/>
        </w:rPr>
        <w:t>（款）</w:t>
      </w:r>
      <w:r>
        <w:rPr>
          <w:rFonts w:hint="eastAsia" w:ascii="仿宋_GB2312" w:eastAsia="仿宋_GB2312"/>
          <w:sz w:val="32"/>
          <w:szCs w:val="32"/>
          <w:lang w:eastAsia="zh-CN"/>
        </w:rPr>
        <w:t>特殊学校</w:t>
      </w:r>
      <w:r>
        <w:rPr>
          <w:rFonts w:hint="eastAsia" w:ascii="仿宋_GB2312" w:eastAsia="仿宋_GB2312"/>
          <w:sz w:val="32"/>
          <w:szCs w:val="32"/>
        </w:rPr>
        <w:t>教育（项）:指反映</w:t>
      </w:r>
      <w:r>
        <w:rPr>
          <w:rFonts w:hint="eastAsia" w:ascii="仿宋_GB2312" w:eastAsia="仿宋_GB2312"/>
          <w:sz w:val="32"/>
          <w:szCs w:val="32"/>
          <w:lang w:eastAsia="zh-CN"/>
        </w:rPr>
        <w:t>各部门举办盲童学校、聋哑学校、智力落后儿童学校、其他生理缺陷儿童学校的支出。</w:t>
      </w:r>
    </w:p>
    <w:p w14:paraId="0F0B04B4">
      <w:pPr>
        <w:pStyle w:val="2"/>
        <w:ind w:firstLine="640" w:firstLineChars="200"/>
        <w:rPr>
          <w:rFonts w:hint="eastAsia"/>
        </w:rPr>
      </w:pPr>
      <w:r>
        <w:rPr>
          <w:rFonts w:hint="eastAsia"/>
          <w:sz w:val="32"/>
          <w:szCs w:val="32"/>
          <w:lang w:val="en-US" w:eastAsia="zh-CN"/>
        </w:rPr>
        <w:t>19</w:t>
      </w:r>
      <w:r>
        <w:rPr>
          <w:rFonts w:ascii="仿宋_GB2312" w:eastAsia="仿宋_GB2312"/>
          <w:sz w:val="32"/>
          <w:szCs w:val="32"/>
        </w:rPr>
        <w:t>.</w:t>
      </w:r>
      <w:r>
        <w:rPr>
          <w:rFonts w:hint="eastAsia" w:ascii="仿宋_GB2312" w:eastAsia="仿宋_GB2312"/>
          <w:sz w:val="32"/>
          <w:szCs w:val="32"/>
        </w:rPr>
        <w:t>教育支出（类）</w:t>
      </w:r>
      <w:r>
        <w:rPr>
          <w:rFonts w:hint="eastAsia"/>
          <w:sz w:val="32"/>
          <w:szCs w:val="32"/>
          <w:lang w:eastAsia="zh-CN"/>
        </w:rPr>
        <w:t>进修及培训</w:t>
      </w:r>
      <w:r>
        <w:rPr>
          <w:rFonts w:hint="eastAsia" w:ascii="仿宋_GB2312" w:eastAsia="仿宋_GB2312"/>
          <w:sz w:val="32"/>
          <w:szCs w:val="32"/>
        </w:rPr>
        <w:t>（款）</w:t>
      </w:r>
      <w:r>
        <w:rPr>
          <w:rFonts w:hint="eastAsia"/>
          <w:sz w:val="32"/>
          <w:szCs w:val="32"/>
          <w:lang w:eastAsia="zh-CN"/>
        </w:rPr>
        <w:t>教师进修</w:t>
      </w:r>
      <w:r>
        <w:rPr>
          <w:rFonts w:hint="eastAsia" w:ascii="仿宋_GB2312" w:eastAsia="仿宋_GB2312"/>
          <w:sz w:val="32"/>
          <w:szCs w:val="32"/>
        </w:rPr>
        <w:t>（项）:指反映</w:t>
      </w:r>
      <w:r>
        <w:rPr>
          <w:rFonts w:hint="eastAsia"/>
          <w:sz w:val="32"/>
          <w:szCs w:val="32"/>
          <w:lang w:eastAsia="zh-CN"/>
        </w:rPr>
        <w:t>教师进修、师资培训支出</w:t>
      </w:r>
      <w:r>
        <w:rPr>
          <w:rFonts w:hint="eastAsia" w:ascii="仿宋_GB2312" w:eastAsia="仿宋_GB2312"/>
          <w:sz w:val="32"/>
          <w:szCs w:val="32"/>
          <w:lang w:eastAsia="zh-CN"/>
        </w:rPr>
        <w:t>。</w:t>
      </w:r>
    </w:p>
    <w:p w14:paraId="0DD3D84D">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.教育支出（类）教育费附加安排的支出（款）其他教育费附加安排的支出（项）: 指反映除上述项目以外的教育费附加支出。</w:t>
      </w:r>
    </w:p>
    <w:p w14:paraId="15B0519C">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21</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w:t>
      </w:r>
      <w:r>
        <w:rPr>
          <w:rFonts w:hint="eastAsia" w:ascii="仿宋_GB2312" w:eastAsia="仿宋_GB2312"/>
          <w:sz w:val="32"/>
          <w:szCs w:val="32"/>
          <w:lang w:eastAsia="zh-CN"/>
        </w:rPr>
        <w:t>事业单位离退休</w:t>
      </w:r>
      <w:r>
        <w:rPr>
          <w:rFonts w:hint="eastAsia" w:ascii="仿宋_GB2312" w:eastAsia="仿宋_GB2312"/>
          <w:sz w:val="32"/>
          <w:szCs w:val="32"/>
        </w:rPr>
        <w:t>（项）: 指反映</w:t>
      </w:r>
      <w:r>
        <w:rPr>
          <w:rFonts w:hint="eastAsia" w:ascii="仿宋_GB2312" w:eastAsia="仿宋_GB2312"/>
          <w:sz w:val="32"/>
          <w:szCs w:val="32"/>
          <w:lang w:eastAsia="zh-CN"/>
        </w:rPr>
        <w:t>事业单位开支的离退休经费</w:t>
      </w:r>
      <w:r>
        <w:rPr>
          <w:rFonts w:hint="eastAsia" w:ascii="仿宋_GB2312" w:eastAsia="仿宋_GB2312"/>
          <w:sz w:val="32"/>
          <w:szCs w:val="32"/>
        </w:rPr>
        <w:t>。</w:t>
      </w:r>
    </w:p>
    <w:p w14:paraId="5FC0B7BF">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（款）机关事业单位基本养老保险缴费支出（项）: 指反映机关事业单位实施养老保险制度由单位缴纳的基本养老保险费支出。</w:t>
      </w:r>
    </w:p>
    <w:p w14:paraId="41DD3CC6">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23</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（款）机关事业单位职业年金缴费支出（项）: 指反映机关事业单位实施养老保险制度由单位缴纳的职业年金支出。</w:t>
      </w:r>
    </w:p>
    <w:p w14:paraId="192BFF4A">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24</w:t>
      </w:r>
      <w:r>
        <w:rPr>
          <w:rFonts w:hint="eastAsia" w:ascii="仿宋_GB2312" w:eastAsia="仿宋_GB2312"/>
          <w:sz w:val="32"/>
          <w:szCs w:val="32"/>
        </w:rPr>
        <w:t>.社会保障和就业支出（类）抚恤（款）死亡抚恤（项）:指反映按规定用于烈士和牺牲、病故人员家属的一次性和定期抚恤金</w:t>
      </w:r>
      <w:r>
        <w:rPr>
          <w:rFonts w:hint="eastAsia" w:ascii="仿宋_GB2312" w:eastAsia="仿宋_GB2312"/>
          <w:sz w:val="32"/>
          <w:szCs w:val="32"/>
          <w:lang w:eastAsia="zh-CN"/>
        </w:rPr>
        <w:t>、</w:t>
      </w:r>
      <w:r>
        <w:rPr>
          <w:rFonts w:hint="eastAsia" w:ascii="仿宋_GB2312" w:eastAsia="仿宋_GB2312"/>
          <w:sz w:val="32"/>
          <w:szCs w:val="32"/>
        </w:rPr>
        <w:t>丧葬补助费</w:t>
      </w:r>
      <w:r>
        <w:rPr>
          <w:rFonts w:hint="eastAsia" w:ascii="仿宋_GB2312" w:eastAsia="仿宋_GB2312"/>
          <w:sz w:val="32"/>
          <w:szCs w:val="32"/>
          <w:lang w:eastAsia="zh-CN"/>
        </w:rPr>
        <w:t>以及烈士褒扬金</w:t>
      </w:r>
      <w:r>
        <w:rPr>
          <w:rFonts w:hint="eastAsia" w:ascii="仿宋_GB2312" w:eastAsia="仿宋_GB2312"/>
          <w:sz w:val="32"/>
          <w:szCs w:val="32"/>
        </w:rPr>
        <w:t>。</w:t>
      </w:r>
    </w:p>
    <w:p w14:paraId="44D1C742">
      <w:pPr>
        <w:spacing w:line="580" w:lineRule="exact"/>
        <w:ind w:firstLine="640" w:firstLineChars="200"/>
      </w:pPr>
      <w:r>
        <w:rPr>
          <w:rFonts w:hint="eastAsia" w:ascii="仿宋_GB2312" w:eastAsia="仿宋_GB2312"/>
          <w:sz w:val="32"/>
          <w:szCs w:val="32"/>
          <w:lang w:val="en-US" w:eastAsia="zh-CN"/>
        </w:rPr>
        <w:t>25</w:t>
      </w:r>
      <w:r>
        <w:rPr>
          <w:rFonts w:hint="eastAsia" w:ascii="仿宋_GB2312" w:eastAsia="仿宋_GB2312"/>
          <w:sz w:val="32"/>
          <w:szCs w:val="32"/>
        </w:rPr>
        <w:t>.社会保障和就业支出（类）抚恤（款）</w:t>
      </w:r>
      <w:r>
        <w:rPr>
          <w:rFonts w:hint="eastAsia" w:ascii="仿宋_GB2312" w:eastAsia="仿宋_GB2312"/>
          <w:sz w:val="32"/>
          <w:szCs w:val="32"/>
          <w:lang w:eastAsia="zh-CN"/>
        </w:rPr>
        <w:t>其他优抚支出</w:t>
      </w:r>
      <w:r>
        <w:rPr>
          <w:rFonts w:hint="eastAsia" w:ascii="仿宋_GB2312" w:eastAsia="仿宋_GB2312"/>
          <w:sz w:val="32"/>
          <w:szCs w:val="32"/>
        </w:rPr>
        <w:t>（项）:指反映</w:t>
      </w:r>
      <w:r>
        <w:rPr>
          <w:rFonts w:hint="eastAsia" w:ascii="仿宋_GB2312" w:eastAsia="仿宋_GB2312"/>
          <w:sz w:val="32"/>
          <w:szCs w:val="32"/>
          <w:lang w:eastAsia="zh-CN"/>
        </w:rPr>
        <w:t>除上述项目以外其他用于优抚方面的支出，包括向优抚对象发放的价格临时补贴等支出</w:t>
      </w:r>
      <w:r>
        <w:rPr>
          <w:rFonts w:hint="eastAsia" w:ascii="仿宋_GB2312" w:eastAsia="仿宋_GB2312"/>
          <w:sz w:val="32"/>
          <w:szCs w:val="32"/>
        </w:rPr>
        <w:t>。</w:t>
      </w:r>
    </w:p>
    <w:p w14:paraId="2BD747E2">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26</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其他社会保障就业支出</w:t>
      </w:r>
      <w:r>
        <w:rPr>
          <w:rFonts w:hint="eastAsia" w:ascii="仿宋_GB2312" w:eastAsia="仿宋_GB2312"/>
          <w:sz w:val="32"/>
          <w:szCs w:val="32"/>
        </w:rPr>
        <w:t>（款）</w:t>
      </w:r>
      <w:r>
        <w:rPr>
          <w:rFonts w:hint="eastAsia" w:ascii="仿宋_GB2312" w:eastAsia="仿宋_GB2312"/>
          <w:sz w:val="32"/>
          <w:szCs w:val="32"/>
          <w:lang w:eastAsia="zh-CN"/>
        </w:rPr>
        <w:t>其他社会保障就业支出</w:t>
      </w:r>
      <w:r>
        <w:rPr>
          <w:rFonts w:hint="eastAsia" w:ascii="仿宋_GB2312" w:eastAsia="仿宋_GB2312"/>
          <w:sz w:val="32"/>
          <w:szCs w:val="32"/>
        </w:rPr>
        <w:t>（项）:指反映除上述项目以外</w:t>
      </w:r>
      <w:r>
        <w:rPr>
          <w:rFonts w:hint="eastAsia" w:ascii="仿宋_GB2312" w:eastAsia="仿宋_GB2312"/>
          <w:sz w:val="32"/>
          <w:szCs w:val="32"/>
          <w:lang w:eastAsia="zh-CN"/>
        </w:rPr>
        <w:t>其他用于社会保障和就业方面的</w:t>
      </w:r>
      <w:r>
        <w:rPr>
          <w:rFonts w:hint="eastAsia" w:ascii="仿宋_GB2312" w:eastAsia="仿宋_GB2312"/>
          <w:sz w:val="32"/>
          <w:szCs w:val="32"/>
        </w:rPr>
        <w:t>支出。</w:t>
      </w:r>
    </w:p>
    <w:p w14:paraId="3F7EE2F4">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27</w:t>
      </w:r>
      <w:r>
        <w:rPr>
          <w:rFonts w:hint="eastAsia" w:ascii="仿宋_GB2312" w:eastAsia="仿宋_GB2312"/>
          <w:sz w:val="32"/>
          <w:szCs w:val="32"/>
        </w:rPr>
        <w:t>.卫生健康支出（类）行政事业单位医疗（款）</w:t>
      </w:r>
      <w:r>
        <w:rPr>
          <w:rFonts w:hint="eastAsia" w:ascii="仿宋_GB2312" w:eastAsia="仿宋_GB2312"/>
          <w:sz w:val="32"/>
          <w:szCs w:val="32"/>
          <w:lang w:eastAsia="zh-CN"/>
        </w:rPr>
        <w:t>行政</w:t>
      </w:r>
      <w:r>
        <w:rPr>
          <w:rFonts w:hint="eastAsia" w:ascii="仿宋_GB2312" w:eastAsia="仿宋_GB2312"/>
          <w:sz w:val="32"/>
          <w:szCs w:val="32"/>
        </w:rPr>
        <w:t>单位医疗（项）:指反映财政部门集中安排的</w:t>
      </w:r>
      <w:r>
        <w:rPr>
          <w:rFonts w:hint="eastAsia" w:ascii="仿宋_GB2312" w:eastAsia="仿宋_GB2312"/>
          <w:sz w:val="32"/>
          <w:szCs w:val="32"/>
          <w:lang w:eastAsia="zh-CN"/>
        </w:rPr>
        <w:t>行政</w:t>
      </w:r>
      <w:r>
        <w:rPr>
          <w:rFonts w:hint="eastAsia" w:ascii="仿宋_GB2312" w:eastAsia="仿宋_GB2312"/>
          <w:sz w:val="32"/>
          <w:szCs w:val="32"/>
        </w:rPr>
        <w:t>单位</w:t>
      </w:r>
      <w:r>
        <w:rPr>
          <w:rFonts w:hint="eastAsia" w:ascii="仿宋_GB2312" w:eastAsia="仿宋_GB2312"/>
          <w:sz w:val="32"/>
          <w:szCs w:val="32"/>
          <w:lang w:eastAsia="zh-CN"/>
        </w:rPr>
        <w:t>（包括实行公务员管理的事业单位）</w:t>
      </w:r>
      <w:r>
        <w:rPr>
          <w:rFonts w:hint="eastAsia" w:ascii="仿宋_GB2312" w:eastAsia="仿宋_GB2312"/>
          <w:sz w:val="32"/>
          <w:szCs w:val="32"/>
        </w:rPr>
        <w:t>基本医疗保险缴费经费，未参加医疗保险的</w:t>
      </w:r>
      <w:r>
        <w:rPr>
          <w:rFonts w:hint="eastAsia" w:ascii="仿宋_GB2312" w:eastAsia="仿宋_GB2312"/>
          <w:sz w:val="32"/>
          <w:szCs w:val="32"/>
          <w:lang w:eastAsia="zh-CN"/>
        </w:rPr>
        <w:t>行政</w:t>
      </w:r>
      <w:r>
        <w:rPr>
          <w:rFonts w:hint="eastAsia" w:ascii="仿宋_GB2312" w:eastAsia="仿宋_GB2312"/>
          <w:sz w:val="32"/>
          <w:szCs w:val="32"/>
        </w:rPr>
        <w:t>单位的公费医疗经费，按国家规定享受离休人员</w:t>
      </w:r>
      <w:r>
        <w:rPr>
          <w:rFonts w:hint="eastAsia" w:ascii="仿宋_GB2312" w:eastAsia="仿宋_GB2312"/>
          <w:sz w:val="32"/>
          <w:szCs w:val="32"/>
          <w:lang w:eastAsia="zh-CN"/>
        </w:rPr>
        <w:t>、红军老战士</w:t>
      </w:r>
      <w:r>
        <w:rPr>
          <w:rFonts w:hint="eastAsia" w:ascii="仿宋_GB2312" w:eastAsia="仿宋_GB2312"/>
          <w:sz w:val="32"/>
          <w:szCs w:val="32"/>
        </w:rPr>
        <w:t>待遇</w:t>
      </w:r>
      <w:r>
        <w:rPr>
          <w:rFonts w:hint="eastAsia" w:ascii="仿宋_GB2312" w:eastAsia="仿宋_GB2312"/>
          <w:sz w:val="32"/>
          <w:szCs w:val="32"/>
          <w:lang w:eastAsia="zh-CN"/>
        </w:rPr>
        <w:t>人员</w:t>
      </w:r>
      <w:r>
        <w:rPr>
          <w:rFonts w:hint="eastAsia" w:ascii="仿宋_GB2312" w:eastAsia="仿宋_GB2312"/>
          <w:sz w:val="32"/>
          <w:szCs w:val="32"/>
        </w:rPr>
        <w:t>的医疗经费。</w:t>
      </w:r>
    </w:p>
    <w:p w14:paraId="700A0A4A">
      <w:pPr>
        <w:pStyle w:val="2"/>
        <w:ind w:firstLine="640" w:firstLineChars="200"/>
        <w:rPr>
          <w:rFonts w:hint="eastAsia"/>
        </w:rPr>
      </w:pPr>
      <w:r>
        <w:rPr>
          <w:rFonts w:hint="eastAsia" w:ascii="仿宋_GB2312" w:eastAsia="仿宋_GB2312"/>
          <w:sz w:val="32"/>
          <w:szCs w:val="32"/>
          <w:lang w:val="en-US" w:eastAsia="zh-CN"/>
        </w:rPr>
        <w:t>2</w:t>
      </w:r>
      <w:r>
        <w:rPr>
          <w:rFonts w:hint="eastAsia"/>
          <w:sz w:val="32"/>
          <w:szCs w:val="32"/>
          <w:lang w:val="en-US" w:eastAsia="zh-CN"/>
        </w:rPr>
        <w:t>8</w:t>
      </w:r>
      <w:r>
        <w:rPr>
          <w:rFonts w:hint="eastAsia" w:ascii="仿宋_GB2312" w:eastAsia="仿宋_GB2312"/>
          <w:sz w:val="32"/>
          <w:szCs w:val="32"/>
        </w:rPr>
        <w:t>.卫生健康支出（类）行政事业单位医疗（款）</w:t>
      </w:r>
      <w:r>
        <w:rPr>
          <w:rFonts w:hint="eastAsia"/>
          <w:sz w:val="32"/>
          <w:szCs w:val="32"/>
          <w:lang w:eastAsia="zh-CN"/>
        </w:rPr>
        <w:t>事业</w:t>
      </w:r>
      <w:r>
        <w:rPr>
          <w:rFonts w:hint="eastAsia" w:ascii="仿宋_GB2312" w:eastAsia="仿宋_GB2312"/>
          <w:sz w:val="32"/>
          <w:szCs w:val="32"/>
        </w:rPr>
        <w:t>单位医疗（项）:指反映财政部门集中安排的</w:t>
      </w:r>
      <w:r>
        <w:rPr>
          <w:rFonts w:hint="eastAsia"/>
          <w:sz w:val="32"/>
          <w:szCs w:val="32"/>
          <w:lang w:eastAsia="zh-CN"/>
        </w:rPr>
        <w:t>事业</w:t>
      </w:r>
      <w:r>
        <w:rPr>
          <w:rFonts w:hint="eastAsia" w:ascii="仿宋_GB2312" w:eastAsia="仿宋_GB2312"/>
          <w:sz w:val="32"/>
          <w:szCs w:val="32"/>
        </w:rPr>
        <w:t>单位基本医疗保险缴费经费，未参加医疗保险的</w:t>
      </w:r>
      <w:r>
        <w:rPr>
          <w:rFonts w:hint="eastAsia" w:ascii="仿宋_GB2312" w:eastAsia="仿宋_GB2312"/>
          <w:sz w:val="32"/>
          <w:szCs w:val="32"/>
          <w:lang w:eastAsia="zh-CN"/>
        </w:rPr>
        <w:t>行政</w:t>
      </w:r>
      <w:r>
        <w:rPr>
          <w:rFonts w:hint="eastAsia" w:ascii="仿宋_GB2312" w:eastAsia="仿宋_GB2312"/>
          <w:sz w:val="32"/>
          <w:szCs w:val="32"/>
        </w:rPr>
        <w:t>单位的公费医疗经费，按国家规定享受离休人员待遇的医疗经费。</w:t>
      </w:r>
    </w:p>
    <w:p w14:paraId="05D776BD">
      <w:pPr>
        <w:pStyle w:val="2"/>
        <w:ind w:firstLine="640" w:firstLineChars="200"/>
        <w:rPr>
          <w:rFonts w:hint="eastAsia" w:eastAsia="仿宋_GB2312"/>
          <w:lang w:eastAsia="zh-CN"/>
        </w:rPr>
      </w:pPr>
      <w:r>
        <w:rPr>
          <w:rFonts w:hint="eastAsia"/>
          <w:sz w:val="32"/>
          <w:szCs w:val="32"/>
          <w:lang w:val="en-US" w:eastAsia="zh-CN"/>
        </w:rPr>
        <w:t>29</w:t>
      </w:r>
      <w:r>
        <w:rPr>
          <w:rFonts w:hint="eastAsia" w:ascii="仿宋_GB2312" w:eastAsia="仿宋_GB2312"/>
          <w:sz w:val="32"/>
          <w:szCs w:val="32"/>
        </w:rPr>
        <w:t>.卫生健康支出（类）行政事业单位医疗（款）</w:t>
      </w:r>
      <w:r>
        <w:rPr>
          <w:rFonts w:hint="eastAsia"/>
          <w:sz w:val="32"/>
          <w:szCs w:val="32"/>
          <w:lang w:eastAsia="zh-CN"/>
        </w:rPr>
        <w:t>公务员医疗补助</w:t>
      </w:r>
      <w:r>
        <w:rPr>
          <w:rFonts w:hint="eastAsia" w:ascii="仿宋_GB2312" w:eastAsia="仿宋_GB2312"/>
          <w:sz w:val="32"/>
          <w:szCs w:val="32"/>
        </w:rPr>
        <w:t>（项）:指反</w:t>
      </w:r>
      <w:r>
        <w:rPr>
          <w:rFonts w:hint="eastAsia"/>
          <w:sz w:val="32"/>
          <w:szCs w:val="32"/>
          <w:lang w:eastAsia="zh-CN"/>
        </w:rPr>
        <w:t>财政总计安排的公务员医疗补助经费。</w:t>
      </w:r>
    </w:p>
    <w:p w14:paraId="53D1E4A2">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30</w:t>
      </w:r>
      <w:r>
        <w:rPr>
          <w:rFonts w:hint="eastAsia" w:ascii="仿宋_GB2312" w:eastAsia="仿宋_GB2312"/>
          <w:sz w:val="32"/>
          <w:szCs w:val="32"/>
        </w:rPr>
        <w:t>.住房保障支出（类）住房改革支出（款）住房公积金（项）: 指反映行政事业单位按人力资源和社会保障部、财政部规定的基本工资和津贴补贴以及规定比例为职工缴纳的住房公积金。</w:t>
      </w:r>
    </w:p>
    <w:p w14:paraId="66730A19">
      <w:pPr>
        <w:ind w:firstLine="640" w:firstLineChars="200"/>
        <w:rPr>
          <w:rFonts w:ascii="仿宋_GB2312" w:eastAsia="仿宋_GB2312"/>
          <w:sz w:val="32"/>
          <w:szCs w:val="32"/>
        </w:rPr>
      </w:pPr>
      <w:r>
        <w:rPr>
          <w:rFonts w:hint="eastAsia" w:ascii="仿宋_GB2312" w:eastAsia="仿宋_GB2312"/>
          <w:sz w:val="32"/>
          <w:szCs w:val="32"/>
          <w:lang w:val="en-US" w:eastAsia="zh-CN"/>
        </w:rPr>
        <w:t>31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59BB5282">
      <w:pPr>
        <w:ind w:firstLine="640" w:firstLineChars="200"/>
        <w:rPr>
          <w:rFonts w:ascii="仿宋_GB2312" w:eastAsia="仿宋_GB2312"/>
          <w:sz w:val="32"/>
          <w:szCs w:val="32"/>
        </w:rPr>
      </w:pPr>
      <w:r>
        <w:rPr>
          <w:rFonts w:hint="eastAsia" w:ascii="仿宋_GB2312" w:eastAsia="仿宋_GB2312"/>
          <w:sz w:val="32"/>
          <w:szCs w:val="32"/>
          <w:lang w:val="en-US" w:eastAsia="zh-CN"/>
        </w:rPr>
        <w:t>32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784BDEF0">
      <w:pPr>
        <w:ind w:firstLine="640" w:firstLineChars="200"/>
        <w:rPr>
          <w:rFonts w:ascii="仿宋_GB2312" w:eastAsia="仿宋_GB2312"/>
          <w:sz w:val="32"/>
          <w:szCs w:val="32"/>
        </w:rPr>
      </w:pPr>
      <w:r>
        <w:rPr>
          <w:rFonts w:hint="eastAsia" w:ascii="仿宋_GB2312" w:eastAsia="仿宋_GB2312"/>
          <w:sz w:val="32"/>
          <w:szCs w:val="32"/>
          <w:lang w:val="en-US" w:eastAsia="zh-CN"/>
        </w:rPr>
        <w:t>33</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2C687281">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34</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DD6D5A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eastAsia="仿宋_GB2312"/>
          <w:color w:val="auto"/>
          <w:sz w:val="32"/>
          <w:szCs w:val="32"/>
          <w:lang w:val="en-US" w:eastAsia="zh-CN"/>
        </w:rPr>
        <w:t>35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ACD2ACF">
      <w:pPr>
        <w:spacing w:line="600" w:lineRule="exact"/>
        <w:jc w:val="center"/>
        <w:rPr>
          <w:rStyle w:val="30"/>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tbl>
      <w:tblPr>
        <w:tblStyle w:val="17"/>
        <w:tblpPr w:leftFromText="180" w:rightFromText="180" w:vertAnchor="text" w:horzAnchor="page" w:tblpX="932" w:tblpY="733"/>
        <w:tblOverlap w:val="never"/>
        <w:tblW w:w="11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3"/>
        <w:gridCol w:w="195"/>
        <w:gridCol w:w="753"/>
        <w:gridCol w:w="1294"/>
        <w:gridCol w:w="1793"/>
        <w:gridCol w:w="847"/>
        <w:gridCol w:w="825"/>
        <w:gridCol w:w="578"/>
        <w:gridCol w:w="105"/>
        <w:gridCol w:w="30"/>
        <w:gridCol w:w="135"/>
        <w:gridCol w:w="840"/>
        <w:gridCol w:w="487"/>
        <w:gridCol w:w="236"/>
        <w:gridCol w:w="349"/>
        <w:gridCol w:w="975"/>
        <w:gridCol w:w="1563"/>
      </w:tblGrid>
      <w:tr w14:paraId="45AD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63" w:type="dxa"/>
          <w:trHeight w:val="904" w:hRule="atLeast"/>
        </w:trPr>
        <w:tc>
          <w:tcPr>
            <w:tcW w:w="1036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F65D15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bookmarkStart w:id="49"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315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86" w:hRule="atLeast"/>
        </w:trPr>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FAC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9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ABDD9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51118123T000007996999-教育考试中心标准化考点运行维护费及考务经费</w:t>
            </w:r>
          </w:p>
        </w:tc>
      </w:tr>
      <w:tr w14:paraId="4A8D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512" w:hRule="atLeast"/>
        </w:trPr>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E0E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509E2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110" w:type="dxa"/>
            <w:gridSpan w:val="4"/>
            <w:tcBorders>
              <w:top w:val="nil"/>
              <w:left w:val="nil"/>
              <w:bottom w:val="nil"/>
              <w:right w:val="nil"/>
            </w:tcBorders>
            <w:shd w:val="clear" w:color="auto" w:fill="auto"/>
            <w:vAlign w:val="center"/>
          </w:tcPr>
          <w:p w14:paraId="2E9793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AE9C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峨眉山市教育考试中心</w:t>
            </w:r>
          </w:p>
        </w:tc>
      </w:tr>
      <w:tr w14:paraId="12300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86"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659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AFF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24E6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F925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580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1740"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5E75">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E4560">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5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E0E4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目标1：落实国家考试经费保障机制。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目标2：实施国家考试安全、平稳、顺利。推进国家考试公平公正。</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目标3：为各类招生考试生提供报名、考务、录取等服务。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目标4：保障国家考试按时举办。</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目标5：保障师生安全，试卷安全，确保社会稳定。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目标6：保障国家考试标准化考场正常运转及招考智慧大数平台正常运行。</w:t>
            </w:r>
          </w:p>
        </w:tc>
        <w:tc>
          <w:tcPr>
            <w:tcW w:w="31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BD15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z w:val="18"/>
                <w:szCs w:val="18"/>
                <w:u w:val="none"/>
                <w:lang w:val="en-US" w:eastAsia="zh-CN"/>
              </w:rPr>
              <w:t>全年完国家考试高考1次，自考2次，合格性考试6次，成人高考1次，地方性考试中考1次。按上级要求圆满、按时、平稳、安全完成全年考试任务及考生报名、录取等工作。</w:t>
            </w:r>
          </w:p>
        </w:tc>
      </w:tr>
      <w:tr w14:paraId="02EA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693"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EC649">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8B7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9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400FB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按时落实</w:t>
            </w:r>
            <w:r>
              <w:rPr>
                <w:rFonts w:ascii="宋体" w:hAnsi="宋体" w:eastAsia="宋体" w:cs="宋体"/>
                <w:i w:val="0"/>
                <w:iCs w:val="0"/>
                <w:color w:val="000000"/>
                <w:kern w:val="0"/>
                <w:sz w:val="18"/>
                <w:szCs w:val="18"/>
                <w:u w:val="none"/>
                <w:lang w:val="en-US" w:eastAsia="zh-CN" w:bidi="ar"/>
              </w:rPr>
              <w:t>国家考试经费保障</w:t>
            </w:r>
            <w:r>
              <w:rPr>
                <w:rFonts w:hint="eastAsia" w:ascii="宋体" w:hAnsi="宋体" w:cs="宋体"/>
                <w:i w:val="0"/>
                <w:iCs w:val="0"/>
                <w:color w:val="000000"/>
                <w:kern w:val="0"/>
                <w:sz w:val="18"/>
                <w:szCs w:val="18"/>
                <w:u w:val="none"/>
                <w:lang w:val="en-US" w:eastAsia="zh-CN" w:bidi="ar"/>
              </w:rPr>
              <w:t>经费，保障了</w:t>
            </w:r>
            <w:r>
              <w:rPr>
                <w:rFonts w:ascii="宋体" w:hAnsi="宋体" w:eastAsia="宋体" w:cs="宋体"/>
                <w:i w:val="0"/>
                <w:iCs w:val="0"/>
                <w:color w:val="000000"/>
                <w:kern w:val="0"/>
                <w:sz w:val="18"/>
                <w:szCs w:val="18"/>
                <w:u w:val="none"/>
                <w:lang w:val="en-US" w:eastAsia="zh-CN" w:bidi="ar"/>
              </w:rPr>
              <w:t>国家考试按时举办</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师生安全，试卷安全</w:t>
            </w:r>
            <w:r>
              <w:rPr>
                <w:rFonts w:hint="eastAsia" w:ascii="宋体" w:hAnsi="宋体" w:cs="宋体"/>
                <w:i w:val="0"/>
                <w:iCs w:val="0"/>
                <w:color w:val="000000"/>
                <w:kern w:val="0"/>
                <w:sz w:val="18"/>
                <w:szCs w:val="18"/>
                <w:u w:val="none"/>
                <w:lang w:val="en-US" w:eastAsia="zh-CN" w:bidi="ar"/>
              </w:rPr>
              <w:t>。确保了</w:t>
            </w:r>
            <w:r>
              <w:rPr>
                <w:rFonts w:ascii="宋体" w:hAnsi="宋体" w:eastAsia="宋体" w:cs="宋体"/>
                <w:i w:val="0"/>
                <w:iCs w:val="0"/>
                <w:color w:val="000000"/>
                <w:kern w:val="0"/>
                <w:sz w:val="18"/>
                <w:szCs w:val="18"/>
                <w:u w:val="none"/>
                <w:lang w:val="en-US" w:eastAsia="zh-CN" w:bidi="ar"/>
              </w:rPr>
              <w:t>国家考试安全、平稳、顺利</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推进国家考试公平公正。</w:t>
            </w:r>
            <w:r>
              <w:rPr>
                <w:rFonts w:ascii="宋体" w:hAnsi="宋体" w:eastAsia="宋体" w:cs="宋体"/>
                <w:i w:val="0"/>
                <w:iCs w:val="0"/>
                <w:color w:val="000000"/>
                <w:kern w:val="0"/>
                <w:sz w:val="18"/>
                <w:szCs w:val="18"/>
                <w:u w:val="none"/>
                <w:lang w:val="en-US" w:eastAsia="zh-CN" w:bidi="ar"/>
              </w:rPr>
              <w:br w:type="textWrapping"/>
            </w:r>
          </w:p>
        </w:tc>
      </w:tr>
      <w:tr w14:paraId="49C6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61"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A6B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D69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E0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C4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D466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68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29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3B4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84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C99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46"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4487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925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9B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88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3.4</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41E9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7D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79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2137C">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13BE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iCs/>
                <w:color w:val="000000"/>
                <w:sz w:val="18"/>
                <w:szCs w:val="18"/>
                <w:u w:val="none"/>
              </w:rPr>
            </w:pPr>
          </w:p>
        </w:tc>
      </w:tr>
      <w:tr w14:paraId="57074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91"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DE59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021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53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DE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3.4</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FEDE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F5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54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496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DB690">
            <w:pPr>
              <w:keepNext w:val="0"/>
              <w:keepLines w:val="0"/>
              <w:pageBreakBefore w:val="0"/>
              <w:widowControl/>
              <w:kinsoku/>
              <w:wordWrap/>
              <w:overflowPunct/>
              <w:topLinePunct w:val="0"/>
              <w:autoSpaceDE/>
              <w:autoSpaceDN/>
              <w:bidi w:val="0"/>
              <w:adjustRightInd w:val="0"/>
              <w:snapToGrid w:val="0"/>
              <w:rPr>
                <w:rFonts w:hint="eastAsia" w:ascii="黑体" w:hAnsi="黑体" w:eastAsia="黑体" w:cs="黑体"/>
                <w:i/>
                <w:iCs/>
                <w:color w:val="000000"/>
                <w:sz w:val="18"/>
                <w:szCs w:val="18"/>
                <w:u w:val="none"/>
              </w:rPr>
            </w:pPr>
          </w:p>
        </w:tc>
      </w:tr>
      <w:tr w14:paraId="7A1FA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07"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95F9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000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C4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85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31AA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8C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7B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944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0C550">
            <w:pPr>
              <w:keepNext w:val="0"/>
              <w:keepLines w:val="0"/>
              <w:pageBreakBefore w:val="0"/>
              <w:widowControl/>
              <w:kinsoku/>
              <w:wordWrap/>
              <w:overflowPunct/>
              <w:topLinePunct w:val="0"/>
              <w:autoSpaceDE/>
              <w:autoSpaceDN/>
              <w:bidi w:val="0"/>
              <w:adjustRightInd w:val="0"/>
              <w:snapToGrid w:val="0"/>
              <w:rPr>
                <w:rFonts w:hint="eastAsia" w:ascii="黑体" w:hAnsi="黑体" w:eastAsia="黑体" w:cs="黑体"/>
                <w:i/>
                <w:iCs/>
                <w:color w:val="000000"/>
                <w:sz w:val="18"/>
                <w:szCs w:val="18"/>
                <w:u w:val="none"/>
              </w:rPr>
            </w:pPr>
          </w:p>
        </w:tc>
      </w:tr>
      <w:tr w14:paraId="715C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61"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2ADE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640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0A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07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4658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E2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95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EFD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4567B">
            <w:pPr>
              <w:keepNext w:val="0"/>
              <w:keepLines w:val="0"/>
              <w:pageBreakBefore w:val="0"/>
              <w:widowControl/>
              <w:kinsoku/>
              <w:wordWrap/>
              <w:overflowPunct/>
              <w:topLinePunct w:val="0"/>
              <w:autoSpaceDE/>
              <w:autoSpaceDN/>
              <w:bidi w:val="0"/>
              <w:adjustRightInd w:val="0"/>
              <w:snapToGrid w:val="0"/>
              <w:rPr>
                <w:rFonts w:hint="eastAsia" w:ascii="黑体" w:hAnsi="黑体" w:eastAsia="黑体" w:cs="黑体"/>
                <w:i/>
                <w:iCs/>
                <w:color w:val="000000"/>
                <w:sz w:val="18"/>
                <w:szCs w:val="18"/>
                <w:u w:val="none"/>
              </w:rPr>
            </w:pPr>
          </w:p>
        </w:tc>
      </w:tr>
      <w:tr w14:paraId="1C59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E510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A97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2F72">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218E">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FDB769">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117A">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FB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1FD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65B01">
            <w:pPr>
              <w:keepNext w:val="0"/>
              <w:keepLines w:val="0"/>
              <w:pageBreakBefore w:val="0"/>
              <w:widowControl/>
              <w:kinsoku/>
              <w:wordWrap/>
              <w:overflowPunct/>
              <w:topLinePunct w:val="0"/>
              <w:autoSpaceDE/>
              <w:autoSpaceDN/>
              <w:bidi w:val="0"/>
              <w:adjustRightInd w:val="0"/>
              <w:snapToGrid w:val="0"/>
              <w:rPr>
                <w:rFonts w:hint="eastAsia" w:ascii="黑体" w:hAnsi="黑体" w:eastAsia="黑体" w:cs="黑体"/>
                <w:i/>
                <w:iCs/>
                <w:color w:val="000000"/>
                <w:sz w:val="18"/>
                <w:szCs w:val="18"/>
                <w:u w:val="none"/>
              </w:rPr>
            </w:pPr>
          </w:p>
        </w:tc>
      </w:tr>
      <w:tr w14:paraId="4BA3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52"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155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D9E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76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0B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49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FB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76A2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0E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8A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5EA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60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p>
        </w:tc>
      </w:tr>
      <w:tr w14:paraId="4087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80"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A247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8FB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D93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84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监考人数，保考人数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D4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12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C13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D23E">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DE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92D98">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9383">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3FE3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B9F7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3970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2BE2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6F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参考考生人数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4E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49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308B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2054">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DA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01FB7">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2906">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5275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90"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FDDA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4044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E9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69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保障国家考试秩序正常，试卷保密安全</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CE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3F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C601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E994">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D8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83EA3">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05CD">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003C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32BE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2ABC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8E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01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B9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09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3678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247C">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6</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4D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C76B9">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ABDE">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272C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52"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6462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224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14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1B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当年国家考试稳定安全举办</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81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13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63DE6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39CB">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24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2EE47">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B74F">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54AF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60"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7B5B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D05D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2A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0D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促进国家考试健康发展</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85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6E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779A9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F6DA">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9B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AD6FB">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79DE">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5700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660"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5751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115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47C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C2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监考人员、保考人员及学校满意度</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BE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E7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2083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7CCB">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F1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FE8E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7520">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3996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80"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E876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5745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818D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5D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参考考生、家长满意度</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D6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DA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EDF7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47F1">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8C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0C89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01D7">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6877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52"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FFBD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A95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8B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8F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经费使用控制在预算下达范围内</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75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CB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4194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077C">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53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01DC5">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9EB3">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0DEC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86" w:hRule="atLeast"/>
        </w:trPr>
        <w:tc>
          <w:tcPr>
            <w:tcW w:w="831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77C22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B0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4D3E5">
            <w:pPr>
              <w:keepNext w:val="0"/>
              <w:keepLines w:val="0"/>
              <w:pageBreakBefore w:val="0"/>
              <w:widowControl/>
              <w:kinsoku/>
              <w:wordWrap/>
              <w:overflowPunct/>
              <w:topLinePunct w:val="0"/>
              <w:autoSpaceDE/>
              <w:autoSpaceDN/>
              <w:bidi w:val="0"/>
              <w:adjustRightInd w:val="0"/>
              <w:snapToGrid w:val="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BA17">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r>
      <w:tr w14:paraId="742D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43"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DD82">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944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269F2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按财政管理要求，项目按时支付，支确保国家考试平安顺利，</w:t>
            </w:r>
            <w:r>
              <w:rPr>
                <w:rFonts w:hint="eastAsia" w:ascii="微软雅黑" w:hAnsi="微软雅黑" w:eastAsia="微软雅黑" w:cs="微软雅黑"/>
                <w:i w:val="0"/>
                <w:iCs w:val="0"/>
                <w:color w:val="000000"/>
                <w:kern w:val="0"/>
                <w:sz w:val="16"/>
                <w:szCs w:val="16"/>
                <w:u w:val="none"/>
                <w:lang w:val="en-US" w:eastAsia="zh-CN" w:bidi="ar"/>
              </w:rPr>
              <w:t>自评得分100分。</w:t>
            </w:r>
          </w:p>
        </w:tc>
      </w:tr>
      <w:tr w14:paraId="012E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8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6308">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944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3EE794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EC2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83"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E854">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944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4B916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1D0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86" w:hRule="atLeast"/>
        </w:trPr>
        <w:tc>
          <w:tcPr>
            <w:tcW w:w="58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C17A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项目负责人：李玉洪</w:t>
            </w:r>
          </w:p>
        </w:tc>
        <w:tc>
          <w:tcPr>
            <w:tcW w:w="45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D102B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财务负责人：万永胜</w:t>
            </w:r>
          </w:p>
        </w:tc>
      </w:tr>
      <w:tr w14:paraId="48DD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86" w:hRule="atLeast"/>
        </w:trPr>
        <w:tc>
          <w:tcPr>
            <w:tcW w:w="923" w:type="dxa"/>
            <w:tcBorders>
              <w:top w:val="nil"/>
              <w:left w:val="nil"/>
              <w:bottom w:val="nil"/>
              <w:right w:val="nil"/>
            </w:tcBorders>
            <w:shd w:val="clear" w:color="auto" w:fill="auto"/>
            <w:vAlign w:val="center"/>
          </w:tcPr>
          <w:p w14:paraId="37EAA2F6">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948" w:type="dxa"/>
            <w:gridSpan w:val="2"/>
            <w:tcBorders>
              <w:top w:val="nil"/>
              <w:left w:val="nil"/>
              <w:bottom w:val="nil"/>
              <w:right w:val="nil"/>
            </w:tcBorders>
            <w:shd w:val="clear" w:color="auto" w:fill="auto"/>
            <w:vAlign w:val="center"/>
          </w:tcPr>
          <w:p w14:paraId="4D9054B1">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1294" w:type="dxa"/>
            <w:tcBorders>
              <w:top w:val="nil"/>
              <w:left w:val="nil"/>
              <w:bottom w:val="nil"/>
              <w:right w:val="nil"/>
            </w:tcBorders>
            <w:shd w:val="clear" w:color="auto" w:fill="auto"/>
            <w:vAlign w:val="center"/>
          </w:tcPr>
          <w:p w14:paraId="759C2E05">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1793" w:type="dxa"/>
            <w:tcBorders>
              <w:top w:val="nil"/>
              <w:left w:val="nil"/>
              <w:bottom w:val="nil"/>
              <w:right w:val="nil"/>
            </w:tcBorders>
            <w:shd w:val="clear" w:color="auto" w:fill="auto"/>
            <w:vAlign w:val="center"/>
          </w:tcPr>
          <w:p w14:paraId="7E7D5393">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847" w:type="dxa"/>
            <w:tcBorders>
              <w:top w:val="nil"/>
              <w:left w:val="nil"/>
              <w:bottom w:val="nil"/>
              <w:right w:val="nil"/>
            </w:tcBorders>
            <w:shd w:val="clear" w:color="auto" w:fill="auto"/>
            <w:vAlign w:val="center"/>
          </w:tcPr>
          <w:p w14:paraId="413BFFB6">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14:paraId="67EDDFE7">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848" w:type="dxa"/>
            <w:gridSpan w:val="4"/>
            <w:tcBorders>
              <w:top w:val="nil"/>
              <w:left w:val="nil"/>
              <w:bottom w:val="nil"/>
              <w:right w:val="nil"/>
            </w:tcBorders>
            <w:shd w:val="clear" w:color="auto" w:fill="auto"/>
            <w:vAlign w:val="center"/>
          </w:tcPr>
          <w:p w14:paraId="53F6BFC2">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14:paraId="23E4EE78">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7622A96C">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585" w:type="dxa"/>
            <w:gridSpan w:val="2"/>
            <w:tcBorders>
              <w:top w:val="nil"/>
              <w:left w:val="nil"/>
              <w:bottom w:val="nil"/>
              <w:right w:val="nil"/>
            </w:tcBorders>
            <w:shd w:val="clear" w:color="auto" w:fill="auto"/>
            <w:vAlign w:val="center"/>
          </w:tcPr>
          <w:p w14:paraId="6D9F3982">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14:paraId="5768AD4F">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r>
      <w:tr w14:paraId="2686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904" w:hRule="atLeast"/>
        </w:trPr>
        <w:tc>
          <w:tcPr>
            <w:tcW w:w="1036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963972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644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86" w:hRule="atLeast"/>
        </w:trPr>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327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9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400B7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51118123T000007997962-峨眉教育考试中心业务经费</w:t>
            </w:r>
          </w:p>
        </w:tc>
      </w:tr>
      <w:tr w14:paraId="702D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512" w:hRule="atLeast"/>
        </w:trPr>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0B5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053C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5" w:type="dxa"/>
            <w:gridSpan w:val="3"/>
            <w:tcBorders>
              <w:top w:val="nil"/>
              <w:left w:val="nil"/>
              <w:bottom w:val="nil"/>
              <w:right w:val="nil"/>
            </w:tcBorders>
            <w:shd w:val="clear" w:color="auto" w:fill="auto"/>
            <w:vAlign w:val="center"/>
          </w:tcPr>
          <w:p w14:paraId="19C8D2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A2F6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峨眉山市教育考试中心</w:t>
            </w:r>
          </w:p>
        </w:tc>
      </w:tr>
      <w:tr w14:paraId="3C25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86"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784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DAF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907C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2D82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0F6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180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34E9B">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CFE0">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54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60BC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目标1：落实国家考试经费保障机制。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目标2：实施国家考试安全、平稳、顺利。推进国家考试公平公正。</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目标3：为各类招生考试生提供报名、考务、录取等服务。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目标4：保障国家考试按时举办。</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目标5：保障师生安全，试卷安全，确保社会稳定。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目标6：保障国家考试标准化考场正常运转及招考智慧大数平台正常运行。</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目标7：保障当年高考考生体检工作顺利开展。</w:t>
            </w:r>
          </w:p>
        </w:tc>
        <w:tc>
          <w:tcPr>
            <w:tcW w:w="30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C791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全年完国家考试高考1次，自考2次，合格性考试6次，成人高考1次，地方性考试中考1次。按上级要求圆满、按时、平稳、安全完成全年考试任务及考生报名、录取等工作。</w:t>
            </w:r>
          </w:p>
        </w:tc>
      </w:tr>
      <w:tr w14:paraId="44A4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693"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76372">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A91D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9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CBD1A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按时落实</w:t>
            </w:r>
            <w:r>
              <w:rPr>
                <w:rFonts w:ascii="宋体" w:hAnsi="宋体" w:eastAsia="宋体" w:cs="宋体"/>
                <w:i w:val="0"/>
                <w:iCs w:val="0"/>
                <w:color w:val="000000"/>
                <w:kern w:val="0"/>
                <w:sz w:val="18"/>
                <w:szCs w:val="18"/>
                <w:u w:val="none"/>
                <w:lang w:val="en-US" w:eastAsia="zh-CN" w:bidi="ar"/>
              </w:rPr>
              <w:t>国家考试经费保障</w:t>
            </w:r>
            <w:r>
              <w:rPr>
                <w:rFonts w:hint="eastAsia" w:ascii="宋体" w:hAnsi="宋体" w:cs="宋体"/>
                <w:i w:val="0"/>
                <w:iCs w:val="0"/>
                <w:color w:val="000000"/>
                <w:kern w:val="0"/>
                <w:sz w:val="18"/>
                <w:szCs w:val="18"/>
                <w:u w:val="none"/>
                <w:lang w:val="en-US" w:eastAsia="zh-CN" w:bidi="ar"/>
              </w:rPr>
              <w:t>经费，保障了</w:t>
            </w:r>
            <w:r>
              <w:rPr>
                <w:rFonts w:ascii="宋体" w:hAnsi="宋体" w:eastAsia="宋体" w:cs="宋体"/>
                <w:i w:val="0"/>
                <w:iCs w:val="0"/>
                <w:color w:val="000000"/>
                <w:kern w:val="0"/>
                <w:sz w:val="18"/>
                <w:szCs w:val="18"/>
                <w:u w:val="none"/>
                <w:lang w:val="en-US" w:eastAsia="zh-CN" w:bidi="ar"/>
              </w:rPr>
              <w:t>国家考试按时举办</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师生安全，试卷安全</w:t>
            </w:r>
            <w:r>
              <w:rPr>
                <w:rFonts w:hint="eastAsia" w:ascii="宋体" w:hAnsi="宋体" w:cs="宋体"/>
                <w:i w:val="0"/>
                <w:iCs w:val="0"/>
                <w:color w:val="000000"/>
                <w:kern w:val="0"/>
                <w:sz w:val="18"/>
                <w:szCs w:val="18"/>
                <w:u w:val="none"/>
                <w:lang w:val="en-US" w:eastAsia="zh-CN" w:bidi="ar"/>
              </w:rPr>
              <w:t>。确保了</w:t>
            </w:r>
            <w:r>
              <w:rPr>
                <w:rFonts w:ascii="宋体" w:hAnsi="宋体" w:eastAsia="宋体" w:cs="宋体"/>
                <w:i w:val="0"/>
                <w:iCs w:val="0"/>
                <w:color w:val="000000"/>
                <w:kern w:val="0"/>
                <w:sz w:val="18"/>
                <w:szCs w:val="18"/>
                <w:u w:val="none"/>
                <w:lang w:val="en-US" w:eastAsia="zh-CN" w:bidi="ar"/>
              </w:rPr>
              <w:t>国家考试安全、平稳、顺利</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推进国家考试公平公正。</w:t>
            </w:r>
            <w:r>
              <w:rPr>
                <w:rFonts w:ascii="宋体" w:hAnsi="宋体" w:eastAsia="宋体" w:cs="宋体"/>
                <w:i w:val="0"/>
                <w:iCs w:val="0"/>
                <w:color w:val="000000"/>
                <w:kern w:val="0"/>
                <w:sz w:val="18"/>
                <w:szCs w:val="18"/>
                <w:u w:val="none"/>
                <w:lang w:val="en-US" w:eastAsia="zh-CN" w:bidi="ar"/>
              </w:rPr>
              <w:br w:type="textWrapping"/>
            </w:r>
          </w:p>
        </w:tc>
      </w:tr>
      <w:tr w14:paraId="20D79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61"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3EE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4E3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48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6F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3213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B6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66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140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BF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BC0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46"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D0D8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02E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9F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66</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D0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60.85</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9349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60.85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E5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EF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FD51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02E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w:t>
            </w:r>
          </w:p>
        </w:tc>
      </w:tr>
      <w:tr w14:paraId="4A80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91"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1FAD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407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94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66</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46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60.85</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27E3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60.85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88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7F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B80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F57E6">
            <w:pPr>
              <w:keepNext w:val="0"/>
              <w:keepLines w:val="0"/>
              <w:pageBreakBefore w:val="0"/>
              <w:widowControl/>
              <w:kinsoku/>
              <w:wordWrap/>
              <w:overflowPunct/>
              <w:topLinePunct w:val="0"/>
              <w:autoSpaceDE/>
              <w:autoSpaceDN/>
              <w:bidi w:val="0"/>
              <w:adjustRightInd w:val="0"/>
              <w:snapToGrid w:val="0"/>
              <w:rPr>
                <w:rFonts w:hint="eastAsia" w:ascii="黑体" w:hAnsi="黑体" w:eastAsia="黑体" w:cs="黑体"/>
                <w:i/>
                <w:iCs/>
                <w:color w:val="000000"/>
                <w:sz w:val="18"/>
                <w:szCs w:val="18"/>
                <w:u w:val="none"/>
              </w:rPr>
            </w:pPr>
          </w:p>
        </w:tc>
      </w:tr>
      <w:tr w14:paraId="777F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07"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271A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B9E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B9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A3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D4F7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99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10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0F3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3480C">
            <w:pPr>
              <w:keepNext w:val="0"/>
              <w:keepLines w:val="0"/>
              <w:pageBreakBefore w:val="0"/>
              <w:widowControl/>
              <w:kinsoku/>
              <w:wordWrap/>
              <w:overflowPunct/>
              <w:topLinePunct w:val="0"/>
              <w:autoSpaceDE/>
              <w:autoSpaceDN/>
              <w:bidi w:val="0"/>
              <w:adjustRightInd w:val="0"/>
              <w:snapToGrid w:val="0"/>
              <w:rPr>
                <w:rFonts w:hint="eastAsia" w:ascii="黑体" w:hAnsi="黑体" w:eastAsia="黑体" w:cs="黑体"/>
                <w:i/>
                <w:iCs/>
                <w:color w:val="000000"/>
                <w:sz w:val="18"/>
                <w:szCs w:val="18"/>
                <w:u w:val="none"/>
              </w:rPr>
            </w:pPr>
          </w:p>
        </w:tc>
      </w:tr>
      <w:tr w14:paraId="13376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61"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B769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750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53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87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9A84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EE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4C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004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36116">
            <w:pPr>
              <w:keepNext w:val="0"/>
              <w:keepLines w:val="0"/>
              <w:pageBreakBefore w:val="0"/>
              <w:widowControl/>
              <w:kinsoku/>
              <w:wordWrap/>
              <w:overflowPunct/>
              <w:topLinePunct w:val="0"/>
              <w:autoSpaceDE/>
              <w:autoSpaceDN/>
              <w:bidi w:val="0"/>
              <w:adjustRightInd w:val="0"/>
              <w:snapToGrid w:val="0"/>
              <w:rPr>
                <w:rFonts w:hint="eastAsia" w:ascii="黑体" w:hAnsi="黑体" w:eastAsia="黑体" w:cs="黑体"/>
                <w:i/>
                <w:iCs/>
                <w:color w:val="000000"/>
                <w:sz w:val="18"/>
                <w:szCs w:val="18"/>
                <w:u w:val="none"/>
              </w:rPr>
            </w:pPr>
          </w:p>
        </w:tc>
      </w:tr>
      <w:tr w14:paraId="0700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3A78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56A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9339">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025D">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141497">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A3E6">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38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664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A2450">
            <w:pPr>
              <w:keepNext w:val="0"/>
              <w:keepLines w:val="0"/>
              <w:pageBreakBefore w:val="0"/>
              <w:widowControl/>
              <w:kinsoku/>
              <w:wordWrap/>
              <w:overflowPunct/>
              <w:topLinePunct w:val="0"/>
              <w:autoSpaceDE/>
              <w:autoSpaceDN/>
              <w:bidi w:val="0"/>
              <w:adjustRightInd w:val="0"/>
              <w:snapToGrid w:val="0"/>
              <w:rPr>
                <w:rFonts w:hint="eastAsia" w:ascii="黑体" w:hAnsi="黑体" w:eastAsia="黑体" w:cs="黑体"/>
                <w:i/>
                <w:iCs/>
                <w:color w:val="000000"/>
                <w:sz w:val="18"/>
                <w:szCs w:val="18"/>
                <w:u w:val="none"/>
              </w:rPr>
            </w:pPr>
          </w:p>
        </w:tc>
      </w:tr>
      <w:tr w14:paraId="2A35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52"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73C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492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4D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87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D8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32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1942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2E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1A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662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72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3A6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52"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E311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6CC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F8E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A5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监考人数1500人，保考人数120，增减率控制范围</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22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20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35B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8107">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5B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8F8FF">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A927">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1476A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52"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EEC9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A665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DFEB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6D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参考考生人数10000人，增减率控制范围</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6E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02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F54B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A2F2">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B8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64219">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07AC">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7340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52"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9031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35B7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BE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A0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完成上级下达的国家考试目标</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1C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5C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CC6F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3679">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EA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62CEE">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FFD8">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29842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34E4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4DBF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37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5B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BE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B4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A0B2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E831">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54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17B34">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80C3">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6C3A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904"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C063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EFD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62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DF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落实国家考试，保障各类考生安全、顺利参考，保障考生录取、体检工作顺利开展</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4A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F3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F9D2D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349C">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B7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5AE88">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D868">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315B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562C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A749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1C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00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促进国家考试顺利开展</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1A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46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00EC2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2225">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0F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3CA88">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F4FB">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56FC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DF3C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772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531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0A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参考考生及家长满意度</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09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29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4D49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D1A1">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67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189D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0B66">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2277C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D1E7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8BD0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6DE5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13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监考人员及学校满意度</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21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EC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9E35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5E0C">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E3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C47E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3DE7">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78774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2F5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AE7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6D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91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经费支出增减控制范围</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F3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91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BF45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39BE">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0A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729AD">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6BC1">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02E4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86" w:hRule="atLeast"/>
        </w:trPr>
        <w:tc>
          <w:tcPr>
            <w:tcW w:w="831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98EF1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B4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9C1BF">
            <w:pPr>
              <w:keepNext w:val="0"/>
              <w:keepLines w:val="0"/>
              <w:pageBreakBefore w:val="0"/>
              <w:widowControl/>
              <w:kinsoku/>
              <w:wordWrap/>
              <w:overflowPunct/>
              <w:topLinePunct w:val="0"/>
              <w:autoSpaceDE/>
              <w:autoSpaceDN/>
              <w:bidi w:val="0"/>
              <w:adjustRightInd w:val="0"/>
              <w:snapToGrid w:val="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1899">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r>
      <w:tr w14:paraId="584C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603"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E4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44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7A9A3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按财政管理要求，项目按时支付，支确保国家考试平安顺利，</w:t>
            </w:r>
            <w:r>
              <w:rPr>
                <w:rFonts w:hint="eastAsia" w:ascii="微软雅黑" w:hAnsi="微软雅黑" w:eastAsia="微软雅黑" w:cs="微软雅黑"/>
                <w:i w:val="0"/>
                <w:iCs w:val="0"/>
                <w:color w:val="000000"/>
                <w:kern w:val="0"/>
                <w:sz w:val="16"/>
                <w:szCs w:val="16"/>
                <w:u w:val="none"/>
                <w:lang w:val="en-US" w:eastAsia="zh-CN" w:bidi="ar"/>
              </w:rPr>
              <w:t>自评得分100分。</w:t>
            </w:r>
          </w:p>
        </w:tc>
      </w:tr>
      <w:tr w14:paraId="0CB2D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57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20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44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A0B87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E68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633"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1E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44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9D4E7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543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86" w:hRule="atLeast"/>
        </w:trPr>
        <w:tc>
          <w:tcPr>
            <w:tcW w:w="58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D2E9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项目负责人：李玉洪</w:t>
            </w:r>
          </w:p>
        </w:tc>
        <w:tc>
          <w:tcPr>
            <w:tcW w:w="45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5941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财务负责人：万永胜</w:t>
            </w:r>
          </w:p>
        </w:tc>
      </w:tr>
      <w:tr w14:paraId="1F47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86" w:hRule="atLeast"/>
        </w:trPr>
        <w:tc>
          <w:tcPr>
            <w:tcW w:w="923" w:type="dxa"/>
            <w:tcBorders>
              <w:top w:val="nil"/>
              <w:left w:val="nil"/>
              <w:bottom w:val="nil"/>
              <w:right w:val="nil"/>
            </w:tcBorders>
            <w:shd w:val="clear" w:color="auto" w:fill="auto"/>
            <w:vAlign w:val="center"/>
          </w:tcPr>
          <w:p w14:paraId="789EC2C0">
            <w:pPr>
              <w:rPr>
                <w:rFonts w:hint="eastAsia" w:ascii="宋体" w:hAnsi="宋体" w:eastAsia="宋体" w:cs="宋体"/>
                <w:i w:val="0"/>
                <w:iCs w:val="0"/>
                <w:color w:val="000000"/>
                <w:sz w:val="18"/>
                <w:szCs w:val="18"/>
                <w:u w:val="none"/>
              </w:rPr>
            </w:pPr>
          </w:p>
        </w:tc>
        <w:tc>
          <w:tcPr>
            <w:tcW w:w="948" w:type="dxa"/>
            <w:gridSpan w:val="2"/>
            <w:tcBorders>
              <w:top w:val="nil"/>
              <w:left w:val="nil"/>
              <w:bottom w:val="nil"/>
              <w:right w:val="nil"/>
            </w:tcBorders>
            <w:shd w:val="clear" w:color="auto" w:fill="auto"/>
            <w:vAlign w:val="center"/>
          </w:tcPr>
          <w:p w14:paraId="1493BBBC">
            <w:pPr>
              <w:rPr>
                <w:rFonts w:hint="eastAsia" w:ascii="宋体" w:hAnsi="宋体" w:eastAsia="宋体" w:cs="宋体"/>
                <w:i w:val="0"/>
                <w:iCs w:val="0"/>
                <w:color w:val="000000"/>
                <w:sz w:val="18"/>
                <w:szCs w:val="18"/>
                <w:u w:val="none"/>
              </w:rPr>
            </w:pPr>
          </w:p>
        </w:tc>
        <w:tc>
          <w:tcPr>
            <w:tcW w:w="1294" w:type="dxa"/>
            <w:tcBorders>
              <w:top w:val="nil"/>
              <w:left w:val="nil"/>
              <w:bottom w:val="nil"/>
              <w:right w:val="nil"/>
            </w:tcBorders>
            <w:shd w:val="clear" w:color="auto" w:fill="auto"/>
            <w:vAlign w:val="center"/>
          </w:tcPr>
          <w:p w14:paraId="7995BFD9">
            <w:pPr>
              <w:rPr>
                <w:rFonts w:hint="eastAsia" w:ascii="宋体" w:hAnsi="宋体" w:eastAsia="宋体" w:cs="宋体"/>
                <w:i w:val="0"/>
                <w:iCs w:val="0"/>
                <w:color w:val="000000"/>
                <w:sz w:val="18"/>
                <w:szCs w:val="18"/>
                <w:u w:val="none"/>
              </w:rPr>
            </w:pPr>
          </w:p>
        </w:tc>
        <w:tc>
          <w:tcPr>
            <w:tcW w:w="1793" w:type="dxa"/>
            <w:tcBorders>
              <w:top w:val="nil"/>
              <w:left w:val="nil"/>
              <w:bottom w:val="nil"/>
              <w:right w:val="nil"/>
            </w:tcBorders>
            <w:shd w:val="clear" w:color="auto" w:fill="auto"/>
            <w:vAlign w:val="center"/>
          </w:tcPr>
          <w:p w14:paraId="4BFB4B9E">
            <w:pPr>
              <w:rPr>
                <w:rFonts w:hint="eastAsia" w:ascii="宋体" w:hAnsi="宋体" w:eastAsia="宋体" w:cs="宋体"/>
                <w:i w:val="0"/>
                <w:iCs w:val="0"/>
                <w:color w:val="000000"/>
                <w:sz w:val="18"/>
                <w:szCs w:val="18"/>
                <w:u w:val="none"/>
              </w:rPr>
            </w:pPr>
          </w:p>
        </w:tc>
        <w:tc>
          <w:tcPr>
            <w:tcW w:w="847" w:type="dxa"/>
            <w:tcBorders>
              <w:top w:val="nil"/>
              <w:left w:val="nil"/>
              <w:bottom w:val="nil"/>
              <w:right w:val="nil"/>
            </w:tcBorders>
            <w:shd w:val="clear" w:color="auto" w:fill="auto"/>
            <w:vAlign w:val="center"/>
          </w:tcPr>
          <w:p w14:paraId="1ED248C2">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14:paraId="2D6DF9B8">
            <w:pPr>
              <w:rPr>
                <w:rFonts w:hint="eastAsia" w:ascii="宋体" w:hAnsi="宋体" w:eastAsia="宋体" w:cs="宋体"/>
                <w:i w:val="0"/>
                <w:iCs w:val="0"/>
                <w:color w:val="000000"/>
                <w:sz w:val="18"/>
                <w:szCs w:val="18"/>
                <w:u w:val="none"/>
              </w:rPr>
            </w:pPr>
          </w:p>
        </w:tc>
        <w:tc>
          <w:tcPr>
            <w:tcW w:w="848" w:type="dxa"/>
            <w:gridSpan w:val="4"/>
            <w:tcBorders>
              <w:top w:val="nil"/>
              <w:left w:val="nil"/>
              <w:bottom w:val="nil"/>
              <w:right w:val="nil"/>
            </w:tcBorders>
            <w:shd w:val="clear" w:color="auto" w:fill="auto"/>
            <w:vAlign w:val="center"/>
          </w:tcPr>
          <w:p w14:paraId="6340E951">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14:paraId="189E11DE">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7A0A7E64">
            <w:pPr>
              <w:rPr>
                <w:rFonts w:hint="eastAsia" w:ascii="宋体" w:hAnsi="宋体" w:eastAsia="宋体" w:cs="宋体"/>
                <w:i w:val="0"/>
                <w:iCs w:val="0"/>
                <w:color w:val="000000"/>
                <w:sz w:val="18"/>
                <w:szCs w:val="18"/>
                <w:u w:val="none"/>
              </w:rPr>
            </w:pPr>
          </w:p>
        </w:tc>
        <w:tc>
          <w:tcPr>
            <w:tcW w:w="585" w:type="dxa"/>
            <w:gridSpan w:val="2"/>
            <w:tcBorders>
              <w:top w:val="nil"/>
              <w:left w:val="nil"/>
              <w:bottom w:val="nil"/>
              <w:right w:val="nil"/>
            </w:tcBorders>
            <w:shd w:val="clear" w:color="auto" w:fill="auto"/>
            <w:vAlign w:val="center"/>
          </w:tcPr>
          <w:p w14:paraId="195EBDB5">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14:paraId="660E404E">
            <w:pPr>
              <w:rPr>
                <w:rFonts w:hint="eastAsia" w:ascii="宋体" w:hAnsi="宋体" w:eastAsia="宋体" w:cs="宋体"/>
                <w:i w:val="0"/>
                <w:iCs w:val="0"/>
                <w:color w:val="000000"/>
                <w:sz w:val="18"/>
                <w:szCs w:val="18"/>
                <w:u w:val="none"/>
              </w:rPr>
            </w:pPr>
          </w:p>
        </w:tc>
      </w:tr>
      <w:tr w14:paraId="2130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904" w:hRule="atLeast"/>
        </w:trPr>
        <w:tc>
          <w:tcPr>
            <w:tcW w:w="1036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1B6F7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97D1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86" w:hRule="atLeast"/>
        </w:trPr>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424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9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EC473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51118123T000008997000-考试中心运行经费（专户资金）</w:t>
            </w:r>
          </w:p>
        </w:tc>
      </w:tr>
      <w:tr w14:paraId="57AB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512" w:hRule="atLeast"/>
        </w:trPr>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C8D3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FE5C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5" w:type="dxa"/>
            <w:gridSpan w:val="3"/>
            <w:tcBorders>
              <w:top w:val="nil"/>
              <w:left w:val="nil"/>
              <w:bottom w:val="nil"/>
              <w:right w:val="nil"/>
            </w:tcBorders>
            <w:shd w:val="clear" w:color="auto" w:fill="auto"/>
            <w:vAlign w:val="center"/>
          </w:tcPr>
          <w:p w14:paraId="5C066A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1E8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峨眉山市教育考试中心</w:t>
            </w:r>
          </w:p>
        </w:tc>
      </w:tr>
      <w:tr w14:paraId="1B54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86"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E43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5FC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6FFF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ED18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A03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1582"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A518">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5521E">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54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E98F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目标1：按国家考试开展工作。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目标2：保障国家考试经费正常运转。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目标3：按上级部门及财政要求发国家考试监考劳务费。</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目标4：保障国家考试正常运转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目标5：落实国家考试经费保障机制。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目标6：实施国家考试安全、平稳、顺利。推进国家考试公平公正。</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目标7：保障国家考试按时举办。</w:t>
            </w:r>
          </w:p>
        </w:tc>
        <w:tc>
          <w:tcPr>
            <w:tcW w:w="30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54AF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z w:val="18"/>
                <w:szCs w:val="18"/>
                <w:u w:val="none"/>
                <w:lang w:val="en-US" w:eastAsia="zh-CN"/>
              </w:rPr>
              <w:t>全年完国家考试高考1次，自考2次，合格性考试6次，成人高考1次，地方性考试中考1次。按上级要求圆满、按时、平稳、安全完成全年考试任务及考生报名、录取等工作</w:t>
            </w:r>
          </w:p>
        </w:tc>
      </w:tr>
      <w:tr w14:paraId="0A86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693"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61874">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2F7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9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055352D">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按时落实</w:t>
            </w:r>
            <w:r>
              <w:rPr>
                <w:rFonts w:ascii="宋体" w:hAnsi="宋体" w:eastAsia="宋体" w:cs="宋体"/>
                <w:i w:val="0"/>
                <w:iCs w:val="0"/>
                <w:color w:val="000000"/>
                <w:kern w:val="0"/>
                <w:sz w:val="18"/>
                <w:szCs w:val="18"/>
                <w:u w:val="none"/>
                <w:lang w:val="en-US" w:eastAsia="zh-CN" w:bidi="ar"/>
              </w:rPr>
              <w:t>国家考试经费保障</w:t>
            </w:r>
            <w:r>
              <w:rPr>
                <w:rFonts w:hint="eastAsia" w:ascii="宋体" w:hAnsi="宋体" w:cs="宋体"/>
                <w:i w:val="0"/>
                <w:iCs w:val="0"/>
                <w:color w:val="000000"/>
                <w:kern w:val="0"/>
                <w:sz w:val="18"/>
                <w:szCs w:val="18"/>
                <w:u w:val="none"/>
                <w:lang w:val="en-US" w:eastAsia="zh-CN" w:bidi="ar"/>
              </w:rPr>
              <w:t>经费，保障了</w:t>
            </w:r>
            <w:r>
              <w:rPr>
                <w:rFonts w:ascii="宋体" w:hAnsi="宋体" w:eastAsia="宋体" w:cs="宋体"/>
                <w:i w:val="0"/>
                <w:iCs w:val="0"/>
                <w:color w:val="000000"/>
                <w:kern w:val="0"/>
                <w:sz w:val="18"/>
                <w:szCs w:val="18"/>
                <w:u w:val="none"/>
                <w:lang w:val="en-US" w:eastAsia="zh-CN" w:bidi="ar"/>
              </w:rPr>
              <w:t>国家考试按时举办</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师生安全，试卷安全</w:t>
            </w:r>
            <w:r>
              <w:rPr>
                <w:rFonts w:hint="eastAsia" w:ascii="宋体" w:hAnsi="宋体" w:cs="宋体"/>
                <w:i w:val="0"/>
                <w:iCs w:val="0"/>
                <w:color w:val="000000"/>
                <w:kern w:val="0"/>
                <w:sz w:val="18"/>
                <w:szCs w:val="18"/>
                <w:u w:val="none"/>
                <w:lang w:val="en-US" w:eastAsia="zh-CN" w:bidi="ar"/>
              </w:rPr>
              <w:t>。确保了</w:t>
            </w:r>
            <w:r>
              <w:rPr>
                <w:rFonts w:ascii="宋体" w:hAnsi="宋体" w:eastAsia="宋体" w:cs="宋体"/>
                <w:i w:val="0"/>
                <w:iCs w:val="0"/>
                <w:color w:val="000000"/>
                <w:kern w:val="0"/>
                <w:sz w:val="18"/>
                <w:szCs w:val="18"/>
                <w:u w:val="none"/>
                <w:lang w:val="en-US" w:eastAsia="zh-CN" w:bidi="ar"/>
              </w:rPr>
              <w:t>国家考试安全、平稳、顺利</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推进国家考试公平公正</w:t>
            </w:r>
          </w:p>
        </w:tc>
      </w:tr>
      <w:tr w14:paraId="6FEF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61"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DE5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4E4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F0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43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4AFC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E3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B8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FB0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AE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935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46"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FA38A">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2ED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8A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4E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60.71</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CFE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60.71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DA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01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9FC7F">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7F8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iCs/>
                <w:color w:val="000000"/>
                <w:sz w:val="18"/>
                <w:szCs w:val="18"/>
                <w:u w:val="none"/>
              </w:rPr>
            </w:pPr>
          </w:p>
        </w:tc>
      </w:tr>
      <w:tr w14:paraId="56F5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91"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FCB0F">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322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7E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FC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176F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C3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FD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F12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C953F">
            <w:pPr>
              <w:keepNext w:val="0"/>
              <w:keepLines w:val="0"/>
              <w:pageBreakBefore w:val="0"/>
              <w:kinsoku/>
              <w:wordWrap/>
              <w:overflowPunct/>
              <w:topLinePunct w:val="0"/>
              <w:autoSpaceDE/>
              <w:autoSpaceDN/>
              <w:bidi w:val="0"/>
              <w:adjustRightInd w:val="0"/>
              <w:snapToGrid w:val="0"/>
              <w:rPr>
                <w:rFonts w:hint="eastAsia" w:ascii="黑体" w:hAnsi="黑体" w:eastAsia="黑体" w:cs="黑体"/>
                <w:i/>
                <w:iCs/>
                <w:color w:val="000000"/>
                <w:sz w:val="18"/>
                <w:szCs w:val="18"/>
                <w:u w:val="none"/>
              </w:rPr>
            </w:pPr>
          </w:p>
        </w:tc>
      </w:tr>
      <w:tr w14:paraId="1D85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07"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679A4">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24B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3B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85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60.71</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A15C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60.71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7C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A3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673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61210">
            <w:pPr>
              <w:keepNext w:val="0"/>
              <w:keepLines w:val="0"/>
              <w:pageBreakBefore w:val="0"/>
              <w:kinsoku/>
              <w:wordWrap/>
              <w:overflowPunct/>
              <w:topLinePunct w:val="0"/>
              <w:autoSpaceDE/>
              <w:autoSpaceDN/>
              <w:bidi w:val="0"/>
              <w:adjustRightInd w:val="0"/>
              <w:snapToGrid w:val="0"/>
              <w:rPr>
                <w:rFonts w:hint="eastAsia" w:ascii="黑体" w:hAnsi="黑体" w:eastAsia="黑体" w:cs="黑体"/>
                <w:i/>
                <w:iCs/>
                <w:color w:val="000000"/>
                <w:sz w:val="18"/>
                <w:szCs w:val="18"/>
                <w:u w:val="none"/>
              </w:rPr>
            </w:pPr>
          </w:p>
        </w:tc>
      </w:tr>
      <w:tr w14:paraId="2BB4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61"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43598">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5CB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27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C5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0471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DC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0D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D73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B2E11">
            <w:pPr>
              <w:keepNext w:val="0"/>
              <w:keepLines w:val="0"/>
              <w:pageBreakBefore w:val="0"/>
              <w:kinsoku/>
              <w:wordWrap/>
              <w:overflowPunct/>
              <w:topLinePunct w:val="0"/>
              <w:autoSpaceDE/>
              <w:autoSpaceDN/>
              <w:bidi w:val="0"/>
              <w:adjustRightInd w:val="0"/>
              <w:snapToGrid w:val="0"/>
              <w:rPr>
                <w:rFonts w:hint="eastAsia" w:ascii="黑体" w:hAnsi="黑体" w:eastAsia="黑体" w:cs="黑体"/>
                <w:i/>
                <w:iCs/>
                <w:color w:val="000000"/>
                <w:sz w:val="18"/>
                <w:szCs w:val="18"/>
                <w:u w:val="none"/>
              </w:rPr>
            </w:pPr>
          </w:p>
        </w:tc>
      </w:tr>
      <w:tr w14:paraId="5F08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7E24A">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39A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7475">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0C8A">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397E8C">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EF3B">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07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B69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74CD0">
            <w:pPr>
              <w:keepNext w:val="0"/>
              <w:keepLines w:val="0"/>
              <w:pageBreakBefore w:val="0"/>
              <w:kinsoku/>
              <w:wordWrap/>
              <w:overflowPunct/>
              <w:topLinePunct w:val="0"/>
              <w:autoSpaceDE/>
              <w:autoSpaceDN/>
              <w:bidi w:val="0"/>
              <w:adjustRightInd w:val="0"/>
              <w:snapToGrid w:val="0"/>
              <w:rPr>
                <w:rFonts w:hint="eastAsia" w:ascii="黑体" w:hAnsi="黑体" w:eastAsia="黑体" w:cs="黑体"/>
                <w:i/>
                <w:iCs/>
                <w:color w:val="000000"/>
                <w:sz w:val="18"/>
                <w:szCs w:val="18"/>
                <w:u w:val="none"/>
              </w:rPr>
            </w:pPr>
          </w:p>
        </w:tc>
      </w:tr>
      <w:tr w14:paraId="4362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52"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18D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73C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3F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CE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B9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B6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2A58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96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3F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C01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6E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520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52"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2DA31">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6CC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11A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A3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参考考生人数10000人，增减率控制范围</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53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48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3421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DE47">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8D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73A73">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D5FD">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652A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52"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F17E9">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B32B2">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C9ECD">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00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监考人数1500人，保考人数120，增减率控制范围</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84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99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0C04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3198">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99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E544A">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12F9">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0D73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52"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4DBC1">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2447">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17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01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完成上级下达的国家考试目标</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38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A6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2415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F31B">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81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38116">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F50E">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453B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7765B">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C5D01">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FD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34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76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05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6A7E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FA25">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61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3BFFC">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4F3C">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3672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904"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9F0E">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843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E4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D4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落实国家考试，保障各类考生安全、顺利参考，保障考生录取、体检工作顺利开展</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DA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5F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F723B">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422B">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15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3A721">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9623">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5D4C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EF13B">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2E83C">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A5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25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促进国家考试健康发展</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68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08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1E7B1B">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5662">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72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5E4B3">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B144">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35129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52"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6F390">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B98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6B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CC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参考考生、家长满意度</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B6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CC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08E7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7393">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46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E7719">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A88F">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6AC5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52"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82033">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5B2BD">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5A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30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监考人员、保考人员及学校满意度</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BA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FA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71B1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0840">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98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BA92E">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D25C">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2F30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59545">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F82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1D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52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经费支出增减控制范围</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21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34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AD83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864F">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AF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5ABAE">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FC49">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0A55C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86" w:hRule="atLeast"/>
        </w:trPr>
        <w:tc>
          <w:tcPr>
            <w:tcW w:w="831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80DAD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59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6A775">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D830">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r>
      <w:tr w14:paraId="2B1E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603"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35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44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1E827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按财政管理要求，项目按时支付，确保国家考试平安顺利，</w:t>
            </w:r>
            <w:r>
              <w:rPr>
                <w:rFonts w:hint="eastAsia" w:ascii="微软雅黑" w:hAnsi="微软雅黑" w:eastAsia="微软雅黑" w:cs="微软雅黑"/>
                <w:i w:val="0"/>
                <w:iCs w:val="0"/>
                <w:color w:val="000000"/>
                <w:kern w:val="0"/>
                <w:sz w:val="16"/>
                <w:szCs w:val="16"/>
                <w:u w:val="none"/>
                <w:lang w:val="en-US" w:eastAsia="zh-CN" w:bidi="ar"/>
              </w:rPr>
              <w:t>自评得分100分。</w:t>
            </w:r>
          </w:p>
        </w:tc>
      </w:tr>
      <w:tr w14:paraId="6BE4F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57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E5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44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59B98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249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633"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40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44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DCDC5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5C57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86" w:hRule="atLeast"/>
        </w:trPr>
        <w:tc>
          <w:tcPr>
            <w:tcW w:w="58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C229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项目负责人：李玉洪</w:t>
            </w:r>
          </w:p>
        </w:tc>
        <w:tc>
          <w:tcPr>
            <w:tcW w:w="45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2732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财务负责人：万永胜</w:t>
            </w:r>
          </w:p>
        </w:tc>
      </w:tr>
      <w:tr w14:paraId="451E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86" w:hRule="atLeast"/>
        </w:trPr>
        <w:tc>
          <w:tcPr>
            <w:tcW w:w="923" w:type="dxa"/>
            <w:tcBorders>
              <w:top w:val="nil"/>
              <w:left w:val="nil"/>
              <w:bottom w:val="nil"/>
              <w:right w:val="nil"/>
            </w:tcBorders>
            <w:shd w:val="clear" w:color="auto" w:fill="auto"/>
            <w:vAlign w:val="center"/>
          </w:tcPr>
          <w:p w14:paraId="60815934">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948" w:type="dxa"/>
            <w:gridSpan w:val="2"/>
            <w:tcBorders>
              <w:top w:val="nil"/>
              <w:left w:val="nil"/>
              <w:bottom w:val="nil"/>
              <w:right w:val="nil"/>
            </w:tcBorders>
            <w:shd w:val="clear" w:color="auto" w:fill="auto"/>
            <w:vAlign w:val="center"/>
          </w:tcPr>
          <w:p w14:paraId="77DD6ADE">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p w14:paraId="74D572B0">
            <w:pPr>
              <w:pStyle w:val="2"/>
              <w:keepNext w:val="0"/>
              <w:keepLines w:val="0"/>
              <w:pageBreakBefore w:val="0"/>
              <w:kinsoku/>
              <w:wordWrap/>
              <w:overflowPunct/>
              <w:topLinePunct w:val="0"/>
              <w:autoSpaceDE/>
              <w:autoSpaceDN/>
              <w:bidi w:val="0"/>
              <w:adjustRightInd w:val="0"/>
              <w:snapToGrid w:val="0"/>
              <w:rPr>
                <w:rFonts w:hint="eastAsia"/>
              </w:rPr>
            </w:pPr>
          </w:p>
        </w:tc>
        <w:tc>
          <w:tcPr>
            <w:tcW w:w="1294" w:type="dxa"/>
            <w:tcBorders>
              <w:top w:val="nil"/>
              <w:left w:val="nil"/>
              <w:bottom w:val="nil"/>
              <w:right w:val="nil"/>
            </w:tcBorders>
            <w:shd w:val="clear" w:color="auto" w:fill="auto"/>
            <w:vAlign w:val="center"/>
          </w:tcPr>
          <w:p w14:paraId="12024C88">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1793" w:type="dxa"/>
            <w:tcBorders>
              <w:top w:val="nil"/>
              <w:left w:val="nil"/>
              <w:bottom w:val="nil"/>
              <w:right w:val="nil"/>
            </w:tcBorders>
            <w:shd w:val="clear" w:color="auto" w:fill="auto"/>
            <w:vAlign w:val="center"/>
          </w:tcPr>
          <w:p w14:paraId="0FA1CE78">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847" w:type="dxa"/>
            <w:tcBorders>
              <w:top w:val="nil"/>
              <w:left w:val="nil"/>
              <w:bottom w:val="nil"/>
              <w:right w:val="nil"/>
            </w:tcBorders>
            <w:shd w:val="clear" w:color="auto" w:fill="auto"/>
            <w:vAlign w:val="center"/>
          </w:tcPr>
          <w:p w14:paraId="7664FE9C">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14:paraId="6F258564">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848" w:type="dxa"/>
            <w:gridSpan w:val="4"/>
            <w:tcBorders>
              <w:top w:val="nil"/>
              <w:left w:val="nil"/>
              <w:bottom w:val="nil"/>
              <w:right w:val="nil"/>
            </w:tcBorders>
            <w:shd w:val="clear" w:color="auto" w:fill="auto"/>
            <w:vAlign w:val="center"/>
          </w:tcPr>
          <w:p w14:paraId="635F17A2">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14:paraId="3F00E50B">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07911D23">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585" w:type="dxa"/>
            <w:gridSpan w:val="2"/>
            <w:tcBorders>
              <w:top w:val="nil"/>
              <w:left w:val="nil"/>
              <w:bottom w:val="nil"/>
              <w:right w:val="nil"/>
            </w:tcBorders>
            <w:shd w:val="clear" w:color="auto" w:fill="auto"/>
            <w:vAlign w:val="center"/>
          </w:tcPr>
          <w:p w14:paraId="5C786048">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14:paraId="7E8F3709">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r>
      <w:tr w14:paraId="27CA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904" w:hRule="atLeast"/>
        </w:trPr>
        <w:tc>
          <w:tcPr>
            <w:tcW w:w="1036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898AA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127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86" w:hRule="atLeast"/>
        </w:trPr>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EEE3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9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91D57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51118123T000009001352-（春节前）工程款</w:t>
            </w:r>
          </w:p>
        </w:tc>
      </w:tr>
      <w:tr w14:paraId="2CFF7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512" w:hRule="atLeast"/>
        </w:trPr>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EE23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00C1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75" w:type="dxa"/>
            <w:gridSpan w:val="2"/>
            <w:tcBorders>
              <w:top w:val="nil"/>
              <w:left w:val="nil"/>
              <w:bottom w:val="nil"/>
              <w:right w:val="nil"/>
            </w:tcBorders>
            <w:shd w:val="clear" w:color="auto" w:fill="auto"/>
            <w:vAlign w:val="center"/>
          </w:tcPr>
          <w:p w14:paraId="3C36E3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BF12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峨眉山市教育考试中心</w:t>
            </w:r>
          </w:p>
        </w:tc>
      </w:tr>
      <w:tr w14:paraId="5407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86"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E74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B8F2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9CDD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EBAD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E2C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035"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605FB">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CE00C">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54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8B2A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四川省高等教育招生考试委员会，四川省教育厅关于做好国家教育考试网上巡查系统建设和高清升级工作的通知川招考委（2017）58号文件精神要求，为维护我市考试招生公平公正、安全稳定以及严肃考试考纪发挥重要作用，教育部中心提出对已建成的“巡查系统”进行高清升级，实现考试过程和保密室的巡查指挥视频高清化，同时根据省教厅相关文件精神要求进一步完善标准化考点建设，我市于2019年启动峨眉一中，峨眉二中，峨眉四中，峨眉山市教育考试指挥中心四个标准化考试建设项目，我市共设考试中心保密室和指挥系统各一间，峨眉山一中58间，峨眉二中76间，峨眉四中45间。</w:t>
            </w:r>
          </w:p>
        </w:tc>
        <w:tc>
          <w:tcPr>
            <w:tcW w:w="30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4520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z w:val="18"/>
                <w:szCs w:val="18"/>
                <w:u w:val="none"/>
                <w:lang w:val="en-US" w:eastAsia="zh-CN"/>
              </w:rPr>
              <w:t>全年完国家考试高考1次，自考2次，合格性考试6次，成人高考1次，地方性考试中考1次。按上级要求圆满、按时、平稳、安全完成全年考试任务及考生报名、录取等工作</w:t>
            </w:r>
          </w:p>
        </w:tc>
      </w:tr>
      <w:tr w14:paraId="6295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693"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CD527">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067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2.项目实施内容及过程概述</w:t>
            </w:r>
          </w:p>
        </w:tc>
        <w:tc>
          <w:tcPr>
            <w:tcW w:w="849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B8B3B23">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（春节前）工程款按时支付、足额支付。</w:t>
            </w:r>
          </w:p>
        </w:tc>
      </w:tr>
      <w:tr w14:paraId="6154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61"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A70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861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EB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1F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116D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92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8B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95C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57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340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46"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6A9CB">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25D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F9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42.71</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A2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42.71</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CC72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42.71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A9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69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F2FE9">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1CC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iCs/>
                <w:color w:val="000000"/>
                <w:sz w:val="18"/>
                <w:szCs w:val="18"/>
                <w:u w:val="none"/>
              </w:rPr>
            </w:pPr>
          </w:p>
        </w:tc>
      </w:tr>
      <w:tr w14:paraId="7A5A7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91"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D33BF">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549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20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42.71</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13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42.71</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BE32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42.71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D8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69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8C7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2300">
            <w:pPr>
              <w:keepNext w:val="0"/>
              <w:keepLines w:val="0"/>
              <w:pageBreakBefore w:val="0"/>
              <w:kinsoku/>
              <w:wordWrap/>
              <w:overflowPunct/>
              <w:topLinePunct w:val="0"/>
              <w:autoSpaceDE/>
              <w:autoSpaceDN/>
              <w:bidi w:val="0"/>
              <w:adjustRightInd w:val="0"/>
              <w:snapToGrid w:val="0"/>
              <w:rPr>
                <w:rFonts w:hint="eastAsia" w:ascii="黑体" w:hAnsi="黑体" w:eastAsia="黑体" w:cs="黑体"/>
                <w:i/>
                <w:iCs/>
                <w:color w:val="000000"/>
                <w:sz w:val="18"/>
                <w:szCs w:val="18"/>
                <w:u w:val="none"/>
              </w:rPr>
            </w:pPr>
          </w:p>
        </w:tc>
      </w:tr>
      <w:tr w14:paraId="016E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07"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DE096">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A4D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7E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5A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4423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E4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67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022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F372B">
            <w:pPr>
              <w:keepNext w:val="0"/>
              <w:keepLines w:val="0"/>
              <w:pageBreakBefore w:val="0"/>
              <w:kinsoku/>
              <w:wordWrap/>
              <w:overflowPunct/>
              <w:topLinePunct w:val="0"/>
              <w:autoSpaceDE/>
              <w:autoSpaceDN/>
              <w:bidi w:val="0"/>
              <w:adjustRightInd w:val="0"/>
              <w:snapToGrid w:val="0"/>
              <w:rPr>
                <w:rFonts w:hint="eastAsia" w:ascii="黑体" w:hAnsi="黑体" w:eastAsia="黑体" w:cs="黑体"/>
                <w:i/>
                <w:iCs/>
                <w:color w:val="000000"/>
                <w:sz w:val="18"/>
                <w:szCs w:val="18"/>
                <w:u w:val="none"/>
              </w:rPr>
            </w:pPr>
          </w:p>
        </w:tc>
      </w:tr>
      <w:tr w14:paraId="77DB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61"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FC258">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BDE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EF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83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5961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03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64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D53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7B938">
            <w:pPr>
              <w:keepNext w:val="0"/>
              <w:keepLines w:val="0"/>
              <w:pageBreakBefore w:val="0"/>
              <w:kinsoku/>
              <w:wordWrap/>
              <w:overflowPunct/>
              <w:topLinePunct w:val="0"/>
              <w:autoSpaceDE/>
              <w:autoSpaceDN/>
              <w:bidi w:val="0"/>
              <w:adjustRightInd w:val="0"/>
              <w:snapToGrid w:val="0"/>
              <w:rPr>
                <w:rFonts w:hint="eastAsia" w:ascii="黑体" w:hAnsi="黑体" w:eastAsia="黑体" w:cs="黑体"/>
                <w:i/>
                <w:iCs/>
                <w:color w:val="000000"/>
                <w:sz w:val="18"/>
                <w:szCs w:val="18"/>
                <w:u w:val="none"/>
              </w:rPr>
            </w:pPr>
          </w:p>
        </w:tc>
      </w:tr>
      <w:tr w14:paraId="0D9FD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0FA0D">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5B1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5E67">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DF6A">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39C99B">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DFC0">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5A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583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30D72">
            <w:pPr>
              <w:keepNext w:val="0"/>
              <w:keepLines w:val="0"/>
              <w:pageBreakBefore w:val="0"/>
              <w:kinsoku/>
              <w:wordWrap/>
              <w:overflowPunct/>
              <w:topLinePunct w:val="0"/>
              <w:autoSpaceDE/>
              <w:autoSpaceDN/>
              <w:bidi w:val="0"/>
              <w:adjustRightInd w:val="0"/>
              <w:snapToGrid w:val="0"/>
              <w:rPr>
                <w:rFonts w:hint="eastAsia" w:ascii="黑体" w:hAnsi="黑体" w:eastAsia="黑体" w:cs="黑体"/>
                <w:i/>
                <w:iCs/>
                <w:color w:val="000000"/>
                <w:sz w:val="18"/>
                <w:szCs w:val="18"/>
                <w:u w:val="none"/>
              </w:rPr>
            </w:pPr>
          </w:p>
        </w:tc>
      </w:tr>
      <w:tr w14:paraId="3F95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52"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41F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0CB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C9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98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0B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33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8697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8B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2E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BF9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E8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E45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5DA6C">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246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710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7C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购置设备数量</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A5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32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E9CC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AFFB">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30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204FB">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52BE">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2BA7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52"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B7D53">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965F2">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DEAFD">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C8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受益考生人数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A5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1F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4FCA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E879">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69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1AC9D">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7015">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56599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B393F">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C93A">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0E5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4A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设备质量合格率</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E9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92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CF52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F367">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AF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38C73">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D2C7">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643A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3A7C3">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B38FC">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7880B">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8B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安装工程验收合格率</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EA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D8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5BF9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C046">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FE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1235E">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ED6E">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58C1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52"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00D4">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9F1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68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56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确保国家考试公平公正有据可查</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38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70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7934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9E7D">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AA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2BC9B">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7116">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57F6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452"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123A4">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1A8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3D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62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使用人员满意度</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30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88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2891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70A7">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1B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AA77E">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E5DE">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56A0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3BBE0">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000000"/>
                <w:sz w:val="18"/>
                <w:szCs w:val="18"/>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F21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C8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2A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在项目预算范围内</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75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68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232000</w:t>
            </w:r>
          </w:p>
        </w:tc>
        <w:tc>
          <w:tcPr>
            <w:tcW w:w="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9A58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92AE">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11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A7B70">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2350">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0E8D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31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CE585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BD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D9FC">
            <w:pPr>
              <w:keepNext w:val="0"/>
              <w:keepLines w:val="0"/>
              <w:pageBreakBefore w:val="0"/>
              <w:kinsoku/>
              <w:wordWrap/>
              <w:overflowPunct/>
              <w:topLinePunct w:val="0"/>
              <w:autoSpaceDE/>
              <w:autoSpaceDN/>
              <w:bidi w:val="0"/>
              <w:adjustRightInd w:val="0"/>
              <w:snapToGrid w:val="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47060">
            <w:pPr>
              <w:keepNext w:val="0"/>
              <w:keepLines w:val="0"/>
              <w:pageBreakBefore w:val="0"/>
              <w:kinsoku/>
              <w:wordWrap/>
              <w:overflowPunct/>
              <w:topLinePunct w:val="0"/>
              <w:autoSpaceDE/>
              <w:autoSpaceDN/>
              <w:bidi w:val="0"/>
              <w:adjustRightInd w:val="0"/>
              <w:snapToGrid w:val="0"/>
              <w:rPr>
                <w:rFonts w:hint="eastAsia" w:ascii="宋体" w:hAnsi="宋体" w:eastAsia="宋体" w:cs="宋体"/>
                <w:i w:val="0"/>
                <w:iCs w:val="0"/>
                <w:color w:val="000000"/>
                <w:sz w:val="18"/>
                <w:szCs w:val="18"/>
                <w:u w:val="none"/>
              </w:rPr>
            </w:pPr>
          </w:p>
        </w:tc>
      </w:tr>
      <w:tr w14:paraId="3AF6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98" w:hRule="atLeast"/>
        </w:trPr>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DA4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24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2F91E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（春节前）工程款按时支付、足额支付。保障学校校舍安全、改善学校办学条件。提升学校办学水平。自评得分100分。</w:t>
            </w:r>
          </w:p>
        </w:tc>
      </w:tr>
      <w:tr w14:paraId="2CCA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22" w:hRule="atLeast"/>
        </w:trPr>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A1E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24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CE4A5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6F7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338" w:hRule="atLeast"/>
        </w:trPr>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ABE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24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496AB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69C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3" w:type="dxa"/>
          <w:trHeight w:val="286" w:hRule="atLeast"/>
        </w:trPr>
        <w:tc>
          <w:tcPr>
            <w:tcW w:w="58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1763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项目负责人：李玉洪</w:t>
            </w:r>
          </w:p>
        </w:tc>
        <w:tc>
          <w:tcPr>
            <w:tcW w:w="45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9049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财务负责人：万永胜</w:t>
            </w:r>
          </w:p>
        </w:tc>
      </w:tr>
    </w:tbl>
    <w:p w14:paraId="14A9128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1F3F8FF">
      <w:pPr>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br w:type="page"/>
      </w:r>
    </w:p>
    <w:p w14:paraId="72D362B3">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47"/>
      <w:bookmarkEnd w:id="49"/>
      <w:bookmarkStart w:id="50" w:name="_Toc15396619"/>
    </w:p>
    <w:p w14:paraId="7BA5797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EEFE2F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7A3653E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3DC8D8B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27EA23B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0910CD8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222A287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15EA680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6B04D32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21A185A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0CDBC96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6CB796E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295505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1A5AC24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6DD8A261">
      <w:pPr>
        <w:rPr>
          <w:rFonts w:hint="eastAsia" w:ascii="Times New Roman" w:hAnsi="Times New Roman"/>
          <w:lang w:eastAsia="zh-CN"/>
        </w:rPr>
      </w:pPr>
    </w:p>
    <w:sectPr>
      <w:footerReference r:id="rId6" w:type="first"/>
      <w:footerReference r:id="rId5" w:type="default"/>
      <w:pgSz w:w="11906" w:h="16838"/>
      <w:pgMar w:top="1417" w:right="1134" w:bottom="1134" w:left="1134" w:header="851" w:footer="992" w:gutter="0"/>
      <w:pgNumType w:fmt="numberInDash"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FFAF9B-44D8-47D7-A8EB-2B811CEF20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BB11A117-8542-47A6-A6E3-51B24ABEED22}"/>
  </w:font>
  <w:font w:name="仿宋">
    <w:panose1 w:val="02010609060101010101"/>
    <w:charset w:val="86"/>
    <w:family w:val="modern"/>
    <w:pitch w:val="default"/>
    <w:sig w:usb0="800002BF" w:usb1="38CF7CFA" w:usb2="00000016" w:usb3="00000000" w:csb0="00040001" w:csb1="00000000"/>
    <w:embedRegular r:id="rId3" w:fontKey="{3921928A-CA1D-4121-B064-EE6B5F1D9D44}"/>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4" w:fontKey="{C2FE9662-3FF4-4285-BCDB-B03C94916833}"/>
  </w:font>
  <w:font w:name="楷体_GB2312">
    <w:altName w:val="楷体"/>
    <w:panose1 w:val="02010609030101010101"/>
    <w:charset w:val="86"/>
    <w:family w:val="auto"/>
    <w:pitch w:val="default"/>
    <w:sig w:usb0="00000000" w:usb1="00000000" w:usb2="00000000" w:usb3="00000000" w:csb0="00040000" w:csb1="00000000"/>
    <w:embedRegular r:id="rId5" w:fontKey="{F7ADBB57-C7C2-470A-9FC5-2EB975046423}"/>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embedRegular r:id="rId6" w:fontKey="{4F7AF8DB-DA79-43B4-8D10-3377813160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56527">
    <w:pPr>
      <w:pStyle w:val="11"/>
      <w:jc w:val="center"/>
    </w:pPr>
  </w:p>
  <w:p w14:paraId="45D36C5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27A85">
    <w:pPr>
      <w:pStyle w:val="11"/>
      <w:jc w:val="center"/>
    </w:pPr>
  </w:p>
  <w:p w14:paraId="4EA41B0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87E5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D782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gutterAtTop/>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DB41BC"/>
    <w:rsid w:val="04916F1E"/>
    <w:rsid w:val="061E35DE"/>
    <w:rsid w:val="065B55FE"/>
    <w:rsid w:val="066E0107"/>
    <w:rsid w:val="07996F6E"/>
    <w:rsid w:val="07B87CE8"/>
    <w:rsid w:val="07DFD8BA"/>
    <w:rsid w:val="09867E8F"/>
    <w:rsid w:val="0A2032A3"/>
    <w:rsid w:val="0C30080D"/>
    <w:rsid w:val="0CA8290A"/>
    <w:rsid w:val="0D35B1ED"/>
    <w:rsid w:val="0E254B6B"/>
    <w:rsid w:val="0F98263C"/>
    <w:rsid w:val="101860EC"/>
    <w:rsid w:val="101F47CC"/>
    <w:rsid w:val="10C055FF"/>
    <w:rsid w:val="110E3E23"/>
    <w:rsid w:val="11694EBD"/>
    <w:rsid w:val="11772AA4"/>
    <w:rsid w:val="118107EC"/>
    <w:rsid w:val="12E24EE2"/>
    <w:rsid w:val="13D50BC4"/>
    <w:rsid w:val="14B17F78"/>
    <w:rsid w:val="15601169"/>
    <w:rsid w:val="165E0673"/>
    <w:rsid w:val="16B831D5"/>
    <w:rsid w:val="16BB723D"/>
    <w:rsid w:val="17C0133A"/>
    <w:rsid w:val="17E50567"/>
    <w:rsid w:val="186504BB"/>
    <w:rsid w:val="19A445FC"/>
    <w:rsid w:val="1BE8440E"/>
    <w:rsid w:val="1C494F81"/>
    <w:rsid w:val="1CBF420A"/>
    <w:rsid w:val="1D155CEE"/>
    <w:rsid w:val="1D1638FE"/>
    <w:rsid w:val="1E312DEB"/>
    <w:rsid w:val="1E740ACF"/>
    <w:rsid w:val="1FF35744"/>
    <w:rsid w:val="1FF6BC77"/>
    <w:rsid w:val="205E7832"/>
    <w:rsid w:val="21843F7D"/>
    <w:rsid w:val="2186353C"/>
    <w:rsid w:val="23860B96"/>
    <w:rsid w:val="240371BF"/>
    <w:rsid w:val="244F3473"/>
    <w:rsid w:val="24C97D99"/>
    <w:rsid w:val="25755DC7"/>
    <w:rsid w:val="25A718F0"/>
    <w:rsid w:val="25BB59F6"/>
    <w:rsid w:val="260F557C"/>
    <w:rsid w:val="26970054"/>
    <w:rsid w:val="281408E2"/>
    <w:rsid w:val="283120F1"/>
    <w:rsid w:val="29FD04D3"/>
    <w:rsid w:val="2A3026F1"/>
    <w:rsid w:val="2AAD2577"/>
    <w:rsid w:val="2AC7370D"/>
    <w:rsid w:val="2BFF7BC6"/>
    <w:rsid w:val="2C8A61B5"/>
    <w:rsid w:val="2CFB1453"/>
    <w:rsid w:val="2DF04E50"/>
    <w:rsid w:val="2E586DFA"/>
    <w:rsid w:val="2F040D46"/>
    <w:rsid w:val="2F6B035B"/>
    <w:rsid w:val="2FAE5751"/>
    <w:rsid w:val="2FB1A395"/>
    <w:rsid w:val="2FD9A7D8"/>
    <w:rsid w:val="2FDBF714"/>
    <w:rsid w:val="30AB6865"/>
    <w:rsid w:val="319F7F4E"/>
    <w:rsid w:val="32BD1EF1"/>
    <w:rsid w:val="3304709D"/>
    <w:rsid w:val="33A773CB"/>
    <w:rsid w:val="33A85924"/>
    <w:rsid w:val="33D83672"/>
    <w:rsid w:val="349D6851"/>
    <w:rsid w:val="36AA5135"/>
    <w:rsid w:val="36BE0DA7"/>
    <w:rsid w:val="376B6AA6"/>
    <w:rsid w:val="376D39B2"/>
    <w:rsid w:val="37D53C3D"/>
    <w:rsid w:val="37E16F03"/>
    <w:rsid w:val="37F53A3B"/>
    <w:rsid w:val="389B6C89"/>
    <w:rsid w:val="38D469F0"/>
    <w:rsid w:val="39627CCD"/>
    <w:rsid w:val="397BAF1F"/>
    <w:rsid w:val="3AB79AF3"/>
    <w:rsid w:val="3AE834C0"/>
    <w:rsid w:val="3B7EF35A"/>
    <w:rsid w:val="3B9FDB6C"/>
    <w:rsid w:val="3BF5BC2F"/>
    <w:rsid w:val="3C783041"/>
    <w:rsid w:val="3CEBA265"/>
    <w:rsid w:val="3D347EBE"/>
    <w:rsid w:val="3D98207C"/>
    <w:rsid w:val="3DEE7CF3"/>
    <w:rsid w:val="3E740A63"/>
    <w:rsid w:val="3E78745D"/>
    <w:rsid w:val="3EE17838"/>
    <w:rsid w:val="3F55381A"/>
    <w:rsid w:val="3F7F7599"/>
    <w:rsid w:val="3FF4CAE0"/>
    <w:rsid w:val="3FF7B227"/>
    <w:rsid w:val="44E268DA"/>
    <w:rsid w:val="450D13D7"/>
    <w:rsid w:val="45506656"/>
    <w:rsid w:val="4588349D"/>
    <w:rsid w:val="486A6C7A"/>
    <w:rsid w:val="4A627F82"/>
    <w:rsid w:val="4B0E749A"/>
    <w:rsid w:val="4B2477C4"/>
    <w:rsid w:val="4B4F25DA"/>
    <w:rsid w:val="4BE068DB"/>
    <w:rsid w:val="4D577224"/>
    <w:rsid w:val="4DBF1CEB"/>
    <w:rsid w:val="4DF0007C"/>
    <w:rsid w:val="4EAB630A"/>
    <w:rsid w:val="4ECE2238"/>
    <w:rsid w:val="4F833267"/>
    <w:rsid w:val="4FE9BD67"/>
    <w:rsid w:val="4FFB052F"/>
    <w:rsid w:val="52CA39B4"/>
    <w:rsid w:val="537E6D0A"/>
    <w:rsid w:val="53F74C96"/>
    <w:rsid w:val="55170BA8"/>
    <w:rsid w:val="553218C9"/>
    <w:rsid w:val="567E1AA5"/>
    <w:rsid w:val="56E47B74"/>
    <w:rsid w:val="57175D52"/>
    <w:rsid w:val="57980E19"/>
    <w:rsid w:val="57BD3DD4"/>
    <w:rsid w:val="5AF92295"/>
    <w:rsid w:val="5B250254"/>
    <w:rsid w:val="5BB121C0"/>
    <w:rsid w:val="5BDD79E6"/>
    <w:rsid w:val="5BF561CA"/>
    <w:rsid w:val="5BFF5DFC"/>
    <w:rsid w:val="5CD71FC4"/>
    <w:rsid w:val="5CF012FC"/>
    <w:rsid w:val="5D1F11B5"/>
    <w:rsid w:val="5D695134"/>
    <w:rsid w:val="5DAE1B18"/>
    <w:rsid w:val="5DE7D9E5"/>
    <w:rsid w:val="5ECEC941"/>
    <w:rsid w:val="5FBF9FF3"/>
    <w:rsid w:val="5FCD4E2C"/>
    <w:rsid w:val="5FEF394A"/>
    <w:rsid w:val="5FF67715"/>
    <w:rsid w:val="604F4E8B"/>
    <w:rsid w:val="611D6097"/>
    <w:rsid w:val="62BF3928"/>
    <w:rsid w:val="631D4DCC"/>
    <w:rsid w:val="63B3701E"/>
    <w:rsid w:val="647F5392"/>
    <w:rsid w:val="65E66580"/>
    <w:rsid w:val="664B1D71"/>
    <w:rsid w:val="664B4E8E"/>
    <w:rsid w:val="67277B67"/>
    <w:rsid w:val="67AA3209"/>
    <w:rsid w:val="698D0931"/>
    <w:rsid w:val="6A7FE5F3"/>
    <w:rsid w:val="6B02191B"/>
    <w:rsid w:val="6B053271"/>
    <w:rsid w:val="6BDD78B3"/>
    <w:rsid w:val="6C425C56"/>
    <w:rsid w:val="6C4A05C8"/>
    <w:rsid w:val="6C8742B8"/>
    <w:rsid w:val="6CAA294A"/>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713516"/>
    <w:rsid w:val="70C91D92"/>
    <w:rsid w:val="712A28F1"/>
    <w:rsid w:val="715C0E4B"/>
    <w:rsid w:val="71992E7C"/>
    <w:rsid w:val="72233669"/>
    <w:rsid w:val="72734D90"/>
    <w:rsid w:val="73160E6D"/>
    <w:rsid w:val="7332FE48"/>
    <w:rsid w:val="73AB61DA"/>
    <w:rsid w:val="73AD73D5"/>
    <w:rsid w:val="73B6EB34"/>
    <w:rsid w:val="73FA497D"/>
    <w:rsid w:val="744731E5"/>
    <w:rsid w:val="7480796C"/>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22C79"/>
    <w:rsid w:val="79D7FD79"/>
    <w:rsid w:val="79EE5BA4"/>
    <w:rsid w:val="7A894339"/>
    <w:rsid w:val="7AD284E8"/>
    <w:rsid w:val="7AFF7572"/>
    <w:rsid w:val="7B6C7DFB"/>
    <w:rsid w:val="7BBFBED0"/>
    <w:rsid w:val="7BC3E394"/>
    <w:rsid w:val="7C1F3737"/>
    <w:rsid w:val="7CBFC87B"/>
    <w:rsid w:val="7CFE0F48"/>
    <w:rsid w:val="7D272ABC"/>
    <w:rsid w:val="7D7EC23E"/>
    <w:rsid w:val="7E175E53"/>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30"/>
    </w:rPr>
  </w:style>
  <w:style w:type="paragraph" w:styleId="6">
    <w:name w:val="index 6"/>
    <w:basedOn w:val="1"/>
    <w:next w:val="1"/>
    <w:semiHidden/>
    <w:qFormat/>
    <w:uiPriority w:val="0"/>
    <w:pPr>
      <w:ind w:firstLine="640" w:firstLineChars="200"/>
    </w:p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正文首行缩进 21"/>
    <w:basedOn w:val="38"/>
    <w:qFormat/>
    <w:uiPriority w:val="0"/>
    <w:pPr>
      <w:ind w:firstLine="420" w:firstLineChars="200"/>
    </w:pPr>
  </w:style>
  <w:style w:type="paragraph" w:customStyle="1" w:styleId="38">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www.wps.cn/officeDocument/2018/webExtension" Target="webExtensions/webExtension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4.png"/><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percentStacked"/>
        <c:varyColors val="0"/>
        <c:ser>
          <c:idx val="0"/>
          <c:order val="0"/>
          <c:tx>
            <c:strRef>
              <c:f>[工作簿1]Sheet1!$K$87</c:f>
              <c:strCache>
                <c:ptCount val="1"/>
                <c:pt idx="0">
                  <c:v>单位:万元</c:v>
                </c:pt>
              </c:strCache>
            </c:strRef>
          </c:tx>
          <c:spPr>
            <a:solidFill>
              <a:schemeClr val="accent1"/>
            </a:solidFill>
            <a:ln>
              <a:solidFill>
                <a:schemeClr val="bg1"/>
              </a:solidFill>
            </a:ln>
            <a:effectLst/>
          </c:spPr>
          <c:invertIfNegative val="0"/>
          <c:dLbls>
            <c:dLbl>
              <c:idx val="0"/>
              <c:layout>
                <c:manualLayout>
                  <c:x val="0"/>
                  <c:y val="-0.09375"/>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94736842105263"/>
                  <c:y val="-0.0902777777777778"/>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[工作簿1]Sheet1!$J$88:$J$89</c:f>
              <c:strCache>
                <c:ptCount val="2"/>
                <c:pt idx="0">
                  <c:v>2024年度财政拨款收入、支出</c:v>
                </c:pt>
                <c:pt idx="1">
                  <c:v>2023年度财政拨款收入、支出</c:v>
                </c:pt>
              </c:strCache>
            </c:strRef>
          </c:cat>
          <c:val>
            <c:numRef>
              <c:f>[工作簿1]Sheet1!$K$88:$K$89</c:f>
              <c:numCache>
                <c:formatCode>General</c:formatCode>
                <c:ptCount val="2"/>
                <c:pt idx="0">
                  <c:v>273.33</c:v>
                </c:pt>
                <c:pt idx="1">
                  <c:v>223.32</c:v>
                </c:pt>
              </c:numCache>
            </c:numRef>
          </c:val>
        </c:ser>
        <c:dLbls>
          <c:showLegendKey val="0"/>
          <c:showVal val="1"/>
          <c:showCatName val="0"/>
          <c:showSerName val="0"/>
          <c:showPercent val="0"/>
          <c:showBubbleSize val="0"/>
        </c:dLbls>
        <c:gapWidth val="300"/>
        <c:overlap val="0"/>
        <c:axId val="507915210"/>
        <c:axId val="58485721"/>
      </c:barChart>
      <c:catAx>
        <c:axId val="5079152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485721"/>
        <c:crosses val="autoZero"/>
        <c:auto val="1"/>
        <c:lblAlgn val="ctr"/>
        <c:lblOffset val="100"/>
        <c:noMultiLvlLbl val="0"/>
      </c:catAx>
      <c:valAx>
        <c:axId val="58485721"/>
        <c:scaling>
          <c:orientation val="minMax"/>
        </c:scaling>
        <c:delete val="0"/>
        <c:axPos val="l"/>
        <c:majorGridlines>
          <c:spPr>
            <a:ln w="9525" cap="flat" cmpd="sng" algn="ctr">
              <a:solidFill>
                <a:schemeClr val="lt1">
                  <a:lumMod val="902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915210"/>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1831518-dadf-4bb0-94ce-73eb0c787c0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[工作簿1]Sheet1!$K$87</c:f>
              <c:strCache>
                <c:ptCount val="1"/>
                <c:pt idx="0">
                  <c:v>单位:万元</c:v>
                </c:pt>
              </c:strCache>
            </c:strRef>
          </c:tx>
          <c:spPr>
            <a:solidFill>
              <a:schemeClr val="accent1"/>
            </a:solidFill>
            <a:ln>
              <a:solidFill>
                <a:schemeClr val="bg1"/>
              </a:solidFill>
            </a:ln>
            <a:effectLst/>
          </c:spPr>
          <c:invertIfNegative val="0"/>
          <c:dLbls>
            <c:dLbl>
              <c:idx val="0"/>
              <c:layout>
                <c:manualLayout>
                  <c:x val="0"/>
                  <c:y val="-0.09375"/>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94736842105263"/>
                  <c:y val="-0.0902777777777778"/>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[工作簿1]Sheet1!$J$88:$J$89</c:f>
              <c:strCache>
                <c:ptCount val="2"/>
                <c:pt idx="0">
                  <c:v>2024一般公共预算财政拨款支出</c:v>
                </c:pt>
                <c:pt idx="1">
                  <c:v>2023年一般公共预算财政拨款支出</c:v>
                </c:pt>
              </c:strCache>
            </c:strRef>
          </c:cat>
          <c:val>
            <c:numRef>
              <c:f>[工作簿1]Sheet1!$K$88:$K$89</c:f>
              <c:numCache>
                <c:formatCode>General</c:formatCode>
                <c:ptCount val="2"/>
                <c:pt idx="0">
                  <c:v>208.02</c:v>
                </c:pt>
                <c:pt idx="1">
                  <c:v>137.79</c:v>
                </c:pt>
              </c:numCache>
            </c:numRef>
          </c:val>
        </c:ser>
        <c:dLbls>
          <c:showLegendKey val="0"/>
          <c:showVal val="1"/>
          <c:showCatName val="0"/>
          <c:showSerName val="0"/>
          <c:showPercent val="0"/>
          <c:showBubbleSize val="0"/>
        </c:dLbls>
        <c:gapWidth val="300"/>
        <c:overlap val="0"/>
        <c:axId val="507915210"/>
        <c:axId val="58485721"/>
      </c:barChart>
      <c:catAx>
        <c:axId val="5079152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485721"/>
        <c:crosses val="autoZero"/>
        <c:auto val="1"/>
        <c:lblAlgn val="ctr"/>
        <c:lblOffset val="100"/>
        <c:noMultiLvlLbl val="0"/>
      </c:catAx>
      <c:valAx>
        <c:axId val="58485721"/>
        <c:scaling>
          <c:orientation val="minMax"/>
        </c:scaling>
        <c:delete val="0"/>
        <c:axPos val="l"/>
        <c:majorGridlines>
          <c:spPr>
            <a:ln w="9525" cap="flat" cmpd="sng" algn="ctr">
              <a:solidFill>
                <a:schemeClr val="lt1">
                  <a:lumMod val="902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915210"/>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a9eb9aa-48b3-44b6-aac7-b4fc458ef84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1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1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24037;&#20316;&#31807;1" TargetMode="External"/></Relationships>
</file>

<file path=word/webExtensions/webExtension1.xml><?xml version="1.0" encoding="utf-8"?>
<wpswe:webExtension xmlns:wpswe="http://www.wps.cn/officeDocument/2018/webExtension" xmlns:webet="https://web.wps.cn/et/2018/main" webet:type="Normal" type="0">
  <wpswe:extSource id="webchart" version="3.0"/>
  <wpswe:properties>
    <wpswe:property key="demoData" value="{&quot;category&quot;:[&quot;类别1&quot;,&quot;类别2&quot;,&quot;类别3&quot;,&quot;类别4&quot;,&quot;类别5&quot;],&quot;data&quot;:[[&quot;&quot;,&quot;系列1&quot;],[&quot;类别1&quot;,24],[&quot;类别2&quot;,43],[&quot;类别3&quot;,65],[&quot;类别4&quot;,52],[&quot;类别5&quot;,40]],&quot;series&quot;:[&quot;&quot;,&quot;系列1&quot;]}"/>
    <wpswe:property key="extStyle" value="{&quot;series&quot;:[{&quot;barGap&quot;:&quot;28%&quot;,&quot;hoverAnimation&quot;:true,&quot;type&quot;:&quot;bar&quot;}],&quot;tooltip&quot;:{&quot;backgroundColor&quot;:{&quot;rgb&quot;:&quot;rgba(51,51,51,0.7)&quot;,&quot;row&quot;:-1,&quot;themeIndex&quot;:-1,&quot;type&quot;:0},&quot;borderWidth&quot;:0,&quot;confine&quot;:true,&quot;extraCssText&quot;:&quot;max-width: calc(100vw - 36px); overflow: hidden; white-space: nowrap; text-overflow: ellipsis; margin-left: 8px;&quot;},&quot;xAxis&quot;:{&quot;axisLabel&quot;:{&quot;margin&quot;:14}},&quot;yAxis&quot;:{&quot;axisLabel&quot;:{&quot;margin&quot;:8}}}"/>
    <wpswe:property key="isUseCommonErrorPage" value="false"/>
    <wpswe:property key="loadingImage" value="res:/icons/WebChartLoading_et.svg"/>
    <wpswe:property key="renderer" value="echarts"/>
    <wpswe:property key="resId" value="40000087"/>
    <wpswe:property key="sourceTheme" value="{&quot;colors&quot;:[&quot;#000000&quot;,&quot;#ffffff&quot;,&quot;#44546a&quot;,&quot;#e7e6e6&quot;,&quot;#4874cb&quot;,&quot;#ee822f&quot;,&quot;#f2ba02&quot;,&quot;#75bd42&quot;,&quot;#30c0b4&quot;,&quot;#e54c5e&quot;,&quot;#0026e5&quot;,&quot;#7e1fad&quot;,&quot;#000000&quot;,&quot;#ffffff&quot;,&quot;#44546a&quot;,&quot;#e7e6e6&quot;],&quot;fonts&quot;:[&quot;Calibri Light&quot;,&quot;宋体&quot;,&quot;Calibri&quot;,&quot;宋体&quot;]}"/>
    <wpswe:property key="style" value="{&quot;animation&quot;:true,&quot;backgroundColor&quot;:{&quot;type&quot;:0,&quot;rgb&quot;:&quot;#ffffff&quot;,&quot;themeIndex&quot;:13,&quot;row&quot;:0},&quot;borderColor&quot;:{&quot;type&quot;:0,&quot;rgb&quot;:&quot;#4874cb&quot;,&quot;themeIndex&quot;:4,&quot;row&quot;:0},&quot;global&quot;:{&quot;text&quot;:{&quot;bold&quot;:0,&quot;font&quot;:{&quot;name&quot;:&quot;宋体&quot;,&quot;nameType&quot;:2,&quot;langType&quot;:3},&quot;fontSize&quot;:10,&quot;italic&quot;:0}},&quot;interval&quot;:50,&quot;isTransformDateAxis&quot;:0,&quot;label&quot;:{&quot;position&quot;:&quot;outsideDataLabel&quot;,&quot;show&quot;:true,&quot;textStyle&quot;:{&quot;color&quot;:{&quot;rgb&quot;:&quot;#404040&quot;,&quot;row&quot;:3,&quot;themeIndex&quot;:12,&quot;type&quot;:1},&quot;fontFamily&quot;:{&quot;name&quot;:&quot;宋体&quot;,&quot;themeIndex&quot;:3,&quot;type&quot;:1},&quot;fontSize&quot;:9,&quot;fontStyle&quot;:&quot;normal&quot;,&quot;fontWeight&quot;:&quot;normal&quot;}},&quot;legend&quot;:{&quot;position&quot;:&quot;rightCenter&quot;,&quot;show&quot;:true,&quot;textStyle&quot;:{&quot;color&quot;:{&quot;rgb&quot;:&quot;#595959&quot;,&quot;row&quot;:2,&quot;themeIndex&quot;:12,&quot;type&quot;:1},&quot;fontFamily&quot;:{&quot;name&quot;:&quot;宋体&quot;,&quot;themeIndex&quot;:3,&quot;type&quot;:1},&quot;fontSize&quot;:9,&quot;fontStyle&quot;:&quot;normal&quot;,&quot;fontWeight&quot;:&quot;normal&quot;}},&quot;max&quot;:300,&quot;min&quot;:0,&quot;seriesThemeColor&quot;:[&quot;#60ABFD&quot;,&quot;#4A8DDE&quot;,&quot;#336EBE&quot;,&quot;#2256A4&quot;,&quot;#113E8C&quot;,&quot;#002774&quot;],&quot;title&quot;:{&quot;position&quot;:&quot;topRight&quot;,&quot;show&quot;:true,&quot;text&quot;:&quot;单位:万元&quot;,&quot;textStyle&quot;:{&quot;color&quot;:{&quot;rgb&quot;:&quot;#404040&quot;,&quot;row&quot;:3,&quot;themeIndex&quot;:12,&quot;type&quot;:1},&quot;fontFamily&quot;:{&quot;name&quot;:&quot;宋体&quot;,&quot;themeIndex&quot;:3,&quot;type&quot;:1},&quot;fontSize&quot;:14,&quot;fontStyle&quot;:&quot;normal&quot;,&quot;fontWeight&quot;:&quot;bold&quot;}},&quot;tooltip&quot;:{&quot;show&quot;:true,&quot;textStyle&quot;:{&quot;color&quot;:{&quot;rgb&quot;:&quot;#FFFFFF&quot;,&quot;row&quot;:-1,&quot;themeIndex&quot;:-1,&quot;type&quot;:0},&quot;fontFamily&quot;:{&quot;name&quot;:&quot;宋体&quot;,&quot;themeIndex&quot;:3,&quot;type&quot;:1},&quot;fontSize&quot;:9,&quot;fontStyle&quot;:&quot;normal&quot;,&quot;fontWeight&quot;:&quot;normal&quot;}},&quot;xAxis&quot;:{&quot;axisLabel&quot;:{&quot;show&quot;:true,&quot;textStyle&quot;:{&quot;color&quot;:{&quot;rgb&quot;:&quot;#595959&quot;,&quot;row&quot;:2,&quot;themeIndex&quot;:12,&quot;type&quot;:1},&quot;fontFamily&quot;:{&quot;name&quot;:&quot;宋体&quot;,&quot;themeIndex&quot;:3,&quot;type&quot;:1},&quot;fontSize&quot;:9,&quot;fontStyle&quot;:&quot;normal&quot;,&quot;fontWeight&quot;:&quot;normal&quot;}},&quot;axisLine&quot;:{&quot;lineStyle&quot;:{&quot;color&quot;:{&quot;type&quot;:0,&quot;rgb&quot;:&quot;#4874cb&quot;,&quot;themeIndex&quot;:4,&quot;row&quot;:0},&quot;width&quot;:1},&quot;show&quot;:true},&quot;axisTick&quot;:{&quot;alignWithLabel&quot;:true,&quot;show&quot;:true,&quot;inside&quot;:true},&quot;name&quot;:{&quot;show&quot;:false,&quot;text&quot;:&quot;X轴&quot;,&quot;textStyle&quot;:{&quot;color&quot;:{&quot;rgb&quot;:&quot;#595959&quot;,&quot;row&quot;:2,&quot;themeIndex&quot;:12,&quot;type&quot;:1},&quot;fontFamily&quot;:{&quot;name&quot;:&quot;宋体&quot;,&quot;themeIndex&quot;:3,&quot;type&quot;:1},&quot;fontSize&quot;:9,&quot;fontStyle&quot;:&quot;normal&quot;,&quot;fontWeight&quot;:&quot;normal&quot;}},&quot;splitLine&quot;:{&quot;lineStyle&quot;:{&quot;color&quot;:{&quot;rgb&quot;:&quot;#E6E6E6&quot;,&quot;row&quot;:-1,&quot;themeIndex&quot;:-1,&quot;type&quot;:0},&quot;width&quot;:1},&quot;show&quot;:false},&quot;type&quot;:&quot;category&quot;},&quot;yAxis&quot;:{&quot;axisLabel&quot;:{&quot;show&quot;:true,&quot;textStyle&quot;:{&quot;fontFamily&quot;:{&quot;type&quot;:1,&quot;name&quot;:&quot;&quot;,&quot;themeIndex&quot;:&quot;3&quot;},&quot;fontSize&quot;:9,&quot;fontStyle&quot;:&quot;normal&quot;,&quot;fontWeight&quot;:&quot;normal&quot;,&quot;color&quot;:{&quot;type&quot;:0,&quot;rgb&quot;:&quot;#4874cb&quot;,&quot;themeIndex&quot;:4,&quot;row&quot;:0}}},&quot;axisLine&quot;:{&quot;lineStyle&quot;:{&quot;color&quot;:{&quot;rgb&quot;:&quot;#D9D9D9&quot;,&quot;row&quot;:2,&quot;themeIndex&quot;:13,&quot;type&quot;:1},&quot;width&quot;:1},&quot;show&quot;:true},&quot;axisTick&quot;:{&quot;show&quot;:true},&quot;name&quot;:{&quot;show&quot;:false,&quot;text&quot;:&quot;Y轴&quot;,&quot;textStyle&quot;:{&quot;color&quot;:{&quot;rgb&quot;:&quot;#595959&quot;,&quot;row&quot;:2,&quot;themeIndex&quot;:12,&quot;type&quot;:1},&quot;fontFamily&quot;:{&quot;name&quot;:&quot;宋体&quot;,&quot;themeIndex&quot;:3,&quot;type&quot;:1},&quot;fontSize&quot;:9,&quot;fontStyle&quot;:&quot;normal&quot;,&quot;fontWeight&quot;:&quot;normal&quot;}},&quot;splitLine&quot;:{&quot;lineStyle&quot;:{&quot;color&quot;:{&quot;rgb&quot;:&quot;#E6E6E6&quot;,&quot;row&quot;:-1,&quot;themeIndex&quot;:-1,&quot;type&quot;:0},&quot;width&quot;:1},&quot;show&quot;:true},&quot;type&quot;:&quot;value&quot;},&quot;animationLoop&quot;:false,&quot;animationDurationUpdate&quot;:1500,&quot;animationDuration&quot;:1500,&quot;divideType&quot;:&quot;portrait&quot;,&quot;max_origin&quot;:300,&quot;min_origin&quot;:0,&quot;interval_origin&quot;:50,&quot;seriesDir&quot;:&quot;col&quot;,&quot;seriesColor&quot;:{&quot;0&quot;:{&quot;type&quot;:0,&quot;rgb&quot;:&quot;#4874cb&quot;,&quot;themeIndex&quot;:4,&quot;row&quot;:0}},&quot;selectedSeriesData&quot;:[0],&quot;selectedCategoryData&quot;:[0,1]}"/>
    <wpswe:property key="themeOverride" value="false"/>
    <wpswe:property key="type" value="2d-column"/>
  </wpswe:properties>
  <wpswe:watchingCache>
    <wpswe:linkPath>工作簿1</wpswe:linkPath>
    <wpswe:dataRange>
      <wpswe:key>webchart</wpswe:key>
      <wpswe:context>Sheet1!$K$10:$L$11</wpswe:context>
      <wpswe:count>2</wpswe:count>
      <wpswe:cells wpswe:idx="0">
        <wpswe:count>2</wpswe:count>
        <wpswe:formatCode>General</wpswe:formatCode>
        <wpswe:cell wpswe:idx="0">
          <wpswe:value>2023年收、支</wpswe:value>
        </wpswe:cell>
        <wpswe:cell wpswe:idx="1">
          <wpswe:value>223.32</wpswe:value>
        </wpswe:cell>
      </wpswe:cells>
      <wpswe:cells wpswe:idx="1">
        <wpswe:count>2</wpswe:count>
        <wpswe:formatCode>General</wpswe:formatCode>
        <wpswe:cell wpswe:idx="0">
          <wpswe:value>2024年收、支</wpswe:value>
        </wpswe:cell>
        <wpswe:cell wpswe:idx="1">
          <wpswe:value>273.33</wpswe:value>
        </wpswe:cell>
      </wpswe:cells>
    </wpswe:dataRange>
  </wpswe:watchingCache>
  <wpswe:snapshot xmlns:r="http://schemas.openxmlformats.org/officeDocument/2006/relationships" r:embed="rId2"/>
  <wpswe:externalData xmlns:r="http://schemas.openxmlformats.org/officeDocument/2006/relationships" r:id="rId1"/>
  <wpswe:url>https://clientweb.docer.wps.cn/web-chart/v1/web-shape.html#/home</wpswe:url>
  <wpswe:constantSnapshot>false</wpswe:constantSnapshot>
</wpswe:webExtension>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10399</Words>
  <Characters>11494</Characters>
  <Lines>61</Lines>
  <Paragraphs>17</Paragraphs>
  <TotalTime>44</TotalTime>
  <ScaleCrop>false</ScaleCrop>
  <LinksUpToDate>false</LinksUpToDate>
  <CharactersWithSpaces>11586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2025-11-26T02:14:00Z</cp:lastPrinted>
  <dcterms:modified xsi:type="dcterms:W3CDTF">2025-12-04T00:30:10Z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35C8774B2C9F4CB9ACCC7141DC77664E_13</vt:lpwstr>
  </property>
  <property fmtid="{D5CDD505-2E9C-101B-9397-08002B2CF9AE}" pid="4" name="KSOTemplateDocerSaveRecord">
    <vt:lpwstr>eyJoZGlkIjoiNjY1ZjhmYjM0MDVlMmI3Y2E4YmJmMDI4MGI0MjllMWUifQ==</vt:lpwstr>
  </property>
</Properties>
</file>