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19388">
      <w:pPr>
        <w:ind w:firstLine="640"/>
      </w:pPr>
      <w:bookmarkStart w:id="0" w:name="_Hlk214965900"/>
      <w:bookmarkEnd w:id="0"/>
      <w:bookmarkStart w:id="1" w:name="_Toc15396475"/>
      <w:bookmarkStart w:id="2" w:name="_Toc15377193"/>
      <w:bookmarkStart w:id="3" w:name="_Toc15306267"/>
      <w:bookmarkStart w:id="4" w:name="_Toc15378441"/>
      <w:bookmarkStart w:id="5" w:name="_Toc15396597"/>
      <w:bookmarkStart w:id="6" w:name="_Toc15377425"/>
    </w:p>
    <w:p w14:paraId="67255772">
      <w:pPr>
        <w:pStyle w:val="2"/>
        <w:ind w:firstLine="360"/>
      </w:pPr>
    </w:p>
    <w:p w14:paraId="1DD12912">
      <w:pPr>
        <w:pStyle w:val="3"/>
        <w:ind w:left="640" w:firstLine="640"/>
      </w:pPr>
    </w:p>
    <w:p w14:paraId="3F0D66C6">
      <w:pPr>
        <w:pStyle w:val="3"/>
        <w:ind w:left="640" w:firstLine="640"/>
      </w:pPr>
    </w:p>
    <w:p w14:paraId="075DCF1F">
      <w:pPr>
        <w:adjustRightInd w:val="0"/>
        <w:snapToGrid w:val="0"/>
        <w:spacing w:line="360" w:lineRule="auto"/>
        <w:ind w:firstLine="2354" w:firstLineChars="327"/>
        <w:outlineLvl w:val="0"/>
        <w:rPr>
          <w:rFonts w:ascii="方正小标宋简体" w:hAnsi="方正小标宋简体" w:eastAsia="方正小标宋简体" w:cs="方正小标宋简体"/>
          <w:sz w:val="72"/>
          <w:szCs w:val="72"/>
        </w:rPr>
      </w:pPr>
      <w:bookmarkStart w:id="7" w:name="_Toc214964009"/>
      <w:r>
        <w:rPr>
          <w:rFonts w:hint="eastAsia" w:ascii="方正小标宋简体" w:hAnsi="方正小标宋简体" w:eastAsia="方正小标宋简体" w:cs="方正小标宋简体"/>
          <w:sz w:val="72"/>
          <w:szCs w:val="72"/>
        </w:rPr>
        <w:t>2024年度</w:t>
      </w:r>
      <w:bookmarkEnd w:id="7"/>
    </w:p>
    <w:p w14:paraId="02A3BDBB">
      <w:pPr>
        <w:adjustRightInd w:val="0"/>
        <w:snapToGrid w:val="0"/>
        <w:spacing w:line="360" w:lineRule="auto"/>
        <w:ind w:firstLine="0" w:firstLineChars="0"/>
        <w:jc w:val="center"/>
        <w:outlineLvl w:val="0"/>
        <w:rPr>
          <w:rFonts w:ascii="方正小标宋简体" w:hAnsi="方正小标宋简体" w:eastAsia="方正小标宋简体" w:cs="方正小标宋简体"/>
          <w:sz w:val="72"/>
          <w:szCs w:val="72"/>
        </w:rPr>
      </w:pPr>
      <w:bookmarkStart w:id="8" w:name="_Toc214964010"/>
      <w:r>
        <w:rPr>
          <w:rFonts w:hint="eastAsia" w:ascii="方正小标宋简体" w:hAnsi="方正小标宋简体" w:eastAsia="方正小标宋简体" w:cs="方正小标宋简体"/>
          <w:sz w:val="72"/>
          <w:szCs w:val="72"/>
        </w:rPr>
        <w:t>四川省乐山市峨眉山市</w:t>
      </w:r>
      <w:bookmarkEnd w:id="8"/>
    </w:p>
    <w:p w14:paraId="4C5BA5F7">
      <w:pPr>
        <w:adjustRightInd w:val="0"/>
        <w:snapToGrid w:val="0"/>
        <w:spacing w:line="360" w:lineRule="auto"/>
        <w:ind w:firstLine="0" w:firstLineChars="0"/>
        <w:jc w:val="center"/>
        <w:outlineLvl w:val="0"/>
        <w:rPr>
          <w:rFonts w:hint="eastAsia" w:ascii="方正小标宋简体" w:hAnsi="方正小标宋简体" w:eastAsia="方正小标宋简体" w:cs="方正小标宋简体"/>
          <w:sz w:val="72"/>
          <w:szCs w:val="72"/>
        </w:rPr>
      </w:pPr>
      <w:bookmarkStart w:id="9" w:name="_Toc214964011"/>
      <w:r>
        <w:rPr>
          <w:rFonts w:hint="eastAsia" w:ascii="方正小标宋简体" w:hAnsi="方正小标宋简体" w:eastAsia="方正小标宋简体" w:cs="方正小标宋简体"/>
          <w:sz w:val="72"/>
          <w:szCs w:val="72"/>
        </w:rPr>
        <w:t>教师培训中心</w:t>
      </w:r>
    </w:p>
    <w:p w14:paraId="2FC7DB71">
      <w:pPr>
        <w:adjustRightInd w:val="0"/>
        <w:snapToGrid w:val="0"/>
        <w:spacing w:line="360" w:lineRule="auto"/>
        <w:ind w:firstLine="0" w:firstLineChars="0"/>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9"/>
    </w:p>
    <w:p w14:paraId="59E2B269">
      <w:pPr>
        <w:adjustRightInd w:val="0"/>
        <w:snapToGrid w:val="0"/>
        <w:spacing w:line="360" w:lineRule="auto"/>
        <w:ind w:firstLine="0" w:firstLineChars="0"/>
        <w:jc w:val="center"/>
        <w:outlineLvl w:val="0"/>
        <w:rPr>
          <w:rFonts w:ascii="方正小标宋简体" w:hAnsi="方正小标宋简体" w:eastAsia="方正小标宋简体" w:cs="方正小标宋简体"/>
          <w:sz w:val="72"/>
          <w:szCs w:val="72"/>
        </w:rPr>
      </w:pPr>
    </w:p>
    <w:p w14:paraId="6B3D49CD">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titlePg/>
          <w:docGrid w:type="lines" w:linePitch="312" w:charSpace="0"/>
        </w:sectPr>
      </w:pPr>
    </w:p>
    <w:bookmarkEnd w:id="1"/>
    <w:bookmarkEnd w:id="2"/>
    <w:bookmarkEnd w:id="3"/>
    <w:bookmarkEnd w:id="4"/>
    <w:bookmarkEnd w:id="5"/>
    <w:bookmarkEnd w:id="6"/>
    <w:p w14:paraId="39541530">
      <w:pPr>
        <w:pStyle w:val="5"/>
        <w:ind w:firstLine="880"/>
      </w:pPr>
      <w:bookmarkStart w:id="10" w:name="_Toc214964013"/>
      <w:r>
        <w:rPr>
          <w:rFonts w:hint="eastAsia"/>
        </w:rPr>
        <w:t>目录</w:t>
      </w:r>
      <w:bookmarkEnd w:id="10"/>
    </w:p>
    <w:p w14:paraId="0D603B8B">
      <w:pPr>
        <w:ind w:firstLine="640"/>
        <w:jc w:val="center"/>
        <w:rPr>
          <w:rFonts w:cs="仿宋_GB2312"/>
        </w:rPr>
      </w:pPr>
      <w:r>
        <w:rPr>
          <w:rFonts w:hint="eastAsia" w:cs="仿宋_GB2312"/>
        </w:rPr>
        <w:t>公开时间：202</w:t>
      </w:r>
      <w:r>
        <w:rPr>
          <w:rFonts w:hint="eastAsia" w:cs="仿宋_GB2312"/>
          <w:lang w:val="en-US" w:eastAsia="zh-CN"/>
        </w:rPr>
        <w:t>5</w:t>
      </w:r>
      <w:r>
        <w:rPr>
          <w:rFonts w:hint="eastAsia" w:cs="仿宋_GB2312"/>
        </w:rPr>
        <w:t>年 1</w:t>
      </w:r>
      <w:r>
        <w:rPr>
          <w:rFonts w:hint="eastAsia" w:cs="仿宋_GB2312"/>
          <w:lang w:val="en-US" w:eastAsia="zh-CN"/>
        </w:rPr>
        <w:t>2</w:t>
      </w:r>
      <w:r>
        <w:rPr>
          <w:rFonts w:hint="eastAsia" w:cs="仿宋_GB2312"/>
        </w:rPr>
        <w:t xml:space="preserve"> 月 </w:t>
      </w:r>
      <w:r>
        <w:rPr>
          <w:rFonts w:hint="eastAsia" w:cs="仿宋_GB2312"/>
          <w:lang w:val="en-US" w:eastAsia="zh-CN"/>
        </w:rPr>
        <w:t>4</w:t>
      </w:r>
      <w:bookmarkStart w:id="85" w:name="_GoBack"/>
      <w:bookmarkEnd w:id="85"/>
      <w:r>
        <w:rPr>
          <w:rFonts w:hint="eastAsia" w:cs="仿宋_GB2312"/>
        </w:rPr>
        <w:t xml:space="preserve"> 日</w:t>
      </w:r>
    </w:p>
    <w:p w14:paraId="3B84A31C">
      <w:pPr>
        <w:pStyle w:val="14"/>
        <w:tabs>
          <w:tab w:val="right" w:leader="dot" w:pos="9730"/>
          <w:tab w:val="clear" w:pos="8296"/>
        </w:tabs>
        <w:ind w:left="0" w:leftChars="0" w:firstLine="640"/>
      </w:pPr>
      <w:bookmarkStart w:id="11" w:name="_Hlk214961405"/>
      <w:bookmarkStart w:id="12" w:name="_Toc15377196"/>
      <w:bookmarkStart w:id="13" w:name="_Toc15396599"/>
      <w:r>
        <w:rPr>
          <w:rFonts w:hint="eastAsia" w:ascii="黑体" w:hAnsi="黑体" w:eastAsia="黑体" w:cs="黑体"/>
          <w:szCs w:val="32"/>
        </w:rPr>
        <w:t>第一部分 单位概况</w:t>
      </w:r>
      <w:r>
        <w:fldChar w:fldCharType="begin"/>
      </w:r>
      <w:r>
        <w:instrText xml:space="preserve"> HYPERLINK \l "_Toc60821794" </w:instrText>
      </w:r>
      <w:r>
        <w:fldChar w:fldCharType="separate"/>
      </w:r>
      <w:r>
        <w:tab/>
      </w:r>
      <w:r>
        <w:rPr>
          <w:rFonts w:hint="eastAsia"/>
        </w:rPr>
        <w:t>4</w:t>
      </w:r>
      <w:r>
        <w:rPr>
          <w:rFonts w:hint="eastAsia"/>
        </w:rPr>
        <w:fldChar w:fldCharType="end"/>
      </w:r>
    </w:p>
    <w:p w14:paraId="65D05780">
      <w:pPr>
        <w:pStyle w:val="14"/>
        <w:tabs>
          <w:tab w:val="right" w:leader="dot" w:pos="9730"/>
          <w:tab w:val="clear" w:pos="8296"/>
        </w:tabs>
        <w:ind w:left="0" w:leftChars="0" w:firstLine="640"/>
      </w:pPr>
      <w:r>
        <w:rPr>
          <w:rFonts w:hint="eastAsia" w:ascii="仿宋_GB2312" w:hAnsi="仿宋_GB2312" w:cs="仿宋_GB2312"/>
          <w:szCs w:val="32"/>
        </w:rPr>
        <w:t>一、主要职责</w:t>
      </w:r>
      <w:r>
        <w:fldChar w:fldCharType="begin"/>
      </w:r>
      <w:r>
        <w:instrText xml:space="preserve"> HYPERLINK \l "_Toc60821794" </w:instrText>
      </w:r>
      <w:r>
        <w:fldChar w:fldCharType="separate"/>
      </w:r>
      <w:r>
        <w:tab/>
      </w:r>
      <w:r>
        <w:rPr>
          <w:rFonts w:hint="eastAsia"/>
        </w:rPr>
        <w:t>4</w:t>
      </w:r>
      <w:r>
        <w:rPr>
          <w:rFonts w:hint="eastAsia"/>
        </w:rPr>
        <w:fldChar w:fldCharType="end"/>
      </w:r>
    </w:p>
    <w:p w14:paraId="1C2F2126">
      <w:pPr>
        <w:pStyle w:val="14"/>
        <w:tabs>
          <w:tab w:val="right" w:leader="dot" w:pos="9730"/>
          <w:tab w:val="clear" w:pos="8296"/>
        </w:tabs>
        <w:ind w:left="0" w:leftChars="0" w:firstLine="640"/>
        <w:outlineLvl w:val="0"/>
      </w:pPr>
      <w:r>
        <w:rPr>
          <w:rFonts w:hint="eastAsia" w:ascii="仿宋_GB2312" w:hAnsi="仿宋_GB2312" w:cs="仿宋_GB2312"/>
          <w:szCs w:val="32"/>
        </w:rPr>
        <w:t>二、机构设置</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1</w:t>
      </w:r>
    </w:p>
    <w:p w14:paraId="510A0FF2">
      <w:pPr>
        <w:pStyle w:val="14"/>
        <w:tabs>
          <w:tab w:val="right" w:leader="dot" w:pos="9730"/>
          <w:tab w:val="clear" w:pos="8296"/>
        </w:tabs>
        <w:ind w:left="0" w:leftChars="0" w:firstLine="640"/>
      </w:pPr>
      <w:r>
        <w:rPr>
          <w:rFonts w:hint="eastAsia" w:ascii="黑体" w:hAnsi="黑体" w:eastAsia="黑体" w:cs="黑体"/>
          <w:szCs w:val="32"/>
        </w:rPr>
        <w:t>第二部分 202</w:t>
      </w:r>
      <w:r>
        <w:rPr>
          <w:rFonts w:hint="eastAsia" w:ascii="黑体" w:hAnsi="黑体" w:eastAsia="黑体" w:cs="黑体"/>
          <w:szCs w:val="32"/>
          <w:lang w:val="en-US" w:eastAsia="zh-CN"/>
        </w:rPr>
        <w:t>4</w:t>
      </w:r>
      <w:r>
        <w:rPr>
          <w:rFonts w:hint="eastAsia" w:ascii="黑体" w:hAnsi="黑体" w:eastAsia="黑体" w:cs="黑体"/>
          <w:szCs w:val="32"/>
        </w:rPr>
        <w:t>年度单位决算情况说明</w:t>
      </w:r>
      <w:r>
        <w:fldChar w:fldCharType="begin"/>
      </w:r>
      <w:r>
        <w:instrText xml:space="preserve"> HYPERLINK \l "_Toc60821794" </w:instrText>
      </w:r>
      <w:r>
        <w:fldChar w:fldCharType="separate"/>
      </w:r>
      <w:r>
        <w:tab/>
      </w:r>
      <w:r>
        <w:fldChar w:fldCharType="end"/>
      </w:r>
      <w:r>
        <w:rPr>
          <w:rFonts w:hint="eastAsia"/>
        </w:rPr>
        <w:t>12</w:t>
      </w:r>
    </w:p>
    <w:p w14:paraId="293BC9FD">
      <w:pPr>
        <w:pStyle w:val="14"/>
        <w:tabs>
          <w:tab w:val="right" w:leader="dot" w:pos="9730"/>
          <w:tab w:val="clear" w:pos="8296"/>
        </w:tabs>
        <w:ind w:left="0" w:leftChars="0" w:firstLine="640"/>
      </w:pPr>
      <w:r>
        <w:rPr>
          <w:rFonts w:hint="eastAsia" w:ascii="仿宋_GB2312" w:hAnsi="仿宋_GB2312" w:cs="仿宋_GB2312"/>
          <w:szCs w:val="32"/>
        </w:rPr>
        <w:t>一、收入支出决算总体情况说明</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2</w:t>
      </w:r>
    </w:p>
    <w:p w14:paraId="57D6698D">
      <w:pPr>
        <w:pStyle w:val="14"/>
        <w:tabs>
          <w:tab w:val="right" w:leader="dot" w:pos="9730"/>
          <w:tab w:val="clear" w:pos="8296"/>
        </w:tabs>
        <w:ind w:left="0" w:leftChars="0" w:firstLine="640"/>
      </w:pPr>
      <w:r>
        <w:rPr>
          <w:rFonts w:hint="eastAsia" w:ascii="仿宋_GB2312" w:hAnsi="仿宋_GB2312" w:cs="仿宋_GB2312"/>
          <w:szCs w:val="32"/>
        </w:rPr>
        <w:t>二、收入决算情况说明</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3</w:t>
      </w:r>
    </w:p>
    <w:p w14:paraId="53821A58">
      <w:pPr>
        <w:pStyle w:val="14"/>
        <w:tabs>
          <w:tab w:val="right" w:leader="dot" w:pos="9730"/>
          <w:tab w:val="clear" w:pos="8296"/>
        </w:tabs>
        <w:ind w:left="0" w:leftChars="0" w:firstLine="640"/>
      </w:pPr>
      <w:r>
        <w:rPr>
          <w:rFonts w:hint="eastAsia" w:ascii="仿宋_GB2312" w:hAnsi="仿宋_GB2312" w:cs="仿宋_GB2312"/>
          <w:szCs w:val="32"/>
        </w:rPr>
        <w:t>三、支出决算情况说明</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3</w:t>
      </w:r>
    </w:p>
    <w:p w14:paraId="12976A21">
      <w:pPr>
        <w:pStyle w:val="14"/>
        <w:tabs>
          <w:tab w:val="right" w:leader="dot" w:pos="9730"/>
          <w:tab w:val="clear" w:pos="8296"/>
        </w:tabs>
        <w:ind w:left="0" w:leftChars="0" w:firstLine="640"/>
      </w:pPr>
      <w:r>
        <w:rPr>
          <w:rFonts w:hint="eastAsia" w:ascii="仿宋_GB2312" w:hAnsi="仿宋_GB2312" w:cs="仿宋_GB2312"/>
          <w:szCs w:val="32"/>
        </w:rPr>
        <w:t>四、财政拨款收入支出决算总体情况说明</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4</w:t>
      </w:r>
    </w:p>
    <w:p w14:paraId="0FF8CF27">
      <w:pPr>
        <w:pStyle w:val="14"/>
        <w:tabs>
          <w:tab w:val="right" w:leader="dot" w:pos="9730"/>
          <w:tab w:val="clear" w:pos="8296"/>
        </w:tabs>
        <w:ind w:left="0" w:leftChars="0" w:firstLine="640"/>
      </w:pPr>
      <w:r>
        <w:rPr>
          <w:rFonts w:hint="eastAsia" w:ascii="仿宋_GB2312" w:hAnsi="仿宋_GB2312" w:cs="仿宋_GB2312"/>
          <w:szCs w:val="32"/>
        </w:rPr>
        <w:t>五、一般公共预算财政拨款支出决算情况说明</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5</w:t>
      </w:r>
    </w:p>
    <w:p w14:paraId="2C4194FA">
      <w:pPr>
        <w:pStyle w:val="14"/>
        <w:tabs>
          <w:tab w:val="right" w:leader="dot" w:pos="9730"/>
          <w:tab w:val="clear" w:pos="8296"/>
        </w:tabs>
        <w:ind w:left="0" w:leftChars="0" w:firstLine="640"/>
      </w:pPr>
      <w:r>
        <w:rPr>
          <w:rFonts w:hint="eastAsia" w:ascii="仿宋_GB2312" w:hAnsi="仿宋_GB2312" w:cs="仿宋_GB2312"/>
          <w:szCs w:val="32"/>
        </w:rPr>
        <w:t>六、一般公共预算财政拨款基本支出决算情况说明</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8</w:t>
      </w:r>
    </w:p>
    <w:p w14:paraId="226182BF">
      <w:pPr>
        <w:pStyle w:val="14"/>
        <w:tabs>
          <w:tab w:val="right" w:leader="dot" w:pos="9730"/>
          <w:tab w:val="clear" w:pos="8296"/>
        </w:tabs>
        <w:ind w:left="0" w:leftChars="0" w:firstLine="640"/>
      </w:pPr>
      <w:r>
        <w:rPr>
          <w:rFonts w:hint="eastAsia" w:ascii="仿宋_GB2312" w:hAnsi="仿宋_GB2312" w:cs="仿宋_GB2312"/>
          <w:szCs w:val="32"/>
        </w:rPr>
        <w:t>七、“三公”经费财政拨款支出决算情况说明</w:t>
      </w:r>
      <w:r>
        <w:fldChar w:fldCharType="begin"/>
      </w:r>
      <w:r>
        <w:instrText xml:space="preserve"> HYPERLINK \l "_Toc60821794" </w:instrText>
      </w:r>
      <w:r>
        <w:fldChar w:fldCharType="separate"/>
      </w:r>
      <w:r>
        <w:tab/>
      </w:r>
      <w:r>
        <w:fldChar w:fldCharType="end"/>
      </w:r>
      <w:r>
        <w:rPr>
          <w:rFonts w:hint="eastAsia"/>
        </w:rPr>
        <w:t>19</w:t>
      </w:r>
    </w:p>
    <w:p w14:paraId="43C67AF7">
      <w:pPr>
        <w:pStyle w:val="14"/>
        <w:tabs>
          <w:tab w:val="right" w:leader="dot" w:pos="9730"/>
          <w:tab w:val="clear" w:pos="8296"/>
        </w:tabs>
        <w:ind w:left="0" w:leftChars="0" w:firstLine="640"/>
      </w:pPr>
      <w:r>
        <w:rPr>
          <w:rFonts w:hint="eastAsia" w:ascii="仿宋_GB2312" w:hAnsi="仿宋_GB2312" w:cs="仿宋_GB2312"/>
          <w:szCs w:val="32"/>
        </w:rPr>
        <w:t>八、政府性基金预算支出决算情况说明</w:t>
      </w:r>
      <w:r>
        <w:fldChar w:fldCharType="begin"/>
      </w:r>
      <w:r>
        <w:instrText xml:space="preserve"> HYPERLINK \l "_Toc60821794" </w:instrText>
      </w:r>
      <w:r>
        <w:fldChar w:fldCharType="separate"/>
      </w:r>
      <w:r>
        <w:tab/>
      </w:r>
      <w:r>
        <w:fldChar w:fldCharType="end"/>
      </w:r>
      <w:r>
        <w:rPr>
          <w:rFonts w:hint="eastAsia"/>
        </w:rPr>
        <w:t>20</w:t>
      </w:r>
    </w:p>
    <w:p w14:paraId="725E0A58">
      <w:pPr>
        <w:pStyle w:val="14"/>
        <w:tabs>
          <w:tab w:val="right" w:leader="dot" w:pos="9730"/>
          <w:tab w:val="clear" w:pos="8296"/>
        </w:tabs>
        <w:ind w:left="0" w:leftChars="0" w:firstLine="640"/>
      </w:pPr>
      <w:r>
        <w:rPr>
          <w:rFonts w:hint="eastAsia" w:ascii="仿宋_GB2312" w:hAnsi="仿宋_GB2312" w:cs="仿宋_GB2312"/>
          <w:szCs w:val="32"/>
        </w:rPr>
        <w:t>九、国有资本经营预算支出决算情况说明</w:t>
      </w:r>
      <w:r>
        <w:fldChar w:fldCharType="begin"/>
      </w:r>
      <w:r>
        <w:instrText xml:space="preserve"> HYPERLINK \l "_Toc60821794" </w:instrText>
      </w:r>
      <w:r>
        <w:fldChar w:fldCharType="separate"/>
      </w:r>
      <w:r>
        <w:tab/>
      </w:r>
      <w:r>
        <w:fldChar w:fldCharType="end"/>
      </w:r>
      <w:r>
        <w:rPr>
          <w:rFonts w:hint="eastAsia"/>
        </w:rPr>
        <w:t>21</w:t>
      </w:r>
    </w:p>
    <w:p w14:paraId="7E05D8FC">
      <w:pPr>
        <w:pStyle w:val="14"/>
        <w:tabs>
          <w:tab w:val="right" w:leader="dot" w:pos="9730"/>
          <w:tab w:val="clear" w:pos="8296"/>
        </w:tabs>
        <w:ind w:left="0" w:leftChars="0" w:firstLine="640"/>
      </w:pPr>
      <w:r>
        <w:rPr>
          <w:rFonts w:hint="eastAsia" w:ascii="仿宋_GB2312" w:hAnsi="仿宋_GB2312" w:cs="仿宋_GB2312"/>
          <w:szCs w:val="32"/>
        </w:rPr>
        <w:t>十、其他重要事项的情况说明</w:t>
      </w:r>
      <w:r>
        <w:fldChar w:fldCharType="begin"/>
      </w:r>
      <w:r>
        <w:instrText xml:space="preserve"> HYPERLINK \l "_Toc60821794" </w:instrText>
      </w:r>
      <w:r>
        <w:fldChar w:fldCharType="separate"/>
      </w:r>
      <w:r>
        <w:tab/>
      </w:r>
      <w:r>
        <w:fldChar w:fldCharType="end"/>
      </w:r>
      <w:r>
        <w:rPr>
          <w:rFonts w:hint="eastAsia"/>
        </w:rPr>
        <w:t>21</w:t>
      </w:r>
    </w:p>
    <w:p w14:paraId="3D0A83F8">
      <w:pPr>
        <w:pStyle w:val="14"/>
        <w:tabs>
          <w:tab w:val="right" w:leader="dot" w:pos="9730"/>
          <w:tab w:val="clear" w:pos="8296"/>
        </w:tabs>
        <w:ind w:left="0" w:leftChars="0" w:firstLine="640"/>
      </w:pPr>
      <w:r>
        <w:rPr>
          <w:rFonts w:hint="eastAsia" w:ascii="黑体" w:hAnsi="黑体" w:eastAsia="黑体" w:cs="黑体"/>
          <w:szCs w:val="32"/>
        </w:rPr>
        <w:t>第三部分 名词解释</w:t>
      </w:r>
      <w:r>
        <w:fldChar w:fldCharType="begin"/>
      </w:r>
      <w:r>
        <w:instrText xml:space="preserve"> HYPERLINK \l "_Toc60821794" </w:instrText>
      </w:r>
      <w:r>
        <w:fldChar w:fldCharType="separate"/>
      </w:r>
      <w:r>
        <w:tab/>
      </w:r>
      <w:r>
        <w:rPr>
          <w:rFonts w:hint="eastAsia"/>
        </w:rPr>
        <w:t>22</w:t>
      </w:r>
      <w:r>
        <w:rPr>
          <w:rFonts w:hint="eastAsia"/>
        </w:rPr>
        <w:fldChar w:fldCharType="end"/>
      </w:r>
    </w:p>
    <w:p w14:paraId="2631ECD7">
      <w:pPr>
        <w:pStyle w:val="14"/>
        <w:tabs>
          <w:tab w:val="right" w:leader="dot" w:pos="9730"/>
          <w:tab w:val="clear" w:pos="8296"/>
        </w:tabs>
        <w:ind w:left="0" w:leftChars="0" w:firstLine="640"/>
        <w:jc w:val="left"/>
      </w:pPr>
      <w:r>
        <w:rPr>
          <w:rFonts w:hint="eastAsia" w:ascii="黑体" w:hAnsi="黑体" w:eastAsia="黑体" w:cs="黑体"/>
          <w:szCs w:val="32"/>
        </w:rPr>
        <w:t>第四部分 附件</w:t>
      </w:r>
      <w:r>
        <w:fldChar w:fldCharType="begin"/>
      </w:r>
      <w:r>
        <w:instrText xml:space="preserve"> HYPERLINK \l "_Toc60821794" </w:instrText>
      </w:r>
      <w:r>
        <w:fldChar w:fldCharType="separate"/>
      </w:r>
      <w:r>
        <w:tab/>
      </w:r>
      <w:r>
        <w:rPr>
          <w:rFonts w:hint="eastAsia"/>
        </w:rPr>
        <w:t>2</w:t>
      </w:r>
      <w:r>
        <w:rPr>
          <w:rFonts w:hint="eastAsia"/>
        </w:rPr>
        <w:fldChar w:fldCharType="end"/>
      </w:r>
      <w:r>
        <w:rPr>
          <w:rFonts w:hint="eastAsia"/>
        </w:rPr>
        <w:t>5</w:t>
      </w:r>
    </w:p>
    <w:p w14:paraId="09780445">
      <w:pPr>
        <w:pStyle w:val="14"/>
        <w:tabs>
          <w:tab w:val="right" w:leader="dot" w:pos="9730"/>
          <w:tab w:val="clear" w:pos="8296"/>
        </w:tabs>
        <w:ind w:left="0" w:leftChars="0" w:firstLine="640"/>
        <w:jc w:val="left"/>
      </w:pPr>
      <w:r>
        <w:rPr>
          <w:rFonts w:hint="eastAsia" w:ascii="黑体" w:hAnsi="黑体" w:eastAsia="黑体" w:cs="黑体"/>
          <w:szCs w:val="32"/>
        </w:rPr>
        <w:t>第五部分 附表</w:t>
      </w:r>
      <w:r>
        <w:fldChar w:fldCharType="begin"/>
      </w:r>
      <w:r>
        <w:instrText xml:space="preserve"> HYPERLINK \l "_Toc60821794" </w:instrText>
      </w:r>
      <w:r>
        <w:fldChar w:fldCharType="separate"/>
      </w:r>
      <w:r>
        <w:tab/>
      </w:r>
      <w:r>
        <w:fldChar w:fldCharType="end"/>
      </w:r>
      <w:r>
        <w:rPr>
          <w:rFonts w:hint="eastAsia"/>
        </w:rPr>
        <w:t>35</w:t>
      </w:r>
    </w:p>
    <w:p w14:paraId="66851287">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一、收入支出决算总表</w:t>
      </w:r>
      <w:r>
        <w:fldChar w:fldCharType="begin"/>
      </w:r>
      <w:r>
        <w:instrText xml:space="preserve"> HYPERLINK \l "_Toc60821794" </w:instrText>
      </w:r>
      <w:r>
        <w:fldChar w:fldCharType="separate"/>
      </w:r>
      <w:r>
        <w:tab/>
      </w:r>
      <w:r>
        <w:fldChar w:fldCharType="end"/>
      </w:r>
      <w:r>
        <w:rPr>
          <w:rFonts w:hint="eastAsia"/>
        </w:rPr>
        <w:t>35</w:t>
      </w:r>
    </w:p>
    <w:p w14:paraId="68D580FB">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二、收入决算表</w:t>
      </w:r>
      <w:r>
        <w:fldChar w:fldCharType="begin"/>
      </w:r>
      <w:r>
        <w:instrText xml:space="preserve"> HYPERLINK \l "_Toc60821794" </w:instrText>
      </w:r>
      <w:r>
        <w:fldChar w:fldCharType="separate"/>
      </w:r>
      <w:r>
        <w:tab/>
      </w:r>
      <w:r>
        <w:fldChar w:fldCharType="end"/>
      </w:r>
      <w:r>
        <w:rPr>
          <w:rFonts w:hint="eastAsia"/>
        </w:rPr>
        <w:t>35</w:t>
      </w:r>
    </w:p>
    <w:p w14:paraId="6ABECBF6">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三、支出决算表</w:t>
      </w:r>
      <w:r>
        <w:fldChar w:fldCharType="begin"/>
      </w:r>
      <w:r>
        <w:instrText xml:space="preserve"> HYPERLINK \l "_Toc60821794" </w:instrText>
      </w:r>
      <w:r>
        <w:fldChar w:fldCharType="separate"/>
      </w:r>
      <w:r>
        <w:tab/>
      </w:r>
      <w:r>
        <w:fldChar w:fldCharType="end"/>
      </w:r>
      <w:r>
        <w:rPr>
          <w:rFonts w:hint="eastAsia"/>
        </w:rPr>
        <w:t>35</w:t>
      </w:r>
    </w:p>
    <w:p w14:paraId="4209BB95">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四、财政拨款收入支出决算总表</w:t>
      </w:r>
      <w:r>
        <w:fldChar w:fldCharType="begin"/>
      </w:r>
      <w:r>
        <w:instrText xml:space="preserve"> HYPERLINK \l "_Toc60821794" </w:instrText>
      </w:r>
      <w:r>
        <w:fldChar w:fldCharType="separate"/>
      </w:r>
      <w:r>
        <w:tab/>
      </w:r>
      <w:r>
        <w:fldChar w:fldCharType="end"/>
      </w:r>
      <w:r>
        <w:rPr>
          <w:rFonts w:hint="eastAsia"/>
        </w:rPr>
        <w:t>35</w:t>
      </w:r>
    </w:p>
    <w:p w14:paraId="4726E18F">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五、财政拨款支出决算明细表</w:t>
      </w:r>
      <w:r>
        <w:fldChar w:fldCharType="begin"/>
      </w:r>
      <w:r>
        <w:instrText xml:space="preserve"> HYPERLINK \l "_Toc60821794" </w:instrText>
      </w:r>
      <w:r>
        <w:fldChar w:fldCharType="separate"/>
      </w:r>
      <w:r>
        <w:tab/>
      </w:r>
      <w:r>
        <w:fldChar w:fldCharType="end"/>
      </w:r>
      <w:r>
        <w:rPr>
          <w:rFonts w:hint="eastAsia"/>
        </w:rPr>
        <w:t>35</w:t>
      </w:r>
    </w:p>
    <w:p w14:paraId="7F7A7F7E">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六、一般公共预算财政拨款支出决算表</w:t>
      </w:r>
      <w:r>
        <w:fldChar w:fldCharType="begin"/>
      </w:r>
      <w:r>
        <w:instrText xml:space="preserve"> HYPERLINK \l "_Toc60821794" </w:instrText>
      </w:r>
      <w:r>
        <w:fldChar w:fldCharType="separate"/>
      </w:r>
      <w:r>
        <w:tab/>
      </w:r>
      <w:r>
        <w:fldChar w:fldCharType="end"/>
      </w:r>
      <w:r>
        <w:rPr>
          <w:rFonts w:hint="eastAsia"/>
        </w:rPr>
        <w:t>35</w:t>
      </w:r>
    </w:p>
    <w:p w14:paraId="7E407FF4">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七、一般公共预算财政拨款支出决算明细表</w:t>
      </w:r>
      <w:r>
        <w:fldChar w:fldCharType="begin"/>
      </w:r>
      <w:r>
        <w:instrText xml:space="preserve"> HYPERLINK \l "_Toc60821794" </w:instrText>
      </w:r>
      <w:r>
        <w:fldChar w:fldCharType="separate"/>
      </w:r>
      <w:r>
        <w:tab/>
      </w:r>
      <w:r>
        <w:fldChar w:fldCharType="end"/>
      </w:r>
      <w:r>
        <w:rPr>
          <w:rFonts w:hint="eastAsia"/>
        </w:rPr>
        <w:t>35</w:t>
      </w:r>
    </w:p>
    <w:p w14:paraId="084CAF2E">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八、一般公共预算财政拨款基本支出决算明细表</w:t>
      </w:r>
      <w:r>
        <w:fldChar w:fldCharType="begin"/>
      </w:r>
      <w:r>
        <w:instrText xml:space="preserve"> HYPERLINK \l "_Toc60821794" </w:instrText>
      </w:r>
      <w:r>
        <w:fldChar w:fldCharType="separate"/>
      </w:r>
      <w:r>
        <w:tab/>
      </w:r>
      <w:r>
        <w:fldChar w:fldCharType="end"/>
      </w:r>
      <w:r>
        <w:rPr>
          <w:rFonts w:hint="eastAsia"/>
        </w:rPr>
        <w:t>35</w:t>
      </w:r>
    </w:p>
    <w:p w14:paraId="707FAB64">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九、一般公共预算财政拨款项目支出决算表</w:t>
      </w:r>
      <w:r>
        <w:fldChar w:fldCharType="begin"/>
      </w:r>
      <w:r>
        <w:instrText xml:space="preserve"> HYPERLINK \l "_Toc60821794" </w:instrText>
      </w:r>
      <w:r>
        <w:fldChar w:fldCharType="separate"/>
      </w:r>
      <w:r>
        <w:tab/>
      </w:r>
      <w:r>
        <w:fldChar w:fldCharType="end"/>
      </w:r>
      <w:r>
        <w:rPr>
          <w:rFonts w:hint="eastAsia"/>
        </w:rPr>
        <w:t>35</w:t>
      </w:r>
    </w:p>
    <w:p w14:paraId="6B07C09E">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十、政府性基金预算财政拨款收入支出决算表</w:t>
      </w:r>
      <w:r>
        <w:fldChar w:fldCharType="begin"/>
      </w:r>
      <w:r>
        <w:instrText xml:space="preserve"> HYPERLINK \l "_Toc60821794" </w:instrText>
      </w:r>
      <w:r>
        <w:fldChar w:fldCharType="separate"/>
      </w:r>
      <w:r>
        <w:tab/>
      </w:r>
      <w:r>
        <w:fldChar w:fldCharType="end"/>
      </w:r>
      <w:r>
        <w:rPr>
          <w:rFonts w:hint="eastAsia"/>
        </w:rPr>
        <w:t>35</w:t>
      </w:r>
    </w:p>
    <w:p w14:paraId="43FB969E">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十一、国有资本经营预算财政拨款收入支出决算表</w:t>
      </w:r>
      <w:r>
        <w:fldChar w:fldCharType="begin"/>
      </w:r>
      <w:r>
        <w:instrText xml:space="preserve"> HYPERLINK \l "_Toc60821794" </w:instrText>
      </w:r>
      <w:r>
        <w:fldChar w:fldCharType="separate"/>
      </w:r>
      <w:r>
        <w:tab/>
      </w:r>
      <w:r>
        <w:fldChar w:fldCharType="end"/>
      </w:r>
      <w:r>
        <w:rPr>
          <w:rFonts w:hint="eastAsia"/>
        </w:rPr>
        <w:t>35</w:t>
      </w:r>
    </w:p>
    <w:p w14:paraId="763E5C44">
      <w:pPr>
        <w:pStyle w:val="14"/>
        <w:tabs>
          <w:tab w:val="right" w:leader="dot" w:pos="9730"/>
          <w:tab w:val="clear" w:pos="8296"/>
        </w:tabs>
        <w:ind w:left="0" w:leftChars="0" w:firstLine="640"/>
        <w:jc w:val="left"/>
        <w:rPr>
          <w:rFonts w:ascii="仿宋_GB2312" w:hAnsi="仿宋_GB2312" w:cs="仿宋_GB2312"/>
          <w:szCs w:val="32"/>
        </w:rPr>
      </w:pPr>
      <w:r>
        <w:rPr>
          <w:rFonts w:hint="eastAsia" w:ascii="仿宋_GB2312" w:hAnsi="仿宋_GB2312" w:cs="仿宋_GB2312"/>
          <w:szCs w:val="32"/>
        </w:rPr>
        <w:t>十二、国有资本经营预算财政拨款支出决算表</w:t>
      </w:r>
      <w:r>
        <w:fldChar w:fldCharType="begin"/>
      </w:r>
      <w:r>
        <w:instrText xml:space="preserve"> HYPERLINK \l "_Toc60821794" </w:instrText>
      </w:r>
      <w:r>
        <w:fldChar w:fldCharType="separate"/>
      </w:r>
      <w:r>
        <w:tab/>
      </w:r>
      <w:r>
        <w:fldChar w:fldCharType="end"/>
      </w:r>
      <w:r>
        <w:rPr>
          <w:rFonts w:hint="eastAsia"/>
        </w:rPr>
        <w:t>35</w:t>
      </w:r>
    </w:p>
    <w:p w14:paraId="6EDBBD55">
      <w:pPr>
        <w:pStyle w:val="14"/>
        <w:tabs>
          <w:tab w:val="right" w:leader="dot" w:pos="9730"/>
          <w:tab w:val="clear" w:pos="8296"/>
        </w:tabs>
        <w:ind w:left="0" w:leftChars="0" w:firstLine="640"/>
        <w:rPr>
          <w:rFonts w:ascii="仿宋_GB2312" w:hAnsi="仿宋_GB2312" w:cs="仿宋_GB2312"/>
          <w:szCs w:val="32"/>
        </w:rPr>
      </w:pPr>
      <w:r>
        <w:rPr>
          <w:rFonts w:hint="eastAsia" w:ascii="仿宋_GB2312" w:hAnsi="仿宋_GB2312" w:cs="仿宋_GB2312"/>
          <w:szCs w:val="32"/>
        </w:rPr>
        <w:t>十三、财政拨款“三公”经费支出决算表</w:t>
      </w:r>
      <w:r>
        <w:fldChar w:fldCharType="begin"/>
      </w:r>
      <w:r>
        <w:instrText xml:space="preserve"> HYPERLINK \l "_Toc60821794" </w:instrText>
      </w:r>
      <w:r>
        <w:fldChar w:fldCharType="separate"/>
      </w:r>
      <w:r>
        <w:tab/>
      </w:r>
      <w:r>
        <w:fldChar w:fldCharType="end"/>
      </w:r>
      <w:r>
        <w:rPr>
          <w:rFonts w:hint="eastAsia"/>
        </w:rPr>
        <w:t>35</w:t>
      </w:r>
    </w:p>
    <w:p w14:paraId="029DF9E1">
      <w:pPr>
        <w:ind w:firstLine="640"/>
      </w:pPr>
    </w:p>
    <w:bookmarkEnd w:id="11"/>
    <w:p w14:paraId="6D3D884F">
      <w:pPr>
        <w:ind w:firstLine="640"/>
      </w:pPr>
    </w:p>
    <w:p w14:paraId="731A7ACD">
      <w:pPr>
        <w:pStyle w:val="5"/>
        <w:ind w:firstLine="880"/>
        <w:rPr>
          <w:rStyle w:val="28"/>
          <w:bCs/>
        </w:rPr>
      </w:pPr>
      <w:bookmarkStart w:id="14" w:name="_Toc214964014"/>
      <w:r>
        <w:rPr>
          <w:rFonts w:hint="eastAsia"/>
        </w:rPr>
        <w:t xml:space="preserve">第一部分  </w:t>
      </w:r>
      <w:r>
        <w:rPr>
          <w:rStyle w:val="28"/>
          <w:rFonts w:hint="eastAsia"/>
          <w:bCs/>
        </w:rPr>
        <w:t>单位概况</w:t>
      </w:r>
      <w:bookmarkEnd w:id="12"/>
      <w:bookmarkEnd w:id="13"/>
      <w:bookmarkEnd w:id="14"/>
    </w:p>
    <w:p w14:paraId="4D623BB3">
      <w:pPr>
        <w:ind w:firstLine="640"/>
        <w:rPr>
          <w:rFonts w:eastAsia="黑体"/>
        </w:rPr>
      </w:pPr>
    </w:p>
    <w:p w14:paraId="26F75F04">
      <w:pPr>
        <w:pStyle w:val="6"/>
        <w:ind w:firstLine="643"/>
      </w:pPr>
      <w:bookmarkStart w:id="15" w:name="_Toc214964015"/>
      <w:r>
        <w:rPr>
          <w:rFonts w:hint="eastAsia"/>
        </w:rPr>
        <w:t>一 、主要职责</w:t>
      </w:r>
      <w:bookmarkEnd w:id="15"/>
    </w:p>
    <w:p w14:paraId="01070B77">
      <w:pPr>
        <w:ind w:firstLine="643"/>
        <w:rPr>
          <w:rFonts w:asciiTheme="minorEastAsia" w:hAnsiTheme="minorEastAsia" w:eastAsiaTheme="minorEastAsia"/>
          <w:b/>
          <w:bCs/>
        </w:rPr>
      </w:pPr>
      <w:r>
        <w:rPr>
          <w:rStyle w:val="29"/>
          <w:rFonts w:hint="eastAsia"/>
        </w:rPr>
        <w:t>（一）职责职能</w:t>
      </w:r>
      <w:r>
        <w:rPr>
          <w:rFonts w:hint="eastAsia" w:asciiTheme="minorEastAsia" w:hAnsiTheme="minorEastAsia" w:eastAsiaTheme="minorEastAsia"/>
        </w:rPr>
        <w:t>：</w:t>
      </w:r>
      <w:r>
        <w:rPr>
          <w:rFonts w:hint="eastAsia"/>
        </w:rPr>
        <w:t>研究、指导、管理、服务（教学研究、教学指导、教学管理、教学服务、教师培训、电大教学）</w:t>
      </w:r>
    </w:p>
    <w:p w14:paraId="3E48B7B3">
      <w:pPr>
        <w:pStyle w:val="6"/>
        <w:ind w:firstLine="643"/>
      </w:pPr>
      <w:r>
        <w:rPr>
          <w:rFonts w:hint="eastAsia"/>
        </w:rPr>
        <w:t>（二）2024年重点工作完成情况：</w:t>
      </w:r>
    </w:p>
    <w:p w14:paraId="072B5286">
      <w:pPr>
        <w:ind w:firstLine="640"/>
      </w:pPr>
      <w:r>
        <w:rPr>
          <w:rFonts w:hint="eastAsia"/>
        </w:rPr>
        <w:t>2024年度，峨眉山市教师培训中心认真贯彻落实《乐山市2024年教科研工作计划》《乐山开放大学2024年工作计划》和峨眉山市教学工作会议精神，以“终生教育，终生学习，厚德精业，成人达已”的师培理念为引领，以“直面问题、精准发力，紧盯质量、融合聚力”为工作思路，努力做好教学研究、教师培训与开大教学工作，圆满完成了2024年度的工作任务，现将一年工作总结如下。</w:t>
      </w:r>
    </w:p>
    <w:p w14:paraId="47070DAF">
      <w:pPr>
        <w:ind w:firstLine="643"/>
        <w:rPr>
          <w:b/>
          <w:bCs/>
        </w:rPr>
      </w:pPr>
      <w:r>
        <w:rPr>
          <w:rFonts w:hint="eastAsia"/>
          <w:b/>
          <w:bCs/>
        </w:rPr>
        <w:t>1、强化队伍思想建设，提高政治站位</w:t>
      </w:r>
    </w:p>
    <w:p w14:paraId="60D2DBA9">
      <w:pPr>
        <w:ind w:firstLine="643"/>
      </w:pPr>
      <w:r>
        <w:rPr>
          <w:rFonts w:hint="eastAsia"/>
          <w:b/>
          <w:bCs/>
        </w:rPr>
        <w:t>(1).加强党建工作，增强政治觉悟。</w:t>
      </w:r>
      <w:r>
        <w:rPr>
          <w:rFonts w:hint="eastAsia"/>
        </w:rPr>
        <w:t>抓实党员思想教育，认真扎实开展“三会一课”，定期召开总支委会、党员大会、支部委员会，支部书记与行政领导带头上好党课，做实做好党员思想、工作、生活的批评与自我批评等工作，充分发挥党员先锋模范作用。扎实有效的组织开展了主题党日、党员实践教育、廉政建设警示、党员志愿者服务、扶贫、大走访、“双创”宣传等活动，助力乡村振兴，为地方经济服务。抓实党务宣传工作，充分利用单位宣传栏、党员活动室、网络微信、QQ等平台，加强党的方针、政策、路线的宣传。切实指导好工会、退协、群团工作，加强与民主党派、无党派人士的团结联系。</w:t>
      </w:r>
    </w:p>
    <w:p w14:paraId="7E8760C8">
      <w:pPr>
        <w:ind w:firstLine="643"/>
      </w:pPr>
      <w:r>
        <w:rPr>
          <w:rFonts w:hint="eastAsia"/>
          <w:b/>
          <w:bCs/>
        </w:rPr>
        <w:t>(2).加强廉政建设，规范依法治校。</w:t>
      </w:r>
      <w:r>
        <w:rPr>
          <w:rFonts w:hint="eastAsia"/>
        </w:rPr>
        <w:t xml:space="preserve">认真召开党总支会，就单位“三重一大”问题进行集体研究、集体决策，有效杜绝了违纪、腐败事件的发生。加大党务政务公开，特别是“三重一大”“三公经费”等涉及单位发展、职工利益的职评推荐、评优选先等事项做到及时公开透明。认真梳理岗位风险点，严明纪律，扎紧制度的笼子，加大防范力度。严格落实“两个责任”，坚持谈心谈话，定期分析党风廉政建设形势，做到适时警醒、防微杜渐。 </w:t>
      </w:r>
    </w:p>
    <w:p w14:paraId="69FF0CF5">
      <w:pPr>
        <w:ind w:firstLine="643"/>
      </w:pPr>
      <w:r>
        <w:rPr>
          <w:rFonts w:hint="eastAsia"/>
          <w:b/>
          <w:bCs/>
        </w:rPr>
        <w:t>(3).扎实意识形态，坚定政治方向。</w:t>
      </w:r>
      <w:r>
        <w:rPr>
          <w:rFonts w:hint="eastAsia"/>
        </w:rPr>
        <w:t>成立了以党总支书记、副书记分别为组长和副组长的意识形态工作小组，明确意识形态工作的主要内容和各成员的职责。加强意识形态的宣传和教育，在教职工会议上，开展二十大精神、上级教育文件、政策法规的学习、宣讲，落实教职工的政治思想教育，牢固树立“四个意识”，坚定“四个自信”，坚决做到“两个维护”。强化网络意识形态工作的管理，加强全市研训及单位内部微信、QQ的管理，促进沟通业务、交流思想，有效杜绝了违纪违法、报怨埋怨等言论的滋生。</w:t>
      </w:r>
    </w:p>
    <w:p w14:paraId="7BAFA37F">
      <w:pPr>
        <w:ind w:firstLine="643"/>
        <w:rPr>
          <w:b/>
          <w:bCs/>
        </w:rPr>
      </w:pPr>
      <w:r>
        <w:rPr>
          <w:rFonts w:hint="eastAsia"/>
          <w:b/>
          <w:bCs/>
        </w:rPr>
        <w:t>2、加强队伍培训引领，提升履职能力</w:t>
      </w:r>
    </w:p>
    <w:p w14:paraId="46B56371">
      <w:pPr>
        <w:ind w:firstLine="643"/>
      </w:pPr>
      <w:r>
        <w:rPr>
          <w:rFonts w:hint="eastAsia"/>
          <w:b/>
          <w:bCs/>
        </w:rPr>
        <w:t>(1).深度融入成渝地区教育联盟。</w:t>
      </w:r>
      <w:r>
        <w:rPr>
          <w:rFonts w:hint="eastAsia"/>
        </w:rPr>
        <w:t>2024年4月，参与西部地区中小学“大思政课”建设协作共同体活动，峨眉山市教育局党组成员、市师培中心主任李庆九以《育德与行，润德于心——峨眉山市开门“大思政”的行动思考与实践》为题作了分享交流，峨眉三小、峨眉一中、峨眉二中3所学校成功加入西部地区中小学“大思政课”协作共同体。2024 年 12 月 6 日，承办了成渝双城经济圈 “两山一江” 共同体名师工作室联合研训活动，峨眉山市周雨松小学语文工作室、四川省邱毅卓越校长工作室做了专题展示交流，峨眉山市教师培训中心做了名师工作室管理经验分享。</w:t>
      </w:r>
    </w:p>
    <w:p w14:paraId="5D6955EF">
      <w:pPr>
        <w:ind w:firstLine="643"/>
      </w:pPr>
      <w:r>
        <w:rPr>
          <w:rFonts w:hint="eastAsia"/>
          <w:b/>
          <w:bCs/>
        </w:rPr>
        <w:t>(2).加强高层次人才培养。</w:t>
      </w:r>
      <w:r>
        <w:rPr>
          <w:rFonts w:hint="eastAsia"/>
        </w:rPr>
        <w:t>做实教研员专业素养提升，开展了2期“说课标</w:t>
      </w:r>
      <w:r>
        <w:rPr>
          <w:rFonts w:hint="eastAsia" w:ascii="微软雅黑" w:hAnsi="微软雅黑" w:eastAsia="微软雅黑" w:cs="微软雅黑"/>
        </w:rPr>
        <w:t>•</w:t>
      </w:r>
      <w:r>
        <w:rPr>
          <w:rFonts w:hint="eastAsia" w:ascii="仿宋_GB2312" w:hAnsi="仿宋_GB2312" w:cs="仿宋_GB2312"/>
        </w:rPr>
        <w:t>讲课改”教研员论坛，三期“教研员微讲坛”。加强骨干教师培养管理，开展了</w:t>
      </w:r>
      <w:r>
        <w:rPr>
          <w:rFonts w:hint="eastAsia"/>
        </w:rPr>
        <w:t>2022-2023学年度骨干教师考核工作，共计考核160名各级各类骨干教师。加强名师培养，开展了名师工作室主持人（成员）培训并赴绵阳市涪城区教师进修学校观摩涪城区名师工作室成果展示。</w:t>
      </w:r>
    </w:p>
    <w:p w14:paraId="19E2AD37">
      <w:pPr>
        <w:ind w:firstLine="643"/>
      </w:pPr>
      <w:r>
        <w:rPr>
          <w:rFonts w:hint="eastAsia"/>
          <w:b/>
          <w:bCs/>
        </w:rPr>
        <w:t>(3).加强新教师及学科教师培训。</w:t>
      </w:r>
      <w:r>
        <w:rPr>
          <w:rFonts w:hint="eastAsia"/>
        </w:rPr>
        <w:t>做实新教师培训及跟踪培养考核工作，开展了2期新教师培训，培训新教师200余人次；对近3年的新教师进行了跟踪培养考核。加强中小学思政课教师培养，分两期组织开展了中学、小学思政课教师培训，培训思政课教师近200人。</w:t>
      </w:r>
    </w:p>
    <w:p w14:paraId="285450D5">
      <w:pPr>
        <w:ind w:firstLine="640"/>
      </w:pPr>
      <w:r>
        <w:rPr>
          <w:rFonts w:hint="eastAsia"/>
        </w:rPr>
        <w:t>加强音体美转岗教师培训，分学科组织开展了音乐、体育、美术转岗教师培训，培训教师47人。</w:t>
      </w:r>
    </w:p>
    <w:p w14:paraId="4D36DC00">
      <w:pPr>
        <w:ind w:firstLine="643"/>
        <w:rPr>
          <w:b/>
          <w:bCs/>
        </w:rPr>
      </w:pPr>
      <w:r>
        <w:rPr>
          <w:rFonts w:hint="eastAsia"/>
          <w:b/>
          <w:bCs/>
        </w:rPr>
        <w:t>3、加强教学改革研究，提升教育质量</w:t>
      </w:r>
    </w:p>
    <w:p w14:paraId="6901B33E">
      <w:pPr>
        <w:ind w:firstLine="643"/>
      </w:pPr>
      <w:r>
        <w:rPr>
          <w:rFonts w:hint="eastAsia"/>
          <w:b/>
          <w:bCs/>
        </w:rPr>
        <w:t>(1).扎实教学巡导，促进教学管理。</w:t>
      </w:r>
      <w:r>
        <w:rPr>
          <w:rFonts w:hint="eastAsia"/>
        </w:rPr>
        <w:t>采用挂联学校重点巡导和日常巡导结合的方式，加强课程设置督查，促进学校开齐、开足、开好国家课程。关注学校校本教研的有效推进，和学校共研校本教研在建构与规划、方式与途径、组织与实施等方面策略与技术问题。关注学校的教学质量情况，找准学校质量管理的亮点，分析学校质量发展的短板和不足，和学校共研解决问题的对策和举措。</w:t>
      </w:r>
    </w:p>
    <w:p w14:paraId="09B7A137">
      <w:pPr>
        <w:ind w:firstLine="643"/>
      </w:pPr>
      <w:r>
        <w:rPr>
          <w:rFonts w:hint="eastAsia"/>
          <w:b/>
          <w:bCs/>
        </w:rPr>
        <w:t>(2).做实学科教研，提升课堂质量。</w:t>
      </w:r>
      <w:r>
        <w:rPr>
          <w:rFonts w:hint="eastAsia"/>
        </w:rPr>
        <w:t>深入探索“研”“训”融合机制，坚持“以会代训”制度，组织开展了30余科次聚焦“融通备教学评，赋能高效课堂”为主题的学科主题研训活动，有效提升了教师教学素养，课堂实效得以提高。</w:t>
      </w:r>
    </w:p>
    <w:p w14:paraId="14984FCB">
      <w:pPr>
        <w:ind w:firstLine="643"/>
      </w:pPr>
      <w:r>
        <w:rPr>
          <w:rFonts w:hint="eastAsia"/>
          <w:b/>
          <w:bCs/>
        </w:rPr>
        <w:t>(3).参与高中指导，助力高中发展。</w:t>
      </w:r>
      <w:r>
        <w:rPr>
          <w:rFonts w:hint="eastAsia"/>
        </w:rPr>
        <w:t>配合市教育局开展高中调研，了解高中教研、师训需求。根据各高中的需求，组织开展高中的学科教研会和赛课活动。</w:t>
      </w:r>
    </w:p>
    <w:p w14:paraId="6660DF2F">
      <w:pPr>
        <w:ind w:firstLine="643"/>
        <w:rPr>
          <w:b/>
          <w:bCs/>
        </w:rPr>
      </w:pPr>
      <w:r>
        <w:rPr>
          <w:rFonts w:hint="eastAsia"/>
          <w:b/>
          <w:bCs/>
        </w:rPr>
        <w:t>4、加强教育科研管理，提升项目质量</w:t>
      </w:r>
    </w:p>
    <w:p w14:paraId="4489DEC7">
      <w:pPr>
        <w:ind w:firstLine="643"/>
      </w:pPr>
      <w:r>
        <w:rPr>
          <w:rFonts w:hint="eastAsia"/>
          <w:b/>
          <w:bCs/>
        </w:rPr>
        <w:t>(1).扎实教育科研，促进优质发展。</w:t>
      </w:r>
      <w:r>
        <w:rPr>
          <w:rFonts w:hint="eastAsia"/>
        </w:rPr>
        <w:t>在研省级立项课题11项、市级34项、县级5项，2024年度6个课题获乐山市立项，10个课改项目顺利完成结项工作。组织开展科研项目开题论证、中期汇报、结题检测、成果鉴定近20项。重点挂联项目二小、实验幼儿园、博睿特初中参与乐山优秀教科成果推广交流。科研项目成果获乐山市阶段成果评选一等奖2项、二等奖3项、三等奖2项。开展了优秀教研成果评选，评选出一等奖76项、二等奖251项、三等奖395项。</w:t>
      </w:r>
    </w:p>
    <w:p w14:paraId="04248012">
      <w:pPr>
        <w:ind w:firstLine="643"/>
      </w:pPr>
      <w:r>
        <w:rPr>
          <w:rFonts w:hint="eastAsia"/>
          <w:b/>
          <w:bCs/>
        </w:rPr>
        <w:t>(2).强化校本教研，促进内涵发展。</w:t>
      </w:r>
      <w:r>
        <w:rPr>
          <w:rFonts w:hint="eastAsia"/>
        </w:rPr>
        <w:t>坚持教研员联系学校制度，教研员深度参与学校校本教研的计划拟定及过程指导，有效促进了学校校本研训工作规范性和实效性的提升。开展了校本教研优秀学校评选，评选出优秀学校22所，合格学校14所。组织开展了优秀教研组评选活动，评选出优秀教研组24个。</w:t>
      </w:r>
    </w:p>
    <w:p w14:paraId="1AA0AD99">
      <w:pPr>
        <w:ind w:firstLine="643"/>
        <w:rPr>
          <w:b/>
          <w:bCs/>
        </w:rPr>
      </w:pPr>
      <w:r>
        <w:rPr>
          <w:rFonts w:hint="eastAsia"/>
          <w:b/>
          <w:bCs/>
        </w:rPr>
        <w:t>5、加强开放大学管理，提升成人教育质量</w:t>
      </w:r>
    </w:p>
    <w:p w14:paraId="7E3DE288">
      <w:pPr>
        <w:ind w:firstLine="643"/>
      </w:pPr>
      <w:r>
        <w:rPr>
          <w:rFonts w:hint="eastAsia"/>
          <w:b/>
          <w:bCs/>
        </w:rPr>
        <w:t>(1).扎实招生工作，稳定办学规模。</w:t>
      </w:r>
      <w:r>
        <w:rPr>
          <w:rFonts w:hint="eastAsia"/>
        </w:rPr>
        <w:t>一是完善优化招生激励办法，明确工作责任，突出工作激励。二是强化“招生是开放大学第一工作”思想理念的宣传，促进教师重视招生、落实招生、完成招生任务。三是多种方式并举，主岗教师的走村入企、辅岗教师的业余宣传、老生带新生的羊群效应等，2024年春招82人，秋招56人。</w:t>
      </w:r>
    </w:p>
    <w:p w14:paraId="717D3E2D">
      <w:pPr>
        <w:ind w:firstLine="643"/>
      </w:pPr>
      <w:r>
        <w:rPr>
          <w:rFonts w:hint="eastAsia"/>
          <w:b/>
          <w:bCs/>
        </w:rPr>
        <w:t>(2).优化教学管理，规范办学行为。</w:t>
      </w:r>
      <w:r>
        <w:rPr>
          <w:rFonts w:hint="eastAsia"/>
        </w:rPr>
        <w:t>一是规范优化入学注册工作，向学生讲清开放大学的办学特点和学习要求，规范完成入学注册工作。二是加强“班级管理”的研究与落实，将班级管理与学习管理融合在一起，提升了管理与学习实效。三是加强思政、信息技术课程的执行力度，根据上级开大的安排和学生的实际需求，聘请了上级行政干部、安排了专职教师，分别进行思政专题讲座和信息技术现场面授，落实了学生的政治思想教育，提升了学生的信息技术能力。四是规范考试管理，杜绝了“替考”等严重违纪事件，严肃“手机统一入袋”的考试纪律。</w:t>
      </w:r>
    </w:p>
    <w:p w14:paraId="40893CA4">
      <w:pPr>
        <w:ind w:firstLine="643"/>
      </w:pPr>
      <w:r>
        <w:rPr>
          <w:rFonts w:hint="eastAsia"/>
          <w:b/>
          <w:bCs/>
        </w:rPr>
        <w:t>(3).加强学习指导，提升教学质量。</w:t>
      </w:r>
      <w:r>
        <w:rPr>
          <w:rFonts w:hint="eastAsia"/>
        </w:rPr>
        <w:t>成立教学指导管理团队，督促指导帮助学生顺利完成学习和考试任务。编写课程学习辅导提纲，指导学生有效完成课程学习和复习工作。加强对学生的学习情况的督促、帮助，保质保量的完成了教师行为、作业评阅、实践环节指导等工作任务。加强毕业论文的指导工作，有效保证了学生毕业论文的质量。</w:t>
      </w:r>
    </w:p>
    <w:p w14:paraId="3DF9E582">
      <w:pPr>
        <w:ind w:firstLine="643"/>
        <w:rPr>
          <w:b/>
          <w:bCs/>
        </w:rPr>
      </w:pPr>
      <w:r>
        <w:rPr>
          <w:rFonts w:hint="eastAsia"/>
          <w:b/>
          <w:bCs/>
        </w:rPr>
        <w:t>6、工作成绩</w:t>
      </w:r>
    </w:p>
    <w:p w14:paraId="57909FBD">
      <w:pPr>
        <w:ind w:firstLine="643"/>
      </w:pPr>
      <w:r>
        <w:rPr>
          <w:rFonts w:hint="eastAsia"/>
          <w:b/>
          <w:bCs/>
        </w:rPr>
        <w:t>(1).普通高考赢得历史性突破。</w:t>
      </w:r>
      <w:r>
        <w:rPr>
          <w:rFonts w:hint="eastAsia"/>
        </w:rPr>
        <w:t>全市普通高中参考人数1767人，一本上线340人，一本上线率19.24%；本科上线1117人，本科率63.21%，比去年增加3.28个百分点，连续四年突破1000人。乐山市理科1至8名均在峨眉，600分以上100人，列区县第一。博睿特朱启航理科711分，列乐山市第一名、全省第三名；峨眉二中宋宇豪理科679分，列乐山市公办学校第一名、全市第五名。被C9学校录取7人，其中清华大学2人，哈尔滨工业大学4人，浙江大学1人。被“双一流”A类36所名校录取29人。本届高考呈现出优尖生成绩突出、公民办比翼双飞的总体态势，乐山市公办、民办理科第一名均花落峨眉，且都是峨眉本土学子，为广大市民和学生选择身边的好学校增添了信心，为正在推进的峨眉山市普通高中提质攻坚三年行动鼓足了干劲。乐山市高中教学质量会在博睿特高中召开，我市获乐山市高中教学育质量一等奖。</w:t>
      </w:r>
    </w:p>
    <w:p w14:paraId="32CEE66E">
      <w:pPr>
        <w:ind w:firstLine="643"/>
      </w:pPr>
      <w:r>
        <w:rPr>
          <w:rFonts w:hint="eastAsia"/>
          <w:b/>
          <w:bCs/>
        </w:rPr>
        <w:t>(2)</w:t>
      </w:r>
      <w:bookmarkStart w:id="16" w:name="_Hlk214873504"/>
      <w:r>
        <w:rPr>
          <w:rFonts w:hint="eastAsia"/>
          <w:b/>
          <w:bCs/>
        </w:rPr>
        <w:t>.初中成绩。</w:t>
      </w:r>
      <w:r>
        <w:rPr>
          <w:rFonts w:hint="eastAsia"/>
        </w:rPr>
        <w:t>乐山教科所2023年区县初中教学质量评估：师训中心获初中质量管理一等奖。二中城东校区、博睿特外校、获初中教学质量一等奖，一中初中部、峨眉四中、七中获教学质量二等奖。</w:t>
      </w:r>
    </w:p>
    <w:bookmarkEnd w:id="16"/>
    <w:p w14:paraId="5FBC1737">
      <w:pPr>
        <w:ind w:firstLine="643"/>
      </w:pPr>
      <w:r>
        <w:rPr>
          <w:rFonts w:hint="eastAsia"/>
          <w:b/>
          <w:bCs/>
        </w:rPr>
        <w:t>(3).学前保教质量保持优秀。</w:t>
      </w:r>
      <w:r>
        <w:rPr>
          <w:rFonts w:hint="eastAsia"/>
        </w:rPr>
        <w:t>学前教育联合研训进一步优化，保教质量获得整体提升。市教育局、师训中心荣获乐山市保教质量综合管理优秀单位，实验幼儿园获得乐山保教质量成就奖，峨眉三幼、博睿特幼儿园、安吉儿幼儿园、远大实幼、美智幼儿园获乐山保教质量示范园，符溪幼儿园获乐山保教质量进步奖、峨眉6所幼儿园获保教质量一等奖，4所幼儿园获保教质量二等奖。峨眉三幼创建为省级示范园、符溪幼儿园通过乐山乡镇示范园验收。</w:t>
      </w:r>
    </w:p>
    <w:p w14:paraId="6A35F0F4">
      <w:pPr>
        <w:ind w:firstLine="643"/>
      </w:pPr>
      <w:r>
        <w:rPr>
          <w:rFonts w:hint="eastAsia"/>
          <w:b/>
          <w:bCs/>
        </w:rPr>
        <w:t>(4).开大成绩获得新的突破。</w:t>
      </w:r>
      <w:r>
        <w:rPr>
          <w:rFonts w:hint="eastAsia"/>
        </w:rPr>
        <w:t>顺利通过四川省开放大学县级分校达标工程验收，获四川开放大学2024年度先进县级分校、乐山开放大学2024年度综合评估一等奖。</w:t>
      </w:r>
    </w:p>
    <w:p w14:paraId="136DEB04">
      <w:pPr>
        <w:pStyle w:val="6"/>
        <w:ind w:firstLine="643"/>
        <w:rPr>
          <w:rStyle w:val="29"/>
          <w:b/>
          <w:bCs/>
        </w:rPr>
      </w:pPr>
      <w:bookmarkStart w:id="17" w:name="_Toc214964016"/>
      <w:bookmarkStart w:id="18" w:name="_Toc15396601"/>
      <w:bookmarkStart w:id="19" w:name="_Toc15377200"/>
      <w:r>
        <w:rPr>
          <w:rFonts w:hint="eastAsia"/>
        </w:rPr>
        <w:t>二、机</w:t>
      </w:r>
      <w:r>
        <w:rPr>
          <w:rStyle w:val="29"/>
          <w:rFonts w:hint="eastAsia"/>
          <w:b/>
          <w:bCs/>
        </w:rPr>
        <w:t>构设置</w:t>
      </w:r>
      <w:bookmarkEnd w:id="17"/>
      <w:bookmarkEnd w:id="18"/>
      <w:bookmarkEnd w:id="19"/>
    </w:p>
    <w:p w14:paraId="4BBA809F">
      <w:pPr>
        <w:ind w:firstLine="640"/>
      </w:pPr>
      <w:bookmarkStart w:id="20" w:name="_Toc15377204"/>
      <w:bookmarkStart w:id="21" w:name="_Toc15396602"/>
      <w:r>
        <w:rPr>
          <w:rFonts w:hint="eastAsia"/>
        </w:rPr>
        <w:t>峨眉山市教师培训中心（本级）属于峨眉山市教育局部门下属的二级预算单位，下设独立编制机构1个，其中行政机构0个，参照公务员法管理的事业机构0个，其他事业机构1个。</w:t>
      </w:r>
    </w:p>
    <w:p w14:paraId="75C267C2">
      <w:pPr>
        <w:ind w:firstLine="640"/>
        <w:rPr>
          <w:shd w:val="clear" w:color="auto" w:fill="FFFF00"/>
        </w:rPr>
      </w:pPr>
      <w:r>
        <w:rPr>
          <w:rFonts w:hint="eastAsia"/>
        </w:rPr>
        <w:t>纳入2</w:t>
      </w:r>
      <w:r>
        <w:t>02</w:t>
      </w:r>
      <w:r>
        <w:rPr>
          <w:rFonts w:hint="eastAsia"/>
        </w:rPr>
        <w:t>4年度单位决算编制范围的独立编制机构包括：</w:t>
      </w:r>
    </w:p>
    <w:p w14:paraId="74FE5C68">
      <w:pPr>
        <w:ind w:firstLine="640"/>
        <w:rPr>
          <w:rFonts w:hint="eastAsia" w:eastAsia="仿宋_GB2312"/>
          <w:lang w:eastAsia="zh-CN"/>
        </w:rPr>
      </w:pPr>
      <w:r>
        <w:rPr>
          <w:rFonts w:hint="eastAsia"/>
        </w:rPr>
        <w:t>1</w:t>
      </w:r>
      <w:r>
        <w:t>.</w:t>
      </w:r>
      <w:r>
        <w:rPr>
          <w:rFonts w:hint="eastAsia"/>
        </w:rPr>
        <w:t>峨眉山市教师培训中心</w:t>
      </w:r>
      <w:r>
        <w:rPr>
          <w:rFonts w:hint="eastAsia"/>
          <w:lang w:eastAsia="zh-CN"/>
        </w:rPr>
        <w:t>。</w:t>
      </w:r>
    </w:p>
    <w:p w14:paraId="02263F38">
      <w:pPr>
        <w:pStyle w:val="5"/>
        <w:ind w:firstLine="880"/>
        <w:rPr>
          <w:b/>
        </w:rPr>
      </w:pPr>
      <w:bookmarkStart w:id="22" w:name="_Toc214964017"/>
      <w:r>
        <w:rPr>
          <w:rFonts w:hint="eastAsia"/>
        </w:rPr>
        <w:t>第二部分 2024年度部门决算情况说明</w:t>
      </w:r>
      <w:bookmarkEnd w:id="20"/>
      <w:bookmarkEnd w:id="21"/>
      <w:bookmarkEnd w:id="22"/>
    </w:p>
    <w:p w14:paraId="1E8EAB9D">
      <w:pPr>
        <w:pStyle w:val="6"/>
        <w:ind w:firstLine="643"/>
        <w:rPr>
          <w:rStyle w:val="29"/>
          <w:rFonts w:ascii="Times New Roman" w:hAnsi="Times New Roman" w:eastAsia="黑体"/>
          <w:b/>
          <w:bCs/>
        </w:rPr>
      </w:pPr>
      <w:bookmarkStart w:id="23" w:name="_Toc15396603"/>
      <w:bookmarkStart w:id="24" w:name="_Toc214964018"/>
      <w:bookmarkStart w:id="25" w:name="_Toc15377205"/>
      <w:r>
        <w:rPr>
          <w:rFonts w:hint="eastAsia"/>
        </w:rPr>
        <w:t>一、收</w:t>
      </w:r>
      <w:r>
        <w:rPr>
          <w:rStyle w:val="29"/>
          <w:rFonts w:hint="eastAsia" w:ascii="Times New Roman" w:hAnsi="Times New Roman" w:eastAsia="黑体"/>
          <w:b/>
          <w:bCs/>
        </w:rPr>
        <w:t>入支出决算总体情况说明</w:t>
      </w:r>
      <w:bookmarkEnd w:id="23"/>
      <w:bookmarkEnd w:id="24"/>
      <w:bookmarkEnd w:id="25"/>
    </w:p>
    <w:p w14:paraId="09C1FB1C">
      <w:pPr>
        <w:ind w:firstLine="640"/>
      </w:pPr>
      <w:r>
        <w:rPr>
          <w:rFonts w:hint="eastAsia"/>
        </w:rPr>
        <w:t>2024年度收入、支出总计均为861.16万元。与2023年度相比，收入、支出总计各减少84.09万元，下降8.90%。主要变动原因是厉行节约。</w:t>
      </w:r>
    </w:p>
    <w:p w14:paraId="6F713233">
      <w:pPr>
        <w:ind w:firstLine="640"/>
      </w:pPr>
      <w:r>
        <w:rPr>
          <w:rFonts w:hint="eastAsia"/>
        </w:rPr>
        <w:t>（图1：收入、支出决算总计变动情况图）（柱状图）</w:t>
      </w:r>
    </w:p>
    <w:p w14:paraId="0AF71FF5">
      <w:pPr>
        <w:ind w:firstLine="640"/>
        <w:rPr>
          <w:rFonts w:asciiTheme="majorEastAsia" w:hAnsiTheme="majorEastAsia" w:eastAsiaTheme="majorEastAsia" w:cstheme="majorBidi"/>
          <w:b/>
          <w:bCs/>
        </w:rPr>
      </w:pPr>
      <w:r>
        <w:rPr>
          <w:rFonts w:asciiTheme="minorEastAsia" w:hAnsiTheme="minorEastAsia" w:eastAsiaTheme="minorEastAsia"/>
        </w:rPr>
        <mc:AlternateContent>
          <mc:Choice Requires="wpg">
            <w:drawing>
              <wp:anchor distT="0" distB="0" distL="114300" distR="114300" simplePos="0" relativeHeight="251660288" behindDoc="0" locked="0" layoutInCell="1" allowOverlap="1">
                <wp:simplePos x="0" y="0"/>
                <wp:positionH relativeFrom="column">
                  <wp:posOffset>503555</wp:posOffset>
                </wp:positionH>
                <wp:positionV relativeFrom="paragraph">
                  <wp:posOffset>45085</wp:posOffset>
                </wp:positionV>
                <wp:extent cx="4038600" cy="2866390"/>
                <wp:effectExtent l="0" t="0" r="0" b="10160"/>
                <wp:wrapNone/>
                <wp:docPr id="1828" name="组合 10"/>
                <wp:cNvGraphicFramePr/>
                <a:graphic xmlns:a="http://schemas.openxmlformats.org/drawingml/2006/main">
                  <a:graphicData uri="http://schemas.microsoft.com/office/word/2010/wordprocessingGroup">
                    <wpg:wgp>
                      <wpg:cNvGrpSpPr/>
                      <wpg:grpSpPr>
                        <a:xfrm>
                          <a:off x="0" y="0"/>
                          <a:ext cx="4038540" cy="2866390"/>
                          <a:chOff x="0" y="0"/>
                          <a:chExt cx="7577" cy="4928"/>
                        </a:xfrm>
                      </wpg:grpSpPr>
                      <wpg:graphicFrame>
                        <wpg:cNvPr id="1611859475" name="图表 1611859475"/>
                        <wpg:cNvFrPr/>
                        <wpg:xfrm>
                          <a:off x="0" y="0"/>
                          <a:ext cx="7427" cy="4928"/>
                        </wpg:xfrm>
                        <a:graphic>
                          <a:graphicData uri="http://schemas.openxmlformats.org/drawingml/2006/chart">
                            <c:chart xmlns:c="http://schemas.openxmlformats.org/drawingml/2006/chart" xmlns:r="http://schemas.openxmlformats.org/officeDocument/2006/relationships" r:id="rId14"/>
                          </a:graphicData>
                        </a:graphic>
                      </wpg:graphicFrame>
                      <wps:wsp>
                        <wps:cNvPr id="1077220091" name="文本框 6"/>
                        <wps:cNvSpPr txBox="1"/>
                        <wps:spPr>
                          <a:xfrm>
                            <a:off x="4957" y="179"/>
                            <a:ext cx="2620" cy="926"/>
                          </a:xfrm>
                          <a:prstGeom prst="rect">
                            <a:avLst/>
                          </a:prstGeom>
                        </wps:spPr>
                        <wps:txbx>
                          <w:txbxContent>
                            <w:p w14:paraId="0C03E6D0">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wrap="square" rtlCol="0" anchor="t"/>
                      </wps:wsp>
                    </wpg:wgp>
                  </a:graphicData>
                </a:graphic>
              </wp:anchor>
            </w:drawing>
          </mc:Choice>
          <mc:Fallback>
            <w:pict>
              <v:group id="组合 10" o:spid="_x0000_s1026" o:spt="203" style="position:absolute;left:0pt;margin-left:39.65pt;margin-top:3.55pt;height:225.7pt;width:318pt;z-index:251660288;mso-width-relative:page;mso-height-relative:page;" coordsize="7577,4928" o:gfxdata="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">
                <o:lock v:ext="edit" aspectratio="f"/>
                <v:rect id="_x0000_s1026" o:spid="_x0000_s1026" o:spt="75" style="position:absolute;left:-9;top:-8;height:4944;width:7445;" coordsize="21600,21600" o:gfxdata="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5nDu&#10;wAAAAOMAAAAPAAAAAAAAAAEAIAAAACIAAABkcnMvZG93bnJldi54bWxQSwECFAAUAAAACACHTuJA&#10;My8FnjsAAAA5AAAAEAAAAAAAAAABACAAAAAPAQAAZHJzL3NoYXBleG1sLnhtbFBLBQYAAAAABgAG&#10;AFsBAAC5AwAAAAA=&#10;">
                  <v:imagedata r:id="rId15" o:title=""/>
                  <o:lock v:ext="edit"/>
                </v:rect>
                <v:shape id="文本框 6" o:spid="_x0000_s1026" o:spt="202" type="#_x0000_t202" style="position:absolute;left:4957;top:179;height:926;width:2620;" filled="f" stroked="f" coordsize="21600,21600" o:gfxdata="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e&#10;+al3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0C03E6D0">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v:group>
            </w:pict>
          </mc:Fallback>
        </mc:AlternateContent>
      </w:r>
    </w:p>
    <w:p w14:paraId="25E88F1C">
      <w:pPr>
        <w:ind w:firstLine="640"/>
      </w:pPr>
    </w:p>
    <w:p w14:paraId="13F5C5C3">
      <w:pPr>
        <w:ind w:firstLine="640"/>
        <w:rPr>
          <w:rFonts w:cs="仿宋_GB2312"/>
        </w:rPr>
      </w:pPr>
    </w:p>
    <w:p w14:paraId="11CF2430">
      <w:pPr>
        <w:pStyle w:val="6"/>
        <w:ind w:firstLine="643"/>
      </w:pPr>
      <w:bookmarkStart w:id="26" w:name="_Toc15377206"/>
      <w:bookmarkStart w:id="27" w:name="_Toc214964019"/>
      <w:bookmarkStart w:id="28" w:name="_Toc15396604"/>
    </w:p>
    <w:p w14:paraId="4C0C9B13">
      <w:pPr>
        <w:ind w:firstLine="640"/>
      </w:pPr>
    </w:p>
    <w:p w14:paraId="343B8DDE">
      <w:pPr>
        <w:pStyle w:val="6"/>
        <w:ind w:firstLine="643"/>
        <w:rPr>
          <w:rFonts w:hint="eastAsia"/>
        </w:rPr>
      </w:pPr>
    </w:p>
    <w:p w14:paraId="5EA04DB6">
      <w:pPr>
        <w:pStyle w:val="6"/>
        <w:ind w:firstLine="643"/>
      </w:pPr>
      <w:r>
        <w:rPr>
          <w:rFonts w:hint="eastAsia"/>
        </w:rPr>
        <w:t>二、收入决算情况说明</w:t>
      </w:r>
      <w:bookmarkEnd w:id="26"/>
      <w:bookmarkEnd w:id="27"/>
      <w:bookmarkEnd w:id="28"/>
    </w:p>
    <w:p w14:paraId="6DCA0F95">
      <w:pPr>
        <w:ind w:firstLine="640"/>
        <w:rPr>
          <w:b/>
          <w:bCs/>
        </w:rPr>
      </w:pPr>
      <w:r>
        <w:rPr>
          <w:rFonts w:hint="eastAsia"/>
        </w:rPr>
        <w:t>2024年度本年收入合计861.16万元，其中：一般公共预算财政拨款收入778.97万元，占90.46%；政府性基金预算财政拨款收入0万元，占0%；国有资本经营预算财政拨款收入0万元，占0%；上级补助收入0万元，占0%；事业收入82.18万元，占9.54%；经营收入0万元，占0%；附属单位上缴收入0万元，占0%；其他收入0万元，占0%。</w:t>
      </w:r>
    </w:p>
    <w:p w14:paraId="2317A195">
      <w:pPr>
        <w:ind w:firstLine="640"/>
      </w:pPr>
      <w:r>
        <w:rPr>
          <w:rFonts w:hint="eastAsia"/>
        </w:rPr>
        <w:t>（图2：收入决算结构图）（饼状图）</w:t>
      </w:r>
      <w:bookmarkStart w:id="29" w:name="_Toc15396605"/>
      <w:bookmarkStart w:id="30" w:name="_Toc15377207"/>
    </w:p>
    <w:p w14:paraId="08A00DDA">
      <w:pPr>
        <w:pStyle w:val="6"/>
        <w:ind w:firstLine="643"/>
      </w:pPr>
      <w:r>
        <w:drawing>
          <wp:inline distT="0" distB="0" distL="0" distR="0">
            <wp:extent cx="4000500" cy="2667000"/>
            <wp:effectExtent l="0" t="0" r="0" b="0"/>
            <wp:docPr id="5894522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4A03BF">
      <w:pPr>
        <w:pStyle w:val="6"/>
        <w:ind w:firstLine="643"/>
        <w:rPr>
          <w:rStyle w:val="29"/>
          <w:b/>
          <w:bCs/>
        </w:rPr>
      </w:pPr>
      <w:bookmarkStart w:id="31" w:name="_Toc214964020"/>
      <w:r>
        <w:rPr>
          <w:rFonts w:hint="eastAsia"/>
        </w:rPr>
        <w:t>三、支</w:t>
      </w:r>
      <w:r>
        <w:rPr>
          <w:rStyle w:val="29"/>
          <w:rFonts w:hint="eastAsia"/>
          <w:b/>
          <w:bCs/>
        </w:rPr>
        <w:t>出决算情况说明</w:t>
      </w:r>
      <w:bookmarkEnd w:id="29"/>
      <w:bookmarkEnd w:id="30"/>
      <w:bookmarkEnd w:id="31"/>
    </w:p>
    <w:p w14:paraId="52F7D8DA">
      <w:pPr>
        <w:ind w:firstLine="640"/>
        <w:rPr>
          <w:b/>
          <w:bCs/>
        </w:rPr>
      </w:pPr>
      <w:r>
        <w:rPr>
          <w:rFonts w:hint="eastAsia"/>
        </w:rPr>
        <w:t>2024年度本年支出合计861.16万元，其中：基本支出748.94万元，占86.97%；项目支出112.22万元，占13.03%；上缴上级支出0万元，占0%；经营支出0万元，占0%；对附属单位补助支出0万元，占0%。</w:t>
      </w:r>
    </w:p>
    <w:p w14:paraId="343D6EC3">
      <w:pPr>
        <w:ind w:firstLine="640"/>
      </w:pPr>
      <w:r>
        <w:rPr>
          <w:rFonts w:hint="eastAsia"/>
        </w:rPr>
        <w:t>（图3：支出决算结构图）（饼状图）</w:t>
      </w:r>
    </w:p>
    <w:p w14:paraId="21740AC0">
      <w:pPr>
        <w:ind w:firstLine="640"/>
      </w:pPr>
    </w:p>
    <w:p w14:paraId="6E0F4421">
      <w:pPr>
        <w:ind w:firstLine="640"/>
        <w:rPr>
          <w:rFonts w:cs="仿宋_GB2312"/>
        </w:rPr>
      </w:pPr>
      <w:r>
        <mc:AlternateContent>
          <mc:Choice Requires="wpg">
            <w:drawing>
              <wp:anchor distT="0" distB="0" distL="114300" distR="114300" simplePos="0" relativeHeight="251662336" behindDoc="0" locked="0" layoutInCell="1" allowOverlap="1">
                <wp:simplePos x="0" y="0"/>
                <wp:positionH relativeFrom="column">
                  <wp:posOffset>341630</wp:posOffset>
                </wp:positionH>
                <wp:positionV relativeFrom="paragraph">
                  <wp:posOffset>-268605</wp:posOffset>
                </wp:positionV>
                <wp:extent cx="4036695" cy="2642870"/>
                <wp:effectExtent l="0" t="0" r="1905" b="5080"/>
                <wp:wrapNone/>
                <wp:docPr id="1814" name="组合 9"/>
                <wp:cNvGraphicFramePr/>
                <a:graphic xmlns:a="http://schemas.openxmlformats.org/drawingml/2006/main">
                  <a:graphicData uri="http://schemas.microsoft.com/office/word/2010/wordprocessingGroup">
                    <wpg:wgp>
                      <wpg:cNvGrpSpPr/>
                      <wpg:grpSpPr>
                        <a:xfrm>
                          <a:off x="0" y="0"/>
                          <a:ext cx="4036841" cy="2642870"/>
                          <a:chOff x="283" y="-914"/>
                          <a:chExt cx="6609" cy="4625"/>
                        </a:xfrm>
                      </wpg:grpSpPr>
                      <wpg:graphicFrame>
                        <wpg:cNvPr id="252014884" name="图表 252014884"/>
                        <wpg:cNvFrPr/>
                        <wpg:xfrm>
                          <a:off x="592" y="-914"/>
                          <a:ext cx="6300" cy="4625"/>
                        </wpg:xfrm>
                        <a:graphic>
                          <a:graphicData uri="http://schemas.openxmlformats.org/drawingml/2006/chart">
                            <c:chart xmlns:c="http://schemas.openxmlformats.org/drawingml/2006/chart" xmlns:r="http://schemas.openxmlformats.org/officeDocument/2006/relationships" r:id="rId17"/>
                          </a:graphicData>
                        </a:graphic>
                      </wpg:graphicFrame>
                      <wps:wsp>
                        <wps:cNvPr id="1307002553" name="文本框 1"/>
                        <wps:cNvSpPr txBox="1"/>
                        <wps:spPr>
                          <a:xfrm>
                            <a:off x="283" y="2886"/>
                            <a:ext cx="2106" cy="772"/>
                          </a:xfrm>
                          <a:prstGeom prst="rect">
                            <a:avLst/>
                          </a:prstGeom>
                        </wps:spPr>
                        <wps:txbx>
                          <w:txbxContent>
                            <w:p w14:paraId="12465B4B">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wrap="square" rtlCol="0" anchor="t"/>
                      </wps:wsp>
                    </wpg:wgp>
                  </a:graphicData>
                </a:graphic>
              </wp:anchor>
            </w:drawing>
          </mc:Choice>
          <mc:Fallback>
            <w:pict>
              <v:group id="组合 9" o:spid="_x0000_s1026" o:spt="203" style="position:absolute;left:0pt;margin-left:26.9pt;margin-top:-21.15pt;height:208.1pt;width:317.85pt;z-index:251662336;mso-width-relative:page;mso-height-relative:page;" coordorigin="283,-914" coordsize="6609,4625" o:gfxdata="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">
                <o:lock v:ext="edit" aspectratio="f"/>
                <v:rect id="_x0000_s1026" o:spid="_x0000_s1026" o:spt="75" style="position:absolute;left:584;top:-922;height:4642;width:6316;" coordsize="21600,21600" o:gfxdata="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ssnXMQAAADiAAAADwAAAAAAAAABACAAAAAiAAAAZHJzL2Rvd25yZXYueG1sUEsBAhQAFAAAAAgA&#10;h07iQDMvBZ47AAAAOQAAABAAAAAAAAAAAQAgAAAAEwEAAGRycy9zaGFwZXhtbC54bWxQSwUGAAAA&#10;AAYABgBbAQAAvQMAAAAA&#10;">
                  <v:imagedata r:id="rId18" o:title=""/>
                  <o:lock v:ext="edit"/>
                </v:rect>
                <v:shape id="文本框 1" o:spid="_x0000_s1026" o:spt="202" type="#_x0000_t202" style="position:absolute;left:283;top:2886;height:772;width:2106;" filled="f" stroked="f" coordsize="21600,21600" o:gfxdata="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cgab&#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12465B4B">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v:group>
            </w:pict>
          </mc:Fallback>
        </mc:AlternateContent>
      </w:r>
    </w:p>
    <w:p w14:paraId="274C05AC">
      <w:pPr>
        <w:ind w:firstLine="640"/>
      </w:pPr>
    </w:p>
    <w:p w14:paraId="1AA16E7C">
      <w:pPr>
        <w:ind w:firstLine="640"/>
      </w:pPr>
    </w:p>
    <w:p w14:paraId="5AD8F7F5">
      <w:pPr>
        <w:ind w:firstLine="640"/>
      </w:pPr>
    </w:p>
    <w:p w14:paraId="0B93E029">
      <w:pPr>
        <w:ind w:firstLine="640"/>
      </w:pPr>
    </w:p>
    <w:p w14:paraId="6693632B">
      <w:pPr>
        <w:pStyle w:val="6"/>
        <w:ind w:firstLine="643"/>
        <w:rPr>
          <w:rStyle w:val="29"/>
          <w:b/>
          <w:bCs/>
        </w:rPr>
      </w:pPr>
      <w:bookmarkStart w:id="32" w:name="_Toc214964021"/>
      <w:bookmarkStart w:id="33" w:name="_Toc15377208"/>
      <w:bookmarkStart w:id="34" w:name="_Toc15396606"/>
      <w:r>
        <w:rPr>
          <w:rFonts w:hint="eastAsia"/>
        </w:rPr>
        <w:t>四、财</w:t>
      </w:r>
      <w:r>
        <w:rPr>
          <w:rStyle w:val="29"/>
          <w:rFonts w:hint="eastAsia"/>
          <w:b/>
          <w:bCs/>
        </w:rPr>
        <w:t>政拨款收入支出决算总体情况说明</w:t>
      </w:r>
      <w:bookmarkEnd w:id="32"/>
      <w:bookmarkEnd w:id="33"/>
      <w:bookmarkEnd w:id="34"/>
    </w:p>
    <w:p w14:paraId="6D40CF86">
      <w:pPr>
        <w:ind w:firstLine="640"/>
      </w:pPr>
      <w:r>
        <w:rPr>
          <w:rFonts w:hint="eastAsia"/>
        </w:rPr>
        <w:t>2024年度财政拨款收入、支出总计均为778.97万元。与2023年度相比，财政拨款收入总计、支出总计各增加1.34万元，上升0.17%。主要变动原因是正常工资变动。</w:t>
      </w:r>
    </w:p>
    <w:p w14:paraId="2110786D">
      <w:pPr>
        <w:ind w:firstLine="640"/>
      </w:pPr>
      <w:r>
        <w:rPr>
          <w:rFonts w:hint="eastAsia"/>
        </w:rPr>
        <w:t>（图4：财政拨款收、支决算总计变动情况）（柱状图）</w:t>
      </w:r>
    </w:p>
    <w:p w14:paraId="3DA6D976">
      <w:pPr>
        <w:ind w:firstLine="640"/>
      </w:pPr>
      <w:r>
        <w:rPr>
          <w:rFonts w:asciiTheme="minorEastAsia" w:hAnsiTheme="minorEastAsia" w:eastAsiaTheme="minorEastAsia"/>
        </w:rPr>
        <mc:AlternateContent>
          <mc:Choice Requires="wpg">
            <w:drawing>
              <wp:anchor distT="0" distB="0" distL="114300" distR="114300" simplePos="0" relativeHeight="251659264" behindDoc="0" locked="0" layoutInCell="1" allowOverlap="1">
                <wp:simplePos x="0" y="0"/>
                <wp:positionH relativeFrom="column">
                  <wp:posOffset>565150</wp:posOffset>
                </wp:positionH>
                <wp:positionV relativeFrom="paragraph">
                  <wp:posOffset>9525</wp:posOffset>
                </wp:positionV>
                <wp:extent cx="3687445" cy="2680335"/>
                <wp:effectExtent l="0" t="0" r="8255" b="6350"/>
                <wp:wrapNone/>
                <wp:docPr id="1817" name="组合 7"/>
                <wp:cNvGraphicFramePr/>
                <a:graphic xmlns:a="http://schemas.openxmlformats.org/drawingml/2006/main">
                  <a:graphicData uri="http://schemas.microsoft.com/office/word/2010/wordprocessingGroup">
                    <wpg:wgp>
                      <wpg:cNvGrpSpPr/>
                      <wpg:grpSpPr>
                        <a:xfrm>
                          <a:off x="0" y="0"/>
                          <a:ext cx="3687745" cy="2680188"/>
                          <a:chOff x="0" y="67"/>
                          <a:chExt cx="6219" cy="4775"/>
                        </a:xfrm>
                      </wpg:grpSpPr>
                      <wpg:graphicFrame>
                        <wpg:cNvPr id="1637460569" name="图表 1637460569"/>
                        <wpg:cNvFrPr/>
                        <wpg:xfrm>
                          <a:off x="0" y="67"/>
                          <a:ext cx="6219" cy="4775"/>
                        </wpg:xfrm>
                        <a:graphic>
                          <a:graphicData uri="http://schemas.openxmlformats.org/drawingml/2006/chart">
                            <c:chart xmlns:c="http://schemas.openxmlformats.org/drawingml/2006/chart" xmlns:r="http://schemas.openxmlformats.org/officeDocument/2006/relationships" r:id="rId19"/>
                          </a:graphicData>
                        </a:graphic>
                      </wpg:graphicFrame>
                      <wps:wsp>
                        <wps:cNvPr id="1938102415" name="文本框 2"/>
                        <wps:cNvSpPr txBox="1"/>
                        <wps:spPr>
                          <a:xfrm>
                            <a:off x="4142" y="3855"/>
                            <a:ext cx="2077" cy="789"/>
                          </a:xfrm>
                          <a:prstGeom prst="rect">
                            <a:avLst/>
                          </a:prstGeom>
                        </wps:spPr>
                        <wps:txbx>
                          <w:txbxContent>
                            <w:p w14:paraId="5FC1E600">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wrap="square" rtlCol="0" anchor="t"/>
                      </wps:wsp>
                    </wpg:wgp>
                  </a:graphicData>
                </a:graphic>
              </wp:anchor>
            </w:drawing>
          </mc:Choice>
          <mc:Fallback>
            <w:pict>
              <v:group id="组合 7" o:spid="_x0000_s1026" o:spt="203" style="position:absolute;left:0pt;margin-left:44.5pt;margin-top:0.75pt;height:211.05pt;width:290.35pt;z-index:251659264;mso-width-relative:page;mso-height-relative:page;" coordorigin="0,67" coordsize="6219,4775" o:gfxdata="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">
                <o:lock v:ext="edit" aspectratio="f"/>
                <v:rect id="_x0000_s1026" o:spid="_x0000_s1026" o:spt="75" style="position:absolute;left:-8;top:59;height:4792;width:6235;" coordsize="21600,21600" o:gfxdata="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6gL&#10;rcEAAADjAAAADwAAAAAAAAABACAAAAAiAAAAZHJzL2Rvd25yZXYueG1sUEsBAhQAFAAAAAgAh07i&#10;QDMvBZ47AAAAOQAAABAAAAAAAAAAAQAgAAAAEAEAAGRycy9zaGFwZXhtbC54bWxQSwUGAAAAAAYA&#10;BgBbAQAAugMAAAAA&#10;">
                  <v:imagedata r:id="rId20" o:title=""/>
                  <o:lock v:ext="edit"/>
                </v:rect>
                <v:shape id="文本框 2" o:spid="_x0000_s1026" o:spt="202" type="#_x0000_t202" style="position:absolute;left:4142;top:3855;height:789;width:2077;" filled="f" stroked="f" coordsize="21600,21600" o:gfxdata="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FRes&#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5FC1E600">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v:group>
            </w:pict>
          </mc:Fallback>
        </mc:AlternateContent>
      </w:r>
    </w:p>
    <w:p w14:paraId="448DFE89">
      <w:pPr>
        <w:ind w:firstLine="640"/>
      </w:pPr>
    </w:p>
    <w:p w14:paraId="00111E1D">
      <w:pPr>
        <w:ind w:firstLine="0" w:firstLineChars="0"/>
      </w:pPr>
    </w:p>
    <w:p w14:paraId="044B02FE">
      <w:pPr>
        <w:pStyle w:val="2"/>
        <w:ind w:firstLine="360"/>
      </w:pPr>
    </w:p>
    <w:p w14:paraId="75D49246">
      <w:pPr>
        <w:pStyle w:val="6"/>
        <w:ind w:firstLine="643"/>
        <w:rPr>
          <w:rFonts w:hint="eastAsia"/>
        </w:rPr>
      </w:pPr>
      <w:bookmarkStart w:id="35" w:name="_Toc214964022"/>
      <w:bookmarkStart w:id="36" w:name="_Toc15377209"/>
      <w:bookmarkStart w:id="37" w:name="_Toc15396607"/>
    </w:p>
    <w:p w14:paraId="69097628">
      <w:pPr>
        <w:pStyle w:val="6"/>
        <w:ind w:firstLine="643"/>
        <w:rPr>
          <w:rStyle w:val="29"/>
          <w:b/>
          <w:bCs/>
        </w:rPr>
      </w:pPr>
      <w:r>
        <w:rPr>
          <w:rFonts w:hint="eastAsia"/>
        </w:rPr>
        <w:t>五、一</w:t>
      </w:r>
      <w:r>
        <w:rPr>
          <w:rStyle w:val="29"/>
          <w:rFonts w:hint="eastAsia"/>
          <w:b/>
          <w:bCs/>
        </w:rPr>
        <w:t>般公共预算财政拨款支出决算情况说明</w:t>
      </w:r>
      <w:bookmarkEnd w:id="35"/>
      <w:bookmarkEnd w:id="36"/>
      <w:bookmarkEnd w:id="37"/>
    </w:p>
    <w:p w14:paraId="76ADB45D">
      <w:pPr>
        <w:ind w:firstLine="643"/>
        <w:rPr>
          <w:b/>
        </w:rPr>
      </w:pPr>
      <w:bookmarkStart w:id="38" w:name="_Toc15377210"/>
      <w:r>
        <w:rPr>
          <w:rFonts w:hint="eastAsia"/>
          <w:b/>
        </w:rPr>
        <w:t>（一）一般公共预算财政拨款支出决算总体情况</w:t>
      </w:r>
      <w:bookmarkEnd w:id="38"/>
    </w:p>
    <w:p w14:paraId="73D9282A">
      <w:pPr>
        <w:ind w:firstLine="640"/>
      </w:pPr>
      <w:r>
        <w:rPr>
          <w:rFonts w:hint="eastAsia"/>
        </w:rPr>
        <w:t>2024年度一般公共预算财政拨款支出778.97万元，占本年支出合计的90.46%。与2023年度相比，一般公共预算财政拨款支出增加5.74万元，增长0.74%。主要变动原因是正常工资变动增加。</w:t>
      </w:r>
    </w:p>
    <w:p w14:paraId="0F0D9EAA">
      <w:pPr>
        <w:ind w:firstLine="640"/>
      </w:pPr>
      <w:r>
        <mc:AlternateContent>
          <mc:Choice Requires="wpg">
            <w:drawing>
              <wp:anchor distT="0" distB="0" distL="114300" distR="114300" simplePos="0" relativeHeight="251665408" behindDoc="0" locked="0" layoutInCell="1" allowOverlap="1">
                <wp:simplePos x="0" y="0"/>
                <wp:positionH relativeFrom="column">
                  <wp:posOffset>514350</wp:posOffset>
                </wp:positionH>
                <wp:positionV relativeFrom="paragraph">
                  <wp:posOffset>805180</wp:posOffset>
                </wp:positionV>
                <wp:extent cx="3746500" cy="2486025"/>
                <wp:effectExtent l="0" t="0" r="6350" b="9525"/>
                <wp:wrapNone/>
                <wp:docPr id="1820" name="组合 11"/>
                <wp:cNvGraphicFramePr/>
                <a:graphic xmlns:a="http://schemas.openxmlformats.org/drawingml/2006/main">
                  <a:graphicData uri="http://schemas.microsoft.com/office/word/2010/wordprocessingGroup">
                    <wpg:wgp>
                      <wpg:cNvGrpSpPr/>
                      <wpg:grpSpPr>
                        <a:xfrm>
                          <a:off x="0" y="0"/>
                          <a:ext cx="3746643" cy="2486154"/>
                          <a:chOff x="2971" y="3280"/>
                          <a:chExt cx="8124" cy="5576"/>
                        </a:xfrm>
                      </wpg:grpSpPr>
                      <wpg:graphicFrame>
                        <wpg:cNvPr id="2119219839" name="图表 2119219839"/>
                        <wpg:cNvFrPr/>
                        <wpg:xfrm>
                          <a:off x="3562" y="3280"/>
                          <a:ext cx="7533" cy="5576"/>
                        </wpg:xfrm>
                        <a:graphic>
                          <a:graphicData uri="http://schemas.openxmlformats.org/drawingml/2006/chart">
                            <c:chart xmlns:c="http://schemas.openxmlformats.org/drawingml/2006/chart" xmlns:r="http://schemas.openxmlformats.org/officeDocument/2006/relationships" r:id="rId21"/>
                          </a:graphicData>
                        </a:graphic>
                      </wpg:graphicFrame>
                      <wps:wsp>
                        <wps:cNvPr id="1298487376" name="文本框 3"/>
                        <wps:cNvSpPr txBox="1"/>
                        <wps:spPr>
                          <a:xfrm>
                            <a:off x="2971" y="7714"/>
                            <a:ext cx="3377" cy="1142"/>
                          </a:xfrm>
                          <a:prstGeom prst="rect">
                            <a:avLst/>
                          </a:prstGeom>
                        </wps:spPr>
                        <wps:txbx>
                          <w:txbxContent>
                            <w:p w14:paraId="6C06577E">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wrap="square" rtlCol="0" anchor="t"/>
                      </wps:wsp>
                    </wpg:wgp>
                  </a:graphicData>
                </a:graphic>
              </wp:anchor>
            </w:drawing>
          </mc:Choice>
          <mc:Fallback>
            <w:pict>
              <v:group id="组合 11" o:spid="_x0000_s1026" o:spt="203" style="position:absolute;left:0pt;margin-left:40.5pt;margin-top:63.4pt;height:195.75pt;width:295pt;z-index:251665408;mso-width-relative:page;mso-height-relative:page;" coordorigin="2971,3280" coordsize="8124,5576" o:gfxdata="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">
                <o:lock v:ext="edit" aspectratio="f"/>
                <v:rect id="_x0000_s1026" o:spid="_x0000_s1026" o:spt="75" style="position:absolute;left:3552;top:3269;height:5597;width:7554;" coordsize="21600,21600" o:gfxdata="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kT&#10;+r3CAAAA4wAAAA8AAAAAAAAAAQAgAAAAIgAAAGRycy9kb3ducmV2LnhtbFBLAQIUABQAAAAIAIdO&#10;4kAzLwWeOwAAADkAAAAQAAAAAAAAAAEAIAAAABEBAABkcnMvc2hhcGV4bWwueG1sUEsFBgAAAAAG&#10;AAYAWwEAALsDAAAAAA==&#10;">
                  <v:imagedata r:id="rId22" o:title=""/>
                  <o:lock v:ext="edit"/>
                </v:rect>
                <v:shape id="文本框 3" o:spid="_x0000_s1026" o:spt="202" type="#_x0000_t202" style="position:absolute;left:2971;top:7714;height:1142;width:3377;" filled="f" stroked="f" coordsize="21600,21600" o:gfxdata="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zl&#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6C06577E">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v:group>
            </w:pict>
          </mc:Fallback>
        </mc:AlternateContent>
      </w:r>
      <w:r>
        <w:rPr>
          <w:rFonts w:hint="eastAsia"/>
        </w:rPr>
        <w:t>（图5：一般公共预算财政拨款支出决算变动情况）（柱状图）</w:t>
      </w:r>
    </w:p>
    <w:p w14:paraId="1FD082DB">
      <w:pPr>
        <w:ind w:firstLine="640"/>
        <w:rPr>
          <w:rFonts w:cs="仿宋_GB2312"/>
        </w:rPr>
      </w:pPr>
    </w:p>
    <w:p w14:paraId="2E227A0F">
      <w:pPr>
        <w:ind w:firstLine="640"/>
      </w:pPr>
    </w:p>
    <w:p w14:paraId="4E027FFD">
      <w:pPr>
        <w:ind w:firstLine="640"/>
      </w:pPr>
    </w:p>
    <w:p w14:paraId="46A88F1D">
      <w:pPr>
        <w:ind w:firstLine="640"/>
      </w:pPr>
    </w:p>
    <w:p w14:paraId="49B5C256">
      <w:pPr>
        <w:ind w:firstLine="643"/>
        <w:rPr>
          <w:rFonts w:eastAsia="楷体_GB2312" w:cs="楷体_GB2312"/>
          <w:b/>
        </w:rPr>
      </w:pPr>
      <w:bookmarkStart w:id="39" w:name="_Toc15377211"/>
    </w:p>
    <w:p w14:paraId="39E27CFD">
      <w:pPr>
        <w:ind w:firstLine="0" w:firstLineChars="0"/>
        <w:rPr>
          <w:b/>
        </w:rPr>
      </w:pPr>
    </w:p>
    <w:p w14:paraId="6C7A1406">
      <w:pPr>
        <w:ind w:firstLine="643"/>
        <w:rPr>
          <w:b/>
        </w:rPr>
      </w:pPr>
      <w:r>
        <w:rPr>
          <w:rFonts w:hint="eastAsia"/>
          <w:b/>
        </w:rPr>
        <w:t>（二）一般公共预算财政拨款支出决算结构情况</w:t>
      </w:r>
      <w:bookmarkEnd w:id="39"/>
    </w:p>
    <w:p w14:paraId="6F903FFC">
      <w:pPr>
        <w:ind w:firstLine="640"/>
      </w:pPr>
      <w:r>
        <w:rPr>
          <w:rFonts w:hint="eastAsia"/>
        </w:rPr>
        <w:t>2024年度一般公共预算财政拨款支出778.97万元，主要用于以下方面：教育支出587.99万元，占75.48%；社会保障和就业支出117.21万元，占15.05%；卫生健康支出21.49万元，占2.76%；住房保障支出52.29万元，占6.71%。</w:t>
      </w:r>
    </w:p>
    <w:p w14:paraId="6A0D15DA">
      <w:pPr>
        <w:ind w:firstLine="640"/>
      </w:pPr>
      <w:r>
        <w:rPr>
          <w:rFonts w:hint="eastAsia"/>
        </w:rPr>
        <w:t>（图6：一般公共预算财政拨款支出决算结构）（饼状图）</w:t>
      </w:r>
    </w:p>
    <w:p w14:paraId="1397C151">
      <w:pPr>
        <w:ind w:firstLine="640"/>
      </w:pPr>
      <w:r>
        <w:rPr>
          <w:rFonts w:asciiTheme="minorEastAsia" w:hAnsiTheme="minorEastAsia" w:eastAsiaTheme="minorEastAsia"/>
        </w:rPr>
        <mc:AlternateContent>
          <mc:Choice Requires="wpg">
            <w:drawing>
              <wp:anchor distT="0" distB="0" distL="114300" distR="114300" simplePos="0" relativeHeight="251661312" behindDoc="0" locked="0" layoutInCell="1" allowOverlap="1">
                <wp:simplePos x="0" y="0"/>
                <wp:positionH relativeFrom="column">
                  <wp:posOffset>412115</wp:posOffset>
                </wp:positionH>
                <wp:positionV relativeFrom="paragraph">
                  <wp:posOffset>12700</wp:posOffset>
                </wp:positionV>
                <wp:extent cx="3759835" cy="2771140"/>
                <wp:effectExtent l="38100" t="0" r="12065" b="10160"/>
                <wp:wrapNone/>
                <wp:docPr id="1831" name="组合 12"/>
                <wp:cNvGraphicFramePr/>
                <a:graphic xmlns:a="http://schemas.openxmlformats.org/drawingml/2006/main">
                  <a:graphicData uri="http://schemas.microsoft.com/office/word/2010/wordprocessingGroup">
                    <wpg:wgp>
                      <wpg:cNvGrpSpPr/>
                      <wpg:grpSpPr>
                        <a:xfrm>
                          <a:off x="0" y="0"/>
                          <a:ext cx="3759835" cy="2771140"/>
                          <a:chOff x="0" y="0"/>
                          <a:chExt cx="7451" cy="5111"/>
                        </a:xfrm>
                      </wpg:grpSpPr>
                      <wpg:graphicFrame>
                        <wpg:cNvPr id="1048156164" name="图表 1048156164"/>
                        <wpg:cNvFrPr/>
                        <wpg:xfrm>
                          <a:off x="0" y="0"/>
                          <a:ext cx="7451" cy="5111"/>
                        </wpg:xfrm>
                        <a:graphic>
                          <a:graphicData uri="http://schemas.openxmlformats.org/drawingml/2006/chart">
                            <c:chart xmlns:c="http://schemas.openxmlformats.org/drawingml/2006/chart" xmlns:r="http://schemas.openxmlformats.org/officeDocument/2006/relationships" r:id="rId23"/>
                          </a:graphicData>
                        </a:graphic>
                      </wpg:graphicFrame>
                      <wps:wsp>
                        <wps:cNvPr id="1196638006" name="文本框 9"/>
                        <wps:cNvSpPr txBox="1"/>
                        <wps:spPr bwMode="auto">
                          <a:xfrm>
                            <a:off x="174" y="4008"/>
                            <a:ext cx="2498" cy="904"/>
                          </a:xfrm>
                          <a:prstGeom prst="rect">
                            <a:avLst/>
                          </a:prstGeom>
                        </wps:spPr>
                        <wps:txbx>
                          <w:txbxContent>
                            <w:p w14:paraId="0C6B9C79">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wrap="square" rtlCol="0" anchor="t"/>
                      </wps:wsp>
                    </wpg:wgp>
                  </a:graphicData>
                </a:graphic>
              </wp:anchor>
            </w:drawing>
          </mc:Choice>
          <mc:Fallback>
            <w:pict>
              <v:group id="组合 12" o:spid="_x0000_s1026" o:spt="203" style="position:absolute;left:0pt;margin-left:32.45pt;margin-top:1pt;height:218.2pt;width:296.05pt;z-index:251661312;mso-width-relative:page;mso-height-relative:page;" coordsize="7451,5111" o:gfxdata="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">
                <o:lock v:ext="edit" aspectratio="f"/>
                <v:rect id="_x0000_s1026" o:spid="_x0000_s1026" o:spt="75" style="position:absolute;left:-9;top:-9;height:5129;width:7470;" coordsize="21600,21600" o:gfxdata="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1id&#10;ssEAAADjAAAADwAAAAAAAAABACAAAAAiAAAAZHJzL2Rvd25yZXYueG1sUEsBAhQAFAAAAAgAh07i&#10;QDMvBZ47AAAAOQAAABAAAAAAAAAAAQAgAAAAEAEAAGRycy9zaGFwZXhtbC54bWxQSwUGAAAAAAYA&#10;BgBbAQAAugMAAAAA&#10;">
                  <v:imagedata r:id="rId24" o:title=""/>
                  <o:lock v:ext="edit"/>
                </v:rect>
                <v:shape id="文本框 9" o:spid="_x0000_s1026" o:spt="202" type="#_x0000_t202" style="position:absolute;left:174;top:4008;height:904;width:2498;" filled="f" stroked="f" coordsize="21600,21600" o:gfxdata="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wWIwwAAAOM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0C6B9C79">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v:group>
            </w:pict>
          </mc:Fallback>
        </mc:AlternateContent>
      </w:r>
    </w:p>
    <w:p w14:paraId="42AF486E">
      <w:pPr>
        <w:ind w:firstLine="640"/>
      </w:pPr>
    </w:p>
    <w:p w14:paraId="56190B9D">
      <w:pPr>
        <w:ind w:firstLine="640"/>
      </w:pPr>
    </w:p>
    <w:p w14:paraId="363FFC86">
      <w:pPr>
        <w:ind w:firstLine="640"/>
      </w:pPr>
    </w:p>
    <w:p w14:paraId="1C243C94">
      <w:pPr>
        <w:ind w:firstLine="0" w:firstLineChars="0"/>
      </w:pPr>
    </w:p>
    <w:p w14:paraId="483765C2">
      <w:pPr>
        <w:ind w:firstLine="640"/>
      </w:pPr>
    </w:p>
    <w:p w14:paraId="2305594A">
      <w:pPr>
        <w:ind w:firstLine="643"/>
        <w:rPr>
          <w:b/>
        </w:rPr>
      </w:pPr>
      <w:bookmarkStart w:id="40" w:name="_Toc15377212"/>
      <w:r>
        <w:rPr>
          <w:rFonts w:hint="eastAsia"/>
          <w:b/>
        </w:rPr>
        <w:t>（三）一般公共预算财政拨款支出决算具体情况</w:t>
      </w:r>
      <w:bookmarkEnd w:id="40"/>
    </w:p>
    <w:p w14:paraId="0C36A1AB">
      <w:pPr>
        <w:ind w:firstLine="640"/>
      </w:pPr>
      <w:bookmarkStart w:id="41" w:name="_Toc15377444"/>
      <w:bookmarkStart w:id="42" w:name="_Toc15377213"/>
      <w:bookmarkStart w:id="43" w:name="_Toc15378460"/>
      <w:r>
        <w:rPr>
          <w:rFonts w:hint="eastAsia"/>
        </w:rPr>
        <w:t>2024年度一般公共预算财政拨款支出决算数为778.97，完成预算100%。其中：</w:t>
      </w:r>
      <w:bookmarkEnd w:id="41"/>
      <w:bookmarkEnd w:id="42"/>
      <w:bookmarkEnd w:id="43"/>
    </w:p>
    <w:p w14:paraId="7B01FBA7">
      <w:pPr>
        <w:ind w:firstLine="643"/>
      </w:pPr>
      <w:r>
        <w:rPr>
          <w:b/>
          <w:bCs/>
        </w:rPr>
        <mc:AlternateContent>
          <mc:Choice Requires="wps">
            <w:drawing>
              <wp:anchor distT="0" distB="0" distL="114300" distR="114300" simplePos="0" relativeHeight="251664384" behindDoc="0" locked="0" layoutInCell="1" allowOverlap="1">
                <wp:simplePos x="0" y="0"/>
                <wp:positionH relativeFrom="column">
                  <wp:posOffset>2745740</wp:posOffset>
                </wp:positionH>
                <wp:positionV relativeFrom="paragraph">
                  <wp:posOffset>-603250</wp:posOffset>
                </wp:positionV>
                <wp:extent cx="930910" cy="285750"/>
                <wp:effectExtent l="0" t="0" r="0" b="0"/>
                <wp:wrapNone/>
                <wp:docPr id="1454571531" name="文本框 7"/>
                <wp:cNvGraphicFramePr/>
                <a:graphic xmlns:a="http://schemas.openxmlformats.org/drawingml/2006/main">
                  <a:graphicData uri="http://schemas.microsoft.com/office/word/2010/wordprocessingShape">
                    <wps:wsp>
                      <wps:cNvSpPr txBox="1"/>
                      <wps:spPr>
                        <a:xfrm>
                          <a:off x="0" y="0"/>
                          <a:ext cx="930910" cy="285750"/>
                        </a:xfrm>
                        <a:prstGeom prst="rect">
                          <a:avLst/>
                        </a:prstGeom>
                        <a:noFill/>
                        <a:ln w="6350">
                          <a:noFill/>
                        </a:ln>
                      </wps:spPr>
                      <wps:txbx>
                        <w:txbxContent>
                          <w:p w14:paraId="5365F166">
                            <w:pPr>
                              <w:ind w:firstLine="64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216.2pt;margin-top:-47.5pt;height:22.5pt;width:73.3pt;z-index:251664384;mso-width-relative:page;mso-height-relative:page;" filled="f" stroked="f" coordsize="21600,21600" o:gfxdata="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lZGai3AAAAAsBAAAPAAAAAAAAAAEAIAAA&#10;ACIAAABkcnMvZG93bnJldi54bWxQSwECFAAUAAAACACHTuJAWTOvUkECAABuBAAADgAAAAAAAAAB&#10;ACAAAAArAQAAZHJzL2Uyb0RvYy54bWxQSwUGAAAAAAYABgBZAQAA3gUAAAAA&#10;">
                <v:fill on="f" focussize="0,0"/>
                <v:stroke on="f" weight="0.5pt"/>
                <v:imagedata o:title=""/>
                <o:lock v:ext="edit" aspectratio="f"/>
                <v:textbox>
                  <w:txbxContent>
                    <w:p w14:paraId="5365F166">
                      <w:pPr>
                        <w:ind w:firstLine="640"/>
                      </w:pPr>
                    </w:p>
                  </w:txbxContent>
                </v:textbox>
              </v:shape>
            </w:pict>
          </mc:Fallback>
        </mc:AlternateContent>
      </w:r>
      <w:r>
        <w:rPr>
          <w:b/>
          <w:bCs/>
        </w:rPr>
        <w:t xml:space="preserve">1. </w:t>
      </w:r>
      <w:r>
        <w:rPr>
          <w:rFonts w:hint="eastAsia"/>
          <w:b/>
          <w:bCs/>
        </w:rPr>
        <w:t>教育（类）</w:t>
      </w:r>
      <w:r>
        <w:t>:</w:t>
      </w:r>
      <w:r>
        <w:rPr>
          <w:rFonts w:hint="eastAsia"/>
        </w:rPr>
        <w:t>支出决算为587.99万元，完成预算100</w:t>
      </w:r>
      <w:r>
        <w:t>%</w:t>
      </w:r>
      <w:r>
        <w:rPr>
          <w:rFonts w:hint="eastAsia"/>
        </w:rPr>
        <w:t>，决算数等于预算数的主要原因是严格执行、合理安排。其中：</w:t>
      </w:r>
    </w:p>
    <w:p w14:paraId="22F00FE3">
      <w:pPr>
        <w:ind w:firstLine="640"/>
        <w:rPr>
          <w:rStyle w:val="17"/>
          <w:rFonts w:asciiTheme="minorEastAsia" w:hAnsiTheme="minorEastAsia" w:eastAsiaTheme="minorEastAsia"/>
          <w:b w:val="0"/>
          <w:bCs/>
          <w:color w:val="000000"/>
          <w:szCs w:val="32"/>
        </w:rPr>
      </w:pPr>
      <w:r>
        <w:rPr>
          <w:rFonts w:hint="eastAsia"/>
          <w:color w:val="000000"/>
        </w:rPr>
        <w:t>教育支出（类）进修及培训（款）教师进修（项）</w:t>
      </w:r>
      <w:r>
        <w:rPr>
          <w:rFonts w:hint="eastAsia"/>
        </w:rPr>
        <w:t>:支出</w:t>
      </w:r>
      <w:r>
        <w:rPr>
          <w:rStyle w:val="17"/>
          <w:rFonts w:hint="eastAsia" w:asciiTheme="minorEastAsia" w:hAnsiTheme="minorEastAsia" w:eastAsiaTheme="minorEastAsia"/>
          <w:b w:val="0"/>
          <w:bCs/>
          <w:color w:val="000000"/>
          <w:szCs w:val="32"/>
        </w:rPr>
        <w:t>决算数384.17万元，完成预算100%。</w:t>
      </w:r>
    </w:p>
    <w:p w14:paraId="56EF1B95">
      <w:pPr>
        <w:ind w:firstLine="640"/>
        <w:rPr>
          <w:rStyle w:val="17"/>
          <w:rFonts w:asciiTheme="minorEastAsia" w:hAnsiTheme="minorEastAsia" w:eastAsiaTheme="minorEastAsia"/>
          <w:b w:val="0"/>
          <w:bCs/>
          <w:color w:val="000000"/>
          <w:szCs w:val="32"/>
        </w:rPr>
      </w:pPr>
      <w:r>
        <w:rPr>
          <w:rFonts w:hint="eastAsia"/>
          <w:color w:val="000000"/>
        </w:rPr>
        <w:t>教育支出（类）普通教育（款）其他普通教育支出（项）</w:t>
      </w:r>
      <w:r>
        <w:rPr>
          <w:rStyle w:val="17"/>
          <w:rFonts w:hint="eastAsia" w:asciiTheme="minorEastAsia" w:hAnsiTheme="minorEastAsia" w:eastAsiaTheme="minorEastAsia"/>
          <w:color w:val="000000"/>
          <w:szCs w:val="32"/>
        </w:rPr>
        <w:t>:</w:t>
      </w:r>
      <w:r>
        <w:rPr>
          <w:rStyle w:val="17"/>
          <w:rFonts w:hint="eastAsia" w:asciiTheme="minorEastAsia" w:hAnsiTheme="minorEastAsia" w:eastAsiaTheme="minorEastAsia"/>
          <w:b w:val="0"/>
          <w:bCs/>
          <w:color w:val="000000"/>
          <w:szCs w:val="32"/>
        </w:rPr>
        <w:t>支出决算数192.76万元，完成预算100%。</w:t>
      </w:r>
    </w:p>
    <w:p w14:paraId="4A70167C">
      <w:pPr>
        <w:ind w:firstLine="640"/>
        <w:rPr>
          <w:color w:val="000000"/>
        </w:rPr>
      </w:pPr>
      <w:r>
        <w:rPr>
          <w:rFonts w:hint="eastAsia"/>
          <w:color w:val="000000"/>
        </w:rPr>
        <w:t>教育支出（类）教育费附加安排支出（款）其他教育费附加安排支出（项）：11.06万元。</w:t>
      </w:r>
      <w:r>
        <w:rPr>
          <w:rStyle w:val="17"/>
          <w:rFonts w:hint="eastAsia" w:asciiTheme="minorEastAsia" w:hAnsiTheme="minorEastAsia" w:eastAsiaTheme="minorEastAsia"/>
          <w:b w:val="0"/>
          <w:color w:val="000000"/>
          <w:szCs w:val="32"/>
        </w:rPr>
        <w:t>完成预算100%。</w:t>
      </w:r>
    </w:p>
    <w:p w14:paraId="60A6AD3D">
      <w:pPr>
        <w:ind w:firstLine="643"/>
      </w:pPr>
      <w:r>
        <w:rPr>
          <w:rFonts w:hint="eastAsia"/>
          <w:b/>
          <w:bCs/>
        </w:rPr>
        <w:t>2</w:t>
      </w:r>
      <w:r>
        <w:rPr>
          <w:b/>
          <w:bCs/>
        </w:rPr>
        <w:t>.</w:t>
      </w:r>
      <w:r>
        <w:rPr>
          <w:rFonts w:hint="eastAsia"/>
          <w:b/>
          <w:bCs/>
        </w:rPr>
        <w:t>社会保障和就业（类）</w:t>
      </w:r>
      <w:r>
        <w:rPr>
          <w:rFonts w:hint="eastAsia"/>
        </w:rPr>
        <w:t>支出决算为117.21万元，完成预算100</w:t>
      </w:r>
      <w:r>
        <w:t>%</w:t>
      </w:r>
      <w:r>
        <w:rPr>
          <w:rFonts w:hint="eastAsia"/>
        </w:rPr>
        <w:t>，决算数等于预算数的主要原因是严格执行、合理安排。其中：</w:t>
      </w:r>
    </w:p>
    <w:p w14:paraId="69C73D03">
      <w:pPr>
        <w:ind w:firstLine="640"/>
        <w:rPr>
          <w:color w:val="000000"/>
        </w:rPr>
      </w:pPr>
      <w:r>
        <w:rPr>
          <w:rFonts w:hint="eastAsia"/>
          <w:color w:val="000000"/>
        </w:rPr>
        <w:t>社会保障和就业支出（类）行政事业单位养老支出（款）机关事业单位基本养老保险缴费支出（项）:支出决算数56.11万元，完成预算100%。</w:t>
      </w:r>
    </w:p>
    <w:p w14:paraId="1A166AB9">
      <w:pPr>
        <w:ind w:firstLine="640"/>
        <w:rPr>
          <w:color w:val="000000"/>
        </w:rPr>
      </w:pPr>
      <w:r>
        <w:rPr>
          <w:rFonts w:hint="eastAsia"/>
          <w:color w:val="000000"/>
        </w:rPr>
        <w:t>社会保障和就业支出（类）行政事业单位养老支出（款）机关事业单位职业年金缴费支出（项）:支出决算数31.04万元，完成预算100%。</w:t>
      </w:r>
    </w:p>
    <w:p w14:paraId="7E55209C">
      <w:pPr>
        <w:ind w:firstLine="640"/>
        <w:rPr>
          <w:color w:val="000000"/>
        </w:rPr>
      </w:pPr>
      <w:r>
        <w:rPr>
          <w:rFonts w:hint="eastAsia"/>
          <w:color w:val="000000"/>
        </w:rPr>
        <w:t>社会保障和就业支出（类）行政事业单位养老支出（款）事业单位离退休（项）:支出决算数15.60万元，完成预算100%。</w:t>
      </w:r>
    </w:p>
    <w:p w14:paraId="1D523246">
      <w:pPr>
        <w:ind w:firstLine="640"/>
        <w:rPr>
          <w:color w:val="000000"/>
        </w:rPr>
      </w:pPr>
      <w:r>
        <w:rPr>
          <w:rFonts w:hint="eastAsia"/>
          <w:color w:val="000000"/>
        </w:rPr>
        <w:t>社会保障和就业支出（类）抚恤（款）其他优抚支出（项）:支出决算数0.85万元，完成预算100%。</w:t>
      </w:r>
    </w:p>
    <w:p w14:paraId="1626E00C">
      <w:pPr>
        <w:ind w:firstLine="640"/>
      </w:pPr>
      <w:r>
        <w:rPr>
          <w:rFonts w:hint="eastAsia"/>
          <w:color w:val="000000"/>
        </w:rPr>
        <w:t>社会保障和就业支出（类）其他社会保障和就业支出（款）其他社会保障和就业支出（项）:支出决算数13.60万元，完成预算100%。</w:t>
      </w:r>
    </w:p>
    <w:p w14:paraId="2375F8E3">
      <w:pPr>
        <w:ind w:firstLine="643"/>
      </w:pPr>
      <w:r>
        <w:rPr>
          <w:rStyle w:val="17"/>
          <w:rFonts w:hint="eastAsia" w:asciiTheme="minorEastAsia" w:hAnsiTheme="minorEastAsia" w:eastAsiaTheme="minorEastAsia"/>
          <w:bCs/>
          <w:szCs w:val="32"/>
        </w:rPr>
        <w:t>3</w:t>
      </w:r>
      <w:r>
        <w:rPr>
          <w:rStyle w:val="17"/>
          <w:rFonts w:asciiTheme="minorEastAsia" w:hAnsiTheme="minorEastAsia" w:eastAsiaTheme="minorEastAsia"/>
          <w:bCs/>
          <w:szCs w:val="32"/>
        </w:rPr>
        <w:t>.</w:t>
      </w:r>
      <w:r>
        <w:rPr>
          <w:rFonts w:hint="eastAsia"/>
          <w:bCs/>
        </w:rPr>
        <w:t xml:space="preserve"> </w:t>
      </w:r>
      <w:r>
        <w:rPr>
          <w:rFonts w:hint="eastAsia"/>
          <w:b/>
        </w:rPr>
        <w:t>卫生健康</w:t>
      </w:r>
      <w:r>
        <w:rPr>
          <w:rFonts w:hint="eastAsia"/>
          <w:b/>
          <w:bCs/>
        </w:rPr>
        <w:t>（类）</w:t>
      </w:r>
      <w:r>
        <w:rPr>
          <w:rFonts w:hint="eastAsia"/>
        </w:rPr>
        <w:t>支出决算为21.49万元，完成预算100</w:t>
      </w:r>
      <w:r>
        <w:t>%</w:t>
      </w:r>
      <w:r>
        <w:rPr>
          <w:rFonts w:hint="eastAsia"/>
        </w:rPr>
        <w:t>，决算数等于预算数的主要原因是严格执行、合理安排。其中：</w:t>
      </w:r>
    </w:p>
    <w:p w14:paraId="472B6882">
      <w:pPr>
        <w:ind w:firstLine="640"/>
      </w:pPr>
      <w:r>
        <w:rPr>
          <w:rFonts w:hint="eastAsia"/>
          <w:color w:val="000000"/>
        </w:rPr>
        <w:t>卫生健康支出（类）行政事业单位医疗（款）事业单位医疗（项）:</w:t>
      </w:r>
      <w:r>
        <w:rPr>
          <w:rFonts w:hint="eastAsia"/>
        </w:rPr>
        <w:t>支出决算数21.49万元，完成预算100%。</w:t>
      </w:r>
    </w:p>
    <w:p w14:paraId="029D6373">
      <w:pPr>
        <w:ind w:firstLine="643"/>
      </w:pPr>
      <w:r>
        <w:rPr>
          <w:rFonts w:hint="eastAsia"/>
          <w:b/>
          <w:bCs/>
        </w:rPr>
        <w:t>4. 住房保障支出（类）：</w:t>
      </w:r>
      <w:r>
        <w:rPr>
          <w:rFonts w:hint="eastAsia"/>
        </w:rPr>
        <w:t>支出决算为52.29万元，完成预算100</w:t>
      </w:r>
      <w:r>
        <w:t>%</w:t>
      </w:r>
      <w:r>
        <w:rPr>
          <w:rFonts w:hint="eastAsia"/>
        </w:rPr>
        <w:t>。决算数等于预算数的主要原因是严格执行、合理安排。其中：</w:t>
      </w:r>
    </w:p>
    <w:p w14:paraId="3A05C7BC">
      <w:pPr>
        <w:ind w:firstLine="640"/>
      </w:pPr>
      <w:r>
        <w:rPr>
          <w:rFonts w:hint="eastAsia"/>
        </w:rPr>
        <w:t>住房保障支出（类）住房改革支出（款）住房公积金（项）: 支出决算数52.29万元，完成预算100%。</w:t>
      </w:r>
    </w:p>
    <w:p w14:paraId="6949E6BA">
      <w:pPr>
        <w:pStyle w:val="6"/>
        <w:ind w:firstLine="643"/>
        <w:rPr>
          <w:rStyle w:val="29"/>
          <w:b/>
          <w:bCs/>
        </w:rPr>
      </w:pPr>
      <w:bookmarkStart w:id="44" w:name="_Toc214964023"/>
      <w:bookmarkStart w:id="45" w:name="_Toc15396608"/>
      <w:bookmarkStart w:id="46" w:name="_Toc15377214"/>
      <w:r>
        <w:rPr>
          <w:rFonts w:hint="eastAsia"/>
        </w:rPr>
        <w:t>六、一</w:t>
      </w:r>
      <w:r>
        <w:rPr>
          <w:rStyle w:val="29"/>
          <w:rFonts w:hint="eastAsia"/>
          <w:b/>
          <w:bCs/>
        </w:rPr>
        <w:t>般公共预算财政拨款基本支出决算情况说明</w:t>
      </w:r>
      <w:bookmarkEnd w:id="44"/>
      <w:bookmarkEnd w:id="45"/>
      <w:bookmarkEnd w:id="46"/>
      <w:r>
        <w:rPr>
          <w:rStyle w:val="29"/>
          <w:b/>
          <w:bCs/>
        </w:rPr>
        <w:tab/>
      </w:r>
    </w:p>
    <w:p w14:paraId="49968F1D">
      <w:pPr>
        <w:ind w:firstLine="640"/>
      </w:pPr>
      <w:r>
        <w:rPr>
          <w:rFonts w:hint="eastAsia"/>
        </w:rPr>
        <w:t>2024年度一般公共预算财政拨款基本支出748.94万元，其中：</w:t>
      </w:r>
    </w:p>
    <w:p w14:paraId="3C5708C7">
      <w:pPr>
        <w:ind w:firstLine="640"/>
      </w:pPr>
      <w:r>
        <w:rPr>
          <w:rFonts w:hint="eastAsia"/>
        </w:rPr>
        <w:t>人员经费687.46万元，主要包括：基本工资、津贴补贴、绩效工资、机关事业单位基本养老保险缴费、职业年金缴费、职工基本医疗保险缴费、其他社会保障缴费、住房公积金、其他工资福利支出、对个人和家庭的补助、离休费、生活补助、奖励金等。</w:t>
      </w:r>
      <w:r>
        <w:rPr>
          <w:rFonts w:hint="eastAsia"/>
        </w:rPr>
        <w:br w:type="textWrapping"/>
      </w:r>
      <w:r>
        <w:rPr>
          <w:rFonts w:hint="eastAsia"/>
        </w:rPr>
        <w:t>　　公用经费61.49万元，主要包括：商品服务和支出、办公费、水费、电费、邮电费、差旅费、维修（护）费、租赁费、劳务费、委托业务费、工会经费、福利费、公务用车运行维护费、其他交通费、其他商品和服务支出、资本性支出、办公设备购置等。</w:t>
      </w:r>
    </w:p>
    <w:p w14:paraId="0BAB4D8F">
      <w:pPr>
        <w:pStyle w:val="6"/>
        <w:ind w:firstLine="643"/>
        <w:rPr>
          <w:rStyle w:val="29"/>
          <w:b/>
          <w:bCs/>
        </w:rPr>
      </w:pPr>
      <w:bookmarkStart w:id="47" w:name="_Toc15377215"/>
      <w:bookmarkStart w:id="48" w:name="_Toc15396609"/>
      <w:bookmarkStart w:id="49" w:name="_Toc214964024"/>
      <w:r>
        <w:rPr>
          <w:rFonts w:hint="eastAsia"/>
        </w:rPr>
        <w:t>七、</w:t>
      </w:r>
      <w:r>
        <w:rPr>
          <w:rStyle w:val="29"/>
          <w:rFonts w:hint="eastAsia"/>
          <w:b/>
          <w:bCs/>
        </w:rPr>
        <w:t>财政拨款“三公”经费支出决算情况说明</w:t>
      </w:r>
      <w:bookmarkEnd w:id="47"/>
      <w:bookmarkEnd w:id="48"/>
      <w:bookmarkEnd w:id="49"/>
    </w:p>
    <w:p w14:paraId="5D87FF75">
      <w:pPr>
        <w:ind w:firstLine="643"/>
        <w:rPr>
          <w:b/>
        </w:rPr>
      </w:pPr>
      <w:bookmarkStart w:id="50" w:name="_Toc15377216"/>
      <w:r>
        <w:rPr>
          <w:rFonts w:hint="eastAsia"/>
          <w:b/>
        </w:rPr>
        <w:t>（一）“三公”经费财政拨款支出决算总体情况说明</w:t>
      </w:r>
      <w:bookmarkEnd w:id="50"/>
    </w:p>
    <w:p w14:paraId="40AEB667">
      <w:pPr>
        <w:ind w:firstLine="640"/>
      </w:pPr>
      <w:r>
        <w:rPr>
          <w:rFonts w:hint="eastAsia"/>
        </w:rPr>
        <w:t>2024年度“三公”经费财政拨款支出决算为0.9万元，完成预算100%，较上年度减少0.64万元，下降41.56%。决算数与预算数持平的主要原因是厉行节约</w:t>
      </w:r>
      <w:r>
        <w:rPr>
          <w:rFonts w:hint="eastAsia"/>
          <w:lang w:eastAsia="zh-CN"/>
        </w:rPr>
        <w:t>，减少使用公务用车</w:t>
      </w:r>
      <w:r>
        <w:rPr>
          <w:rFonts w:hint="eastAsia"/>
        </w:rPr>
        <w:t>。</w:t>
      </w:r>
    </w:p>
    <w:p w14:paraId="6A0892F1">
      <w:pPr>
        <w:ind w:firstLine="643"/>
        <w:rPr>
          <w:b/>
        </w:rPr>
      </w:pPr>
      <w:bookmarkStart w:id="51" w:name="_Toc15377217"/>
      <w:r>
        <w:rPr>
          <w:rFonts w:hint="eastAsia"/>
          <w:b/>
        </w:rPr>
        <w:t>（二）“三公”经费财政拨款支出决算具体情况说明</w:t>
      </w:r>
      <w:bookmarkEnd w:id="51"/>
    </w:p>
    <w:p w14:paraId="16C3F3AF">
      <w:pPr>
        <w:ind w:firstLine="640"/>
      </w:pPr>
      <w:r>
        <w:rPr>
          <w:rFonts w:hint="eastAsia"/>
        </w:rPr>
        <w:t>2024年度“三公”经费财政拨款支出决算中，因公出国（境）费支出决算0万元，占0%；公务用车购置及运行维护费支出决算0.9万元，占100%；公务接待费支出决算0万元，占0%。具体情况如下：</w:t>
      </w:r>
    </w:p>
    <w:p w14:paraId="58262E77">
      <w:pPr>
        <w:ind w:firstLine="640"/>
      </w:pPr>
      <w:r>
        <mc:AlternateContent>
          <mc:Choice Requires="wpg">
            <w:drawing>
              <wp:anchor distT="0" distB="0" distL="114300" distR="114300" simplePos="0" relativeHeight="251663360" behindDoc="0" locked="0" layoutInCell="1" allowOverlap="1">
                <wp:simplePos x="0" y="0"/>
                <wp:positionH relativeFrom="column">
                  <wp:posOffset>514985</wp:posOffset>
                </wp:positionH>
                <wp:positionV relativeFrom="paragraph">
                  <wp:posOffset>408940</wp:posOffset>
                </wp:positionV>
                <wp:extent cx="3194685" cy="2122170"/>
                <wp:effectExtent l="0" t="0" r="6350" b="11430"/>
                <wp:wrapNone/>
                <wp:docPr id="2008" name="组合 13"/>
                <wp:cNvGraphicFramePr/>
                <a:graphic xmlns:a="http://schemas.openxmlformats.org/drawingml/2006/main">
                  <a:graphicData uri="http://schemas.microsoft.com/office/word/2010/wordprocessingGroup">
                    <wpg:wgp>
                      <wpg:cNvGrpSpPr/>
                      <wpg:grpSpPr>
                        <a:xfrm>
                          <a:off x="0" y="0"/>
                          <a:ext cx="3194622" cy="2122288"/>
                          <a:chOff x="-3749" y="-1990"/>
                          <a:chExt cx="7334" cy="4725"/>
                        </a:xfrm>
                      </wpg:grpSpPr>
                      <wpg:graphicFrame>
                        <wpg:cNvPr id="2145983118" name="图表 2145983118"/>
                        <wpg:cNvFrPr/>
                        <wpg:xfrm>
                          <a:off x="-3357" y="-1990"/>
                          <a:ext cx="6942" cy="4725"/>
                        </wpg:xfrm>
                        <a:graphic>
                          <a:graphicData uri="http://schemas.openxmlformats.org/drawingml/2006/chart">
                            <c:chart xmlns:c="http://schemas.openxmlformats.org/drawingml/2006/chart" xmlns:r="http://schemas.openxmlformats.org/officeDocument/2006/relationships" r:id="rId25"/>
                          </a:graphicData>
                        </a:graphic>
                      </wpg:graphicFrame>
                      <wps:wsp>
                        <wps:cNvPr id="501868263" name="文本框 5"/>
                        <wps:cNvSpPr txBox="1"/>
                        <wps:spPr>
                          <a:xfrm>
                            <a:off x="-3749" y="1691"/>
                            <a:ext cx="2768" cy="971"/>
                          </a:xfrm>
                          <a:prstGeom prst="rect">
                            <a:avLst/>
                          </a:prstGeom>
                        </wps:spPr>
                        <wps:txbx>
                          <w:txbxContent>
                            <w:p w14:paraId="23D44E79">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wps:txbx>
                        <wps:bodyPr wrap="square" rtlCol="0" anchor="t"/>
                      </wps:wsp>
                    </wpg:wgp>
                  </a:graphicData>
                </a:graphic>
              </wp:anchor>
            </w:drawing>
          </mc:Choice>
          <mc:Fallback>
            <w:pict>
              <v:group id="组合 13" o:spid="_x0000_s1026" o:spt="203" style="position:absolute;left:0pt;margin-left:40.55pt;margin-top:32.2pt;height:167.1pt;width:251.55pt;z-index:251663360;mso-width-relative:page;mso-height-relative:page;" coordorigin="-3749,-1990" coordsize="7334,4725" o:gfxdata="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">
                <o:lock v:ext="edit" aspectratio="f"/>
                <v:rect id="_x0000_s1026" o:spid="_x0000_s1026" o:spt="75" style="position:absolute;left:-3368;top:-2001;height:4746;width:6964;" coordsize="21600,21600" o:gfxdata="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W3Va/&#10;AAAA4wAAAA8AAAAAAAAAAQAgAAAAIgAAAGRycy9kb3ducmV2LnhtbFBLAQIUABQAAAAIAIdO4kAz&#10;LwWeOwAAADkAAAAQAAAAAAAAAAEAIAAAAA4BAABkcnMvc2hhcGV4bWwueG1sUEsFBgAAAAAGAAYA&#10;WwEAALgDAAAAAA==&#10;">
                  <v:imagedata r:id="rId26" o:title=""/>
                  <o:lock v:ext="edit"/>
                </v:rect>
                <v:shape id="文本框 5" o:spid="_x0000_s1026" o:spt="202" type="#_x0000_t202" style="position:absolute;left:-3749;top:1691;height:971;width:2768;" filled="f" stroked="f" coordsize="21600,21600" o:gfxdata="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4D&#10;usLCAAAA4g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23D44E79">
                        <w:pPr>
                          <w:ind w:firstLine="440"/>
                          <w:rPr>
                            <w:rFonts w:asciiTheme="minorHAnsi" w:eastAsiaTheme="minorEastAsia" w:cstheme="minorBidi"/>
                            <w:kern w:val="0"/>
                            <w:sz w:val="22"/>
                            <w:szCs w:val="22"/>
                          </w:rPr>
                        </w:pPr>
                        <w:r>
                          <w:rPr>
                            <w:rFonts w:hint="eastAsia" w:asciiTheme="minorHAnsi" w:eastAsiaTheme="minorEastAsia" w:cstheme="minorBidi"/>
                            <w:sz w:val="22"/>
                            <w:szCs w:val="22"/>
                          </w:rPr>
                          <w:t>单位：万元</w:t>
                        </w:r>
                      </w:p>
                    </w:txbxContent>
                  </v:textbox>
                </v:shape>
              </v:group>
            </w:pict>
          </mc:Fallback>
        </mc:AlternateContent>
      </w:r>
      <w:r>
        <w:rPr>
          <w:rFonts w:hint="eastAsia"/>
        </w:rPr>
        <w:t>（图7：“三公”经费财政拨款支出结构）（饼状图）</w:t>
      </w:r>
    </w:p>
    <w:p w14:paraId="4D8E0276">
      <w:pPr>
        <w:ind w:firstLine="643"/>
        <w:rPr>
          <w:b/>
          <w:bCs/>
        </w:rPr>
      </w:pPr>
    </w:p>
    <w:p w14:paraId="65BEB781">
      <w:pPr>
        <w:ind w:firstLine="643"/>
        <w:rPr>
          <w:rFonts w:hint="eastAsia"/>
          <w:b/>
          <w:bCs/>
        </w:rPr>
      </w:pPr>
    </w:p>
    <w:p w14:paraId="2FD27BDE">
      <w:pPr>
        <w:ind w:firstLine="643"/>
        <w:rPr>
          <w:rFonts w:hint="eastAsia"/>
          <w:b/>
          <w:bCs/>
        </w:rPr>
      </w:pPr>
    </w:p>
    <w:p w14:paraId="5305DA9A">
      <w:pPr>
        <w:ind w:firstLine="643"/>
        <w:rPr>
          <w:rFonts w:hint="eastAsia"/>
          <w:b/>
          <w:bCs/>
        </w:rPr>
      </w:pPr>
    </w:p>
    <w:p w14:paraId="2A1C29F9">
      <w:pPr>
        <w:ind w:firstLine="643"/>
        <w:rPr>
          <w:rFonts w:hint="eastAsia"/>
          <w:b/>
          <w:bCs/>
        </w:rPr>
      </w:pPr>
    </w:p>
    <w:p w14:paraId="3B2892D0">
      <w:pPr>
        <w:ind w:firstLine="643"/>
      </w:pPr>
      <w:r>
        <w:rPr>
          <w:rFonts w:hint="eastAsia"/>
          <w:b/>
          <w:bCs/>
        </w:rPr>
        <w:t>1.因公出国（境）经费支出0万元，完成预算0%。</w:t>
      </w:r>
      <w:r>
        <w:rPr>
          <w:rFonts w:hint="eastAsia"/>
        </w:rPr>
        <w:t>全年安排因公出国（境）团组0次，出国（境）0人。因公出国（境）支出决算比2023年增加0万元，增长0%。</w:t>
      </w:r>
    </w:p>
    <w:p w14:paraId="36E7A6D9">
      <w:pPr>
        <w:ind w:firstLine="643"/>
      </w:pPr>
      <w:r>
        <w:rPr>
          <w:rFonts w:hint="eastAsia"/>
          <w:b/>
          <w:bCs/>
        </w:rPr>
        <w:t>2.公务用车购置及运行维护费支出0.9万元，完成预算100%。</w:t>
      </w:r>
      <w:r>
        <w:rPr>
          <w:rFonts w:hint="eastAsia"/>
        </w:rPr>
        <w:t>公务用车购置及运行维护费支出决算比2023年度减少0.64万元，下降41.56%。主要原因是厉行节约</w:t>
      </w:r>
      <w:r>
        <w:rPr>
          <w:rFonts w:hint="eastAsia"/>
          <w:lang w:eastAsia="zh-CN"/>
        </w:rPr>
        <w:t>同，减少使用公务用车</w:t>
      </w:r>
      <w:r>
        <w:rPr>
          <w:rFonts w:hint="eastAsia"/>
        </w:rPr>
        <w:t>。</w:t>
      </w:r>
    </w:p>
    <w:p w14:paraId="5A25C585">
      <w:pPr>
        <w:ind w:firstLine="640"/>
      </w:pPr>
      <w:r>
        <w:rPr>
          <w:rFonts w:hint="eastAsia"/>
        </w:rPr>
        <w:t>其中：公务用车购置支出0万元。全年按规定更新购置公务用车0辆，其中：轿车0辆、金额0万元，越野车0辆、金额0万元，载客汽车0辆、金额0万元。截至2024年12月31日，单位共有公务用车2辆，其中：轿车1辆、越野车0辆、载客汽车1辆。</w:t>
      </w:r>
    </w:p>
    <w:p w14:paraId="34386BBC">
      <w:pPr>
        <w:ind w:firstLine="640"/>
      </w:pPr>
      <w:r>
        <w:rPr>
          <w:rFonts w:hint="eastAsia" w:cs="仿宋_GB2312"/>
        </w:rPr>
        <w:t>公务用车运行维护费支出0.9万元。主要用于</w:t>
      </w:r>
      <w:r>
        <w:rPr>
          <w:rFonts w:hint="eastAsia"/>
        </w:rPr>
        <w:t>主要用于教研师训、国开大学招生、扶贫、大走访等工作所需的公务用车燃料费、维修费、过路过桥费、保险费等支出。</w:t>
      </w:r>
    </w:p>
    <w:p w14:paraId="37339603">
      <w:pPr>
        <w:ind w:firstLine="643"/>
      </w:pPr>
      <w:r>
        <w:rPr>
          <w:rFonts w:hint="eastAsia"/>
          <w:b/>
          <w:bCs/>
        </w:rPr>
        <w:t>3.公务接待费支出0万元，完成预算0%。</w:t>
      </w:r>
      <w:r>
        <w:rPr>
          <w:rFonts w:hint="eastAsia"/>
        </w:rPr>
        <w:t>公务接待费支出决算比2023年度增0万元，增长0%。</w:t>
      </w:r>
      <w:bookmarkStart w:id="52" w:name="_Toc15396610"/>
      <w:bookmarkStart w:id="53" w:name="_Toc15377218"/>
    </w:p>
    <w:p w14:paraId="7740AC15">
      <w:pPr>
        <w:pStyle w:val="6"/>
        <w:ind w:firstLine="643"/>
        <w:rPr>
          <w:rStyle w:val="29"/>
          <w:b/>
          <w:bCs/>
        </w:rPr>
      </w:pPr>
      <w:bookmarkStart w:id="54" w:name="_Toc214964025"/>
      <w:r>
        <w:rPr>
          <w:rFonts w:hint="eastAsia"/>
        </w:rPr>
        <w:t>八、</w:t>
      </w:r>
      <w:r>
        <w:rPr>
          <w:rStyle w:val="29"/>
          <w:rFonts w:hint="eastAsia"/>
          <w:b/>
          <w:bCs/>
        </w:rPr>
        <w:t>政府性基金预算支出决算情况说明</w:t>
      </w:r>
      <w:bookmarkEnd w:id="52"/>
      <w:bookmarkEnd w:id="53"/>
      <w:bookmarkEnd w:id="54"/>
    </w:p>
    <w:p w14:paraId="3523DEAF">
      <w:pPr>
        <w:ind w:firstLine="640"/>
        <w:rPr>
          <w:b/>
          <w:bCs/>
        </w:rPr>
      </w:pPr>
      <w:r>
        <w:rPr>
          <w:rFonts w:hint="eastAsia"/>
        </w:rPr>
        <w:t>2024年度政府性基金预算财政拨款支出0万元，占本年支出合计的0%。与2023年度相比，政府性基金预算财政拨款支出减少4.4万元，下降100%。主要变动原因是厉行节约，无此项支出。</w:t>
      </w:r>
    </w:p>
    <w:p w14:paraId="3F3A7793">
      <w:pPr>
        <w:pStyle w:val="6"/>
        <w:ind w:firstLine="643"/>
        <w:rPr>
          <w:rStyle w:val="29"/>
          <w:b/>
          <w:bCs/>
        </w:rPr>
      </w:pPr>
      <w:bookmarkStart w:id="55" w:name="_Toc15377219"/>
      <w:bookmarkStart w:id="56" w:name="_Toc15396611"/>
      <w:bookmarkStart w:id="57" w:name="_Toc214964026"/>
      <w:r>
        <w:rPr>
          <w:rStyle w:val="29"/>
          <w:rFonts w:hint="eastAsia"/>
          <w:b/>
          <w:bCs/>
        </w:rPr>
        <w:t>九、国有资本经营预算支出决算情况说明</w:t>
      </w:r>
      <w:bookmarkEnd w:id="55"/>
      <w:bookmarkEnd w:id="56"/>
      <w:bookmarkEnd w:id="57"/>
    </w:p>
    <w:p w14:paraId="7C4E4727">
      <w:pPr>
        <w:ind w:firstLine="640"/>
      </w:pPr>
      <w:r>
        <w:rPr>
          <w:rFonts w:hint="eastAsia"/>
        </w:rPr>
        <w:t>2024年度国有资本经营预算财政拨款支出0万元，占本年支出合计的0%。与2023年度相比，国有资本经营预算财政拨款支出增加0万元，增长0%。</w:t>
      </w:r>
    </w:p>
    <w:p w14:paraId="77E1556C">
      <w:pPr>
        <w:pStyle w:val="6"/>
        <w:ind w:firstLine="643"/>
        <w:rPr>
          <w:rStyle w:val="29"/>
          <w:b/>
          <w:bCs/>
        </w:rPr>
      </w:pPr>
      <w:bookmarkStart w:id="58" w:name="_Toc214964027"/>
      <w:bookmarkStart w:id="59" w:name="_Toc15396612"/>
      <w:bookmarkStart w:id="60" w:name="_Toc15377221"/>
      <w:r>
        <w:rPr>
          <w:rStyle w:val="29"/>
          <w:rFonts w:hint="eastAsia"/>
          <w:b/>
          <w:bCs/>
        </w:rPr>
        <w:t>十、其他重要事项的情况说明</w:t>
      </w:r>
      <w:bookmarkEnd w:id="58"/>
      <w:bookmarkEnd w:id="59"/>
      <w:bookmarkEnd w:id="60"/>
    </w:p>
    <w:p w14:paraId="1A405C3B">
      <w:pPr>
        <w:ind w:firstLine="643"/>
        <w:rPr>
          <w:b/>
          <w:bCs/>
        </w:rPr>
      </w:pPr>
      <w:bookmarkStart w:id="61" w:name="_Toc15377222"/>
      <w:r>
        <w:rPr>
          <w:rFonts w:hint="eastAsia"/>
          <w:b/>
          <w:bCs/>
        </w:rPr>
        <w:t>（一）机关运行经费支出情况</w:t>
      </w:r>
      <w:bookmarkEnd w:id="61"/>
    </w:p>
    <w:p w14:paraId="228BDB30">
      <w:pPr>
        <w:ind w:firstLine="640"/>
      </w:pPr>
      <w:r>
        <w:rPr>
          <w:rFonts w:hint="eastAsia"/>
        </w:rPr>
        <w:t>无机关运行经费支出情况。</w:t>
      </w:r>
    </w:p>
    <w:p w14:paraId="731A3126">
      <w:pPr>
        <w:ind w:firstLine="643"/>
        <w:rPr>
          <w:b/>
        </w:rPr>
      </w:pPr>
      <w:bookmarkStart w:id="62" w:name="_Toc15377223"/>
      <w:r>
        <w:rPr>
          <w:rFonts w:hint="eastAsia"/>
          <w:b/>
        </w:rPr>
        <w:t>（二）政府采购支出情况</w:t>
      </w:r>
      <w:bookmarkEnd w:id="62"/>
    </w:p>
    <w:p w14:paraId="4EB6AB97">
      <w:pPr>
        <w:ind w:firstLine="640"/>
      </w:pPr>
      <w:r>
        <w:rPr>
          <w:rFonts w:hint="eastAsia"/>
        </w:rPr>
        <w:t>无政府采购支出情况</w:t>
      </w:r>
    </w:p>
    <w:p w14:paraId="06B454AF">
      <w:pPr>
        <w:ind w:firstLine="643"/>
        <w:rPr>
          <w:b/>
        </w:rPr>
      </w:pPr>
      <w:bookmarkStart w:id="63" w:name="_Toc15377224"/>
      <w:r>
        <w:rPr>
          <w:rFonts w:hint="eastAsia"/>
          <w:b/>
        </w:rPr>
        <w:t>（三）国有资产占有使用情况</w:t>
      </w:r>
      <w:bookmarkEnd w:id="63"/>
    </w:p>
    <w:p w14:paraId="3D15157C">
      <w:pPr>
        <w:ind w:firstLine="640"/>
      </w:pPr>
      <w:r>
        <w:rPr>
          <w:rFonts w:hint="eastAsia"/>
        </w:rPr>
        <w:t>截至</w:t>
      </w:r>
      <w:r>
        <w:t>20</w:t>
      </w:r>
      <w:r>
        <w:rPr>
          <w:rFonts w:hint="eastAsia"/>
        </w:rPr>
        <w:t>24年</w:t>
      </w:r>
      <w:r>
        <w:t>12</w:t>
      </w:r>
      <w:r>
        <w:rPr>
          <w:rFonts w:hint="eastAsia"/>
        </w:rPr>
        <w:t>月</w:t>
      </w:r>
      <w:r>
        <w:t>31</w:t>
      </w:r>
      <w:r>
        <w:rPr>
          <w:rFonts w:hint="eastAsia"/>
        </w:rPr>
        <w:t>日，峨眉山市教师培训中心共有车辆2辆，其中：主要领导干部用车0辆、机要通信用车0辆、应急保障用车0辆、其他用车2辆，其他用车主要是用于教研师训、国开大学招生、扶贫、大走访等工作用车。单价</w:t>
      </w:r>
      <w:r>
        <w:t>100</w:t>
      </w:r>
      <w:r>
        <w:rPr>
          <w:rFonts w:hint="eastAsia"/>
        </w:rPr>
        <w:t>万元以上专用设备0台（套）。</w:t>
      </w:r>
    </w:p>
    <w:p w14:paraId="46A3F5A1">
      <w:pPr>
        <w:ind w:firstLine="643"/>
        <w:rPr>
          <w:b/>
        </w:rPr>
      </w:pPr>
      <w:r>
        <w:rPr>
          <w:rFonts w:hint="eastAsia"/>
          <w:b/>
        </w:rPr>
        <w:t>（四）预算绩效管理情况</w:t>
      </w:r>
    </w:p>
    <w:p w14:paraId="519ADD3A">
      <w:pPr>
        <w:ind w:firstLine="640"/>
        <w:rPr>
          <w:rFonts w:hint="eastAsia" w:ascii="仿宋_GB2312"/>
        </w:rPr>
      </w:pPr>
      <w:r>
        <w:rPr>
          <w:rFonts w:hint="eastAsia"/>
        </w:rPr>
        <w:t>根据预算绩效管理要求，峨眉山市教师培训中心在2024年度预算编制阶段，组织对</w:t>
      </w:r>
      <w:r>
        <w:rPr>
          <w:rFonts w:hint="eastAsia" w:ascii="仿宋_GB2312"/>
        </w:rPr>
        <w:t>文化课统考检测试卷印刷费</w:t>
      </w:r>
      <w:r>
        <w:rPr>
          <w:rFonts w:hint="eastAsia"/>
        </w:rPr>
        <w:t>（项目名称）等5个项目开展了预算事前绩效评估，对5个项目编制了绩效目标，预算执行过程中，选取5个项目开展绩效监控，</w:t>
      </w:r>
      <w:r>
        <w:rPr>
          <w:rFonts w:hint="eastAsia" w:ascii="仿宋_GB2312"/>
        </w:rPr>
        <w:t>组织对5个项目开展绩效自评，绩效自评表详见第四部分附件。</w:t>
      </w:r>
      <w:bookmarkStart w:id="64" w:name="_Toc15396613"/>
      <w:bookmarkStart w:id="65" w:name="_Toc15377225"/>
      <w:bookmarkStart w:id="66" w:name="_Toc214964028"/>
    </w:p>
    <w:p w14:paraId="598666D1">
      <w:pPr>
        <w:pStyle w:val="2"/>
        <w:rPr>
          <w:rFonts w:hint="eastAsia" w:ascii="仿宋_GB2312"/>
        </w:rPr>
      </w:pPr>
    </w:p>
    <w:p w14:paraId="400A7A79">
      <w:pPr>
        <w:pStyle w:val="3"/>
        <w:rPr>
          <w:rFonts w:hint="eastAsia" w:ascii="仿宋_GB2312"/>
        </w:rPr>
      </w:pPr>
    </w:p>
    <w:p w14:paraId="378196EF">
      <w:pPr>
        <w:pStyle w:val="5"/>
        <w:ind w:firstLine="880"/>
        <w:rPr>
          <w:rFonts w:hint="eastAsia"/>
        </w:rPr>
      </w:pPr>
    </w:p>
    <w:p w14:paraId="683C24C9">
      <w:pPr>
        <w:rPr>
          <w:rFonts w:hint="eastAsia"/>
        </w:rPr>
      </w:pPr>
    </w:p>
    <w:p w14:paraId="07A04B5B">
      <w:pPr>
        <w:pStyle w:val="2"/>
        <w:rPr>
          <w:rFonts w:hint="eastAsia"/>
        </w:rPr>
      </w:pPr>
    </w:p>
    <w:p w14:paraId="67138A33">
      <w:pPr>
        <w:pStyle w:val="3"/>
        <w:rPr>
          <w:rFonts w:hint="eastAsia"/>
        </w:rPr>
      </w:pPr>
    </w:p>
    <w:p w14:paraId="5AAD9E44">
      <w:pPr>
        <w:pStyle w:val="3"/>
        <w:rPr>
          <w:rFonts w:hint="eastAsia"/>
        </w:rPr>
      </w:pPr>
    </w:p>
    <w:p w14:paraId="1E23288D">
      <w:pPr>
        <w:pStyle w:val="3"/>
        <w:rPr>
          <w:rFonts w:hint="eastAsia"/>
        </w:rPr>
      </w:pPr>
    </w:p>
    <w:p w14:paraId="11D1921D">
      <w:pPr>
        <w:pStyle w:val="3"/>
        <w:rPr>
          <w:rFonts w:hint="eastAsia"/>
        </w:rPr>
      </w:pPr>
    </w:p>
    <w:p w14:paraId="44EB93B8">
      <w:pPr>
        <w:pStyle w:val="3"/>
        <w:rPr>
          <w:rFonts w:hint="eastAsia"/>
        </w:rPr>
      </w:pPr>
    </w:p>
    <w:p w14:paraId="703B1F7F">
      <w:pPr>
        <w:pStyle w:val="3"/>
        <w:rPr>
          <w:rFonts w:hint="eastAsia"/>
        </w:rPr>
      </w:pPr>
    </w:p>
    <w:p w14:paraId="0CFC06EA">
      <w:pPr>
        <w:pStyle w:val="5"/>
        <w:ind w:firstLine="880"/>
      </w:pPr>
      <w:r>
        <w:rPr>
          <w:rFonts w:hint="eastAsia"/>
        </w:rPr>
        <w:t>第三部分  名词解释</w:t>
      </w:r>
      <w:bookmarkEnd w:id="64"/>
      <w:bookmarkEnd w:id="65"/>
      <w:bookmarkEnd w:id="66"/>
    </w:p>
    <w:p w14:paraId="796D44DE">
      <w:pPr>
        <w:ind w:firstLine="640"/>
      </w:pPr>
      <w:r>
        <w:t>1.</w:t>
      </w:r>
      <w:r>
        <w:rPr>
          <w:rFonts w:hint="eastAsia"/>
        </w:rPr>
        <w:t>财政拨款收入：指单位从同级财政部门取得的财政预算资金。</w:t>
      </w:r>
    </w:p>
    <w:p w14:paraId="451FA79C">
      <w:pPr>
        <w:ind w:firstLine="640"/>
      </w:pPr>
      <w:r>
        <w:t>2.</w:t>
      </w:r>
      <w:r>
        <w:rPr>
          <w:rFonts w:hint="eastAsia"/>
        </w:rPr>
        <w:t>事业收入：指事业单位开展专业业务活动及辅助活动取得的收入。</w:t>
      </w:r>
    </w:p>
    <w:p w14:paraId="390991EE">
      <w:pPr>
        <w:ind w:firstLine="640"/>
      </w:pPr>
      <w:r>
        <w:t>3.</w:t>
      </w:r>
      <w:r>
        <w:rPr>
          <w:rFonts w:hint="eastAsia"/>
        </w:rPr>
        <w:t>经营收入：指事业单位在专业业务活动及其辅助活动之外开展非独立核算经营活动取得的收入。</w:t>
      </w:r>
    </w:p>
    <w:p w14:paraId="7EDF6523">
      <w:pPr>
        <w:ind w:firstLine="640"/>
      </w:pPr>
      <w:r>
        <w:t>4.</w:t>
      </w:r>
      <w:r>
        <w:rPr>
          <w:rFonts w:hint="eastAsia"/>
        </w:rPr>
        <w:t>其他收入：指单位取得的除上述收入以外的各项收入。</w:t>
      </w:r>
      <w:r>
        <w:t xml:space="preserve"> </w:t>
      </w:r>
    </w:p>
    <w:p w14:paraId="3C8222FF">
      <w:pPr>
        <w:ind w:firstLine="640"/>
      </w:pPr>
      <w:r>
        <w:t>5.</w:t>
      </w:r>
      <w:r>
        <w:rPr>
          <w:rFonts w:hint="eastAsia"/>
        </w:rPr>
        <w:t>使用非财政拨款结余：指事业单位使用以前年度积累的非财政拨款结余弥补当年收支差额的金额。</w:t>
      </w:r>
      <w:r>
        <w:t xml:space="preserve"> </w:t>
      </w:r>
    </w:p>
    <w:p w14:paraId="36B3A40A">
      <w:pPr>
        <w:ind w:firstLine="640"/>
      </w:pPr>
      <w:r>
        <w:t>6.</w:t>
      </w:r>
      <w:r>
        <w:rPr>
          <w:rFonts w:hint="eastAsia"/>
        </w:rPr>
        <w:t>年初结转和结余：指以前年度尚未完成、结转到本年按有关规定继续使用的资金。</w:t>
      </w:r>
      <w:r>
        <w:t xml:space="preserve"> </w:t>
      </w:r>
    </w:p>
    <w:p w14:paraId="52686E09">
      <w:pPr>
        <w:ind w:firstLine="640"/>
      </w:pPr>
      <w:r>
        <w:t>7.</w:t>
      </w:r>
      <w:r>
        <w:rPr>
          <w:rFonts w:hint="eastAsia"/>
        </w:rPr>
        <w:t>结余分配：指事业单位按照会计制度规定缴纳的所得税、提取的专用结余以及转入非财政拨款结余的金额等。</w:t>
      </w:r>
    </w:p>
    <w:p w14:paraId="6D43474C">
      <w:pPr>
        <w:ind w:firstLine="640"/>
      </w:pPr>
      <w:r>
        <w:t>8</w:t>
      </w:r>
      <w:r>
        <w:rPr>
          <w:rFonts w:hint="eastAsia"/>
        </w:rPr>
        <w:t>.年末结转和结余：指单位按有关规定结转到下年或以后年度继续使用的资金。</w:t>
      </w:r>
    </w:p>
    <w:p w14:paraId="060A8CD5">
      <w:pPr>
        <w:ind w:firstLine="640"/>
        <w:rPr>
          <w:color w:val="000000"/>
        </w:rPr>
      </w:pPr>
      <w:r>
        <w:rPr>
          <w:rFonts w:hint="eastAsia"/>
        </w:rPr>
        <w:t>9.</w:t>
      </w:r>
      <w:r>
        <w:rPr>
          <w:rFonts w:hint="eastAsia"/>
          <w:color w:val="000000"/>
        </w:rPr>
        <w:t>教育支出（类）普通教育（款）小学教育（项）:指反映各部门举办的小学教育支出。</w:t>
      </w:r>
    </w:p>
    <w:p w14:paraId="7FBEEA7A">
      <w:pPr>
        <w:ind w:firstLine="640"/>
        <w:rPr>
          <w:color w:val="000000"/>
        </w:rPr>
      </w:pPr>
      <w:r>
        <w:rPr>
          <w:rFonts w:hint="eastAsia"/>
        </w:rPr>
        <w:t>10.</w:t>
      </w:r>
      <w:r>
        <w:rPr>
          <w:rFonts w:hint="eastAsia"/>
          <w:color w:val="000000"/>
        </w:rPr>
        <w:t>教育支出（类）普通教育（款）其他普通教育支出（项）:指反映除上述项目以外其他用于普通教育方面的支出。</w:t>
      </w:r>
    </w:p>
    <w:p w14:paraId="0E31F32A">
      <w:pPr>
        <w:ind w:firstLine="640"/>
        <w:rPr>
          <w:color w:val="000000"/>
        </w:rPr>
      </w:pPr>
      <w:r>
        <w:rPr>
          <w:rFonts w:hint="eastAsia"/>
        </w:rPr>
        <w:t>11.</w:t>
      </w:r>
      <w:r>
        <w:rPr>
          <w:rFonts w:hint="eastAsia"/>
          <w:color w:val="000000"/>
        </w:rPr>
        <w:t>教育支出（类）教育费附加安排的支出（款）其他教育费附加安排的支出（项）: 指反映除上述项目以外的教育费附加支出。</w:t>
      </w:r>
    </w:p>
    <w:p w14:paraId="349350F1">
      <w:pPr>
        <w:ind w:firstLine="640"/>
      </w:pPr>
      <w:r>
        <w:rPr>
          <w:rFonts w:hint="eastAsia"/>
        </w:rPr>
        <w:t>12.社会保障和就业支出（类）行政事业单位养老支出（款）机关事业单位基本养老保险缴费支出（项）: 指反映机关事业单位实施养老保险制度由单位缴纳的基本养老保险费支出。</w:t>
      </w:r>
    </w:p>
    <w:p w14:paraId="71DE34E2">
      <w:pPr>
        <w:ind w:firstLine="640"/>
      </w:pPr>
      <w:r>
        <w:rPr>
          <w:rFonts w:hint="eastAsia"/>
        </w:rPr>
        <w:t>13.社会保障和就业支出（类）行政事业单位养老支出（款）机关事业单位职业年金缴费支出（项）: 指反映机关事业单位实施养老保险制度由单位缴纳的职业年金支出。</w:t>
      </w:r>
    </w:p>
    <w:p w14:paraId="631B7A2D">
      <w:pPr>
        <w:ind w:firstLine="640"/>
      </w:pPr>
      <w:r>
        <w:rPr>
          <w:rFonts w:hint="eastAsia"/>
        </w:rPr>
        <w:t>14.社会保障和就业支出（类）抚恤（款）死亡抚恤（项）:指反映按规定用于烈士和牺牲、病故人员家属的一次性和定期抚恤金以及丧葬补助费。</w:t>
      </w:r>
    </w:p>
    <w:p w14:paraId="7EACAF9D">
      <w:pPr>
        <w:ind w:firstLine="640"/>
      </w:pPr>
      <w:r>
        <w:rPr>
          <w:rFonts w:hint="eastAsia"/>
        </w:rPr>
        <w:t>15.社会保障和就业支出（类）抚恤（款）其他优抚支出（项）:指反映除上述项目以外其他用于优抚方面的支出。</w:t>
      </w:r>
    </w:p>
    <w:p w14:paraId="3A6FE2BF">
      <w:pPr>
        <w:ind w:firstLine="640"/>
      </w:pPr>
      <w:r>
        <w:rPr>
          <w:rFonts w:hint="eastAsia"/>
        </w:rPr>
        <w:t>16.社会保障和就业支出（类）其他社会保障和就业支出（款）其他社会保障和就业支出（项）:指反映除上述项目以外其他用于社会保障和就业方面的支出。</w:t>
      </w:r>
    </w:p>
    <w:p w14:paraId="27D37F2E">
      <w:pPr>
        <w:ind w:firstLine="640"/>
      </w:pPr>
      <w:r>
        <w:rPr>
          <w:rFonts w:hint="eastAsia"/>
        </w:rPr>
        <w:t xml:space="preserve">17.卫生健康支出（类）行政事业单位医疗（款）事业单位医疗（项）:指反映财政部门安排的事业单位基本医疗保险缴费经费，未参加医疗保险的事业单位的公费医疗经费，按国家规定享受离休人员待遇的医疗经费。 </w:t>
      </w:r>
    </w:p>
    <w:p w14:paraId="2BF03532">
      <w:pPr>
        <w:ind w:firstLine="640"/>
      </w:pPr>
      <w:r>
        <w:rPr>
          <w:rFonts w:hint="eastAsia"/>
        </w:rPr>
        <w:t>18.住房保障支出（类）住房改革支出（款）住房公积金（项）: 指反映行政事业单位按人力资源和社会保障部、财政部规定的基本工资和津贴补贴以及规定比例为职工缴纳的住房公积金。</w:t>
      </w:r>
    </w:p>
    <w:p w14:paraId="02802575">
      <w:pPr>
        <w:ind w:firstLine="640"/>
      </w:pPr>
      <w:r>
        <w:rPr>
          <w:rFonts w:hint="eastAsia"/>
        </w:rPr>
        <w:t>19</w:t>
      </w:r>
      <w:r>
        <w:t>.</w:t>
      </w:r>
      <w:r>
        <w:rPr>
          <w:rFonts w:hint="eastAsia"/>
        </w:rPr>
        <w:t>基本支出：指为保障机构正常运转、完成日常工作任务而发生的人员支出和公用支出。</w:t>
      </w:r>
    </w:p>
    <w:p w14:paraId="1FCE7E48">
      <w:pPr>
        <w:ind w:firstLine="640"/>
      </w:pPr>
      <w:r>
        <w:t>2</w:t>
      </w:r>
      <w:r>
        <w:rPr>
          <w:rFonts w:hint="eastAsia"/>
        </w:rPr>
        <w:t>0</w:t>
      </w:r>
      <w:r>
        <w:t>.</w:t>
      </w:r>
      <w:r>
        <w:rPr>
          <w:rFonts w:hint="eastAsia"/>
        </w:rPr>
        <w:t>项目支出：指在基本支出之外为完成特定行政任务和事业发展目标所发生的支出。</w:t>
      </w:r>
      <w:r>
        <w:t xml:space="preserve"> </w:t>
      </w:r>
    </w:p>
    <w:p w14:paraId="3A2856EA">
      <w:pPr>
        <w:ind w:firstLine="640"/>
      </w:pPr>
      <w:r>
        <w:t>2</w:t>
      </w:r>
      <w:r>
        <w:rPr>
          <w:rFonts w:hint="eastAsia"/>
        </w:rPr>
        <w:t>1</w:t>
      </w:r>
      <w:r>
        <w:t>.</w:t>
      </w:r>
      <w:r>
        <w:rPr>
          <w:rFonts w:hint="eastAsia"/>
        </w:rPr>
        <w:t>经营支出：指事业单位在专业业务活动及其辅助活动之外开展非独立核算经营活动发生的支出。</w:t>
      </w:r>
    </w:p>
    <w:p w14:paraId="26F14676">
      <w:pPr>
        <w:ind w:firstLine="640"/>
      </w:pPr>
      <w:r>
        <w:rPr>
          <w:rFonts w:hint="eastAsia"/>
        </w:rPr>
        <w:t>22</w:t>
      </w:r>
      <w:r>
        <w:t>.</w:t>
      </w:r>
      <w:r>
        <w:rPr>
          <w:rFonts w:hint="eastAsia"/>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79ADCA">
      <w:pPr>
        <w:ind w:firstLine="640"/>
      </w:pPr>
      <w:r>
        <w:rPr>
          <w:rFonts w:hint="eastAsia"/>
        </w:rPr>
        <w:t>23</w:t>
      </w:r>
      <w:r>
        <w:t>.</w:t>
      </w:r>
      <w:r>
        <w:rPr>
          <w:rFonts w:hint="eastAsi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67" w:name="_Toc214964029"/>
      <w:bookmarkStart w:id="68" w:name="_Toc15396614"/>
      <w:bookmarkStart w:id="69" w:name="_Toc15377226"/>
    </w:p>
    <w:p w14:paraId="34FBC253">
      <w:pPr>
        <w:pStyle w:val="5"/>
        <w:ind w:firstLine="880"/>
        <w:rPr>
          <w:rStyle w:val="28"/>
          <w:bCs w:val="0"/>
        </w:rPr>
      </w:pPr>
    </w:p>
    <w:p w14:paraId="6CEDDC45">
      <w:pPr>
        <w:ind w:firstLine="0" w:firstLineChars="0"/>
        <w:rPr>
          <w:rFonts w:hint="eastAsia"/>
        </w:rPr>
      </w:pPr>
    </w:p>
    <w:p w14:paraId="599F869B">
      <w:pPr>
        <w:pStyle w:val="5"/>
        <w:ind w:firstLine="880"/>
        <w:rPr>
          <w:rStyle w:val="28"/>
          <w:bCs w:val="0"/>
        </w:rPr>
      </w:pPr>
    </w:p>
    <w:p w14:paraId="3FEB6BB3">
      <w:pPr>
        <w:rPr>
          <w:rStyle w:val="28"/>
          <w:bCs w:val="0"/>
        </w:rPr>
      </w:pPr>
    </w:p>
    <w:p w14:paraId="46E454FD">
      <w:pPr>
        <w:pStyle w:val="2"/>
        <w:rPr>
          <w:rStyle w:val="28"/>
          <w:bCs w:val="0"/>
        </w:rPr>
      </w:pPr>
    </w:p>
    <w:p w14:paraId="586508DF">
      <w:pPr>
        <w:pStyle w:val="3"/>
        <w:rPr>
          <w:rStyle w:val="28"/>
          <w:bCs w:val="0"/>
        </w:rPr>
      </w:pPr>
    </w:p>
    <w:p w14:paraId="2515B907">
      <w:pPr>
        <w:pStyle w:val="3"/>
        <w:rPr>
          <w:rStyle w:val="28"/>
          <w:bCs w:val="0"/>
        </w:rPr>
      </w:pPr>
    </w:p>
    <w:p w14:paraId="6D2363F3">
      <w:pPr>
        <w:pStyle w:val="3"/>
        <w:rPr>
          <w:rStyle w:val="28"/>
          <w:bCs w:val="0"/>
        </w:rPr>
      </w:pPr>
    </w:p>
    <w:p w14:paraId="1E9266D0">
      <w:pPr>
        <w:pStyle w:val="3"/>
        <w:rPr>
          <w:rStyle w:val="28"/>
          <w:bCs w:val="0"/>
        </w:rPr>
      </w:pPr>
    </w:p>
    <w:p w14:paraId="73096A44">
      <w:pPr>
        <w:pStyle w:val="5"/>
        <w:ind w:firstLine="880"/>
        <w:rPr>
          <w:bCs w:val="0"/>
        </w:rPr>
      </w:pPr>
      <w:r>
        <w:rPr>
          <w:rStyle w:val="28"/>
          <w:rFonts w:hint="eastAsia"/>
          <w:bCs w:val="0"/>
        </w:rPr>
        <w:t>第四部分  附件</w:t>
      </w:r>
      <w:bookmarkEnd w:id="67"/>
      <w:bookmarkEnd w:id="6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7"/>
        <w:gridCol w:w="1303"/>
        <w:gridCol w:w="1203"/>
        <w:gridCol w:w="1366"/>
        <w:gridCol w:w="481"/>
        <w:gridCol w:w="855"/>
        <w:gridCol w:w="481"/>
        <w:gridCol w:w="1031"/>
        <w:gridCol w:w="518"/>
        <w:gridCol w:w="516"/>
        <w:gridCol w:w="867"/>
      </w:tblGrid>
      <w:tr w14:paraId="55441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1060" w:type="dxa"/>
            <w:gridSpan w:val="11"/>
            <w:shd w:val="clear" w:color="auto" w:fill="auto"/>
            <w:vAlign w:val="center"/>
          </w:tcPr>
          <w:p w14:paraId="7BB5ACA9">
            <w:pPr>
              <w:widowControl/>
              <w:spacing w:after="0" w:line="240" w:lineRule="auto"/>
              <w:ind w:firstLine="0" w:firstLineChars="0"/>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部门预算项目支出绩效自评表（2024年度）</w:t>
            </w:r>
          </w:p>
        </w:tc>
      </w:tr>
      <w:tr w14:paraId="148B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20" w:type="dxa"/>
            <w:gridSpan w:val="2"/>
            <w:shd w:val="clear" w:color="auto" w:fill="auto"/>
            <w:vAlign w:val="center"/>
          </w:tcPr>
          <w:p w14:paraId="6D043C68">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8640" w:type="dxa"/>
            <w:gridSpan w:val="9"/>
            <w:shd w:val="clear" w:color="auto" w:fill="auto"/>
            <w:vAlign w:val="center"/>
          </w:tcPr>
          <w:p w14:paraId="087960DA">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51118122T000004905511-文化课统考检测试卷印刷费</w:t>
            </w:r>
          </w:p>
        </w:tc>
      </w:tr>
      <w:tr w14:paraId="22F78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2420" w:type="dxa"/>
            <w:gridSpan w:val="2"/>
            <w:shd w:val="clear" w:color="auto" w:fill="auto"/>
            <w:vAlign w:val="center"/>
          </w:tcPr>
          <w:p w14:paraId="7E35C711">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5420" w:type="dxa"/>
            <w:gridSpan w:val="5"/>
            <w:shd w:val="clear" w:color="auto" w:fill="auto"/>
            <w:vAlign w:val="center"/>
          </w:tcPr>
          <w:p w14:paraId="5DB5DD27">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教育局</w:t>
            </w:r>
          </w:p>
        </w:tc>
        <w:tc>
          <w:tcPr>
            <w:tcW w:w="1100" w:type="dxa"/>
            <w:shd w:val="clear" w:color="auto" w:fill="auto"/>
            <w:vAlign w:val="center"/>
          </w:tcPr>
          <w:p w14:paraId="252C255C">
            <w:pPr>
              <w:widowControl/>
              <w:spacing w:after="0" w:line="240" w:lineRule="auto"/>
              <w:ind w:firstLine="0" w:firstLineChars="0"/>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实施单位 （盖章）</w:t>
            </w:r>
          </w:p>
        </w:tc>
        <w:tc>
          <w:tcPr>
            <w:tcW w:w="2120" w:type="dxa"/>
            <w:gridSpan w:val="3"/>
            <w:shd w:val="clear" w:color="auto" w:fill="auto"/>
            <w:vAlign w:val="center"/>
          </w:tcPr>
          <w:p w14:paraId="01C6BE7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峨眉山市教师培训中心</w:t>
            </w:r>
          </w:p>
        </w:tc>
      </w:tr>
      <w:tr w14:paraId="676C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vMerge w:val="restart"/>
            <w:shd w:val="clear" w:color="auto" w:fill="auto"/>
            <w:vAlign w:val="center"/>
          </w:tcPr>
          <w:p w14:paraId="660B2240">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项目基本情况</w:t>
            </w:r>
          </w:p>
        </w:tc>
        <w:tc>
          <w:tcPr>
            <w:tcW w:w="1720" w:type="dxa"/>
            <w:vMerge w:val="restart"/>
            <w:shd w:val="clear" w:color="auto" w:fill="auto"/>
            <w:vAlign w:val="center"/>
          </w:tcPr>
          <w:p w14:paraId="4707979E">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1.项目年度目标完成情况</w:t>
            </w:r>
          </w:p>
        </w:tc>
        <w:tc>
          <w:tcPr>
            <w:tcW w:w="5420" w:type="dxa"/>
            <w:gridSpan w:val="5"/>
            <w:shd w:val="clear" w:color="auto" w:fill="auto"/>
            <w:vAlign w:val="center"/>
          </w:tcPr>
          <w:p w14:paraId="33AFC9C8">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项目年度目标</w:t>
            </w:r>
          </w:p>
        </w:tc>
        <w:tc>
          <w:tcPr>
            <w:tcW w:w="3220" w:type="dxa"/>
            <w:gridSpan w:val="4"/>
            <w:shd w:val="clear" w:color="auto" w:fill="auto"/>
            <w:vAlign w:val="center"/>
          </w:tcPr>
          <w:p w14:paraId="041451C0">
            <w:pPr>
              <w:widowControl/>
              <w:spacing w:after="0" w:line="240" w:lineRule="auto"/>
              <w:ind w:firstLine="0" w:firstLineChars="0"/>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年度目标完成情况</w:t>
            </w:r>
          </w:p>
        </w:tc>
      </w:tr>
      <w:tr w14:paraId="10E4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00" w:type="dxa"/>
            <w:vMerge w:val="continue"/>
            <w:vAlign w:val="center"/>
          </w:tcPr>
          <w:p w14:paraId="2F52A3E3">
            <w:pPr>
              <w:widowControl/>
              <w:spacing w:after="0" w:line="240" w:lineRule="auto"/>
              <w:ind w:firstLine="0" w:firstLineChars="0"/>
              <w:jc w:val="left"/>
              <w:rPr>
                <w:rFonts w:ascii="宋体" w:hAnsi="宋体" w:eastAsia="宋体" w:cs="宋体"/>
                <w:color w:val="000000"/>
                <w:kern w:val="0"/>
                <w:sz w:val="20"/>
                <w:szCs w:val="20"/>
              </w:rPr>
            </w:pPr>
          </w:p>
        </w:tc>
        <w:tc>
          <w:tcPr>
            <w:tcW w:w="1720" w:type="dxa"/>
            <w:vMerge w:val="continue"/>
            <w:vAlign w:val="center"/>
          </w:tcPr>
          <w:p w14:paraId="3A0043E2">
            <w:pPr>
              <w:widowControl/>
              <w:spacing w:after="0" w:line="240" w:lineRule="auto"/>
              <w:ind w:firstLine="0" w:firstLineChars="0"/>
              <w:jc w:val="left"/>
              <w:rPr>
                <w:rFonts w:ascii="宋体" w:hAnsi="宋体" w:eastAsia="宋体" w:cs="宋体"/>
                <w:color w:val="000000"/>
                <w:kern w:val="0"/>
                <w:sz w:val="20"/>
                <w:szCs w:val="20"/>
              </w:rPr>
            </w:pPr>
          </w:p>
        </w:tc>
        <w:tc>
          <w:tcPr>
            <w:tcW w:w="5420" w:type="dxa"/>
            <w:gridSpan w:val="5"/>
            <w:shd w:val="clear" w:color="auto" w:fill="auto"/>
            <w:vAlign w:val="center"/>
          </w:tcPr>
          <w:p w14:paraId="7B9288CD">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全市中小学约30682名学生，文化课统考检测试卷印刷费，通过检测，及时发现问题，及时纠正。更好服务于社会，让教育发挥最大的社会化服务效应</w:t>
            </w:r>
          </w:p>
        </w:tc>
        <w:tc>
          <w:tcPr>
            <w:tcW w:w="3220" w:type="dxa"/>
            <w:gridSpan w:val="4"/>
            <w:shd w:val="clear" w:color="auto" w:fill="auto"/>
            <w:vAlign w:val="center"/>
          </w:tcPr>
          <w:p w14:paraId="21843878">
            <w:pPr>
              <w:widowControl/>
              <w:spacing w:after="0" w:line="240" w:lineRule="auto"/>
              <w:ind w:firstLine="0" w:firstLineChars="0"/>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通过检测，及时发现问题，及时纠正。更好服务于社会，让教育发挥最大的社会化服务效应</w:t>
            </w:r>
          </w:p>
        </w:tc>
      </w:tr>
      <w:tr w14:paraId="7C3E3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00" w:type="dxa"/>
            <w:vMerge w:val="continue"/>
            <w:vAlign w:val="center"/>
          </w:tcPr>
          <w:p w14:paraId="7EE08D82">
            <w:pPr>
              <w:widowControl/>
              <w:spacing w:after="0" w:line="240" w:lineRule="auto"/>
              <w:ind w:firstLine="0" w:firstLineChars="0"/>
              <w:jc w:val="left"/>
              <w:rPr>
                <w:rFonts w:ascii="宋体" w:hAnsi="宋体" w:eastAsia="宋体" w:cs="宋体"/>
                <w:color w:val="000000"/>
                <w:kern w:val="0"/>
                <w:sz w:val="20"/>
                <w:szCs w:val="20"/>
              </w:rPr>
            </w:pPr>
          </w:p>
        </w:tc>
        <w:tc>
          <w:tcPr>
            <w:tcW w:w="1720" w:type="dxa"/>
            <w:shd w:val="clear" w:color="auto" w:fill="auto"/>
            <w:vAlign w:val="center"/>
          </w:tcPr>
          <w:p w14:paraId="47129008">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2.项目实施内容及过程概述</w:t>
            </w:r>
          </w:p>
        </w:tc>
        <w:tc>
          <w:tcPr>
            <w:tcW w:w="8640" w:type="dxa"/>
            <w:gridSpan w:val="9"/>
            <w:shd w:val="clear" w:color="auto" w:fill="auto"/>
            <w:vAlign w:val="center"/>
          </w:tcPr>
          <w:p w14:paraId="03100F66">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发放全市中小学文化课统考检测试卷印刷费用，保障教育服务</w:t>
            </w:r>
          </w:p>
        </w:tc>
      </w:tr>
      <w:tr w14:paraId="4292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restart"/>
            <w:shd w:val="clear" w:color="auto" w:fill="auto"/>
            <w:vAlign w:val="center"/>
          </w:tcPr>
          <w:p w14:paraId="5DC0D4F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预算执行情况（10分）</w:t>
            </w:r>
          </w:p>
        </w:tc>
        <w:tc>
          <w:tcPr>
            <w:tcW w:w="1720" w:type="dxa"/>
            <w:shd w:val="clear" w:color="auto" w:fill="auto"/>
            <w:vAlign w:val="center"/>
          </w:tcPr>
          <w:p w14:paraId="2632076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年度预算数（万元）</w:t>
            </w:r>
          </w:p>
        </w:tc>
        <w:tc>
          <w:tcPr>
            <w:tcW w:w="1560" w:type="dxa"/>
            <w:shd w:val="clear" w:color="auto" w:fill="auto"/>
            <w:vAlign w:val="center"/>
          </w:tcPr>
          <w:p w14:paraId="75E33222">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w:t>
            </w:r>
          </w:p>
        </w:tc>
        <w:tc>
          <w:tcPr>
            <w:tcW w:w="1760" w:type="dxa"/>
            <w:shd w:val="clear" w:color="auto" w:fill="auto"/>
            <w:vAlign w:val="center"/>
          </w:tcPr>
          <w:p w14:paraId="7F2D1BB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调整后预算数</w:t>
            </w:r>
          </w:p>
        </w:tc>
        <w:tc>
          <w:tcPr>
            <w:tcW w:w="2100" w:type="dxa"/>
            <w:gridSpan w:val="3"/>
            <w:shd w:val="clear" w:color="auto" w:fill="auto"/>
            <w:vAlign w:val="center"/>
          </w:tcPr>
          <w:p w14:paraId="2248E7E2">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预算执行数</w:t>
            </w:r>
          </w:p>
        </w:tc>
        <w:tc>
          <w:tcPr>
            <w:tcW w:w="1100" w:type="dxa"/>
            <w:shd w:val="clear" w:color="auto" w:fill="auto"/>
            <w:vAlign w:val="center"/>
          </w:tcPr>
          <w:p w14:paraId="1BA90070">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预算执行率</w:t>
            </w:r>
          </w:p>
        </w:tc>
        <w:tc>
          <w:tcPr>
            <w:tcW w:w="520" w:type="dxa"/>
            <w:shd w:val="clear" w:color="auto" w:fill="auto"/>
            <w:vAlign w:val="center"/>
          </w:tcPr>
          <w:p w14:paraId="55960910">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权重</w:t>
            </w:r>
          </w:p>
        </w:tc>
        <w:tc>
          <w:tcPr>
            <w:tcW w:w="460" w:type="dxa"/>
            <w:shd w:val="clear" w:color="auto" w:fill="auto"/>
            <w:vAlign w:val="center"/>
          </w:tcPr>
          <w:p w14:paraId="0B3AFD2D">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1140" w:type="dxa"/>
            <w:shd w:val="clear" w:color="auto" w:fill="auto"/>
            <w:vAlign w:val="center"/>
          </w:tcPr>
          <w:p w14:paraId="5C4D324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原因</w:t>
            </w:r>
          </w:p>
        </w:tc>
      </w:tr>
      <w:tr w14:paraId="36C1D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00" w:type="dxa"/>
            <w:vMerge w:val="continue"/>
            <w:vAlign w:val="center"/>
          </w:tcPr>
          <w:p w14:paraId="13CA27A7">
            <w:pPr>
              <w:widowControl/>
              <w:spacing w:after="0" w:line="240" w:lineRule="auto"/>
              <w:ind w:firstLine="0" w:firstLineChars="0"/>
              <w:jc w:val="left"/>
              <w:rPr>
                <w:rFonts w:ascii="宋体" w:hAnsi="宋体" w:eastAsia="宋体" w:cs="宋体"/>
                <w:color w:val="000000"/>
                <w:kern w:val="0"/>
                <w:sz w:val="20"/>
                <w:szCs w:val="20"/>
              </w:rPr>
            </w:pPr>
          </w:p>
        </w:tc>
        <w:tc>
          <w:tcPr>
            <w:tcW w:w="1720" w:type="dxa"/>
            <w:shd w:val="clear" w:color="auto" w:fill="auto"/>
            <w:vAlign w:val="center"/>
          </w:tcPr>
          <w:p w14:paraId="2F52911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总额</w:t>
            </w:r>
          </w:p>
        </w:tc>
        <w:tc>
          <w:tcPr>
            <w:tcW w:w="1560" w:type="dxa"/>
            <w:shd w:val="clear" w:color="auto" w:fill="auto"/>
            <w:vAlign w:val="center"/>
          </w:tcPr>
          <w:p w14:paraId="5AC636C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1760" w:type="dxa"/>
            <w:shd w:val="clear" w:color="auto" w:fill="auto"/>
            <w:vAlign w:val="center"/>
          </w:tcPr>
          <w:p w14:paraId="4EF271F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2100" w:type="dxa"/>
            <w:gridSpan w:val="3"/>
            <w:shd w:val="clear" w:color="auto" w:fill="auto"/>
            <w:vAlign w:val="center"/>
          </w:tcPr>
          <w:p w14:paraId="3965BD5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1100" w:type="dxa"/>
            <w:shd w:val="clear" w:color="auto" w:fill="auto"/>
            <w:vAlign w:val="center"/>
          </w:tcPr>
          <w:p w14:paraId="3FDFA75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20" w:type="dxa"/>
            <w:shd w:val="clear" w:color="auto" w:fill="auto"/>
            <w:vAlign w:val="center"/>
          </w:tcPr>
          <w:p w14:paraId="75F768E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0" w:type="dxa"/>
            <w:shd w:val="clear" w:color="auto" w:fill="auto"/>
            <w:vAlign w:val="center"/>
          </w:tcPr>
          <w:p w14:paraId="6326435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40" w:type="dxa"/>
            <w:vMerge w:val="restart"/>
            <w:shd w:val="clear" w:color="auto" w:fill="auto"/>
            <w:vAlign w:val="center"/>
          </w:tcPr>
          <w:p w14:paraId="5B7155BE">
            <w:pPr>
              <w:widowControl/>
              <w:spacing w:after="0" w:line="240" w:lineRule="auto"/>
              <w:ind w:firstLine="0" w:firstLineChars="0"/>
              <w:jc w:val="left"/>
              <w:rPr>
                <w:rFonts w:ascii="黑体" w:hAnsi="黑体" w:eastAsia="黑体" w:cs="宋体"/>
                <w:i/>
                <w:iCs/>
                <w:color w:val="000000"/>
                <w:kern w:val="0"/>
                <w:sz w:val="20"/>
                <w:szCs w:val="20"/>
              </w:rPr>
            </w:pPr>
            <w:r>
              <w:rPr>
                <w:rFonts w:hint="eastAsia" w:ascii="黑体" w:hAnsi="黑体" w:eastAsia="黑体" w:cs="宋体"/>
                <w:i/>
                <w:iCs/>
                <w:color w:val="000000"/>
                <w:kern w:val="0"/>
                <w:sz w:val="20"/>
                <w:szCs w:val="20"/>
              </w:rPr>
              <w:t>　</w:t>
            </w:r>
          </w:p>
        </w:tc>
      </w:tr>
      <w:tr w14:paraId="78B6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00" w:type="dxa"/>
            <w:vMerge w:val="continue"/>
            <w:vAlign w:val="center"/>
          </w:tcPr>
          <w:p w14:paraId="527B210C">
            <w:pPr>
              <w:widowControl/>
              <w:spacing w:after="0" w:line="240" w:lineRule="auto"/>
              <w:ind w:firstLine="0" w:firstLineChars="0"/>
              <w:jc w:val="left"/>
              <w:rPr>
                <w:rFonts w:ascii="宋体" w:hAnsi="宋体" w:eastAsia="宋体" w:cs="宋体"/>
                <w:color w:val="000000"/>
                <w:kern w:val="0"/>
                <w:sz w:val="20"/>
                <w:szCs w:val="20"/>
              </w:rPr>
            </w:pPr>
          </w:p>
        </w:tc>
        <w:tc>
          <w:tcPr>
            <w:tcW w:w="1720" w:type="dxa"/>
            <w:shd w:val="clear" w:color="auto" w:fill="auto"/>
            <w:vAlign w:val="center"/>
          </w:tcPr>
          <w:p w14:paraId="138D424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其中：财政资金</w:t>
            </w:r>
          </w:p>
        </w:tc>
        <w:tc>
          <w:tcPr>
            <w:tcW w:w="1560" w:type="dxa"/>
            <w:shd w:val="clear" w:color="auto" w:fill="auto"/>
            <w:vAlign w:val="center"/>
          </w:tcPr>
          <w:p w14:paraId="3586043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1760" w:type="dxa"/>
            <w:shd w:val="clear" w:color="auto" w:fill="auto"/>
            <w:vAlign w:val="center"/>
          </w:tcPr>
          <w:p w14:paraId="59272AA2">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2100" w:type="dxa"/>
            <w:gridSpan w:val="3"/>
            <w:shd w:val="clear" w:color="auto" w:fill="auto"/>
            <w:vAlign w:val="center"/>
          </w:tcPr>
          <w:p w14:paraId="11663520">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w:t>
            </w:r>
          </w:p>
        </w:tc>
        <w:tc>
          <w:tcPr>
            <w:tcW w:w="1100" w:type="dxa"/>
            <w:shd w:val="clear" w:color="auto" w:fill="auto"/>
            <w:vAlign w:val="center"/>
          </w:tcPr>
          <w:p w14:paraId="3A3B23F5">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520" w:type="dxa"/>
            <w:shd w:val="clear" w:color="auto" w:fill="auto"/>
            <w:vAlign w:val="center"/>
          </w:tcPr>
          <w:p w14:paraId="40ACED8D">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0" w:type="dxa"/>
            <w:shd w:val="clear" w:color="auto" w:fill="auto"/>
            <w:vAlign w:val="center"/>
          </w:tcPr>
          <w:p w14:paraId="499FEF0B">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40" w:type="dxa"/>
            <w:vMerge w:val="continue"/>
            <w:vAlign w:val="center"/>
          </w:tcPr>
          <w:p w14:paraId="0F4B7E43">
            <w:pPr>
              <w:widowControl/>
              <w:spacing w:after="0" w:line="240" w:lineRule="auto"/>
              <w:ind w:firstLine="0" w:firstLineChars="0"/>
              <w:jc w:val="left"/>
              <w:rPr>
                <w:rFonts w:ascii="黑体" w:hAnsi="黑体" w:eastAsia="黑体" w:cs="宋体"/>
                <w:i/>
                <w:iCs/>
                <w:color w:val="000000"/>
                <w:kern w:val="0"/>
                <w:sz w:val="20"/>
                <w:szCs w:val="20"/>
              </w:rPr>
            </w:pPr>
          </w:p>
        </w:tc>
      </w:tr>
      <w:tr w14:paraId="5801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00" w:type="dxa"/>
            <w:vMerge w:val="continue"/>
            <w:vAlign w:val="center"/>
          </w:tcPr>
          <w:p w14:paraId="363940D0">
            <w:pPr>
              <w:widowControl/>
              <w:spacing w:after="0" w:line="240" w:lineRule="auto"/>
              <w:ind w:firstLine="0" w:firstLineChars="0"/>
              <w:jc w:val="left"/>
              <w:rPr>
                <w:rFonts w:ascii="宋体" w:hAnsi="宋体" w:eastAsia="宋体" w:cs="宋体"/>
                <w:color w:val="000000"/>
                <w:kern w:val="0"/>
                <w:sz w:val="20"/>
                <w:szCs w:val="20"/>
              </w:rPr>
            </w:pPr>
          </w:p>
        </w:tc>
        <w:tc>
          <w:tcPr>
            <w:tcW w:w="1720" w:type="dxa"/>
            <w:shd w:val="clear" w:color="auto" w:fill="auto"/>
            <w:vAlign w:val="center"/>
          </w:tcPr>
          <w:p w14:paraId="213BF3FC">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财政专户管理资金</w:t>
            </w:r>
          </w:p>
        </w:tc>
        <w:tc>
          <w:tcPr>
            <w:tcW w:w="1560" w:type="dxa"/>
            <w:shd w:val="clear" w:color="auto" w:fill="auto"/>
            <w:vAlign w:val="center"/>
          </w:tcPr>
          <w:p w14:paraId="7E451B4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760" w:type="dxa"/>
            <w:shd w:val="clear" w:color="auto" w:fill="auto"/>
            <w:vAlign w:val="center"/>
          </w:tcPr>
          <w:p w14:paraId="5438BD61">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100" w:type="dxa"/>
            <w:gridSpan w:val="3"/>
            <w:shd w:val="clear" w:color="auto" w:fill="auto"/>
            <w:vAlign w:val="center"/>
          </w:tcPr>
          <w:p w14:paraId="260F2811">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100" w:type="dxa"/>
            <w:shd w:val="clear" w:color="auto" w:fill="auto"/>
            <w:vAlign w:val="center"/>
          </w:tcPr>
          <w:p w14:paraId="09FBB990">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20" w:type="dxa"/>
            <w:shd w:val="clear" w:color="auto" w:fill="auto"/>
            <w:vAlign w:val="center"/>
          </w:tcPr>
          <w:p w14:paraId="167D47A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0" w:type="dxa"/>
            <w:shd w:val="clear" w:color="auto" w:fill="auto"/>
            <w:vAlign w:val="center"/>
          </w:tcPr>
          <w:p w14:paraId="606E3BE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40" w:type="dxa"/>
            <w:vMerge w:val="continue"/>
            <w:vAlign w:val="center"/>
          </w:tcPr>
          <w:p w14:paraId="3D2B6FC2">
            <w:pPr>
              <w:widowControl/>
              <w:spacing w:after="0" w:line="240" w:lineRule="auto"/>
              <w:ind w:firstLine="0" w:firstLineChars="0"/>
              <w:jc w:val="left"/>
              <w:rPr>
                <w:rFonts w:ascii="黑体" w:hAnsi="黑体" w:eastAsia="黑体" w:cs="宋体"/>
                <w:i/>
                <w:iCs/>
                <w:color w:val="000000"/>
                <w:kern w:val="0"/>
                <w:sz w:val="20"/>
                <w:szCs w:val="20"/>
              </w:rPr>
            </w:pPr>
          </w:p>
        </w:tc>
      </w:tr>
      <w:tr w14:paraId="71DB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4087897E">
            <w:pPr>
              <w:widowControl/>
              <w:spacing w:after="0" w:line="240" w:lineRule="auto"/>
              <w:ind w:firstLine="0" w:firstLineChars="0"/>
              <w:jc w:val="left"/>
              <w:rPr>
                <w:rFonts w:ascii="宋体" w:hAnsi="宋体" w:eastAsia="宋体" w:cs="宋体"/>
                <w:color w:val="000000"/>
                <w:kern w:val="0"/>
                <w:sz w:val="20"/>
                <w:szCs w:val="20"/>
              </w:rPr>
            </w:pPr>
          </w:p>
        </w:tc>
        <w:tc>
          <w:tcPr>
            <w:tcW w:w="1720" w:type="dxa"/>
            <w:shd w:val="clear" w:color="auto" w:fill="auto"/>
            <w:vAlign w:val="center"/>
          </w:tcPr>
          <w:p w14:paraId="0008A466">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单位资金</w:t>
            </w:r>
          </w:p>
        </w:tc>
        <w:tc>
          <w:tcPr>
            <w:tcW w:w="1560" w:type="dxa"/>
            <w:shd w:val="clear" w:color="auto" w:fill="auto"/>
            <w:vAlign w:val="center"/>
          </w:tcPr>
          <w:p w14:paraId="2D6B039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760" w:type="dxa"/>
            <w:shd w:val="clear" w:color="auto" w:fill="auto"/>
            <w:vAlign w:val="center"/>
          </w:tcPr>
          <w:p w14:paraId="7488D8E6">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100" w:type="dxa"/>
            <w:gridSpan w:val="3"/>
            <w:shd w:val="clear" w:color="auto" w:fill="auto"/>
            <w:vAlign w:val="center"/>
          </w:tcPr>
          <w:p w14:paraId="0E42D73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100" w:type="dxa"/>
            <w:shd w:val="clear" w:color="auto" w:fill="auto"/>
            <w:vAlign w:val="center"/>
          </w:tcPr>
          <w:p w14:paraId="178D3ED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520" w:type="dxa"/>
            <w:shd w:val="clear" w:color="auto" w:fill="auto"/>
            <w:vAlign w:val="center"/>
          </w:tcPr>
          <w:p w14:paraId="0D12585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0" w:type="dxa"/>
            <w:shd w:val="clear" w:color="auto" w:fill="auto"/>
            <w:vAlign w:val="center"/>
          </w:tcPr>
          <w:p w14:paraId="5253B8A3">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40" w:type="dxa"/>
            <w:vMerge w:val="continue"/>
            <w:vAlign w:val="center"/>
          </w:tcPr>
          <w:p w14:paraId="50273EC0">
            <w:pPr>
              <w:widowControl/>
              <w:spacing w:after="0" w:line="240" w:lineRule="auto"/>
              <w:ind w:firstLine="0" w:firstLineChars="0"/>
              <w:jc w:val="left"/>
              <w:rPr>
                <w:rFonts w:ascii="黑体" w:hAnsi="黑体" w:eastAsia="黑体" w:cs="宋体"/>
                <w:i/>
                <w:iCs/>
                <w:color w:val="000000"/>
                <w:kern w:val="0"/>
                <w:sz w:val="20"/>
                <w:szCs w:val="20"/>
              </w:rPr>
            </w:pPr>
          </w:p>
        </w:tc>
      </w:tr>
      <w:tr w14:paraId="50FC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00F8132F">
            <w:pPr>
              <w:widowControl/>
              <w:spacing w:after="0" w:line="240" w:lineRule="auto"/>
              <w:ind w:firstLine="0" w:firstLineChars="0"/>
              <w:jc w:val="left"/>
              <w:rPr>
                <w:rFonts w:ascii="宋体" w:hAnsi="宋体" w:eastAsia="宋体" w:cs="宋体"/>
                <w:color w:val="000000"/>
                <w:kern w:val="0"/>
                <w:sz w:val="20"/>
                <w:szCs w:val="20"/>
              </w:rPr>
            </w:pPr>
          </w:p>
        </w:tc>
        <w:tc>
          <w:tcPr>
            <w:tcW w:w="1720" w:type="dxa"/>
            <w:shd w:val="clear" w:color="auto" w:fill="auto"/>
            <w:vAlign w:val="center"/>
          </w:tcPr>
          <w:p w14:paraId="05F03F7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其他资金</w:t>
            </w:r>
          </w:p>
        </w:tc>
        <w:tc>
          <w:tcPr>
            <w:tcW w:w="1560" w:type="dxa"/>
            <w:shd w:val="clear" w:color="auto" w:fill="auto"/>
            <w:vAlign w:val="center"/>
          </w:tcPr>
          <w:p w14:paraId="2ACE3BB7">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c>
          <w:tcPr>
            <w:tcW w:w="1760" w:type="dxa"/>
            <w:shd w:val="clear" w:color="auto" w:fill="auto"/>
            <w:vAlign w:val="center"/>
          </w:tcPr>
          <w:p w14:paraId="04F5148F">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c>
          <w:tcPr>
            <w:tcW w:w="2100" w:type="dxa"/>
            <w:gridSpan w:val="3"/>
            <w:shd w:val="clear" w:color="auto" w:fill="auto"/>
            <w:vAlign w:val="center"/>
          </w:tcPr>
          <w:p w14:paraId="14206025">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c>
          <w:tcPr>
            <w:tcW w:w="1100" w:type="dxa"/>
            <w:shd w:val="clear" w:color="auto" w:fill="auto"/>
            <w:vAlign w:val="center"/>
          </w:tcPr>
          <w:p w14:paraId="6B32A049">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c>
          <w:tcPr>
            <w:tcW w:w="520" w:type="dxa"/>
            <w:shd w:val="clear" w:color="auto" w:fill="auto"/>
            <w:vAlign w:val="center"/>
          </w:tcPr>
          <w:p w14:paraId="72C8966D">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60" w:type="dxa"/>
            <w:shd w:val="clear" w:color="auto" w:fill="auto"/>
            <w:vAlign w:val="center"/>
          </w:tcPr>
          <w:p w14:paraId="0C6A10DC">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40" w:type="dxa"/>
            <w:vMerge w:val="continue"/>
            <w:vAlign w:val="center"/>
          </w:tcPr>
          <w:p w14:paraId="0C7239C3">
            <w:pPr>
              <w:widowControl/>
              <w:spacing w:after="0" w:line="240" w:lineRule="auto"/>
              <w:ind w:firstLine="0" w:firstLineChars="0"/>
              <w:jc w:val="left"/>
              <w:rPr>
                <w:rFonts w:ascii="黑体" w:hAnsi="黑体" w:eastAsia="黑体" w:cs="宋体"/>
                <w:i/>
                <w:iCs/>
                <w:color w:val="000000"/>
                <w:kern w:val="0"/>
                <w:sz w:val="20"/>
                <w:szCs w:val="20"/>
              </w:rPr>
            </w:pPr>
          </w:p>
        </w:tc>
      </w:tr>
      <w:tr w14:paraId="57AA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restart"/>
            <w:shd w:val="clear" w:color="auto" w:fill="auto"/>
            <w:vAlign w:val="center"/>
          </w:tcPr>
          <w:p w14:paraId="749E985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绩效指标（90分）</w:t>
            </w:r>
          </w:p>
        </w:tc>
        <w:tc>
          <w:tcPr>
            <w:tcW w:w="1720" w:type="dxa"/>
            <w:shd w:val="clear" w:color="auto" w:fill="auto"/>
            <w:vAlign w:val="center"/>
          </w:tcPr>
          <w:p w14:paraId="4FA2C036">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1560" w:type="dxa"/>
            <w:shd w:val="clear" w:color="auto" w:fill="auto"/>
            <w:vAlign w:val="center"/>
          </w:tcPr>
          <w:p w14:paraId="08D693A6">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760" w:type="dxa"/>
            <w:shd w:val="clear" w:color="auto" w:fill="auto"/>
            <w:vAlign w:val="center"/>
          </w:tcPr>
          <w:p w14:paraId="6BFEA356">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520" w:type="dxa"/>
            <w:shd w:val="clear" w:color="auto" w:fill="auto"/>
            <w:vAlign w:val="center"/>
          </w:tcPr>
          <w:p w14:paraId="30AA761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指标性质</w:t>
            </w:r>
          </w:p>
        </w:tc>
        <w:tc>
          <w:tcPr>
            <w:tcW w:w="1060" w:type="dxa"/>
            <w:shd w:val="clear" w:color="auto" w:fill="auto"/>
            <w:vAlign w:val="center"/>
          </w:tcPr>
          <w:p w14:paraId="2392338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520" w:type="dxa"/>
            <w:shd w:val="clear" w:color="auto" w:fill="auto"/>
            <w:vAlign w:val="center"/>
          </w:tcPr>
          <w:p w14:paraId="0F062CE3">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度量单位</w:t>
            </w:r>
          </w:p>
        </w:tc>
        <w:tc>
          <w:tcPr>
            <w:tcW w:w="1100" w:type="dxa"/>
            <w:shd w:val="clear" w:color="auto" w:fill="auto"/>
            <w:vAlign w:val="center"/>
          </w:tcPr>
          <w:p w14:paraId="08248D88">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完成值</w:t>
            </w:r>
          </w:p>
        </w:tc>
        <w:tc>
          <w:tcPr>
            <w:tcW w:w="520" w:type="dxa"/>
            <w:shd w:val="clear" w:color="auto" w:fill="auto"/>
            <w:vAlign w:val="center"/>
          </w:tcPr>
          <w:p w14:paraId="42C8308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权重</w:t>
            </w:r>
          </w:p>
        </w:tc>
        <w:tc>
          <w:tcPr>
            <w:tcW w:w="460" w:type="dxa"/>
            <w:shd w:val="clear" w:color="auto" w:fill="auto"/>
            <w:vAlign w:val="center"/>
          </w:tcPr>
          <w:p w14:paraId="043442E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1140" w:type="dxa"/>
            <w:shd w:val="clear" w:color="auto" w:fill="auto"/>
            <w:vAlign w:val="center"/>
          </w:tcPr>
          <w:p w14:paraId="2796B18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未完成原因分析</w:t>
            </w:r>
          </w:p>
        </w:tc>
      </w:tr>
      <w:tr w14:paraId="1FCA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700" w:type="dxa"/>
            <w:vMerge w:val="continue"/>
            <w:vAlign w:val="center"/>
          </w:tcPr>
          <w:p w14:paraId="04E30E7A">
            <w:pPr>
              <w:widowControl/>
              <w:spacing w:after="0" w:line="240" w:lineRule="auto"/>
              <w:ind w:firstLine="0" w:firstLineChars="0"/>
              <w:jc w:val="left"/>
              <w:rPr>
                <w:rFonts w:ascii="宋体" w:hAnsi="宋体" w:eastAsia="宋体" w:cs="宋体"/>
                <w:color w:val="000000"/>
                <w:kern w:val="0"/>
                <w:sz w:val="20"/>
                <w:szCs w:val="20"/>
              </w:rPr>
            </w:pPr>
          </w:p>
        </w:tc>
        <w:tc>
          <w:tcPr>
            <w:tcW w:w="1720" w:type="dxa"/>
            <w:vMerge w:val="restart"/>
            <w:shd w:val="clear" w:color="auto" w:fill="auto"/>
            <w:vAlign w:val="center"/>
          </w:tcPr>
          <w:p w14:paraId="7C647C28">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560" w:type="dxa"/>
            <w:vMerge w:val="restart"/>
            <w:shd w:val="clear" w:color="auto" w:fill="auto"/>
            <w:vAlign w:val="center"/>
          </w:tcPr>
          <w:p w14:paraId="7936B940">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数量指标</w:t>
            </w:r>
          </w:p>
        </w:tc>
        <w:tc>
          <w:tcPr>
            <w:tcW w:w="1760" w:type="dxa"/>
            <w:shd w:val="clear" w:color="auto" w:fill="auto"/>
            <w:vAlign w:val="center"/>
          </w:tcPr>
          <w:p w14:paraId="51B5CD7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学生人数30682人，增减率控制范围</w:t>
            </w:r>
          </w:p>
        </w:tc>
        <w:tc>
          <w:tcPr>
            <w:tcW w:w="520" w:type="dxa"/>
            <w:shd w:val="clear" w:color="auto" w:fill="auto"/>
            <w:vAlign w:val="center"/>
          </w:tcPr>
          <w:p w14:paraId="01CFB92B">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060" w:type="dxa"/>
            <w:shd w:val="clear" w:color="auto" w:fill="auto"/>
            <w:vAlign w:val="center"/>
          </w:tcPr>
          <w:p w14:paraId="5CBE056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20" w:type="dxa"/>
            <w:shd w:val="clear" w:color="auto" w:fill="auto"/>
            <w:vAlign w:val="center"/>
          </w:tcPr>
          <w:p w14:paraId="45C605D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00" w:type="dxa"/>
            <w:shd w:val="clear" w:color="auto" w:fill="auto"/>
            <w:vAlign w:val="center"/>
          </w:tcPr>
          <w:p w14:paraId="7FDAACC2">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10</w:t>
            </w:r>
          </w:p>
        </w:tc>
        <w:tc>
          <w:tcPr>
            <w:tcW w:w="520" w:type="dxa"/>
            <w:shd w:val="clear" w:color="auto" w:fill="auto"/>
            <w:vAlign w:val="center"/>
          </w:tcPr>
          <w:p w14:paraId="22161C34">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0" w:type="dxa"/>
            <w:shd w:val="clear" w:color="auto" w:fill="auto"/>
            <w:vAlign w:val="center"/>
          </w:tcPr>
          <w:p w14:paraId="72B97E84">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40" w:type="dxa"/>
            <w:shd w:val="clear" w:color="auto" w:fill="auto"/>
            <w:vAlign w:val="center"/>
          </w:tcPr>
          <w:p w14:paraId="3B548DCD">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r>
      <w:tr w14:paraId="22349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700" w:type="dxa"/>
            <w:vMerge w:val="continue"/>
            <w:vAlign w:val="center"/>
          </w:tcPr>
          <w:p w14:paraId="72493F09">
            <w:pPr>
              <w:widowControl/>
              <w:spacing w:after="0" w:line="240" w:lineRule="auto"/>
              <w:ind w:firstLine="0" w:firstLineChars="0"/>
              <w:jc w:val="left"/>
              <w:rPr>
                <w:rFonts w:ascii="宋体" w:hAnsi="宋体" w:eastAsia="宋体" w:cs="宋体"/>
                <w:color w:val="000000"/>
                <w:kern w:val="0"/>
                <w:sz w:val="20"/>
                <w:szCs w:val="20"/>
              </w:rPr>
            </w:pPr>
          </w:p>
        </w:tc>
        <w:tc>
          <w:tcPr>
            <w:tcW w:w="1720" w:type="dxa"/>
            <w:vMerge w:val="continue"/>
            <w:vAlign w:val="center"/>
          </w:tcPr>
          <w:p w14:paraId="23847582">
            <w:pPr>
              <w:widowControl/>
              <w:spacing w:after="0" w:line="240" w:lineRule="auto"/>
              <w:ind w:firstLine="0" w:firstLineChars="0"/>
              <w:jc w:val="left"/>
              <w:rPr>
                <w:rFonts w:ascii="宋体" w:hAnsi="宋体" w:eastAsia="宋体" w:cs="宋体"/>
                <w:color w:val="000000"/>
                <w:kern w:val="0"/>
                <w:sz w:val="20"/>
                <w:szCs w:val="20"/>
              </w:rPr>
            </w:pPr>
          </w:p>
        </w:tc>
        <w:tc>
          <w:tcPr>
            <w:tcW w:w="1560" w:type="dxa"/>
            <w:vMerge w:val="continue"/>
            <w:vAlign w:val="center"/>
          </w:tcPr>
          <w:p w14:paraId="057DD1E0">
            <w:pPr>
              <w:widowControl/>
              <w:spacing w:after="0" w:line="240" w:lineRule="auto"/>
              <w:ind w:firstLine="0" w:firstLineChars="0"/>
              <w:jc w:val="left"/>
              <w:rPr>
                <w:rFonts w:ascii="宋体" w:hAnsi="宋体" w:eastAsia="宋体" w:cs="宋体"/>
                <w:color w:val="000000"/>
                <w:kern w:val="0"/>
                <w:sz w:val="20"/>
                <w:szCs w:val="20"/>
              </w:rPr>
            </w:pPr>
          </w:p>
        </w:tc>
        <w:tc>
          <w:tcPr>
            <w:tcW w:w="1760" w:type="dxa"/>
            <w:shd w:val="clear" w:color="auto" w:fill="auto"/>
            <w:vAlign w:val="center"/>
          </w:tcPr>
          <w:p w14:paraId="39507BE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教职工人数40人，增减率控制范围</w:t>
            </w:r>
          </w:p>
        </w:tc>
        <w:tc>
          <w:tcPr>
            <w:tcW w:w="520" w:type="dxa"/>
            <w:shd w:val="clear" w:color="auto" w:fill="auto"/>
            <w:vAlign w:val="center"/>
          </w:tcPr>
          <w:p w14:paraId="2B67EFC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060" w:type="dxa"/>
            <w:shd w:val="clear" w:color="auto" w:fill="auto"/>
            <w:vAlign w:val="center"/>
          </w:tcPr>
          <w:p w14:paraId="5349CB0B">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20" w:type="dxa"/>
            <w:shd w:val="clear" w:color="auto" w:fill="auto"/>
            <w:vAlign w:val="center"/>
          </w:tcPr>
          <w:p w14:paraId="25C7650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00" w:type="dxa"/>
            <w:shd w:val="clear" w:color="auto" w:fill="auto"/>
            <w:vAlign w:val="center"/>
          </w:tcPr>
          <w:p w14:paraId="1533BB5D">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10</w:t>
            </w:r>
          </w:p>
        </w:tc>
        <w:tc>
          <w:tcPr>
            <w:tcW w:w="520" w:type="dxa"/>
            <w:shd w:val="clear" w:color="auto" w:fill="auto"/>
            <w:vAlign w:val="center"/>
          </w:tcPr>
          <w:p w14:paraId="0914FBC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60" w:type="dxa"/>
            <w:shd w:val="clear" w:color="auto" w:fill="auto"/>
            <w:vAlign w:val="center"/>
          </w:tcPr>
          <w:p w14:paraId="0BBFA48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140" w:type="dxa"/>
            <w:shd w:val="clear" w:color="auto" w:fill="auto"/>
            <w:vAlign w:val="center"/>
          </w:tcPr>
          <w:p w14:paraId="0C41090F">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r>
      <w:tr w14:paraId="4800B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700" w:type="dxa"/>
            <w:vMerge w:val="continue"/>
            <w:vAlign w:val="center"/>
          </w:tcPr>
          <w:p w14:paraId="21A52136">
            <w:pPr>
              <w:widowControl/>
              <w:spacing w:after="0" w:line="240" w:lineRule="auto"/>
              <w:ind w:firstLine="0" w:firstLineChars="0"/>
              <w:jc w:val="left"/>
              <w:rPr>
                <w:rFonts w:ascii="宋体" w:hAnsi="宋体" w:eastAsia="宋体" w:cs="宋体"/>
                <w:color w:val="000000"/>
                <w:kern w:val="0"/>
                <w:sz w:val="20"/>
                <w:szCs w:val="20"/>
              </w:rPr>
            </w:pPr>
          </w:p>
        </w:tc>
        <w:tc>
          <w:tcPr>
            <w:tcW w:w="1720" w:type="dxa"/>
            <w:vMerge w:val="continue"/>
            <w:vAlign w:val="center"/>
          </w:tcPr>
          <w:p w14:paraId="4025917D">
            <w:pPr>
              <w:widowControl/>
              <w:spacing w:after="0" w:line="240" w:lineRule="auto"/>
              <w:ind w:firstLine="0" w:firstLineChars="0"/>
              <w:jc w:val="left"/>
              <w:rPr>
                <w:rFonts w:ascii="宋体" w:hAnsi="宋体" w:eastAsia="宋体" w:cs="宋体"/>
                <w:color w:val="000000"/>
                <w:kern w:val="0"/>
                <w:sz w:val="20"/>
                <w:szCs w:val="20"/>
              </w:rPr>
            </w:pPr>
          </w:p>
        </w:tc>
        <w:tc>
          <w:tcPr>
            <w:tcW w:w="1560" w:type="dxa"/>
            <w:shd w:val="clear" w:color="auto" w:fill="auto"/>
            <w:vAlign w:val="center"/>
          </w:tcPr>
          <w:p w14:paraId="75108D2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1760" w:type="dxa"/>
            <w:shd w:val="clear" w:color="auto" w:fill="auto"/>
            <w:vAlign w:val="center"/>
          </w:tcPr>
          <w:p w14:paraId="3D97089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保障学校教育教学质量提升</w:t>
            </w:r>
          </w:p>
        </w:tc>
        <w:tc>
          <w:tcPr>
            <w:tcW w:w="520" w:type="dxa"/>
            <w:shd w:val="clear" w:color="auto" w:fill="auto"/>
            <w:vAlign w:val="center"/>
          </w:tcPr>
          <w:p w14:paraId="5ECF2FC4">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060" w:type="dxa"/>
            <w:shd w:val="clear" w:color="auto" w:fill="auto"/>
            <w:vAlign w:val="center"/>
          </w:tcPr>
          <w:p w14:paraId="7E9685B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20" w:type="dxa"/>
            <w:shd w:val="clear" w:color="auto" w:fill="auto"/>
            <w:vAlign w:val="center"/>
          </w:tcPr>
          <w:p w14:paraId="29FD36F3">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00" w:type="dxa"/>
            <w:shd w:val="clear" w:color="auto" w:fill="auto"/>
            <w:vAlign w:val="center"/>
          </w:tcPr>
          <w:p w14:paraId="34680D56">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100</w:t>
            </w:r>
          </w:p>
        </w:tc>
        <w:tc>
          <w:tcPr>
            <w:tcW w:w="520" w:type="dxa"/>
            <w:shd w:val="clear" w:color="auto" w:fill="auto"/>
            <w:vAlign w:val="center"/>
          </w:tcPr>
          <w:p w14:paraId="19A209E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0" w:type="dxa"/>
            <w:shd w:val="clear" w:color="auto" w:fill="auto"/>
            <w:vAlign w:val="center"/>
          </w:tcPr>
          <w:p w14:paraId="1CA5B74C">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40" w:type="dxa"/>
            <w:shd w:val="clear" w:color="auto" w:fill="auto"/>
            <w:vAlign w:val="center"/>
          </w:tcPr>
          <w:p w14:paraId="7D13BBC4">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r>
      <w:tr w14:paraId="56DFF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3129C4BC">
            <w:pPr>
              <w:widowControl/>
              <w:spacing w:after="0" w:line="240" w:lineRule="auto"/>
              <w:ind w:firstLine="0" w:firstLineChars="0"/>
              <w:jc w:val="left"/>
              <w:rPr>
                <w:rFonts w:ascii="宋体" w:hAnsi="宋体" w:eastAsia="宋体" w:cs="宋体"/>
                <w:color w:val="000000"/>
                <w:kern w:val="0"/>
                <w:sz w:val="20"/>
                <w:szCs w:val="20"/>
              </w:rPr>
            </w:pPr>
          </w:p>
        </w:tc>
        <w:tc>
          <w:tcPr>
            <w:tcW w:w="1720" w:type="dxa"/>
            <w:vMerge w:val="continue"/>
            <w:vAlign w:val="center"/>
          </w:tcPr>
          <w:p w14:paraId="064932BB">
            <w:pPr>
              <w:widowControl/>
              <w:spacing w:after="0" w:line="240" w:lineRule="auto"/>
              <w:ind w:firstLine="0" w:firstLineChars="0"/>
              <w:jc w:val="left"/>
              <w:rPr>
                <w:rFonts w:ascii="宋体" w:hAnsi="宋体" w:eastAsia="宋体" w:cs="宋体"/>
                <w:color w:val="000000"/>
                <w:kern w:val="0"/>
                <w:sz w:val="20"/>
                <w:szCs w:val="20"/>
              </w:rPr>
            </w:pPr>
          </w:p>
        </w:tc>
        <w:tc>
          <w:tcPr>
            <w:tcW w:w="1560" w:type="dxa"/>
            <w:shd w:val="clear" w:color="auto" w:fill="auto"/>
            <w:vAlign w:val="center"/>
          </w:tcPr>
          <w:p w14:paraId="492F9DE5">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时效指标</w:t>
            </w:r>
          </w:p>
        </w:tc>
        <w:tc>
          <w:tcPr>
            <w:tcW w:w="1760" w:type="dxa"/>
            <w:shd w:val="clear" w:color="auto" w:fill="auto"/>
            <w:vAlign w:val="center"/>
          </w:tcPr>
          <w:p w14:paraId="37D18B31">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当年完成</w:t>
            </w:r>
          </w:p>
        </w:tc>
        <w:tc>
          <w:tcPr>
            <w:tcW w:w="520" w:type="dxa"/>
            <w:shd w:val="clear" w:color="auto" w:fill="auto"/>
            <w:vAlign w:val="center"/>
          </w:tcPr>
          <w:p w14:paraId="4BAFAFC0">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060" w:type="dxa"/>
            <w:shd w:val="clear" w:color="auto" w:fill="auto"/>
            <w:vAlign w:val="center"/>
          </w:tcPr>
          <w:p w14:paraId="3D3ED121">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20" w:type="dxa"/>
            <w:shd w:val="clear" w:color="auto" w:fill="auto"/>
            <w:vAlign w:val="center"/>
          </w:tcPr>
          <w:p w14:paraId="5956F171">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w:t>
            </w:r>
          </w:p>
        </w:tc>
        <w:tc>
          <w:tcPr>
            <w:tcW w:w="1100" w:type="dxa"/>
            <w:shd w:val="clear" w:color="auto" w:fill="auto"/>
            <w:vAlign w:val="center"/>
          </w:tcPr>
          <w:p w14:paraId="4618CB87">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1</w:t>
            </w:r>
          </w:p>
        </w:tc>
        <w:tc>
          <w:tcPr>
            <w:tcW w:w="520" w:type="dxa"/>
            <w:shd w:val="clear" w:color="auto" w:fill="auto"/>
            <w:vAlign w:val="center"/>
          </w:tcPr>
          <w:p w14:paraId="626DAB92">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60" w:type="dxa"/>
            <w:shd w:val="clear" w:color="auto" w:fill="auto"/>
            <w:vAlign w:val="center"/>
          </w:tcPr>
          <w:p w14:paraId="38BF2B4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140" w:type="dxa"/>
            <w:shd w:val="clear" w:color="auto" w:fill="auto"/>
            <w:vAlign w:val="center"/>
          </w:tcPr>
          <w:p w14:paraId="5538197C">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r>
      <w:tr w14:paraId="5CAA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700" w:type="dxa"/>
            <w:vMerge w:val="continue"/>
            <w:vAlign w:val="center"/>
          </w:tcPr>
          <w:p w14:paraId="651C38CC">
            <w:pPr>
              <w:widowControl/>
              <w:spacing w:after="0" w:line="240" w:lineRule="auto"/>
              <w:ind w:firstLine="0" w:firstLineChars="0"/>
              <w:jc w:val="left"/>
              <w:rPr>
                <w:rFonts w:ascii="宋体" w:hAnsi="宋体" w:eastAsia="宋体" w:cs="宋体"/>
                <w:color w:val="000000"/>
                <w:kern w:val="0"/>
                <w:sz w:val="20"/>
                <w:szCs w:val="20"/>
              </w:rPr>
            </w:pPr>
          </w:p>
        </w:tc>
        <w:tc>
          <w:tcPr>
            <w:tcW w:w="1720" w:type="dxa"/>
            <w:vMerge w:val="restart"/>
            <w:shd w:val="clear" w:color="auto" w:fill="auto"/>
            <w:vAlign w:val="center"/>
          </w:tcPr>
          <w:p w14:paraId="7AE029E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tc>
        <w:tc>
          <w:tcPr>
            <w:tcW w:w="1560" w:type="dxa"/>
            <w:shd w:val="clear" w:color="auto" w:fill="auto"/>
            <w:vAlign w:val="center"/>
          </w:tcPr>
          <w:p w14:paraId="6EA33FF3">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社会效益指标</w:t>
            </w:r>
          </w:p>
        </w:tc>
        <w:tc>
          <w:tcPr>
            <w:tcW w:w="1760" w:type="dxa"/>
            <w:shd w:val="clear" w:color="auto" w:fill="auto"/>
            <w:vAlign w:val="center"/>
          </w:tcPr>
          <w:p w14:paraId="1D4036B1">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及时发现问题，及时纠正。更好服务于社会，让教育发挥最大的社会化服务效应</w:t>
            </w:r>
          </w:p>
        </w:tc>
        <w:tc>
          <w:tcPr>
            <w:tcW w:w="520" w:type="dxa"/>
            <w:shd w:val="clear" w:color="auto" w:fill="auto"/>
            <w:vAlign w:val="center"/>
          </w:tcPr>
          <w:p w14:paraId="2ECF95CF">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定性</w:t>
            </w:r>
          </w:p>
        </w:tc>
        <w:tc>
          <w:tcPr>
            <w:tcW w:w="1060" w:type="dxa"/>
            <w:shd w:val="clear" w:color="auto" w:fill="auto"/>
            <w:vAlign w:val="center"/>
          </w:tcPr>
          <w:p w14:paraId="5B5F5832">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优良</w:t>
            </w:r>
          </w:p>
        </w:tc>
        <w:tc>
          <w:tcPr>
            <w:tcW w:w="520" w:type="dxa"/>
            <w:shd w:val="clear" w:color="auto" w:fill="auto"/>
            <w:vAlign w:val="center"/>
          </w:tcPr>
          <w:p w14:paraId="01918112">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00" w:type="dxa"/>
            <w:shd w:val="clear" w:color="auto" w:fill="auto"/>
            <w:vAlign w:val="center"/>
          </w:tcPr>
          <w:p w14:paraId="4FBC9C66">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优良</w:t>
            </w:r>
          </w:p>
        </w:tc>
        <w:tc>
          <w:tcPr>
            <w:tcW w:w="520" w:type="dxa"/>
            <w:shd w:val="clear" w:color="auto" w:fill="auto"/>
            <w:vAlign w:val="center"/>
          </w:tcPr>
          <w:p w14:paraId="25BB811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60" w:type="dxa"/>
            <w:shd w:val="clear" w:color="auto" w:fill="auto"/>
            <w:vAlign w:val="center"/>
          </w:tcPr>
          <w:p w14:paraId="7CDBE14B">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140" w:type="dxa"/>
            <w:shd w:val="clear" w:color="auto" w:fill="auto"/>
            <w:vAlign w:val="center"/>
          </w:tcPr>
          <w:p w14:paraId="5C2809B1">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r>
      <w:tr w14:paraId="31D9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00" w:type="dxa"/>
            <w:vMerge w:val="continue"/>
            <w:vAlign w:val="center"/>
          </w:tcPr>
          <w:p w14:paraId="1D89968A">
            <w:pPr>
              <w:widowControl/>
              <w:spacing w:after="0" w:line="240" w:lineRule="auto"/>
              <w:ind w:firstLine="0" w:firstLineChars="0"/>
              <w:jc w:val="left"/>
              <w:rPr>
                <w:rFonts w:ascii="宋体" w:hAnsi="宋体" w:eastAsia="宋体" w:cs="宋体"/>
                <w:color w:val="000000"/>
                <w:kern w:val="0"/>
                <w:sz w:val="20"/>
                <w:szCs w:val="20"/>
              </w:rPr>
            </w:pPr>
          </w:p>
        </w:tc>
        <w:tc>
          <w:tcPr>
            <w:tcW w:w="1720" w:type="dxa"/>
            <w:vMerge w:val="continue"/>
            <w:vAlign w:val="center"/>
          </w:tcPr>
          <w:p w14:paraId="6C65B02D">
            <w:pPr>
              <w:widowControl/>
              <w:spacing w:after="0" w:line="240" w:lineRule="auto"/>
              <w:ind w:firstLine="0" w:firstLineChars="0"/>
              <w:jc w:val="left"/>
              <w:rPr>
                <w:rFonts w:ascii="宋体" w:hAnsi="宋体" w:eastAsia="宋体" w:cs="宋体"/>
                <w:color w:val="000000"/>
                <w:kern w:val="0"/>
                <w:sz w:val="20"/>
                <w:szCs w:val="20"/>
              </w:rPr>
            </w:pPr>
          </w:p>
        </w:tc>
        <w:tc>
          <w:tcPr>
            <w:tcW w:w="1560" w:type="dxa"/>
            <w:shd w:val="clear" w:color="auto" w:fill="auto"/>
            <w:vAlign w:val="center"/>
          </w:tcPr>
          <w:p w14:paraId="7941C3E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可持续影响指标</w:t>
            </w:r>
          </w:p>
        </w:tc>
        <w:tc>
          <w:tcPr>
            <w:tcW w:w="1760" w:type="dxa"/>
            <w:shd w:val="clear" w:color="auto" w:fill="auto"/>
            <w:vAlign w:val="center"/>
          </w:tcPr>
          <w:p w14:paraId="362017A3">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保障学校长期教育教学质量提升</w:t>
            </w:r>
          </w:p>
        </w:tc>
        <w:tc>
          <w:tcPr>
            <w:tcW w:w="520" w:type="dxa"/>
            <w:shd w:val="clear" w:color="auto" w:fill="auto"/>
            <w:vAlign w:val="center"/>
          </w:tcPr>
          <w:p w14:paraId="459036E1">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定性</w:t>
            </w:r>
          </w:p>
        </w:tc>
        <w:tc>
          <w:tcPr>
            <w:tcW w:w="1060" w:type="dxa"/>
            <w:shd w:val="clear" w:color="auto" w:fill="auto"/>
            <w:vAlign w:val="center"/>
          </w:tcPr>
          <w:p w14:paraId="69953561">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优良</w:t>
            </w:r>
          </w:p>
        </w:tc>
        <w:tc>
          <w:tcPr>
            <w:tcW w:w="520" w:type="dxa"/>
            <w:shd w:val="clear" w:color="auto" w:fill="auto"/>
            <w:vAlign w:val="center"/>
          </w:tcPr>
          <w:p w14:paraId="1212641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00" w:type="dxa"/>
            <w:shd w:val="clear" w:color="auto" w:fill="auto"/>
            <w:vAlign w:val="center"/>
          </w:tcPr>
          <w:p w14:paraId="54AF3590">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优良</w:t>
            </w:r>
          </w:p>
        </w:tc>
        <w:tc>
          <w:tcPr>
            <w:tcW w:w="520" w:type="dxa"/>
            <w:shd w:val="clear" w:color="auto" w:fill="auto"/>
            <w:vAlign w:val="center"/>
          </w:tcPr>
          <w:p w14:paraId="613BCE5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60" w:type="dxa"/>
            <w:shd w:val="clear" w:color="auto" w:fill="auto"/>
            <w:vAlign w:val="center"/>
          </w:tcPr>
          <w:p w14:paraId="7421ECDD">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140" w:type="dxa"/>
            <w:shd w:val="clear" w:color="auto" w:fill="auto"/>
            <w:vAlign w:val="center"/>
          </w:tcPr>
          <w:p w14:paraId="28A75320">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r>
      <w:tr w14:paraId="0E53B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00" w:type="dxa"/>
            <w:vMerge w:val="continue"/>
            <w:vAlign w:val="center"/>
          </w:tcPr>
          <w:p w14:paraId="448CAB9E">
            <w:pPr>
              <w:widowControl/>
              <w:spacing w:after="0" w:line="240" w:lineRule="auto"/>
              <w:ind w:firstLine="0" w:firstLineChars="0"/>
              <w:jc w:val="left"/>
              <w:rPr>
                <w:rFonts w:ascii="宋体" w:hAnsi="宋体" w:eastAsia="宋体" w:cs="宋体"/>
                <w:color w:val="000000"/>
                <w:kern w:val="0"/>
                <w:sz w:val="20"/>
                <w:szCs w:val="20"/>
              </w:rPr>
            </w:pPr>
          </w:p>
        </w:tc>
        <w:tc>
          <w:tcPr>
            <w:tcW w:w="1720" w:type="dxa"/>
            <w:shd w:val="clear" w:color="auto" w:fill="auto"/>
            <w:vAlign w:val="center"/>
          </w:tcPr>
          <w:p w14:paraId="016BF92D">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满意度指标</w:t>
            </w:r>
          </w:p>
        </w:tc>
        <w:tc>
          <w:tcPr>
            <w:tcW w:w="1560" w:type="dxa"/>
            <w:shd w:val="clear" w:color="auto" w:fill="auto"/>
            <w:vAlign w:val="center"/>
          </w:tcPr>
          <w:p w14:paraId="2DF65D5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服务对象满意度指标</w:t>
            </w:r>
          </w:p>
        </w:tc>
        <w:tc>
          <w:tcPr>
            <w:tcW w:w="1760" w:type="dxa"/>
            <w:shd w:val="clear" w:color="auto" w:fill="auto"/>
            <w:vAlign w:val="center"/>
          </w:tcPr>
          <w:p w14:paraId="42D7ADF0">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更好的服务于学生以及社会</w:t>
            </w:r>
          </w:p>
        </w:tc>
        <w:tc>
          <w:tcPr>
            <w:tcW w:w="520" w:type="dxa"/>
            <w:shd w:val="clear" w:color="auto" w:fill="auto"/>
            <w:vAlign w:val="center"/>
          </w:tcPr>
          <w:p w14:paraId="2370FF37">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060" w:type="dxa"/>
            <w:shd w:val="clear" w:color="auto" w:fill="auto"/>
            <w:vAlign w:val="center"/>
          </w:tcPr>
          <w:p w14:paraId="7438D42A">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520" w:type="dxa"/>
            <w:shd w:val="clear" w:color="auto" w:fill="auto"/>
            <w:vAlign w:val="center"/>
          </w:tcPr>
          <w:p w14:paraId="5C6E72B4">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00" w:type="dxa"/>
            <w:shd w:val="clear" w:color="auto" w:fill="auto"/>
            <w:vAlign w:val="center"/>
          </w:tcPr>
          <w:p w14:paraId="6DA74A49">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90</w:t>
            </w:r>
          </w:p>
        </w:tc>
        <w:tc>
          <w:tcPr>
            <w:tcW w:w="520" w:type="dxa"/>
            <w:shd w:val="clear" w:color="auto" w:fill="auto"/>
            <w:vAlign w:val="center"/>
          </w:tcPr>
          <w:p w14:paraId="3EC94F0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60" w:type="dxa"/>
            <w:shd w:val="clear" w:color="auto" w:fill="auto"/>
            <w:vAlign w:val="center"/>
          </w:tcPr>
          <w:p w14:paraId="1D994994">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40" w:type="dxa"/>
            <w:shd w:val="clear" w:color="auto" w:fill="auto"/>
            <w:vAlign w:val="center"/>
          </w:tcPr>
          <w:p w14:paraId="268A608F">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　</w:t>
            </w:r>
          </w:p>
        </w:tc>
      </w:tr>
      <w:tr w14:paraId="7A133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940" w:type="dxa"/>
            <w:gridSpan w:val="8"/>
            <w:shd w:val="clear" w:color="auto" w:fill="auto"/>
            <w:vAlign w:val="center"/>
          </w:tcPr>
          <w:p w14:paraId="4AEE75EC">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520" w:type="dxa"/>
            <w:shd w:val="clear" w:color="auto" w:fill="auto"/>
            <w:vAlign w:val="center"/>
          </w:tcPr>
          <w:p w14:paraId="28FE63D5">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460" w:type="dxa"/>
            <w:shd w:val="clear" w:color="auto" w:fill="auto"/>
            <w:vAlign w:val="center"/>
          </w:tcPr>
          <w:p w14:paraId="37D4B3D1">
            <w:pPr>
              <w:widowControl/>
              <w:spacing w:after="0" w:line="240" w:lineRule="auto"/>
              <w:ind w:firstLine="0" w:firstLineChars="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140" w:type="dxa"/>
            <w:shd w:val="clear" w:color="auto" w:fill="auto"/>
            <w:vAlign w:val="center"/>
          </w:tcPr>
          <w:p w14:paraId="3FBD248F">
            <w:pPr>
              <w:widowControl/>
              <w:spacing w:after="0" w:line="240" w:lineRule="auto"/>
              <w:ind w:firstLine="0" w:firstLineChars="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82B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00" w:type="dxa"/>
            <w:shd w:val="clear" w:color="auto" w:fill="auto"/>
            <w:vAlign w:val="center"/>
          </w:tcPr>
          <w:p w14:paraId="14458FD9">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评价结论</w:t>
            </w:r>
          </w:p>
        </w:tc>
        <w:tc>
          <w:tcPr>
            <w:tcW w:w="10360" w:type="dxa"/>
            <w:gridSpan w:val="10"/>
            <w:shd w:val="clear" w:color="auto" w:fill="auto"/>
            <w:vAlign w:val="center"/>
          </w:tcPr>
          <w:p w14:paraId="5EBCAFB1">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全面完成年度工作目标，支出绩效自评分100分</w:t>
            </w:r>
          </w:p>
        </w:tc>
      </w:tr>
      <w:tr w14:paraId="1331E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00" w:type="dxa"/>
            <w:shd w:val="clear" w:color="auto" w:fill="auto"/>
            <w:vAlign w:val="center"/>
          </w:tcPr>
          <w:p w14:paraId="4CF02115">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存在问题</w:t>
            </w:r>
          </w:p>
        </w:tc>
        <w:tc>
          <w:tcPr>
            <w:tcW w:w="10360" w:type="dxa"/>
            <w:gridSpan w:val="10"/>
            <w:shd w:val="clear" w:color="auto" w:fill="auto"/>
            <w:vAlign w:val="center"/>
          </w:tcPr>
          <w:p w14:paraId="6F788149">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无</w:t>
            </w:r>
          </w:p>
        </w:tc>
      </w:tr>
      <w:tr w14:paraId="63235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700" w:type="dxa"/>
            <w:shd w:val="clear" w:color="auto" w:fill="auto"/>
            <w:vAlign w:val="center"/>
          </w:tcPr>
          <w:p w14:paraId="2CC5E35E">
            <w:pPr>
              <w:widowControl/>
              <w:spacing w:after="0"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改进措施</w:t>
            </w:r>
          </w:p>
        </w:tc>
        <w:tc>
          <w:tcPr>
            <w:tcW w:w="10360" w:type="dxa"/>
            <w:gridSpan w:val="10"/>
            <w:shd w:val="clear" w:color="auto" w:fill="auto"/>
            <w:vAlign w:val="center"/>
          </w:tcPr>
          <w:p w14:paraId="7AC9D523">
            <w:pPr>
              <w:widowControl/>
              <w:spacing w:after="0" w:line="240" w:lineRule="auto"/>
              <w:ind w:firstLine="0" w:firstLineChars="0"/>
              <w:jc w:val="center"/>
              <w:rPr>
                <w:rFonts w:ascii="微软雅黑" w:hAnsi="微软雅黑" w:eastAsia="微软雅黑" w:cs="宋体"/>
                <w:i/>
                <w:iCs/>
                <w:color w:val="000000"/>
                <w:kern w:val="0"/>
                <w:sz w:val="20"/>
                <w:szCs w:val="20"/>
              </w:rPr>
            </w:pPr>
            <w:r>
              <w:rPr>
                <w:rFonts w:hint="eastAsia" w:ascii="微软雅黑" w:hAnsi="微软雅黑" w:eastAsia="微软雅黑" w:cs="宋体"/>
                <w:i/>
                <w:iCs/>
                <w:color w:val="000000"/>
                <w:kern w:val="0"/>
                <w:sz w:val="20"/>
                <w:szCs w:val="20"/>
              </w:rPr>
              <w:t>无</w:t>
            </w:r>
          </w:p>
        </w:tc>
      </w:tr>
      <w:tr w14:paraId="091A4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260" w:type="dxa"/>
            <w:gridSpan w:val="5"/>
            <w:shd w:val="clear" w:color="auto" w:fill="auto"/>
            <w:vAlign w:val="center"/>
          </w:tcPr>
          <w:p w14:paraId="43195899">
            <w:pPr>
              <w:widowControl/>
              <w:spacing w:after="0" w:line="240" w:lineRule="auto"/>
              <w:ind w:firstLine="0" w:firstLineChars="0"/>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项目负责人：李庆九</w:t>
            </w:r>
          </w:p>
        </w:tc>
        <w:tc>
          <w:tcPr>
            <w:tcW w:w="4800" w:type="dxa"/>
            <w:gridSpan w:val="6"/>
            <w:shd w:val="clear" w:color="auto" w:fill="auto"/>
            <w:vAlign w:val="center"/>
          </w:tcPr>
          <w:p w14:paraId="773FE508">
            <w:pPr>
              <w:widowControl/>
              <w:spacing w:after="0" w:line="240" w:lineRule="auto"/>
              <w:ind w:firstLine="0" w:firstLineChars="0"/>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财务负责人：朱媛媛</w:t>
            </w:r>
          </w:p>
        </w:tc>
      </w:tr>
    </w:tbl>
    <w:p w14:paraId="6C87BA34">
      <w:pPr>
        <w:spacing w:line="480" w:lineRule="auto"/>
        <w:ind w:firstLine="0" w:firstLineChars="0"/>
      </w:pPr>
    </w:p>
    <w:p w14:paraId="7E6DABFB">
      <w:pPr>
        <w:spacing w:line="480" w:lineRule="auto"/>
        <w:ind w:firstLine="0" w:firstLineChars="0"/>
        <w:rPr>
          <w:rFonts w:eastAsia="黑体" w:cs="黑体"/>
          <w:kern w:val="0"/>
          <w:shd w:val="clear" w:color="auto" w:fill="FFFFFF"/>
          <w:lang w:val="zh-CN"/>
        </w:rPr>
      </w:pPr>
      <w:r>
        <w:rPr>
          <w:rFonts w:hint="eastAsia" w:eastAsia="黑体" w:cs="黑体"/>
          <w:kern w:val="0"/>
          <w:shd w:val="clear" w:color="auto" w:fill="FFFFFF"/>
          <w:lang w:val="zh-CN"/>
        </w:rPr>
        <w:br w:type="page"/>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324"/>
        <w:gridCol w:w="1220"/>
        <w:gridCol w:w="1382"/>
        <w:gridCol w:w="477"/>
        <w:gridCol w:w="862"/>
        <w:gridCol w:w="477"/>
        <w:gridCol w:w="1012"/>
        <w:gridCol w:w="508"/>
        <w:gridCol w:w="486"/>
        <w:gridCol w:w="883"/>
      </w:tblGrid>
      <w:tr w14:paraId="51392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11060" w:type="dxa"/>
            <w:gridSpan w:val="11"/>
            <w:shd w:val="clear" w:color="auto" w:fill="auto"/>
            <w:vAlign w:val="center"/>
          </w:tcPr>
          <w:p w14:paraId="7FEA3D86">
            <w:pPr>
              <w:widowControl/>
              <w:spacing w:after="0" w:line="240" w:lineRule="auto"/>
              <w:ind w:firstLine="0" w:firstLineChars="0"/>
              <w:jc w:val="center"/>
              <w:rPr>
                <w:rFonts w:ascii="黑体" w:hAnsi="黑体" w:eastAsia="黑体" w:cs="宋体"/>
                <w:b/>
                <w:bCs/>
                <w:color w:val="000000"/>
                <w:kern w:val="0"/>
                <w:sz w:val="30"/>
                <w:szCs w:val="30"/>
              </w:rPr>
            </w:pPr>
            <w:bookmarkStart w:id="70" w:name="_Toc15396618"/>
            <w:r>
              <w:rPr>
                <w:rFonts w:hint="eastAsia" w:ascii="黑体" w:hAnsi="黑体" w:eastAsia="黑体" w:cs="宋体"/>
                <w:b/>
                <w:bCs/>
                <w:color w:val="000000"/>
                <w:kern w:val="0"/>
                <w:sz w:val="30"/>
                <w:szCs w:val="30"/>
              </w:rPr>
              <w:t>部门预算项目支出绩效自评表（2024年度）</w:t>
            </w:r>
          </w:p>
        </w:tc>
      </w:tr>
      <w:tr w14:paraId="5AAD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20" w:type="dxa"/>
            <w:gridSpan w:val="2"/>
            <w:shd w:val="clear" w:color="auto" w:fill="auto"/>
            <w:vAlign w:val="center"/>
          </w:tcPr>
          <w:p w14:paraId="13D0B0DD">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8640" w:type="dxa"/>
            <w:gridSpan w:val="9"/>
            <w:shd w:val="clear" w:color="auto" w:fill="auto"/>
            <w:vAlign w:val="center"/>
          </w:tcPr>
          <w:p w14:paraId="085AB5B4">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51118123T000007904955-学校骨干教师经费</w:t>
            </w:r>
          </w:p>
        </w:tc>
      </w:tr>
      <w:tr w14:paraId="54AEB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2420" w:type="dxa"/>
            <w:gridSpan w:val="2"/>
            <w:shd w:val="clear" w:color="auto" w:fill="auto"/>
            <w:vAlign w:val="center"/>
          </w:tcPr>
          <w:p w14:paraId="4A8B48BE">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5420" w:type="dxa"/>
            <w:gridSpan w:val="5"/>
            <w:shd w:val="clear" w:color="auto" w:fill="auto"/>
            <w:vAlign w:val="center"/>
          </w:tcPr>
          <w:p w14:paraId="030D079A">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教育局</w:t>
            </w:r>
          </w:p>
        </w:tc>
        <w:tc>
          <w:tcPr>
            <w:tcW w:w="1100" w:type="dxa"/>
            <w:shd w:val="clear" w:color="auto" w:fill="auto"/>
            <w:vAlign w:val="center"/>
          </w:tcPr>
          <w:p w14:paraId="35C0B827">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120" w:type="dxa"/>
            <w:gridSpan w:val="3"/>
            <w:shd w:val="clear" w:color="auto" w:fill="auto"/>
            <w:vAlign w:val="center"/>
          </w:tcPr>
          <w:p w14:paraId="065FC57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峨眉山市教师培训中心</w:t>
            </w:r>
          </w:p>
        </w:tc>
      </w:tr>
      <w:tr w14:paraId="258E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vMerge w:val="restart"/>
            <w:shd w:val="clear" w:color="auto" w:fill="auto"/>
            <w:vAlign w:val="center"/>
          </w:tcPr>
          <w:p w14:paraId="3E437A5C">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1720" w:type="dxa"/>
            <w:vMerge w:val="restart"/>
            <w:shd w:val="clear" w:color="auto" w:fill="auto"/>
            <w:vAlign w:val="center"/>
          </w:tcPr>
          <w:p w14:paraId="342FBCC8">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5420" w:type="dxa"/>
            <w:gridSpan w:val="5"/>
            <w:shd w:val="clear" w:color="auto" w:fill="auto"/>
            <w:vAlign w:val="center"/>
          </w:tcPr>
          <w:p w14:paraId="23F3FC6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3220" w:type="dxa"/>
            <w:gridSpan w:val="4"/>
            <w:shd w:val="clear" w:color="auto" w:fill="auto"/>
            <w:vAlign w:val="center"/>
          </w:tcPr>
          <w:p w14:paraId="49BF293A">
            <w:pPr>
              <w:widowControl/>
              <w:spacing w:after="0" w:line="240" w:lineRule="auto"/>
              <w:ind w:firstLine="0" w:firstLineChars="0"/>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1664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00" w:type="dxa"/>
            <w:vMerge w:val="continue"/>
            <w:vAlign w:val="center"/>
          </w:tcPr>
          <w:p w14:paraId="6ACFCAD3">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1349F08F">
            <w:pPr>
              <w:widowControl/>
              <w:spacing w:after="0" w:line="240" w:lineRule="auto"/>
              <w:ind w:firstLine="0" w:firstLineChars="0"/>
              <w:jc w:val="left"/>
              <w:rPr>
                <w:rFonts w:ascii="宋体" w:hAnsi="宋体" w:eastAsia="宋体" w:cs="宋体"/>
                <w:color w:val="000000"/>
                <w:kern w:val="0"/>
                <w:sz w:val="18"/>
                <w:szCs w:val="18"/>
              </w:rPr>
            </w:pPr>
          </w:p>
        </w:tc>
        <w:tc>
          <w:tcPr>
            <w:tcW w:w="5420" w:type="dxa"/>
            <w:gridSpan w:val="5"/>
            <w:shd w:val="clear" w:color="auto" w:fill="auto"/>
            <w:vAlign w:val="center"/>
          </w:tcPr>
          <w:p w14:paraId="7F9518C5">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通过教师队伍骨干领头作用，提升区域内教师队伍的素质能力和教育教学水平，推进教育事业发展</w:t>
            </w:r>
          </w:p>
        </w:tc>
        <w:tc>
          <w:tcPr>
            <w:tcW w:w="3220" w:type="dxa"/>
            <w:gridSpan w:val="4"/>
            <w:shd w:val="clear" w:color="auto" w:fill="auto"/>
            <w:vAlign w:val="center"/>
          </w:tcPr>
          <w:p w14:paraId="1BD21C01">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提升区域内教师队伍的素质能力和教育教学水平，推进教育事业发展</w:t>
            </w:r>
          </w:p>
        </w:tc>
      </w:tr>
      <w:tr w14:paraId="1EA6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00" w:type="dxa"/>
            <w:vMerge w:val="continue"/>
            <w:vAlign w:val="center"/>
          </w:tcPr>
          <w:p w14:paraId="281F800D">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028C8921">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8640" w:type="dxa"/>
            <w:gridSpan w:val="9"/>
            <w:shd w:val="clear" w:color="auto" w:fill="auto"/>
            <w:vAlign w:val="center"/>
          </w:tcPr>
          <w:p w14:paraId="249367B4">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发放学校骨干教师经费，保障教育事业发展</w:t>
            </w:r>
          </w:p>
        </w:tc>
      </w:tr>
      <w:tr w14:paraId="07559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restart"/>
            <w:shd w:val="clear" w:color="auto" w:fill="auto"/>
            <w:vAlign w:val="center"/>
          </w:tcPr>
          <w:p w14:paraId="07D3EC4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1720" w:type="dxa"/>
            <w:shd w:val="clear" w:color="auto" w:fill="auto"/>
            <w:vAlign w:val="center"/>
          </w:tcPr>
          <w:p w14:paraId="69D6EB1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1560" w:type="dxa"/>
            <w:shd w:val="clear" w:color="auto" w:fill="auto"/>
            <w:vAlign w:val="center"/>
          </w:tcPr>
          <w:p w14:paraId="4187735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1760" w:type="dxa"/>
            <w:shd w:val="clear" w:color="auto" w:fill="auto"/>
            <w:vAlign w:val="center"/>
          </w:tcPr>
          <w:p w14:paraId="5F73BDF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100" w:type="dxa"/>
            <w:gridSpan w:val="3"/>
            <w:shd w:val="clear" w:color="auto" w:fill="auto"/>
            <w:vAlign w:val="center"/>
          </w:tcPr>
          <w:p w14:paraId="5019F5C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1100" w:type="dxa"/>
            <w:shd w:val="clear" w:color="auto" w:fill="auto"/>
            <w:vAlign w:val="center"/>
          </w:tcPr>
          <w:p w14:paraId="256E11C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20" w:type="dxa"/>
            <w:shd w:val="clear" w:color="auto" w:fill="auto"/>
            <w:vAlign w:val="center"/>
          </w:tcPr>
          <w:p w14:paraId="5EB1B37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60" w:type="dxa"/>
            <w:shd w:val="clear" w:color="auto" w:fill="auto"/>
            <w:vAlign w:val="center"/>
          </w:tcPr>
          <w:p w14:paraId="70EB9D6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40" w:type="dxa"/>
            <w:shd w:val="clear" w:color="auto" w:fill="auto"/>
            <w:vAlign w:val="center"/>
          </w:tcPr>
          <w:p w14:paraId="0956452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0F2A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00" w:type="dxa"/>
            <w:vMerge w:val="continue"/>
            <w:vAlign w:val="center"/>
          </w:tcPr>
          <w:p w14:paraId="48EF693A">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3AEAAA1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1560" w:type="dxa"/>
            <w:shd w:val="clear" w:color="auto" w:fill="auto"/>
            <w:vAlign w:val="center"/>
          </w:tcPr>
          <w:p w14:paraId="2DE8572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56B5DAE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10.20</w:t>
            </w:r>
          </w:p>
        </w:tc>
        <w:tc>
          <w:tcPr>
            <w:tcW w:w="2100" w:type="dxa"/>
            <w:gridSpan w:val="3"/>
            <w:shd w:val="clear" w:color="auto" w:fill="auto"/>
            <w:vAlign w:val="center"/>
          </w:tcPr>
          <w:p w14:paraId="5BAC529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10.20</w:t>
            </w:r>
          </w:p>
        </w:tc>
        <w:tc>
          <w:tcPr>
            <w:tcW w:w="1100" w:type="dxa"/>
            <w:shd w:val="clear" w:color="auto" w:fill="auto"/>
            <w:vAlign w:val="center"/>
          </w:tcPr>
          <w:p w14:paraId="491B4ED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20" w:type="dxa"/>
            <w:shd w:val="clear" w:color="auto" w:fill="auto"/>
            <w:vAlign w:val="center"/>
          </w:tcPr>
          <w:p w14:paraId="30515BE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263D492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vMerge w:val="restart"/>
            <w:shd w:val="clear" w:color="auto" w:fill="auto"/>
            <w:vAlign w:val="center"/>
          </w:tcPr>
          <w:p w14:paraId="70B61707">
            <w:pPr>
              <w:widowControl/>
              <w:spacing w:after="0" w:line="240" w:lineRule="auto"/>
              <w:ind w:firstLine="0" w:firstLineChars="0"/>
              <w:jc w:val="left"/>
              <w:rPr>
                <w:rFonts w:ascii="黑体" w:hAnsi="黑体" w:eastAsia="黑体" w:cs="宋体"/>
                <w:i/>
                <w:iCs/>
                <w:color w:val="000000"/>
                <w:kern w:val="0"/>
                <w:sz w:val="18"/>
                <w:szCs w:val="18"/>
              </w:rPr>
            </w:pPr>
            <w:r>
              <w:rPr>
                <w:rFonts w:hint="eastAsia" w:ascii="黑体" w:hAnsi="黑体" w:eastAsia="黑体" w:cs="宋体"/>
                <w:i/>
                <w:iCs/>
                <w:color w:val="000000"/>
                <w:kern w:val="0"/>
                <w:sz w:val="18"/>
                <w:szCs w:val="18"/>
              </w:rPr>
              <w:t>　</w:t>
            </w:r>
          </w:p>
        </w:tc>
      </w:tr>
      <w:tr w14:paraId="1FAC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00" w:type="dxa"/>
            <w:vMerge w:val="continue"/>
            <w:vAlign w:val="center"/>
          </w:tcPr>
          <w:p w14:paraId="3468CF50">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37C0B00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1560" w:type="dxa"/>
            <w:shd w:val="clear" w:color="auto" w:fill="auto"/>
            <w:vAlign w:val="center"/>
          </w:tcPr>
          <w:p w14:paraId="7440D9F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15528F8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10.20</w:t>
            </w:r>
          </w:p>
        </w:tc>
        <w:tc>
          <w:tcPr>
            <w:tcW w:w="2100" w:type="dxa"/>
            <w:gridSpan w:val="3"/>
            <w:shd w:val="clear" w:color="auto" w:fill="auto"/>
            <w:vAlign w:val="center"/>
          </w:tcPr>
          <w:p w14:paraId="7AB9E42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10.20</w:t>
            </w:r>
          </w:p>
        </w:tc>
        <w:tc>
          <w:tcPr>
            <w:tcW w:w="1100" w:type="dxa"/>
            <w:shd w:val="clear" w:color="auto" w:fill="auto"/>
            <w:vAlign w:val="center"/>
          </w:tcPr>
          <w:p w14:paraId="25A6FFB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20" w:type="dxa"/>
            <w:shd w:val="clear" w:color="auto" w:fill="auto"/>
            <w:vAlign w:val="center"/>
          </w:tcPr>
          <w:p w14:paraId="4A87984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684F6D7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324734C7">
            <w:pPr>
              <w:widowControl/>
              <w:spacing w:after="0" w:line="240" w:lineRule="auto"/>
              <w:ind w:firstLine="0" w:firstLineChars="0"/>
              <w:jc w:val="left"/>
              <w:rPr>
                <w:rFonts w:ascii="黑体" w:hAnsi="黑体" w:eastAsia="黑体" w:cs="宋体"/>
                <w:i/>
                <w:iCs/>
                <w:color w:val="000000"/>
                <w:kern w:val="0"/>
                <w:sz w:val="18"/>
                <w:szCs w:val="18"/>
              </w:rPr>
            </w:pPr>
          </w:p>
        </w:tc>
      </w:tr>
      <w:tr w14:paraId="54B1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00" w:type="dxa"/>
            <w:vMerge w:val="continue"/>
            <w:vAlign w:val="center"/>
          </w:tcPr>
          <w:p w14:paraId="69F30024">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603302D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1560" w:type="dxa"/>
            <w:shd w:val="clear" w:color="auto" w:fill="auto"/>
            <w:vAlign w:val="center"/>
          </w:tcPr>
          <w:p w14:paraId="223899C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1FFE31F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100" w:type="dxa"/>
            <w:gridSpan w:val="3"/>
            <w:shd w:val="clear" w:color="auto" w:fill="auto"/>
            <w:vAlign w:val="center"/>
          </w:tcPr>
          <w:p w14:paraId="08BB34C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shd w:val="clear" w:color="auto" w:fill="auto"/>
            <w:vAlign w:val="center"/>
          </w:tcPr>
          <w:p w14:paraId="11BE1EA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20" w:type="dxa"/>
            <w:shd w:val="clear" w:color="auto" w:fill="auto"/>
            <w:vAlign w:val="center"/>
          </w:tcPr>
          <w:p w14:paraId="77F266B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3B63037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129BFFEB">
            <w:pPr>
              <w:widowControl/>
              <w:spacing w:after="0" w:line="240" w:lineRule="auto"/>
              <w:ind w:firstLine="0" w:firstLineChars="0"/>
              <w:jc w:val="left"/>
              <w:rPr>
                <w:rFonts w:ascii="黑体" w:hAnsi="黑体" w:eastAsia="黑体" w:cs="宋体"/>
                <w:i/>
                <w:iCs/>
                <w:color w:val="000000"/>
                <w:kern w:val="0"/>
                <w:sz w:val="18"/>
                <w:szCs w:val="18"/>
              </w:rPr>
            </w:pPr>
          </w:p>
        </w:tc>
      </w:tr>
      <w:tr w14:paraId="3A18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117AAF46">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31475E6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1560" w:type="dxa"/>
            <w:shd w:val="clear" w:color="auto" w:fill="auto"/>
            <w:vAlign w:val="center"/>
          </w:tcPr>
          <w:p w14:paraId="7AC7966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3EA3CB6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100" w:type="dxa"/>
            <w:gridSpan w:val="3"/>
            <w:shd w:val="clear" w:color="auto" w:fill="auto"/>
            <w:vAlign w:val="center"/>
          </w:tcPr>
          <w:p w14:paraId="2B0BA9B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shd w:val="clear" w:color="auto" w:fill="auto"/>
            <w:vAlign w:val="center"/>
          </w:tcPr>
          <w:p w14:paraId="47BE3D6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20" w:type="dxa"/>
            <w:shd w:val="clear" w:color="auto" w:fill="auto"/>
            <w:vAlign w:val="center"/>
          </w:tcPr>
          <w:p w14:paraId="58F8A3F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0475B50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67788431">
            <w:pPr>
              <w:widowControl/>
              <w:spacing w:after="0" w:line="240" w:lineRule="auto"/>
              <w:ind w:firstLine="0" w:firstLineChars="0"/>
              <w:jc w:val="left"/>
              <w:rPr>
                <w:rFonts w:ascii="黑体" w:hAnsi="黑体" w:eastAsia="黑体" w:cs="宋体"/>
                <w:i/>
                <w:iCs/>
                <w:color w:val="000000"/>
                <w:kern w:val="0"/>
                <w:sz w:val="18"/>
                <w:szCs w:val="18"/>
              </w:rPr>
            </w:pPr>
          </w:p>
        </w:tc>
      </w:tr>
      <w:tr w14:paraId="3E380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21580B82">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109948D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1560" w:type="dxa"/>
            <w:shd w:val="clear" w:color="auto" w:fill="auto"/>
            <w:vAlign w:val="center"/>
          </w:tcPr>
          <w:p w14:paraId="6FEEADDC">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60" w:type="dxa"/>
            <w:shd w:val="clear" w:color="auto" w:fill="auto"/>
            <w:vAlign w:val="center"/>
          </w:tcPr>
          <w:p w14:paraId="37D154BE">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00" w:type="dxa"/>
            <w:gridSpan w:val="3"/>
            <w:shd w:val="clear" w:color="auto" w:fill="auto"/>
            <w:vAlign w:val="center"/>
          </w:tcPr>
          <w:p w14:paraId="577994CB">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shd w:val="clear" w:color="auto" w:fill="auto"/>
            <w:vAlign w:val="center"/>
          </w:tcPr>
          <w:p w14:paraId="5A4DA1E9">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shd w:val="clear" w:color="auto" w:fill="auto"/>
            <w:vAlign w:val="center"/>
          </w:tcPr>
          <w:p w14:paraId="4C963EA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0D9AE60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542D6394">
            <w:pPr>
              <w:widowControl/>
              <w:spacing w:after="0" w:line="240" w:lineRule="auto"/>
              <w:ind w:firstLine="0" w:firstLineChars="0"/>
              <w:jc w:val="left"/>
              <w:rPr>
                <w:rFonts w:ascii="黑体" w:hAnsi="黑体" w:eastAsia="黑体" w:cs="宋体"/>
                <w:i/>
                <w:iCs/>
                <w:color w:val="000000"/>
                <w:kern w:val="0"/>
                <w:sz w:val="18"/>
                <w:szCs w:val="18"/>
              </w:rPr>
            </w:pPr>
          </w:p>
        </w:tc>
      </w:tr>
      <w:tr w14:paraId="78871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restart"/>
            <w:shd w:val="clear" w:color="auto" w:fill="auto"/>
            <w:vAlign w:val="center"/>
          </w:tcPr>
          <w:p w14:paraId="2370CBD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1720" w:type="dxa"/>
            <w:shd w:val="clear" w:color="auto" w:fill="auto"/>
            <w:vAlign w:val="center"/>
          </w:tcPr>
          <w:p w14:paraId="2B21807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560" w:type="dxa"/>
            <w:shd w:val="clear" w:color="auto" w:fill="auto"/>
            <w:vAlign w:val="center"/>
          </w:tcPr>
          <w:p w14:paraId="7FC7CB1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1760" w:type="dxa"/>
            <w:shd w:val="clear" w:color="auto" w:fill="auto"/>
            <w:vAlign w:val="center"/>
          </w:tcPr>
          <w:p w14:paraId="46E63C8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520" w:type="dxa"/>
            <w:shd w:val="clear" w:color="auto" w:fill="auto"/>
            <w:vAlign w:val="center"/>
          </w:tcPr>
          <w:p w14:paraId="38D7596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1060" w:type="dxa"/>
            <w:shd w:val="clear" w:color="auto" w:fill="auto"/>
            <w:vAlign w:val="center"/>
          </w:tcPr>
          <w:p w14:paraId="468B822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520" w:type="dxa"/>
            <w:shd w:val="clear" w:color="auto" w:fill="auto"/>
            <w:vAlign w:val="center"/>
          </w:tcPr>
          <w:p w14:paraId="5C743FC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1100" w:type="dxa"/>
            <w:shd w:val="clear" w:color="auto" w:fill="auto"/>
            <w:vAlign w:val="center"/>
          </w:tcPr>
          <w:p w14:paraId="1FAD76C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520" w:type="dxa"/>
            <w:shd w:val="clear" w:color="auto" w:fill="auto"/>
            <w:vAlign w:val="center"/>
          </w:tcPr>
          <w:p w14:paraId="7765588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60" w:type="dxa"/>
            <w:shd w:val="clear" w:color="auto" w:fill="auto"/>
            <w:vAlign w:val="center"/>
          </w:tcPr>
          <w:p w14:paraId="5D9DAF4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40" w:type="dxa"/>
            <w:shd w:val="clear" w:color="auto" w:fill="auto"/>
            <w:vAlign w:val="center"/>
          </w:tcPr>
          <w:p w14:paraId="622BD73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2CA52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15BE5031">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restart"/>
            <w:shd w:val="clear" w:color="auto" w:fill="auto"/>
            <w:vAlign w:val="center"/>
          </w:tcPr>
          <w:p w14:paraId="6E8CC37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560" w:type="dxa"/>
            <w:vMerge w:val="restart"/>
            <w:shd w:val="clear" w:color="auto" w:fill="auto"/>
            <w:vAlign w:val="center"/>
          </w:tcPr>
          <w:p w14:paraId="3FB4562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1760" w:type="dxa"/>
            <w:shd w:val="clear" w:color="auto" w:fill="auto"/>
            <w:vAlign w:val="center"/>
          </w:tcPr>
          <w:p w14:paraId="3416E37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足额保障率</w:t>
            </w:r>
          </w:p>
        </w:tc>
        <w:tc>
          <w:tcPr>
            <w:tcW w:w="520" w:type="dxa"/>
            <w:shd w:val="clear" w:color="auto" w:fill="auto"/>
            <w:vAlign w:val="center"/>
          </w:tcPr>
          <w:p w14:paraId="54989AE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7536431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20" w:type="dxa"/>
            <w:shd w:val="clear" w:color="auto" w:fill="auto"/>
            <w:vAlign w:val="center"/>
          </w:tcPr>
          <w:p w14:paraId="0311BE6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1B2F161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20" w:type="dxa"/>
            <w:shd w:val="clear" w:color="auto" w:fill="auto"/>
            <w:vAlign w:val="center"/>
          </w:tcPr>
          <w:p w14:paraId="27E3307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467E955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173ACAFC">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BB4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700" w:type="dxa"/>
            <w:vMerge w:val="continue"/>
            <w:vAlign w:val="center"/>
          </w:tcPr>
          <w:p w14:paraId="5FB5C6C8">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52CCECD7">
            <w:pPr>
              <w:widowControl/>
              <w:spacing w:after="0" w:line="240" w:lineRule="auto"/>
              <w:ind w:firstLine="0" w:firstLineChars="0"/>
              <w:jc w:val="left"/>
              <w:rPr>
                <w:rFonts w:ascii="宋体" w:hAnsi="宋体" w:eastAsia="宋体" w:cs="宋体"/>
                <w:color w:val="000000"/>
                <w:kern w:val="0"/>
                <w:sz w:val="18"/>
                <w:szCs w:val="18"/>
              </w:rPr>
            </w:pPr>
          </w:p>
        </w:tc>
        <w:tc>
          <w:tcPr>
            <w:tcW w:w="1560" w:type="dxa"/>
            <w:vMerge w:val="continue"/>
            <w:vAlign w:val="center"/>
          </w:tcPr>
          <w:p w14:paraId="5393BBDC">
            <w:pPr>
              <w:widowControl/>
              <w:spacing w:after="0" w:line="240" w:lineRule="auto"/>
              <w:ind w:firstLine="0" w:firstLineChars="0"/>
              <w:jc w:val="left"/>
              <w:rPr>
                <w:rFonts w:ascii="宋体" w:hAnsi="宋体" w:eastAsia="宋体" w:cs="宋体"/>
                <w:color w:val="000000"/>
                <w:kern w:val="0"/>
                <w:sz w:val="18"/>
                <w:szCs w:val="18"/>
              </w:rPr>
            </w:pPr>
          </w:p>
        </w:tc>
        <w:tc>
          <w:tcPr>
            <w:tcW w:w="1760" w:type="dxa"/>
            <w:shd w:val="clear" w:color="auto" w:fill="auto"/>
            <w:vAlign w:val="center"/>
          </w:tcPr>
          <w:p w14:paraId="23D9536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骨干教师人数19人，增减率控制范围</w:t>
            </w:r>
          </w:p>
        </w:tc>
        <w:tc>
          <w:tcPr>
            <w:tcW w:w="520" w:type="dxa"/>
            <w:shd w:val="clear" w:color="auto" w:fill="auto"/>
            <w:vAlign w:val="center"/>
          </w:tcPr>
          <w:p w14:paraId="7022DEC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70739D4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0" w:type="dxa"/>
            <w:shd w:val="clear" w:color="auto" w:fill="auto"/>
            <w:vAlign w:val="center"/>
          </w:tcPr>
          <w:p w14:paraId="3B7DAD8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55DDD27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0" w:type="dxa"/>
            <w:shd w:val="clear" w:color="auto" w:fill="auto"/>
            <w:vAlign w:val="center"/>
          </w:tcPr>
          <w:p w14:paraId="58F005F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4A6B3CF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2887DBAF">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39F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700" w:type="dxa"/>
            <w:vMerge w:val="continue"/>
            <w:vAlign w:val="center"/>
          </w:tcPr>
          <w:p w14:paraId="5472D584">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21F088B5">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73BE629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1760" w:type="dxa"/>
            <w:shd w:val="clear" w:color="auto" w:fill="auto"/>
            <w:vAlign w:val="center"/>
          </w:tcPr>
          <w:p w14:paraId="0CC544A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完成上级下达的骨干教师目标任务</w:t>
            </w:r>
          </w:p>
        </w:tc>
        <w:tc>
          <w:tcPr>
            <w:tcW w:w="520" w:type="dxa"/>
            <w:shd w:val="clear" w:color="auto" w:fill="auto"/>
            <w:vAlign w:val="center"/>
          </w:tcPr>
          <w:p w14:paraId="65DE351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5DDB848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520" w:type="dxa"/>
            <w:shd w:val="clear" w:color="auto" w:fill="auto"/>
            <w:vAlign w:val="center"/>
          </w:tcPr>
          <w:p w14:paraId="27BF17B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57EF063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520" w:type="dxa"/>
            <w:shd w:val="clear" w:color="auto" w:fill="auto"/>
            <w:vAlign w:val="center"/>
          </w:tcPr>
          <w:p w14:paraId="04440C0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0645BA4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793603F3">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F95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3B1B709F">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6F7B57F1">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5937A64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1760" w:type="dxa"/>
            <w:shd w:val="clear" w:color="auto" w:fill="auto"/>
            <w:vAlign w:val="center"/>
          </w:tcPr>
          <w:p w14:paraId="40E1528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按时发放率</w:t>
            </w:r>
          </w:p>
        </w:tc>
        <w:tc>
          <w:tcPr>
            <w:tcW w:w="520" w:type="dxa"/>
            <w:shd w:val="clear" w:color="auto" w:fill="auto"/>
            <w:vAlign w:val="center"/>
          </w:tcPr>
          <w:p w14:paraId="5B24EF1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4EFBCC7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20" w:type="dxa"/>
            <w:shd w:val="clear" w:color="auto" w:fill="auto"/>
            <w:vAlign w:val="center"/>
          </w:tcPr>
          <w:p w14:paraId="10DA959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w:t>
            </w:r>
          </w:p>
        </w:tc>
        <w:tc>
          <w:tcPr>
            <w:tcW w:w="1100" w:type="dxa"/>
            <w:shd w:val="clear" w:color="auto" w:fill="auto"/>
            <w:vAlign w:val="center"/>
          </w:tcPr>
          <w:p w14:paraId="10F3586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20" w:type="dxa"/>
            <w:shd w:val="clear" w:color="auto" w:fill="auto"/>
            <w:vAlign w:val="center"/>
          </w:tcPr>
          <w:p w14:paraId="45262C3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6E8C631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37FD27AD">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C1BD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00" w:type="dxa"/>
            <w:vMerge w:val="continue"/>
            <w:vAlign w:val="center"/>
          </w:tcPr>
          <w:p w14:paraId="5690B021">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restart"/>
            <w:shd w:val="clear" w:color="auto" w:fill="auto"/>
            <w:vAlign w:val="center"/>
          </w:tcPr>
          <w:p w14:paraId="4007147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560" w:type="dxa"/>
            <w:shd w:val="clear" w:color="auto" w:fill="auto"/>
            <w:vAlign w:val="center"/>
          </w:tcPr>
          <w:p w14:paraId="3215981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1760" w:type="dxa"/>
            <w:shd w:val="clear" w:color="auto" w:fill="auto"/>
            <w:vAlign w:val="center"/>
          </w:tcPr>
          <w:p w14:paraId="614C3CB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提升教育教学水平，推进教育事业发展</w:t>
            </w:r>
          </w:p>
        </w:tc>
        <w:tc>
          <w:tcPr>
            <w:tcW w:w="520" w:type="dxa"/>
            <w:shd w:val="clear" w:color="auto" w:fill="auto"/>
            <w:vAlign w:val="center"/>
          </w:tcPr>
          <w:p w14:paraId="549E8CD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3CCE77C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355EC47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098410A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0F62BBF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60" w:type="dxa"/>
            <w:shd w:val="clear" w:color="auto" w:fill="auto"/>
            <w:vAlign w:val="center"/>
          </w:tcPr>
          <w:p w14:paraId="5805157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0" w:type="dxa"/>
            <w:shd w:val="clear" w:color="auto" w:fill="auto"/>
            <w:vAlign w:val="center"/>
          </w:tcPr>
          <w:p w14:paraId="2CC18A89">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4A2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00" w:type="dxa"/>
            <w:vMerge w:val="continue"/>
            <w:vAlign w:val="center"/>
          </w:tcPr>
          <w:p w14:paraId="4BD2D7E4">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6F10B76E">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3A58C20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可持续发展指标</w:t>
            </w:r>
          </w:p>
        </w:tc>
        <w:tc>
          <w:tcPr>
            <w:tcW w:w="1760" w:type="dxa"/>
            <w:shd w:val="clear" w:color="auto" w:fill="auto"/>
            <w:vAlign w:val="center"/>
          </w:tcPr>
          <w:p w14:paraId="36DCA55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提升区域内教师队伍的素质和能力</w:t>
            </w:r>
          </w:p>
        </w:tc>
        <w:tc>
          <w:tcPr>
            <w:tcW w:w="520" w:type="dxa"/>
            <w:shd w:val="clear" w:color="auto" w:fill="auto"/>
            <w:vAlign w:val="center"/>
          </w:tcPr>
          <w:p w14:paraId="4CFC95A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2E937E5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0A97623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37506ED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76E84A3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60" w:type="dxa"/>
            <w:shd w:val="clear" w:color="auto" w:fill="auto"/>
            <w:vAlign w:val="center"/>
          </w:tcPr>
          <w:p w14:paraId="2959502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0" w:type="dxa"/>
            <w:shd w:val="clear" w:color="auto" w:fill="auto"/>
            <w:vAlign w:val="center"/>
          </w:tcPr>
          <w:p w14:paraId="3D560155">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2EFC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00" w:type="dxa"/>
            <w:vMerge w:val="continue"/>
            <w:vAlign w:val="center"/>
          </w:tcPr>
          <w:p w14:paraId="56628849">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3FA79E2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560" w:type="dxa"/>
            <w:shd w:val="clear" w:color="auto" w:fill="auto"/>
            <w:vAlign w:val="center"/>
          </w:tcPr>
          <w:p w14:paraId="722B68A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1760" w:type="dxa"/>
            <w:shd w:val="clear" w:color="auto" w:fill="auto"/>
            <w:vAlign w:val="center"/>
          </w:tcPr>
          <w:p w14:paraId="528AA2D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教师满意度</w:t>
            </w:r>
          </w:p>
        </w:tc>
        <w:tc>
          <w:tcPr>
            <w:tcW w:w="520" w:type="dxa"/>
            <w:shd w:val="clear" w:color="auto" w:fill="auto"/>
            <w:vAlign w:val="center"/>
          </w:tcPr>
          <w:p w14:paraId="136D401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609E95A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520" w:type="dxa"/>
            <w:shd w:val="clear" w:color="auto" w:fill="auto"/>
            <w:vAlign w:val="center"/>
          </w:tcPr>
          <w:p w14:paraId="479ADA4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72278A3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520" w:type="dxa"/>
            <w:shd w:val="clear" w:color="auto" w:fill="auto"/>
            <w:vAlign w:val="center"/>
          </w:tcPr>
          <w:p w14:paraId="650D487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1949FC7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76E27656">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DD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700" w:type="dxa"/>
            <w:vMerge w:val="continue"/>
            <w:vAlign w:val="center"/>
          </w:tcPr>
          <w:p w14:paraId="7DC4E22A">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15CA208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1560" w:type="dxa"/>
            <w:shd w:val="clear" w:color="auto" w:fill="auto"/>
            <w:vAlign w:val="center"/>
          </w:tcPr>
          <w:p w14:paraId="2F1685E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经济成本指标</w:t>
            </w:r>
          </w:p>
        </w:tc>
        <w:tc>
          <w:tcPr>
            <w:tcW w:w="1760" w:type="dxa"/>
            <w:shd w:val="clear" w:color="auto" w:fill="auto"/>
            <w:vAlign w:val="center"/>
          </w:tcPr>
          <w:p w14:paraId="07DE57A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经费支出增减控制范围</w:t>
            </w:r>
          </w:p>
        </w:tc>
        <w:tc>
          <w:tcPr>
            <w:tcW w:w="520" w:type="dxa"/>
            <w:shd w:val="clear" w:color="auto" w:fill="auto"/>
            <w:vAlign w:val="center"/>
          </w:tcPr>
          <w:p w14:paraId="4EE6F3A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21C2203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0" w:type="dxa"/>
            <w:shd w:val="clear" w:color="auto" w:fill="auto"/>
            <w:vAlign w:val="center"/>
          </w:tcPr>
          <w:p w14:paraId="414B52E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0449C91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0" w:type="dxa"/>
            <w:shd w:val="clear" w:color="auto" w:fill="auto"/>
            <w:vAlign w:val="center"/>
          </w:tcPr>
          <w:p w14:paraId="53EAD41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22B0777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73F065B1">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0342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940" w:type="dxa"/>
            <w:gridSpan w:val="8"/>
            <w:shd w:val="clear" w:color="auto" w:fill="auto"/>
            <w:vAlign w:val="center"/>
          </w:tcPr>
          <w:p w14:paraId="1A0CA97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20" w:type="dxa"/>
            <w:shd w:val="clear" w:color="auto" w:fill="auto"/>
            <w:vAlign w:val="center"/>
          </w:tcPr>
          <w:p w14:paraId="431F72D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60" w:type="dxa"/>
            <w:shd w:val="clear" w:color="auto" w:fill="auto"/>
            <w:vAlign w:val="center"/>
          </w:tcPr>
          <w:p w14:paraId="51DB3F2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140" w:type="dxa"/>
            <w:shd w:val="clear" w:color="auto" w:fill="auto"/>
            <w:vAlign w:val="center"/>
          </w:tcPr>
          <w:p w14:paraId="74C1D733">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3D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00" w:type="dxa"/>
            <w:shd w:val="clear" w:color="auto" w:fill="auto"/>
            <w:vAlign w:val="center"/>
          </w:tcPr>
          <w:p w14:paraId="0CA6188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10360" w:type="dxa"/>
            <w:gridSpan w:val="10"/>
            <w:shd w:val="clear" w:color="auto" w:fill="auto"/>
            <w:vAlign w:val="center"/>
          </w:tcPr>
          <w:p w14:paraId="49EB58B9">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全面完成年度工作目标，支出绩效自评分100分</w:t>
            </w:r>
          </w:p>
        </w:tc>
      </w:tr>
      <w:tr w14:paraId="0C56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700" w:type="dxa"/>
            <w:shd w:val="clear" w:color="auto" w:fill="auto"/>
            <w:vAlign w:val="center"/>
          </w:tcPr>
          <w:p w14:paraId="75B3E2C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10360" w:type="dxa"/>
            <w:gridSpan w:val="10"/>
            <w:shd w:val="clear" w:color="auto" w:fill="auto"/>
            <w:vAlign w:val="center"/>
          </w:tcPr>
          <w:p w14:paraId="4CF0DD8A">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CF34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00" w:type="dxa"/>
            <w:shd w:val="clear" w:color="auto" w:fill="auto"/>
            <w:vAlign w:val="center"/>
          </w:tcPr>
          <w:p w14:paraId="1D06339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10360" w:type="dxa"/>
            <w:gridSpan w:val="10"/>
            <w:shd w:val="clear" w:color="auto" w:fill="auto"/>
            <w:vAlign w:val="center"/>
          </w:tcPr>
          <w:p w14:paraId="455D1170">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3856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6260" w:type="dxa"/>
            <w:gridSpan w:val="5"/>
            <w:shd w:val="clear" w:color="auto" w:fill="auto"/>
            <w:vAlign w:val="center"/>
          </w:tcPr>
          <w:p w14:paraId="141306D8">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项目负责人：李庆九</w:t>
            </w:r>
          </w:p>
        </w:tc>
        <w:tc>
          <w:tcPr>
            <w:tcW w:w="4800" w:type="dxa"/>
            <w:gridSpan w:val="6"/>
            <w:shd w:val="clear" w:color="auto" w:fill="auto"/>
            <w:vAlign w:val="center"/>
          </w:tcPr>
          <w:p w14:paraId="0ED9D981">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财务负责人：朱媛媛</w:t>
            </w:r>
          </w:p>
        </w:tc>
      </w:tr>
    </w:tbl>
    <w:p w14:paraId="3464338A">
      <w:pPr>
        <w:spacing w:line="480" w:lineRule="auto"/>
        <w:ind w:firstLine="0" w:firstLineChars="0"/>
        <w:rPr>
          <w:rFonts w:eastAsia="黑体"/>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1317"/>
        <w:gridCol w:w="1277"/>
        <w:gridCol w:w="1375"/>
        <w:gridCol w:w="476"/>
        <w:gridCol w:w="826"/>
        <w:gridCol w:w="476"/>
        <w:gridCol w:w="1011"/>
        <w:gridCol w:w="508"/>
        <w:gridCol w:w="487"/>
        <w:gridCol w:w="879"/>
      </w:tblGrid>
      <w:tr w14:paraId="1BF9D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1060" w:type="dxa"/>
            <w:gridSpan w:val="11"/>
            <w:shd w:val="clear" w:color="auto" w:fill="auto"/>
            <w:vAlign w:val="center"/>
          </w:tcPr>
          <w:p w14:paraId="61036E78">
            <w:pPr>
              <w:widowControl/>
              <w:spacing w:after="0" w:line="240" w:lineRule="auto"/>
              <w:ind w:firstLine="0" w:firstLineChars="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532C6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2420" w:type="dxa"/>
            <w:gridSpan w:val="2"/>
            <w:shd w:val="clear" w:color="auto" w:fill="auto"/>
            <w:vAlign w:val="center"/>
          </w:tcPr>
          <w:p w14:paraId="09C1D00E">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8640" w:type="dxa"/>
            <w:gridSpan w:val="9"/>
            <w:shd w:val="clear" w:color="auto" w:fill="auto"/>
            <w:vAlign w:val="center"/>
          </w:tcPr>
          <w:p w14:paraId="347E9B5F">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51118123T000008951733-师培中心运行经费（专户资金）</w:t>
            </w:r>
          </w:p>
        </w:tc>
      </w:tr>
      <w:tr w14:paraId="1F105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2420" w:type="dxa"/>
            <w:gridSpan w:val="2"/>
            <w:shd w:val="clear" w:color="auto" w:fill="auto"/>
            <w:vAlign w:val="center"/>
          </w:tcPr>
          <w:p w14:paraId="5036FBF2">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5420" w:type="dxa"/>
            <w:gridSpan w:val="5"/>
            <w:shd w:val="clear" w:color="auto" w:fill="auto"/>
            <w:vAlign w:val="center"/>
          </w:tcPr>
          <w:p w14:paraId="7EA74A4B">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教育局</w:t>
            </w:r>
          </w:p>
        </w:tc>
        <w:tc>
          <w:tcPr>
            <w:tcW w:w="1100" w:type="dxa"/>
            <w:shd w:val="clear" w:color="auto" w:fill="auto"/>
            <w:vAlign w:val="center"/>
          </w:tcPr>
          <w:p w14:paraId="5B357A68">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120" w:type="dxa"/>
            <w:gridSpan w:val="3"/>
            <w:shd w:val="clear" w:color="auto" w:fill="auto"/>
            <w:vAlign w:val="center"/>
          </w:tcPr>
          <w:p w14:paraId="644A3E1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峨眉山市教师培训中心</w:t>
            </w:r>
          </w:p>
        </w:tc>
      </w:tr>
      <w:tr w14:paraId="18D0F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00" w:type="dxa"/>
            <w:vMerge w:val="restart"/>
            <w:shd w:val="clear" w:color="auto" w:fill="auto"/>
            <w:vAlign w:val="center"/>
          </w:tcPr>
          <w:p w14:paraId="1FE9DCDB">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1720" w:type="dxa"/>
            <w:vMerge w:val="restart"/>
            <w:shd w:val="clear" w:color="auto" w:fill="auto"/>
            <w:vAlign w:val="center"/>
          </w:tcPr>
          <w:p w14:paraId="4F13476F">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5420" w:type="dxa"/>
            <w:gridSpan w:val="5"/>
            <w:shd w:val="clear" w:color="auto" w:fill="auto"/>
            <w:vAlign w:val="center"/>
          </w:tcPr>
          <w:p w14:paraId="2C566B0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3220" w:type="dxa"/>
            <w:gridSpan w:val="4"/>
            <w:shd w:val="clear" w:color="auto" w:fill="auto"/>
            <w:vAlign w:val="center"/>
          </w:tcPr>
          <w:p w14:paraId="442C710A">
            <w:pPr>
              <w:widowControl/>
              <w:spacing w:after="0" w:line="240" w:lineRule="auto"/>
              <w:ind w:firstLine="0" w:firstLineChars="0"/>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0DDE4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00" w:type="dxa"/>
            <w:vMerge w:val="continue"/>
            <w:vAlign w:val="center"/>
          </w:tcPr>
          <w:p w14:paraId="03728746">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438C127D">
            <w:pPr>
              <w:widowControl/>
              <w:spacing w:after="0" w:line="240" w:lineRule="auto"/>
              <w:ind w:firstLine="0" w:firstLineChars="0"/>
              <w:jc w:val="left"/>
              <w:rPr>
                <w:rFonts w:ascii="宋体" w:hAnsi="宋体" w:eastAsia="宋体" w:cs="宋体"/>
                <w:color w:val="000000"/>
                <w:kern w:val="0"/>
                <w:sz w:val="18"/>
                <w:szCs w:val="18"/>
              </w:rPr>
            </w:pPr>
          </w:p>
        </w:tc>
        <w:tc>
          <w:tcPr>
            <w:tcW w:w="5420" w:type="dxa"/>
            <w:gridSpan w:val="5"/>
            <w:shd w:val="clear" w:color="auto" w:fill="auto"/>
            <w:vAlign w:val="center"/>
          </w:tcPr>
          <w:p w14:paraId="6D2C18B8">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用于上缴国开大学学费以及保障国开大学相关工作运行经费</w:t>
            </w:r>
          </w:p>
        </w:tc>
        <w:tc>
          <w:tcPr>
            <w:tcW w:w="3220" w:type="dxa"/>
            <w:gridSpan w:val="4"/>
            <w:shd w:val="clear" w:color="auto" w:fill="auto"/>
            <w:vAlign w:val="center"/>
          </w:tcPr>
          <w:p w14:paraId="3C5CBD23">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及时上缴国开大学学费以及保障了国开大学相关工作运行经费</w:t>
            </w:r>
          </w:p>
        </w:tc>
      </w:tr>
      <w:tr w14:paraId="3230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00" w:type="dxa"/>
            <w:vMerge w:val="continue"/>
            <w:vAlign w:val="center"/>
          </w:tcPr>
          <w:p w14:paraId="34976D67">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4AD325EC">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8640" w:type="dxa"/>
            <w:gridSpan w:val="9"/>
            <w:shd w:val="clear" w:color="auto" w:fill="auto"/>
            <w:vAlign w:val="center"/>
          </w:tcPr>
          <w:p w14:paraId="1819AC6C">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及时上缴国开大学学费以及相关工作运行经费</w:t>
            </w:r>
          </w:p>
        </w:tc>
      </w:tr>
      <w:tr w14:paraId="558DD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restart"/>
            <w:shd w:val="clear" w:color="auto" w:fill="auto"/>
            <w:vAlign w:val="center"/>
          </w:tcPr>
          <w:p w14:paraId="3A8B60C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1720" w:type="dxa"/>
            <w:shd w:val="clear" w:color="auto" w:fill="auto"/>
            <w:vAlign w:val="center"/>
          </w:tcPr>
          <w:p w14:paraId="2BC2AE6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1560" w:type="dxa"/>
            <w:shd w:val="clear" w:color="auto" w:fill="auto"/>
            <w:vAlign w:val="center"/>
          </w:tcPr>
          <w:p w14:paraId="664C2F4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1760" w:type="dxa"/>
            <w:shd w:val="clear" w:color="auto" w:fill="auto"/>
            <w:vAlign w:val="center"/>
          </w:tcPr>
          <w:p w14:paraId="736E8DC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100" w:type="dxa"/>
            <w:gridSpan w:val="3"/>
            <w:shd w:val="clear" w:color="auto" w:fill="auto"/>
            <w:vAlign w:val="center"/>
          </w:tcPr>
          <w:p w14:paraId="0B455F9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1100" w:type="dxa"/>
            <w:shd w:val="clear" w:color="auto" w:fill="auto"/>
            <w:vAlign w:val="center"/>
          </w:tcPr>
          <w:p w14:paraId="5CD8FD3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20" w:type="dxa"/>
            <w:shd w:val="clear" w:color="auto" w:fill="auto"/>
            <w:vAlign w:val="center"/>
          </w:tcPr>
          <w:p w14:paraId="7742CDC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60" w:type="dxa"/>
            <w:shd w:val="clear" w:color="auto" w:fill="auto"/>
            <w:vAlign w:val="center"/>
          </w:tcPr>
          <w:p w14:paraId="45FB624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40" w:type="dxa"/>
            <w:shd w:val="clear" w:color="auto" w:fill="auto"/>
            <w:vAlign w:val="center"/>
          </w:tcPr>
          <w:p w14:paraId="0CEA6A9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6C515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6935BAFC">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0F6C1CE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1560" w:type="dxa"/>
            <w:shd w:val="clear" w:color="auto" w:fill="auto"/>
            <w:vAlign w:val="center"/>
          </w:tcPr>
          <w:p w14:paraId="3448441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198.00</w:t>
            </w:r>
          </w:p>
        </w:tc>
        <w:tc>
          <w:tcPr>
            <w:tcW w:w="1760" w:type="dxa"/>
            <w:shd w:val="clear" w:color="auto" w:fill="auto"/>
            <w:vAlign w:val="center"/>
          </w:tcPr>
          <w:p w14:paraId="724119E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82.18</w:t>
            </w:r>
          </w:p>
        </w:tc>
        <w:tc>
          <w:tcPr>
            <w:tcW w:w="2100" w:type="dxa"/>
            <w:gridSpan w:val="3"/>
            <w:shd w:val="clear" w:color="auto" w:fill="auto"/>
            <w:vAlign w:val="center"/>
          </w:tcPr>
          <w:p w14:paraId="00FFF30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82.18</w:t>
            </w:r>
          </w:p>
        </w:tc>
        <w:tc>
          <w:tcPr>
            <w:tcW w:w="1100" w:type="dxa"/>
            <w:shd w:val="clear" w:color="auto" w:fill="auto"/>
            <w:vAlign w:val="center"/>
          </w:tcPr>
          <w:p w14:paraId="3021D08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20" w:type="dxa"/>
            <w:shd w:val="clear" w:color="auto" w:fill="auto"/>
            <w:vAlign w:val="center"/>
          </w:tcPr>
          <w:p w14:paraId="6E661DB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12319F4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vMerge w:val="restart"/>
            <w:shd w:val="clear" w:color="auto" w:fill="auto"/>
            <w:vAlign w:val="center"/>
          </w:tcPr>
          <w:p w14:paraId="44A95E0F">
            <w:pPr>
              <w:widowControl/>
              <w:spacing w:after="0" w:line="240" w:lineRule="auto"/>
              <w:ind w:firstLine="0" w:firstLineChars="0"/>
              <w:jc w:val="left"/>
              <w:rPr>
                <w:rFonts w:ascii="黑体" w:hAnsi="黑体" w:eastAsia="黑体" w:cs="宋体"/>
                <w:i/>
                <w:iCs/>
                <w:color w:val="000000"/>
                <w:kern w:val="0"/>
                <w:sz w:val="18"/>
                <w:szCs w:val="18"/>
              </w:rPr>
            </w:pPr>
            <w:r>
              <w:rPr>
                <w:rFonts w:hint="eastAsia" w:ascii="黑体" w:hAnsi="黑体" w:eastAsia="黑体" w:cs="宋体"/>
                <w:i/>
                <w:iCs/>
                <w:color w:val="000000"/>
                <w:kern w:val="0"/>
                <w:sz w:val="18"/>
                <w:szCs w:val="18"/>
              </w:rPr>
              <w:t>.</w:t>
            </w:r>
          </w:p>
        </w:tc>
      </w:tr>
      <w:tr w14:paraId="23BAA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10AB0F44">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3128491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1560" w:type="dxa"/>
            <w:shd w:val="clear" w:color="auto" w:fill="auto"/>
            <w:vAlign w:val="center"/>
          </w:tcPr>
          <w:p w14:paraId="447F48E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6FDF54B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100" w:type="dxa"/>
            <w:gridSpan w:val="3"/>
            <w:shd w:val="clear" w:color="auto" w:fill="auto"/>
            <w:vAlign w:val="center"/>
          </w:tcPr>
          <w:p w14:paraId="01F480E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shd w:val="clear" w:color="auto" w:fill="auto"/>
            <w:vAlign w:val="center"/>
          </w:tcPr>
          <w:p w14:paraId="33AC007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20" w:type="dxa"/>
            <w:shd w:val="clear" w:color="auto" w:fill="auto"/>
            <w:vAlign w:val="center"/>
          </w:tcPr>
          <w:p w14:paraId="0FABFEB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0064D76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1FCAFD2D">
            <w:pPr>
              <w:widowControl/>
              <w:spacing w:after="0" w:line="240" w:lineRule="auto"/>
              <w:ind w:firstLine="0" w:firstLineChars="0"/>
              <w:jc w:val="left"/>
              <w:rPr>
                <w:rFonts w:ascii="黑体" w:hAnsi="黑体" w:eastAsia="黑体" w:cs="宋体"/>
                <w:i/>
                <w:iCs/>
                <w:color w:val="000000"/>
                <w:kern w:val="0"/>
                <w:sz w:val="18"/>
                <w:szCs w:val="18"/>
              </w:rPr>
            </w:pPr>
          </w:p>
        </w:tc>
      </w:tr>
      <w:tr w14:paraId="7C54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5DF1BA3C">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210F2F0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1560" w:type="dxa"/>
            <w:shd w:val="clear" w:color="auto" w:fill="auto"/>
            <w:vAlign w:val="center"/>
          </w:tcPr>
          <w:p w14:paraId="5CC8F69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198.00</w:t>
            </w:r>
          </w:p>
        </w:tc>
        <w:tc>
          <w:tcPr>
            <w:tcW w:w="1760" w:type="dxa"/>
            <w:shd w:val="clear" w:color="auto" w:fill="auto"/>
            <w:vAlign w:val="center"/>
          </w:tcPr>
          <w:p w14:paraId="22B8720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82.18</w:t>
            </w:r>
          </w:p>
        </w:tc>
        <w:tc>
          <w:tcPr>
            <w:tcW w:w="2100" w:type="dxa"/>
            <w:gridSpan w:val="3"/>
            <w:shd w:val="clear" w:color="auto" w:fill="auto"/>
            <w:vAlign w:val="center"/>
          </w:tcPr>
          <w:p w14:paraId="3A96E57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82.18</w:t>
            </w:r>
          </w:p>
        </w:tc>
        <w:tc>
          <w:tcPr>
            <w:tcW w:w="1100" w:type="dxa"/>
            <w:shd w:val="clear" w:color="auto" w:fill="auto"/>
            <w:vAlign w:val="center"/>
          </w:tcPr>
          <w:p w14:paraId="2EA7B7E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20" w:type="dxa"/>
            <w:shd w:val="clear" w:color="auto" w:fill="auto"/>
            <w:vAlign w:val="center"/>
          </w:tcPr>
          <w:p w14:paraId="2E8E175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38AA0C2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5C417792">
            <w:pPr>
              <w:widowControl/>
              <w:spacing w:after="0" w:line="240" w:lineRule="auto"/>
              <w:ind w:firstLine="0" w:firstLineChars="0"/>
              <w:jc w:val="left"/>
              <w:rPr>
                <w:rFonts w:ascii="黑体" w:hAnsi="黑体" w:eastAsia="黑体" w:cs="宋体"/>
                <w:i/>
                <w:iCs/>
                <w:color w:val="000000"/>
                <w:kern w:val="0"/>
                <w:sz w:val="18"/>
                <w:szCs w:val="18"/>
              </w:rPr>
            </w:pPr>
          </w:p>
        </w:tc>
      </w:tr>
      <w:tr w14:paraId="53C85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0AEFF49D">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6823BBB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1560" w:type="dxa"/>
            <w:shd w:val="clear" w:color="auto" w:fill="auto"/>
            <w:vAlign w:val="center"/>
          </w:tcPr>
          <w:p w14:paraId="662C9A4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1FD1DD6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100" w:type="dxa"/>
            <w:gridSpan w:val="3"/>
            <w:shd w:val="clear" w:color="auto" w:fill="auto"/>
            <w:vAlign w:val="center"/>
          </w:tcPr>
          <w:p w14:paraId="0EEA73E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shd w:val="clear" w:color="auto" w:fill="auto"/>
            <w:vAlign w:val="center"/>
          </w:tcPr>
          <w:p w14:paraId="6C6376A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20" w:type="dxa"/>
            <w:shd w:val="clear" w:color="auto" w:fill="auto"/>
            <w:vAlign w:val="center"/>
          </w:tcPr>
          <w:p w14:paraId="6C56CAE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1F464DA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61D551BB">
            <w:pPr>
              <w:widowControl/>
              <w:spacing w:after="0" w:line="240" w:lineRule="auto"/>
              <w:ind w:firstLine="0" w:firstLineChars="0"/>
              <w:jc w:val="left"/>
              <w:rPr>
                <w:rFonts w:ascii="黑体" w:hAnsi="黑体" w:eastAsia="黑体" w:cs="宋体"/>
                <w:i/>
                <w:iCs/>
                <w:color w:val="000000"/>
                <w:kern w:val="0"/>
                <w:sz w:val="18"/>
                <w:szCs w:val="18"/>
              </w:rPr>
            </w:pPr>
          </w:p>
        </w:tc>
      </w:tr>
      <w:tr w14:paraId="6352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28244F7">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0284E9F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1560" w:type="dxa"/>
            <w:shd w:val="clear" w:color="auto" w:fill="auto"/>
            <w:vAlign w:val="center"/>
          </w:tcPr>
          <w:p w14:paraId="2C5D6BA8">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60" w:type="dxa"/>
            <w:shd w:val="clear" w:color="auto" w:fill="auto"/>
            <w:vAlign w:val="center"/>
          </w:tcPr>
          <w:p w14:paraId="22F1C2EB">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00" w:type="dxa"/>
            <w:gridSpan w:val="3"/>
            <w:shd w:val="clear" w:color="auto" w:fill="auto"/>
            <w:vAlign w:val="center"/>
          </w:tcPr>
          <w:p w14:paraId="45904814">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shd w:val="clear" w:color="auto" w:fill="auto"/>
            <w:vAlign w:val="center"/>
          </w:tcPr>
          <w:p w14:paraId="502ACECB">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shd w:val="clear" w:color="auto" w:fill="auto"/>
            <w:vAlign w:val="center"/>
          </w:tcPr>
          <w:p w14:paraId="2211F3B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6CA2C49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2AA30113">
            <w:pPr>
              <w:widowControl/>
              <w:spacing w:after="0" w:line="240" w:lineRule="auto"/>
              <w:ind w:firstLine="0" w:firstLineChars="0"/>
              <w:jc w:val="left"/>
              <w:rPr>
                <w:rFonts w:ascii="黑体" w:hAnsi="黑体" w:eastAsia="黑体" w:cs="宋体"/>
                <w:i/>
                <w:iCs/>
                <w:color w:val="000000"/>
                <w:kern w:val="0"/>
                <w:sz w:val="18"/>
                <w:szCs w:val="18"/>
              </w:rPr>
            </w:pPr>
          </w:p>
        </w:tc>
      </w:tr>
      <w:tr w14:paraId="21BC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restart"/>
            <w:shd w:val="clear" w:color="auto" w:fill="auto"/>
            <w:vAlign w:val="center"/>
          </w:tcPr>
          <w:p w14:paraId="223041D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1720" w:type="dxa"/>
            <w:shd w:val="clear" w:color="auto" w:fill="auto"/>
            <w:vAlign w:val="center"/>
          </w:tcPr>
          <w:p w14:paraId="44CA9B5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560" w:type="dxa"/>
            <w:shd w:val="clear" w:color="auto" w:fill="auto"/>
            <w:vAlign w:val="center"/>
          </w:tcPr>
          <w:p w14:paraId="0D851AF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1760" w:type="dxa"/>
            <w:shd w:val="clear" w:color="auto" w:fill="auto"/>
            <w:vAlign w:val="center"/>
          </w:tcPr>
          <w:p w14:paraId="0827F25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520" w:type="dxa"/>
            <w:shd w:val="clear" w:color="auto" w:fill="auto"/>
            <w:vAlign w:val="center"/>
          </w:tcPr>
          <w:p w14:paraId="359AACD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1060" w:type="dxa"/>
            <w:shd w:val="clear" w:color="auto" w:fill="auto"/>
            <w:vAlign w:val="center"/>
          </w:tcPr>
          <w:p w14:paraId="7EEB00B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520" w:type="dxa"/>
            <w:shd w:val="clear" w:color="auto" w:fill="auto"/>
            <w:vAlign w:val="center"/>
          </w:tcPr>
          <w:p w14:paraId="1821CF3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1100" w:type="dxa"/>
            <w:shd w:val="clear" w:color="auto" w:fill="auto"/>
            <w:vAlign w:val="center"/>
          </w:tcPr>
          <w:p w14:paraId="68CF69D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520" w:type="dxa"/>
            <w:shd w:val="clear" w:color="auto" w:fill="auto"/>
            <w:vAlign w:val="center"/>
          </w:tcPr>
          <w:p w14:paraId="194FB31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60" w:type="dxa"/>
            <w:shd w:val="clear" w:color="auto" w:fill="auto"/>
            <w:vAlign w:val="center"/>
          </w:tcPr>
          <w:p w14:paraId="5064815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40" w:type="dxa"/>
            <w:shd w:val="clear" w:color="auto" w:fill="auto"/>
            <w:vAlign w:val="center"/>
          </w:tcPr>
          <w:p w14:paraId="34076E1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44BF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700" w:type="dxa"/>
            <w:vMerge w:val="continue"/>
            <w:vAlign w:val="center"/>
          </w:tcPr>
          <w:p w14:paraId="17866209">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restart"/>
            <w:shd w:val="clear" w:color="auto" w:fill="auto"/>
            <w:vAlign w:val="center"/>
          </w:tcPr>
          <w:p w14:paraId="15A9E45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560" w:type="dxa"/>
            <w:vMerge w:val="restart"/>
            <w:shd w:val="clear" w:color="auto" w:fill="auto"/>
            <w:vAlign w:val="center"/>
          </w:tcPr>
          <w:p w14:paraId="3C2C50E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1760" w:type="dxa"/>
            <w:shd w:val="clear" w:color="auto" w:fill="auto"/>
            <w:vAlign w:val="center"/>
          </w:tcPr>
          <w:p w14:paraId="09E392B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教师人数41人，增减率控制范围</w:t>
            </w:r>
          </w:p>
        </w:tc>
        <w:tc>
          <w:tcPr>
            <w:tcW w:w="520" w:type="dxa"/>
            <w:shd w:val="clear" w:color="auto" w:fill="auto"/>
            <w:vAlign w:val="center"/>
          </w:tcPr>
          <w:p w14:paraId="4F31801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70FEB57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0" w:type="dxa"/>
            <w:shd w:val="clear" w:color="auto" w:fill="auto"/>
            <w:vAlign w:val="center"/>
          </w:tcPr>
          <w:p w14:paraId="148EA10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3EEFAFE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0" w:type="dxa"/>
            <w:shd w:val="clear" w:color="auto" w:fill="auto"/>
            <w:vAlign w:val="center"/>
          </w:tcPr>
          <w:p w14:paraId="3794BD6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60" w:type="dxa"/>
            <w:shd w:val="clear" w:color="auto" w:fill="auto"/>
            <w:vAlign w:val="center"/>
          </w:tcPr>
          <w:p w14:paraId="0F47AD3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0" w:type="dxa"/>
            <w:shd w:val="clear" w:color="auto" w:fill="auto"/>
            <w:vAlign w:val="center"/>
          </w:tcPr>
          <w:p w14:paraId="2CAEA13F">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CF0F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65B4B201">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5E7B4F63">
            <w:pPr>
              <w:widowControl/>
              <w:spacing w:after="0" w:line="240" w:lineRule="auto"/>
              <w:ind w:firstLine="0" w:firstLineChars="0"/>
              <w:jc w:val="left"/>
              <w:rPr>
                <w:rFonts w:ascii="宋体" w:hAnsi="宋体" w:eastAsia="宋体" w:cs="宋体"/>
                <w:color w:val="000000"/>
                <w:kern w:val="0"/>
                <w:sz w:val="18"/>
                <w:szCs w:val="18"/>
              </w:rPr>
            </w:pPr>
          </w:p>
        </w:tc>
        <w:tc>
          <w:tcPr>
            <w:tcW w:w="1560" w:type="dxa"/>
            <w:vMerge w:val="continue"/>
            <w:vAlign w:val="center"/>
          </w:tcPr>
          <w:p w14:paraId="11C149C9">
            <w:pPr>
              <w:widowControl/>
              <w:spacing w:after="0" w:line="240" w:lineRule="auto"/>
              <w:ind w:firstLine="0" w:firstLineChars="0"/>
              <w:jc w:val="left"/>
              <w:rPr>
                <w:rFonts w:ascii="宋体" w:hAnsi="宋体" w:eastAsia="宋体" w:cs="宋体"/>
                <w:color w:val="000000"/>
                <w:kern w:val="0"/>
                <w:sz w:val="18"/>
                <w:szCs w:val="18"/>
              </w:rPr>
            </w:pPr>
          </w:p>
        </w:tc>
        <w:tc>
          <w:tcPr>
            <w:tcW w:w="1760" w:type="dxa"/>
            <w:shd w:val="clear" w:color="auto" w:fill="auto"/>
            <w:vAlign w:val="center"/>
          </w:tcPr>
          <w:p w14:paraId="51A3194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学生人数750人，增减率控制范围</w:t>
            </w:r>
          </w:p>
        </w:tc>
        <w:tc>
          <w:tcPr>
            <w:tcW w:w="520" w:type="dxa"/>
            <w:shd w:val="clear" w:color="auto" w:fill="auto"/>
            <w:vAlign w:val="center"/>
          </w:tcPr>
          <w:p w14:paraId="4AD2397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5B754BE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0" w:type="dxa"/>
            <w:shd w:val="clear" w:color="auto" w:fill="auto"/>
            <w:vAlign w:val="center"/>
          </w:tcPr>
          <w:p w14:paraId="3D24349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45B18A9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520" w:type="dxa"/>
            <w:shd w:val="clear" w:color="auto" w:fill="auto"/>
            <w:vAlign w:val="center"/>
          </w:tcPr>
          <w:p w14:paraId="5803CBF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60" w:type="dxa"/>
            <w:shd w:val="clear" w:color="auto" w:fill="auto"/>
            <w:vAlign w:val="center"/>
          </w:tcPr>
          <w:p w14:paraId="372BEA8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0" w:type="dxa"/>
            <w:shd w:val="clear" w:color="auto" w:fill="auto"/>
            <w:vAlign w:val="center"/>
          </w:tcPr>
          <w:p w14:paraId="53C2F831">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7D7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347BB18D">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4160E5BA">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6C516B5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1760" w:type="dxa"/>
            <w:shd w:val="clear" w:color="auto" w:fill="auto"/>
            <w:vAlign w:val="center"/>
          </w:tcPr>
          <w:p w14:paraId="58396A3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完成工作率</w:t>
            </w:r>
          </w:p>
        </w:tc>
        <w:tc>
          <w:tcPr>
            <w:tcW w:w="520" w:type="dxa"/>
            <w:shd w:val="clear" w:color="auto" w:fill="auto"/>
            <w:vAlign w:val="center"/>
          </w:tcPr>
          <w:p w14:paraId="0A36D28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5D24FC5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520" w:type="dxa"/>
            <w:shd w:val="clear" w:color="auto" w:fill="auto"/>
            <w:vAlign w:val="center"/>
          </w:tcPr>
          <w:p w14:paraId="5799754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63C41A7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520" w:type="dxa"/>
            <w:shd w:val="clear" w:color="auto" w:fill="auto"/>
            <w:vAlign w:val="center"/>
          </w:tcPr>
          <w:p w14:paraId="7AF3ECA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60" w:type="dxa"/>
            <w:shd w:val="clear" w:color="auto" w:fill="auto"/>
            <w:vAlign w:val="center"/>
          </w:tcPr>
          <w:p w14:paraId="3AF6A56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0" w:type="dxa"/>
            <w:shd w:val="clear" w:color="auto" w:fill="auto"/>
            <w:vAlign w:val="center"/>
          </w:tcPr>
          <w:p w14:paraId="00742C25">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C20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7C2D9F84">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74E90845">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5FFCBFF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1760" w:type="dxa"/>
            <w:shd w:val="clear" w:color="auto" w:fill="auto"/>
            <w:vAlign w:val="center"/>
          </w:tcPr>
          <w:p w14:paraId="136D82B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当年内完成</w:t>
            </w:r>
          </w:p>
        </w:tc>
        <w:tc>
          <w:tcPr>
            <w:tcW w:w="520" w:type="dxa"/>
            <w:shd w:val="clear" w:color="auto" w:fill="auto"/>
            <w:vAlign w:val="center"/>
          </w:tcPr>
          <w:p w14:paraId="40A5C58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45ABF65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20" w:type="dxa"/>
            <w:shd w:val="clear" w:color="auto" w:fill="auto"/>
            <w:vAlign w:val="center"/>
          </w:tcPr>
          <w:p w14:paraId="3C15B24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w:t>
            </w:r>
          </w:p>
        </w:tc>
        <w:tc>
          <w:tcPr>
            <w:tcW w:w="1100" w:type="dxa"/>
            <w:shd w:val="clear" w:color="auto" w:fill="auto"/>
            <w:vAlign w:val="center"/>
          </w:tcPr>
          <w:p w14:paraId="004CEA3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20" w:type="dxa"/>
            <w:shd w:val="clear" w:color="auto" w:fill="auto"/>
            <w:vAlign w:val="center"/>
          </w:tcPr>
          <w:p w14:paraId="1F1507A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60" w:type="dxa"/>
            <w:shd w:val="clear" w:color="auto" w:fill="auto"/>
            <w:vAlign w:val="center"/>
          </w:tcPr>
          <w:p w14:paraId="7E79827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0" w:type="dxa"/>
            <w:shd w:val="clear" w:color="auto" w:fill="auto"/>
            <w:vAlign w:val="center"/>
          </w:tcPr>
          <w:p w14:paraId="3F7ED412">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39D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vMerge w:val="continue"/>
            <w:vAlign w:val="center"/>
          </w:tcPr>
          <w:p w14:paraId="7A1EF95F">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restart"/>
            <w:shd w:val="clear" w:color="auto" w:fill="auto"/>
            <w:vAlign w:val="center"/>
          </w:tcPr>
          <w:p w14:paraId="27F9FA8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560" w:type="dxa"/>
            <w:shd w:val="clear" w:color="auto" w:fill="auto"/>
            <w:vAlign w:val="center"/>
          </w:tcPr>
          <w:p w14:paraId="119ADCE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1760" w:type="dxa"/>
            <w:shd w:val="clear" w:color="auto" w:fill="auto"/>
            <w:vAlign w:val="center"/>
          </w:tcPr>
          <w:p w14:paraId="1EB77CC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提升国民素质</w:t>
            </w:r>
          </w:p>
        </w:tc>
        <w:tc>
          <w:tcPr>
            <w:tcW w:w="520" w:type="dxa"/>
            <w:shd w:val="clear" w:color="auto" w:fill="auto"/>
            <w:vAlign w:val="center"/>
          </w:tcPr>
          <w:p w14:paraId="5455AD1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2B52734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665988B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7CC0FA8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2667978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26D4B9D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164BDADC">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AAB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700" w:type="dxa"/>
            <w:vMerge w:val="continue"/>
            <w:vAlign w:val="center"/>
          </w:tcPr>
          <w:p w14:paraId="6374B93E">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59385837">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1FC7715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可持续发展指标</w:t>
            </w:r>
          </w:p>
        </w:tc>
        <w:tc>
          <w:tcPr>
            <w:tcW w:w="1760" w:type="dxa"/>
            <w:shd w:val="clear" w:color="auto" w:fill="auto"/>
            <w:vAlign w:val="center"/>
          </w:tcPr>
          <w:p w14:paraId="426ECE0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推动社会整体素质提升</w:t>
            </w:r>
          </w:p>
        </w:tc>
        <w:tc>
          <w:tcPr>
            <w:tcW w:w="520" w:type="dxa"/>
            <w:shd w:val="clear" w:color="auto" w:fill="auto"/>
            <w:vAlign w:val="center"/>
          </w:tcPr>
          <w:p w14:paraId="40EA4DC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1D53EF5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2393FA4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4E6B66B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3C701EC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2B472FC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7D4FE78B">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E18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00" w:type="dxa"/>
            <w:vMerge w:val="continue"/>
            <w:vAlign w:val="center"/>
          </w:tcPr>
          <w:p w14:paraId="71E3797C">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09CD430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560" w:type="dxa"/>
            <w:shd w:val="clear" w:color="auto" w:fill="auto"/>
            <w:vAlign w:val="center"/>
          </w:tcPr>
          <w:p w14:paraId="4B2CC67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1760" w:type="dxa"/>
            <w:shd w:val="clear" w:color="auto" w:fill="auto"/>
            <w:vAlign w:val="center"/>
          </w:tcPr>
          <w:p w14:paraId="7A305BD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学生满意度</w:t>
            </w:r>
          </w:p>
        </w:tc>
        <w:tc>
          <w:tcPr>
            <w:tcW w:w="520" w:type="dxa"/>
            <w:shd w:val="clear" w:color="auto" w:fill="auto"/>
            <w:vAlign w:val="center"/>
          </w:tcPr>
          <w:p w14:paraId="6959CAB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5BE6DF1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520" w:type="dxa"/>
            <w:shd w:val="clear" w:color="auto" w:fill="auto"/>
            <w:vAlign w:val="center"/>
          </w:tcPr>
          <w:p w14:paraId="4B6F1E0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190EC9B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520" w:type="dxa"/>
            <w:shd w:val="clear" w:color="auto" w:fill="auto"/>
            <w:vAlign w:val="center"/>
          </w:tcPr>
          <w:p w14:paraId="7F39860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03F4BDB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6B00E2D4">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7DA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940" w:type="dxa"/>
            <w:gridSpan w:val="8"/>
            <w:shd w:val="clear" w:color="auto" w:fill="auto"/>
            <w:vAlign w:val="center"/>
          </w:tcPr>
          <w:p w14:paraId="5C21CF1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20" w:type="dxa"/>
            <w:shd w:val="clear" w:color="auto" w:fill="auto"/>
            <w:vAlign w:val="center"/>
          </w:tcPr>
          <w:p w14:paraId="40FF88B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60" w:type="dxa"/>
            <w:shd w:val="clear" w:color="auto" w:fill="auto"/>
            <w:vAlign w:val="center"/>
          </w:tcPr>
          <w:p w14:paraId="64CA645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140" w:type="dxa"/>
            <w:shd w:val="clear" w:color="auto" w:fill="auto"/>
            <w:vAlign w:val="center"/>
          </w:tcPr>
          <w:p w14:paraId="32BB94BD">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35E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shd w:val="clear" w:color="auto" w:fill="auto"/>
            <w:vAlign w:val="center"/>
          </w:tcPr>
          <w:p w14:paraId="0E0B311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10360" w:type="dxa"/>
            <w:gridSpan w:val="10"/>
            <w:shd w:val="clear" w:color="auto" w:fill="auto"/>
            <w:vAlign w:val="center"/>
          </w:tcPr>
          <w:p w14:paraId="73D5B555">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全面完成年度工作目标，支出绩效自评分100分</w:t>
            </w:r>
          </w:p>
        </w:tc>
      </w:tr>
      <w:tr w14:paraId="5446B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shd w:val="clear" w:color="auto" w:fill="auto"/>
            <w:vAlign w:val="center"/>
          </w:tcPr>
          <w:p w14:paraId="6F10618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10360" w:type="dxa"/>
            <w:gridSpan w:val="10"/>
            <w:shd w:val="clear" w:color="auto" w:fill="auto"/>
            <w:vAlign w:val="center"/>
          </w:tcPr>
          <w:p w14:paraId="76B2131E">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4FE5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700" w:type="dxa"/>
            <w:shd w:val="clear" w:color="auto" w:fill="auto"/>
            <w:vAlign w:val="center"/>
          </w:tcPr>
          <w:p w14:paraId="6981A97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10360" w:type="dxa"/>
            <w:gridSpan w:val="10"/>
            <w:shd w:val="clear" w:color="auto" w:fill="auto"/>
            <w:vAlign w:val="center"/>
          </w:tcPr>
          <w:p w14:paraId="02A220E5">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64F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260" w:type="dxa"/>
            <w:gridSpan w:val="5"/>
            <w:shd w:val="clear" w:color="auto" w:fill="auto"/>
            <w:vAlign w:val="center"/>
          </w:tcPr>
          <w:p w14:paraId="144DF22E">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项目负责人：李庆九</w:t>
            </w:r>
          </w:p>
        </w:tc>
        <w:tc>
          <w:tcPr>
            <w:tcW w:w="4800" w:type="dxa"/>
            <w:gridSpan w:val="6"/>
            <w:shd w:val="clear" w:color="auto" w:fill="auto"/>
            <w:vAlign w:val="center"/>
          </w:tcPr>
          <w:p w14:paraId="2C35C356">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财务负责人：朱媛媛</w:t>
            </w:r>
          </w:p>
        </w:tc>
      </w:tr>
    </w:tbl>
    <w:p w14:paraId="48ACA08F">
      <w:pPr>
        <w:spacing w:line="480" w:lineRule="auto"/>
        <w:ind w:firstLine="0" w:firstLineChars="0"/>
        <w:rPr>
          <w:rFonts w:eastAsia="黑体"/>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4"/>
        <w:gridCol w:w="1303"/>
        <w:gridCol w:w="1201"/>
        <w:gridCol w:w="1361"/>
        <w:gridCol w:w="475"/>
        <w:gridCol w:w="949"/>
        <w:gridCol w:w="475"/>
        <w:gridCol w:w="1007"/>
        <w:gridCol w:w="508"/>
        <w:gridCol w:w="486"/>
        <w:gridCol w:w="869"/>
      </w:tblGrid>
      <w:tr w14:paraId="76F72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1060" w:type="dxa"/>
            <w:gridSpan w:val="11"/>
            <w:shd w:val="clear" w:color="auto" w:fill="auto"/>
            <w:vAlign w:val="center"/>
          </w:tcPr>
          <w:p w14:paraId="30934303">
            <w:pPr>
              <w:widowControl/>
              <w:spacing w:after="0" w:line="240" w:lineRule="auto"/>
              <w:ind w:firstLine="0" w:firstLineChars="0"/>
              <w:jc w:val="center"/>
              <w:rPr>
                <w:rFonts w:ascii="黑体" w:hAnsi="黑体" w:eastAsia="黑体" w:cs="宋体"/>
                <w:b/>
                <w:bCs/>
                <w:color w:val="000000"/>
                <w:kern w:val="0"/>
                <w:sz w:val="30"/>
                <w:szCs w:val="30"/>
              </w:rPr>
            </w:pPr>
            <w:bookmarkStart w:id="71" w:name="_Toc214964030"/>
            <w:r>
              <w:rPr>
                <w:rFonts w:hint="eastAsia" w:ascii="黑体" w:hAnsi="黑体" w:eastAsia="黑体" w:cs="宋体"/>
                <w:b/>
                <w:bCs/>
                <w:color w:val="000000"/>
                <w:kern w:val="0"/>
                <w:sz w:val="30"/>
                <w:szCs w:val="30"/>
              </w:rPr>
              <w:t>部门预算项目支出绩效自评表（2024年度）</w:t>
            </w:r>
          </w:p>
        </w:tc>
      </w:tr>
      <w:tr w14:paraId="7778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420" w:type="dxa"/>
            <w:gridSpan w:val="2"/>
            <w:shd w:val="clear" w:color="auto" w:fill="auto"/>
            <w:vAlign w:val="center"/>
          </w:tcPr>
          <w:p w14:paraId="6E21156B">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8640" w:type="dxa"/>
            <w:gridSpan w:val="9"/>
            <w:shd w:val="clear" w:color="auto" w:fill="auto"/>
            <w:vAlign w:val="center"/>
          </w:tcPr>
          <w:p w14:paraId="484F1B79">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51118123T000009001352-（春节前）工程款</w:t>
            </w:r>
          </w:p>
        </w:tc>
      </w:tr>
      <w:tr w14:paraId="7ACEC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2420" w:type="dxa"/>
            <w:gridSpan w:val="2"/>
            <w:shd w:val="clear" w:color="auto" w:fill="auto"/>
            <w:vAlign w:val="center"/>
          </w:tcPr>
          <w:p w14:paraId="48A49378">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5420" w:type="dxa"/>
            <w:gridSpan w:val="5"/>
            <w:shd w:val="clear" w:color="auto" w:fill="auto"/>
            <w:vAlign w:val="center"/>
          </w:tcPr>
          <w:p w14:paraId="709AC7FA">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教育局</w:t>
            </w:r>
          </w:p>
        </w:tc>
        <w:tc>
          <w:tcPr>
            <w:tcW w:w="1100" w:type="dxa"/>
            <w:shd w:val="clear" w:color="auto" w:fill="auto"/>
            <w:vAlign w:val="center"/>
          </w:tcPr>
          <w:p w14:paraId="7E042C1B">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120" w:type="dxa"/>
            <w:gridSpan w:val="3"/>
            <w:shd w:val="clear" w:color="auto" w:fill="auto"/>
            <w:vAlign w:val="center"/>
          </w:tcPr>
          <w:p w14:paraId="59F022F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峨眉山市教师培训中心</w:t>
            </w:r>
          </w:p>
        </w:tc>
      </w:tr>
      <w:tr w14:paraId="6BD31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restart"/>
            <w:shd w:val="clear" w:color="auto" w:fill="auto"/>
            <w:vAlign w:val="center"/>
          </w:tcPr>
          <w:p w14:paraId="3A7DB425">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1720" w:type="dxa"/>
            <w:vMerge w:val="restart"/>
            <w:shd w:val="clear" w:color="auto" w:fill="auto"/>
            <w:vAlign w:val="center"/>
          </w:tcPr>
          <w:p w14:paraId="3BC2DB31">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5420" w:type="dxa"/>
            <w:gridSpan w:val="5"/>
            <w:shd w:val="clear" w:color="auto" w:fill="auto"/>
            <w:vAlign w:val="center"/>
          </w:tcPr>
          <w:p w14:paraId="56ABDBD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3220" w:type="dxa"/>
            <w:gridSpan w:val="4"/>
            <w:shd w:val="clear" w:color="auto" w:fill="auto"/>
            <w:vAlign w:val="center"/>
          </w:tcPr>
          <w:p w14:paraId="4E6CBDEB">
            <w:pPr>
              <w:widowControl/>
              <w:spacing w:after="0" w:line="240" w:lineRule="auto"/>
              <w:ind w:firstLine="0" w:firstLineChars="0"/>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6EE9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00" w:type="dxa"/>
            <w:vMerge w:val="continue"/>
            <w:vAlign w:val="center"/>
          </w:tcPr>
          <w:p w14:paraId="4F78090B">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18B89569">
            <w:pPr>
              <w:widowControl/>
              <w:spacing w:after="0" w:line="240" w:lineRule="auto"/>
              <w:ind w:firstLine="0" w:firstLineChars="0"/>
              <w:jc w:val="left"/>
              <w:rPr>
                <w:rFonts w:ascii="宋体" w:hAnsi="宋体" w:eastAsia="宋体" w:cs="宋体"/>
                <w:color w:val="000000"/>
                <w:kern w:val="0"/>
                <w:sz w:val="18"/>
                <w:szCs w:val="18"/>
              </w:rPr>
            </w:pPr>
          </w:p>
        </w:tc>
        <w:tc>
          <w:tcPr>
            <w:tcW w:w="5420" w:type="dxa"/>
            <w:gridSpan w:val="5"/>
            <w:shd w:val="clear" w:color="auto" w:fill="auto"/>
            <w:vAlign w:val="center"/>
          </w:tcPr>
          <w:p w14:paraId="24FC457A">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通过对师培中心停车场塌陷治理，保障了全体师生的安全</w:t>
            </w:r>
          </w:p>
        </w:tc>
        <w:tc>
          <w:tcPr>
            <w:tcW w:w="3220" w:type="dxa"/>
            <w:gridSpan w:val="4"/>
            <w:shd w:val="clear" w:color="auto" w:fill="auto"/>
            <w:vAlign w:val="center"/>
          </w:tcPr>
          <w:p w14:paraId="6B78C15D">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通过对师培中心停车场塌陷治理，保障了全体师生的安全</w:t>
            </w:r>
          </w:p>
        </w:tc>
      </w:tr>
      <w:tr w14:paraId="6A86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00" w:type="dxa"/>
            <w:vMerge w:val="continue"/>
            <w:vAlign w:val="center"/>
          </w:tcPr>
          <w:p w14:paraId="0FC24798">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7DAEA4BF">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8640" w:type="dxa"/>
            <w:gridSpan w:val="9"/>
            <w:shd w:val="clear" w:color="auto" w:fill="auto"/>
            <w:vAlign w:val="center"/>
          </w:tcPr>
          <w:p w14:paraId="7D45FDEB">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支付教师培训中心停车场塌陷治理费用，保障全体师生的工作环境安全</w:t>
            </w:r>
          </w:p>
        </w:tc>
      </w:tr>
      <w:tr w14:paraId="62EC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00" w:type="dxa"/>
            <w:vMerge w:val="restart"/>
            <w:shd w:val="clear" w:color="auto" w:fill="auto"/>
            <w:vAlign w:val="center"/>
          </w:tcPr>
          <w:p w14:paraId="16C00B6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1720" w:type="dxa"/>
            <w:shd w:val="clear" w:color="auto" w:fill="auto"/>
            <w:vAlign w:val="center"/>
          </w:tcPr>
          <w:p w14:paraId="63879B3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1560" w:type="dxa"/>
            <w:shd w:val="clear" w:color="auto" w:fill="auto"/>
            <w:vAlign w:val="center"/>
          </w:tcPr>
          <w:p w14:paraId="2E4016D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1760" w:type="dxa"/>
            <w:shd w:val="clear" w:color="auto" w:fill="auto"/>
            <w:vAlign w:val="center"/>
          </w:tcPr>
          <w:p w14:paraId="4421866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100" w:type="dxa"/>
            <w:gridSpan w:val="3"/>
            <w:shd w:val="clear" w:color="auto" w:fill="auto"/>
            <w:vAlign w:val="center"/>
          </w:tcPr>
          <w:p w14:paraId="3197847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1100" w:type="dxa"/>
            <w:shd w:val="clear" w:color="auto" w:fill="auto"/>
            <w:vAlign w:val="center"/>
          </w:tcPr>
          <w:p w14:paraId="5DF4E76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20" w:type="dxa"/>
            <w:shd w:val="clear" w:color="auto" w:fill="auto"/>
            <w:vAlign w:val="center"/>
          </w:tcPr>
          <w:p w14:paraId="2587724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60" w:type="dxa"/>
            <w:shd w:val="clear" w:color="auto" w:fill="auto"/>
            <w:vAlign w:val="center"/>
          </w:tcPr>
          <w:p w14:paraId="0AB1408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40" w:type="dxa"/>
            <w:shd w:val="clear" w:color="auto" w:fill="auto"/>
            <w:vAlign w:val="center"/>
          </w:tcPr>
          <w:p w14:paraId="69497B7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57E27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46305DB1">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715A280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1560" w:type="dxa"/>
            <w:shd w:val="clear" w:color="auto" w:fill="auto"/>
            <w:vAlign w:val="center"/>
          </w:tcPr>
          <w:p w14:paraId="3C30E79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34F2CA4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11.06</w:t>
            </w:r>
          </w:p>
        </w:tc>
        <w:tc>
          <w:tcPr>
            <w:tcW w:w="2100" w:type="dxa"/>
            <w:gridSpan w:val="3"/>
            <w:shd w:val="clear" w:color="auto" w:fill="auto"/>
            <w:vAlign w:val="center"/>
          </w:tcPr>
          <w:p w14:paraId="7DEF211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11.06</w:t>
            </w:r>
          </w:p>
        </w:tc>
        <w:tc>
          <w:tcPr>
            <w:tcW w:w="1100" w:type="dxa"/>
            <w:shd w:val="clear" w:color="auto" w:fill="auto"/>
            <w:vAlign w:val="center"/>
          </w:tcPr>
          <w:p w14:paraId="581F8E4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20" w:type="dxa"/>
            <w:shd w:val="clear" w:color="auto" w:fill="auto"/>
            <w:vAlign w:val="center"/>
          </w:tcPr>
          <w:p w14:paraId="28CA389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1472147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vMerge w:val="restart"/>
            <w:shd w:val="clear" w:color="auto" w:fill="auto"/>
            <w:vAlign w:val="center"/>
          </w:tcPr>
          <w:p w14:paraId="1F4F22ED">
            <w:pPr>
              <w:widowControl/>
              <w:spacing w:after="0" w:line="240" w:lineRule="auto"/>
              <w:ind w:firstLine="0" w:firstLineChars="0"/>
              <w:jc w:val="left"/>
              <w:rPr>
                <w:rFonts w:ascii="黑体" w:hAnsi="黑体" w:eastAsia="黑体" w:cs="宋体"/>
                <w:i/>
                <w:iCs/>
                <w:color w:val="000000"/>
                <w:kern w:val="0"/>
                <w:sz w:val="18"/>
                <w:szCs w:val="18"/>
              </w:rPr>
            </w:pPr>
            <w:r>
              <w:rPr>
                <w:rFonts w:hint="eastAsia" w:ascii="黑体" w:hAnsi="黑体" w:eastAsia="黑体" w:cs="宋体"/>
                <w:i/>
                <w:iCs/>
                <w:color w:val="000000"/>
                <w:kern w:val="0"/>
                <w:sz w:val="18"/>
                <w:szCs w:val="18"/>
              </w:rPr>
              <w:t>　</w:t>
            </w:r>
          </w:p>
        </w:tc>
      </w:tr>
      <w:tr w14:paraId="75566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766BB67F">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0D7A1D7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1560" w:type="dxa"/>
            <w:shd w:val="clear" w:color="auto" w:fill="auto"/>
            <w:vAlign w:val="center"/>
          </w:tcPr>
          <w:p w14:paraId="49CB85E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6420ED2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11.06</w:t>
            </w:r>
          </w:p>
        </w:tc>
        <w:tc>
          <w:tcPr>
            <w:tcW w:w="2100" w:type="dxa"/>
            <w:gridSpan w:val="3"/>
            <w:shd w:val="clear" w:color="auto" w:fill="auto"/>
            <w:vAlign w:val="center"/>
          </w:tcPr>
          <w:p w14:paraId="6A322B4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11.06</w:t>
            </w:r>
          </w:p>
        </w:tc>
        <w:tc>
          <w:tcPr>
            <w:tcW w:w="1100" w:type="dxa"/>
            <w:shd w:val="clear" w:color="auto" w:fill="auto"/>
            <w:vAlign w:val="center"/>
          </w:tcPr>
          <w:p w14:paraId="01C47C8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20" w:type="dxa"/>
            <w:shd w:val="clear" w:color="auto" w:fill="auto"/>
            <w:vAlign w:val="center"/>
          </w:tcPr>
          <w:p w14:paraId="6384DB6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3A5D4CE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65EDCA43">
            <w:pPr>
              <w:widowControl/>
              <w:spacing w:after="0" w:line="240" w:lineRule="auto"/>
              <w:ind w:firstLine="0" w:firstLineChars="0"/>
              <w:jc w:val="left"/>
              <w:rPr>
                <w:rFonts w:ascii="黑体" w:hAnsi="黑体" w:eastAsia="黑体" w:cs="宋体"/>
                <w:i/>
                <w:iCs/>
                <w:color w:val="000000"/>
                <w:kern w:val="0"/>
                <w:sz w:val="18"/>
                <w:szCs w:val="18"/>
              </w:rPr>
            </w:pPr>
          </w:p>
        </w:tc>
      </w:tr>
      <w:tr w14:paraId="0D488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6274ECC7">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3638A37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1560" w:type="dxa"/>
            <w:shd w:val="clear" w:color="auto" w:fill="auto"/>
            <w:vAlign w:val="center"/>
          </w:tcPr>
          <w:p w14:paraId="2368218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29B573F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100" w:type="dxa"/>
            <w:gridSpan w:val="3"/>
            <w:shd w:val="clear" w:color="auto" w:fill="auto"/>
            <w:vAlign w:val="center"/>
          </w:tcPr>
          <w:p w14:paraId="1D7BC0B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shd w:val="clear" w:color="auto" w:fill="auto"/>
            <w:vAlign w:val="center"/>
          </w:tcPr>
          <w:p w14:paraId="0FAD146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20" w:type="dxa"/>
            <w:shd w:val="clear" w:color="auto" w:fill="auto"/>
            <w:vAlign w:val="center"/>
          </w:tcPr>
          <w:p w14:paraId="0E3A96D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1C0BBFA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4C5441EB">
            <w:pPr>
              <w:widowControl/>
              <w:spacing w:after="0" w:line="240" w:lineRule="auto"/>
              <w:ind w:firstLine="0" w:firstLineChars="0"/>
              <w:jc w:val="left"/>
              <w:rPr>
                <w:rFonts w:ascii="黑体" w:hAnsi="黑体" w:eastAsia="黑体" w:cs="宋体"/>
                <w:i/>
                <w:iCs/>
                <w:color w:val="000000"/>
                <w:kern w:val="0"/>
                <w:sz w:val="18"/>
                <w:szCs w:val="18"/>
              </w:rPr>
            </w:pPr>
          </w:p>
        </w:tc>
      </w:tr>
      <w:tr w14:paraId="5C168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078FEEFE">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7BE9EF6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1560" w:type="dxa"/>
            <w:shd w:val="clear" w:color="auto" w:fill="auto"/>
            <w:vAlign w:val="center"/>
          </w:tcPr>
          <w:p w14:paraId="08E8C93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4E4B14E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100" w:type="dxa"/>
            <w:gridSpan w:val="3"/>
            <w:shd w:val="clear" w:color="auto" w:fill="auto"/>
            <w:vAlign w:val="center"/>
          </w:tcPr>
          <w:p w14:paraId="0C66540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shd w:val="clear" w:color="auto" w:fill="auto"/>
            <w:vAlign w:val="center"/>
          </w:tcPr>
          <w:p w14:paraId="187B82B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20" w:type="dxa"/>
            <w:shd w:val="clear" w:color="auto" w:fill="auto"/>
            <w:vAlign w:val="center"/>
          </w:tcPr>
          <w:p w14:paraId="760441A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17EBB62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3CE53C55">
            <w:pPr>
              <w:widowControl/>
              <w:spacing w:after="0" w:line="240" w:lineRule="auto"/>
              <w:ind w:firstLine="0" w:firstLineChars="0"/>
              <w:jc w:val="left"/>
              <w:rPr>
                <w:rFonts w:ascii="黑体" w:hAnsi="黑体" w:eastAsia="黑体" w:cs="宋体"/>
                <w:i/>
                <w:iCs/>
                <w:color w:val="000000"/>
                <w:kern w:val="0"/>
                <w:sz w:val="18"/>
                <w:szCs w:val="18"/>
              </w:rPr>
            </w:pPr>
          </w:p>
        </w:tc>
      </w:tr>
      <w:tr w14:paraId="6C42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2C9F8E5C">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6C493A1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1560" w:type="dxa"/>
            <w:shd w:val="clear" w:color="auto" w:fill="auto"/>
            <w:vAlign w:val="center"/>
          </w:tcPr>
          <w:p w14:paraId="415EB8FA">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60" w:type="dxa"/>
            <w:shd w:val="clear" w:color="auto" w:fill="auto"/>
            <w:vAlign w:val="center"/>
          </w:tcPr>
          <w:p w14:paraId="4F41AB74">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00" w:type="dxa"/>
            <w:gridSpan w:val="3"/>
            <w:shd w:val="clear" w:color="auto" w:fill="auto"/>
            <w:vAlign w:val="center"/>
          </w:tcPr>
          <w:p w14:paraId="484DC274">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shd w:val="clear" w:color="auto" w:fill="auto"/>
            <w:vAlign w:val="center"/>
          </w:tcPr>
          <w:p w14:paraId="03D76C4A">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shd w:val="clear" w:color="auto" w:fill="auto"/>
            <w:vAlign w:val="center"/>
          </w:tcPr>
          <w:p w14:paraId="117C68C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045F9B0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6023C1A3">
            <w:pPr>
              <w:widowControl/>
              <w:spacing w:after="0" w:line="240" w:lineRule="auto"/>
              <w:ind w:firstLine="0" w:firstLineChars="0"/>
              <w:jc w:val="left"/>
              <w:rPr>
                <w:rFonts w:ascii="黑体" w:hAnsi="黑体" w:eastAsia="黑体" w:cs="宋体"/>
                <w:i/>
                <w:iCs/>
                <w:color w:val="000000"/>
                <w:kern w:val="0"/>
                <w:sz w:val="18"/>
                <w:szCs w:val="18"/>
              </w:rPr>
            </w:pPr>
          </w:p>
        </w:tc>
      </w:tr>
      <w:tr w14:paraId="06ADD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restart"/>
            <w:shd w:val="clear" w:color="auto" w:fill="auto"/>
            <w:vAlign w:val="center"/>
          </w:tcPr>
          <w:p w14:paraId="3925B9D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1720" w:type="dxa"/>
            <w:shd w:val="clear" w:color="auto" w:fill="auto"/>
            <w:vAlign w:val="center"/>
          </w:tcPr>
          <w:p w14:paraId="056999A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560" w:type="dxa"/>
            <w:shd w:val="clear" w:color="auto" w:fill="auto"/>
            <w:vAlign w:val="center"/>
          </w:tcPr>
          <w:p w14:paraId="06BC51D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1760" w:type="dxa"/>
            <w:shd w:val="clear" w:color="auto" w:fill="auto"/>
            <w:vAlign w:val="center"/>
          </w:tcPr>
          <w:p w14:paraId="55CC845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520" w:type="dxa"/>
            <w:shd w:val="clear" w:color="auto" w:fill="auto"/>
            <w:vAlign w:val="center"/>
          </w:tcPr>
          <w:p w14:paraId="6347012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1060" w:type="dxa"/>
            <w:shd w:val="clear" w:color="auto" w:fill="auto"/>
            <w:vAlign w:val="center"/>
          </w:tcPr>
          <w:p w14:paraId="54898B5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520" w:type="dxa"/>
            <w:shd w:val="clear" w:color="auto" w:fill="auto"/>
            <w:vAlign w:val="center"/>
          </w:tcPr>
          <w:p w14:paraId="71F70A6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1100" w:type="dxa"/>
            <w:shd w:val="clear" w:color="auto" w:fill="auto"/>
            <w:vAlign w:val="center"/>
          </w:tcPr>
          <w:p w14:paraId="130A2A6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520" w:type="dxa"/>
            <w:shd w:val="clear" w:color="auto" w:fill="auto"/>
            <w:vAlign w:val="center"/>
          </w:tcPr>
          <w:p w14:paraId="0892BF7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60" w:type="dxa"/>
            <w:shd w:val="clear" w:color="auto" w:fill="auto"/>
            <w:vAlign w:val="center"/>
          </w:tcPr>
          <w:p w14:paraId="1A26559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40" w:type="dxa"/>
            <w:shd w:val="clear" w:color="auto" w:fill="auto"/>
            <w:vAlign w:val="center"/>
          </w:tcPr>
          <w:p w14:paraId="7009CC6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21AA7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6FE0DCFD">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restart"/>
            <w:shd w:val="clear" w:color="auto" w:fill="auto"/>
            <w:vAlign w:val="center"/>
          </w:tcPr>
          <w:p w14:paraId="012684E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560" w:type="dxa"/>
            <w:vMerge w:val="restart"/>
            <w:shd w:val="clear" w:color="auto" w:fill="auto"/>
            <w:vAlign w:val="center"/>
          </w:tcPr>
          <w:p w14:paraId="7DE0024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1760" w:type="dxa"/>
            <w:shd w:val="clear" w:color="auto" w:fill="auto"/>
            <w:vAlign w:val="center"/>
          </w:tcPr>
          <w:p w14:paraId="47A4FE7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受益师生数</w:t>
            </w:r>
          </w:p>
        </w:tc>
        <w:tc>
          <w:tcPr>
            <w:tcW w:w="520" w:type="dxa"/>
            <w:shd w:val="clear" w:color="auto" w:fill="auto"/>
            <w:vAlign w:val="center"/>
          </w:tcPr>
          <w:p w14:paraId="186AE86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56C2670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791</w:t>
            </w:r>
          </w:p>
        </w:tc>
        <w:tc>
          <w:tcPr>
            <w:tcW w:w="520" w:type="dxa"/>
            <w:shd w:val="clear" w:color="auto" w:fill="auto"/>
            <w:vAlign w:val="center"/>
          </w:tcPr>
          <w:p w14:paraId="1DC21EF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00" w:type="dxa"/>
            <w:shd w:val="clear" w:color="auto" w:fill="auto"/>
            <w:vAlign w:val="center"/>
          </w:tcPr>
          <w:p w14:paraId="56C0C60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791</w:t>
            </w:r>
          </w:p>
        </w:tc>
        <w:tc>
          <w:tcPr>
            <w:tcW w:w="520" w:type="dxa"/>
            <w:shd w:val="clear" w:color="auto" w:fill="auto"/>
            <w:vAlign w:val="center"/>
          </w:tcPr>
          <w:p w14:paraId="2DAE1E2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7A966CD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2E936AC9">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080B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159A5AA1">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00A2DC27">
            <w:pPr>
              <w:widowControl/>
              <w:spacing w:after="0" w:line="240" w:lineRule="auto"/>
              <w:ind w:firstLine="0" w:firstLineChars="0"/>
              <w:jc w:val="left"/>
              <w:rPr>
                <w:rFonts w:ascii="宋体" w:hAnsi="宋体" w:eastAsia="宋体" w:cs="宋体"/>
                <w:color w:val="000000"/>
                <w:kern w:val="0"/>
                <w:sz w:val="18"/>
                <w:szCs w:val="18"/>
              </w:rPr>
            </w:pPr>
          </w:p>
        </w:tc>
        <w:tc>
          <w:tcPr>
            <w:tcW w:w="1560" w:type="dxa"/>
            <w:vMerge w:val="continue"/>
            <w:vAlign w:val="center"/>
          </w:tcPr>
          <w:p w14:paraId="152D64E9">
            <w:pPr>
              <w:widowControl/>
              <w:spacing w:after="0" w:line="240" w:lineRule="auto"/>
              <w:ind w:firstLine="0" w:firstLineChars="0"/>
              <w:jc w:val="left"/>
              <w:rPr>
                <w:rFonts w:ascii="宋体" w:hAnsi="宋体" w:eastAsia="宋体" w:cs="宋体"/>
                <w:color w:val="000000"/>
                <w:kern w:val="0"/>
                <w:sz w:val="18"/>
                <w:szCs w:val="18"/>
              </w:rPr>
            </w:pPr>
          </w:p>
        </w:tc>
        <w:tc>
          <w:tcPr>
            <w:tcW w:w="1760" w:type="dxa"/>
            <w:shd w:val="clear" w:color="auto" w:fill="auto"/>
            <w:vAlign w:val="center"/>
          </w:tcPr>
          <w:p w14:paraId="21076E1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停车场塌陷治理面积</w:t>
            </w:r>
          </w:p>
        </w:tc>
        <w:tc>
          <w:tcPr>
            <w:tcW w:w="520" w:type="dxa"/>
            <w:shd w:val="clear" w:color="auto" w:fill="auto"/>
            <w:vAlign w:val="center"/>
          </w:tcPr>
          <w:p w14:paraId="20C3D7B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14421C9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520" w:type="dxa"/>
            <w:shd w:val="clear" w:color="auto" w:fill="auto"/>
            <w:vAlign w:val="center"/>
          </w:tcPr>
          <w:p w14:paraId="363F892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平方米</w:t>
            </w:r>
          </w:p>
        </w:tc>
        <w:tc>
          <w:tcPr>
            <w:tcW w:w="1100" w:type="dxa"/>
            <w:shd w:val="clear" w:color="auto" w:fill="auto"/>
            <w:vAlign w:val="center"/>
          </w:tcPr>
          <w:p w14:paraId="34567A1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800</w:t>
            </w:r>
          </w:p>
        </w:tc>
        <w:tc>
          <w:tcPr>
            <w:tcW w:w="520" w:type="dxa"/>
            <w:shd w:val="clear" w:color="auto" w:fill="auto"/>
            <w:vAlign w:val="center"/>
          </w:tcPr>
          <w:p w14:paraId="14BD461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35D8899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2163B7C4">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EF9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26C73481">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5224E1C7">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52E3FB6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1760" w:type="dxa"/>
            <w:shd w:val="clear" w:color="auto" w:fill="auto"/>
            <w:vAlign w:val="center"/>
          </w:tcPr>
          <w:p w14:paraId="79D1274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工程验收合格率</w:t>
            </w:r>
          </w:p>
        </w:tc>
        <w:tc>
          <w:tcPr>
            <w:tcW w:w="520" w:type="dxa"/>
            <w:shd w:val="clear" w:color="auto" w:fill="auto"/>
            <w:vAlign w:val="center"/>
          </w:tcPr>
          <w:p w14:paraId="0347141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2B957F2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20" w:type="dxa"/>
            <w:shd w:val="clear" w:color="auto" w:fill="auto"/>
            <w:vAlign w:val="center"/>
          </w:tcPr>
          <w:p w14:paraId="5BF1F40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752CA78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20" w:type="dxa"/>
            <w:shd w:val="clear" w:color="auto" w:fill="auto"/>
            <w:vAlign w:val="center"/>
          </w:tcPr>
          <w:p w14:paraId="0112048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16B1D4B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4477F32E">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728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4E647A62">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0BCCC99F">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0D8EDA2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1760" w:type="dxa"/>
            <w:shd w:val="clear" w:color="auto" w:fill="auto"/>
            <w:vAlign w:val="center"/>
          </w:tcPr>
          <w:p w14:paraId="6691237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工程按期完成率</w:t>
            </w:r>
          </w:p>
        </w:tc>
        <w:tc>
          <w:tcPr>
            <w:tcW w:w="520" w:type="dxa"/>
            <w:shd w:val="clear" w:color="auto" w:fill="auto"/>
            <w:vAlign w:val="center"/>
          </w:tcPr>
          <w:p w14:paraId="452D8A0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1275B34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20" w:type="dxa"/>
            <w:shd w:val="clear" w:color="auto" w:fill="auto"/>
            <w:vAlign w:val="center"/>
          </w:tcPr>
          <w:p w14:paraId="10A71D8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0585473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20" w:type="dxa"/>
            <w:shd w:val="clear" w:color="auto" w:fill="auto"/>
            <w:vAlign w:val="center"/>
          </w:tcPr>
          <w:p w14:paraId="6912D13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136BDAD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63CCD911">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6A2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700" w:type="dxa"/>
            <w:vMerge w:val="continue"/>
            <w:vAlign w:val="center"/>
          </w:tcPr>
          <w:p w14:paraId="68B9251F">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restart"/>
            <w:shd w:val="clear" w:color="auto" w:fill="auto"/>
            <w:vAlign w:val="center"/>
          </w:tcPr>
          <w:p w14:paraId="07F13D1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560" w:type="dxa"/>
            <w:shd w:val="clear" w:color="auto" w:fill="auto"/>
            <w:vAlign w:val="center"/>
          </w:tcPr>
          <w:p w14:paraId="7D021BA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1760" w:type="dxa"/>
            <w:shd w:val="clear" w:color="auto" w:fill="auto"/>
            <w:vAlign w:val="center"/>
          </w:tcPr>
          <w:p w14:paraId="3C7BAE4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保障了全体师生的安全，让教育工作平稳发展</w:t>
            </w:r>
          </w:p>
        </w:tc>
        <w:tc>
          <w:tcPr>
            <w:tcW w:w="520" w:type="dxa"/>
            <w:shd w:val="clear" w:color="auto" w:fill="auto"/>
            <w:vAlign w:val="center"/>
          </w:tcPr>
          <w:p w14:paraId="5DB6F0C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41DB9D9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061A52D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59AE092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633FC2B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7CC7452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5AA31A11">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6E15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00" w:type="dxa"/>
            <w:vMerge w:val="continue"/>
            <w:vAlign w:val="center"/>
          </w:tcPr>
          <w:p w14:paraId="42915812">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6CD5A7A7">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0FC1980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可持续发展指标</w:t>
            </w:r>
          </w:p>
        </w:tc>
        <w:tc>
          <w:tcPr>
            <w:tcW w:w="1760" w:type="dxa"/>
            <w:shd w:val="clear" w:color="auto" w:fill="auto"/>
            <w:vAlign w:val="center"/>
          </w:tcPr>
          <w:p w14:paraId="0E5CD8A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通过对师培中心停车场塌陷治理，保障了全体师生的安全，让教育工作平稳发展</w:t>
            </w:r>
          </w:p>
        </w:tc>
        <w:tc>
          <w:tcPr>
            <w:tcW w:w="520" w:type="dxa"/>
            <w:shd w:val="clear" w:color="auto" w:fill="auto"/>
            <w:vAlign w:val="center"/>
          </w:tcPr>
          <w:p w14:paraId="4D1BB3A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5EE2FEB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5891D51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278EF92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3FBBF23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40CE48F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2438CF98">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D76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00" w:type="dxa"/>
            <w:vMerge w:val="continue"/>
            <w:vAlign w:val="center"/>
          </w:tcPr>
          <w:p w14:paraId="69F316CA">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00FB2D3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560" w:type="dxa"/>
            <w:shd w:val="clear" w:color="auto" w:fill="auto"/>
            <w:vAlign w:val="center"/>
          </w:tcPr>
          <w:p w14:paraId="790523D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1760" w:type="dxa"/>
            <w:shd w:val="clear" w:color="auto" w:fill="auto"/>
            <w:vAlign w:val="center"/>
          </w:tcPr>
          <w:p w14:paraId="79B844F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全体师生满意</w:t>
            </w:r>
          </w:p>
        </w:tc>
        <w:tc>
          <w:tcPr>
            <w:tcW w:w="520" w:type="dxa"/>
            <w:shd w:val="clear" w:color="auto" w:fill="auto"/>
            <w:vAlign w:val="center"/>
          </w:tcPr>
          <w:p w14:paraId="1D0A52B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7C4C9BC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520" w:type="dxa"/>
            <w:shd w:val="clear" w:color="auto" w:fill="auto"/>
            <w:vAlign w:val="center"/>
          </w:tcPr>
          <w:p w14:paraId="4DC87C3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00" w:type="dxa"/>
            <w:shd w:val="clear" w:color="auto" w:fill="auto"/>
            <w:vAlign w:val="center"/>
          </w:tcPr>
          <w:p w14:paraId="1A8EB6F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520" w:type="dxa"/>
            <w:shd w:val="clear" w:color="auto" w:fill="auto"/>
            <w:vAlign w:val="center"/>
          </w:tcPr>
          <w:p w14:paraId="3341615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52AAA2B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05A5228D">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26F0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700" w:type="dxa"/>
            <w:vMerge w:val="continue"/>
            <w:vAlign w:val="center"/>
          </w:tcPr>
          <w:p w14:paraId="0C36F16D">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1AEE9DA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1560" w:type="dxa"/>
            <w:shd w:val="clear" w:color="auto" w:fill="auto"/>
            <w:vAlign w:val="center"/>
          </w:tcPr>
          <w:p w14:paraId="09945D2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经济成本指标</w:t>
            </w:r>
          </w:p>
        </w:tc>
        <w:tc>
          <w:tcPr>
            <w:tcW w:w="1760" w:type="dxa"/>
            <w:shd w:val="clear" w:color="auto" w:fill="auto"/>
            <w:vAlign w:val="center"/>
          </w:tcPr>
          <w:p w14:paraId="5CCD67E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经费控制在预算下达范围内</w:t>
            </w:r>
          </w:p>
        </w:tc>
        <w:tc>
          <w:tcPr>
            <w:tcW w:w="520" w:type="dxa"/>
            <w:shd w:val="clear" w:color="auto" w:fill="auto"/>
            <w:vAlign w:val="center"/>
          </w:tcPr>
          <w:p w14:paraId="011AC10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225193B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220564</w:t>
            </w:r>
          </w:p>
        </w:tc>
        <w:tc>
          <w:tcPr>
            <w:tcW w:w="520" w:type="dxa"/>
            <w:shd w:val="clear" w:color="auto" w:fill="auto"/>
            <w:vAlign w:val="center"/>
          </w:tcPr>
          <w:p w14:paraId="004F174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元</w:t>
            </w:r>
          </w:p>
        </w:tc>
        <w:tc>
          <w:tcPr>
            <w:tcW w:w="1100" w:type="dxa"/>
            <w:shd w:val="clear" w:color="auto" w:fill="auto"/>
            <w:vAlign w:val="center"/>
          </w:tcPr>
          <w:p w14:paraId="06CEF57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220564</w:t>
            </w:r>
          </w:p>
        </w:tc>
        <w:tc>
          <w:tcPr>
            <w:tcW w:w="520" w:type="dxa"/>
            <w:shd w:val="clear" w:color="auto" w:fill="auto"/>
            <w:vAlign w:val="center"/>
          </w:tcPr>
          <w:p w14:paraId="79F88D9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460" w:type="dxa"/>
            <w:shd w:val="clear" w:color="auto" w:fill="auto"/>
            <w:vAlign w:val="center"/>
          </w:tcPr>
          <w:p w14:paraId="5689D27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40" w:type="dxa"/>
            <w:shd w:val="clear" w:color="auto" w:fill="auto"/>
            <w:vAlign w:val="center"/>
          </w:tcPr>
          <w:p w14:paraId="2012B854">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753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940" w:type="dxa"/>
            <w:gridSpan w:val="8"/>
            <w:shd w:val="clear" w:color="auto" w:fill="auto"/>
            <w:vAlign w:val="center"/>
          </w:tcPr>
          <w:p w14:paraId="4E216AC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20" w:type="dxa"/>
            <w:shd w:val="clear" w:color="auto" w:fill="auto"/>
            <w:vAlign w:val="center"/>
          </w:tcPr>
          <w:p w14:paraId="3637159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60" w:type="dxa"/>
            <w:shd w:val="clear" w:color="auto" w:fill="auto"/>
            <w:vAlign w:val="center"/>
          </w:tcPr>
          <w:p w14:paraId="4E49FC3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140" w:type="dxa"/>
            <w:shd w:val="clear" w:color="auto" w:fill="auto"/>
            <w:vAlign w:val="center"/>
          </w:tcPr>
          <w:p w14:paraId="550AB87D">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8A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00" w:type="dxa"/>
            <w:shd w:val="clear" w:color="auto" w:fill="auto"/>
            <w:vAlign w:val="center"/>
          </w:tcPr>
          <w:p w14:paraId="79CB50D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10360" w:type="dxa"/>
            <w:gridSpan w:val="10"/>
            <w:shd w:val="clear" w:color="auto" w:fill="auto"/>
            <w:vAlign w:val="center"/>
          </w:tcPr>
          <w:p w14:paraId="4D2CD60B">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全面完成年度工作目标，支出绩效自评分100分</w:t>
            </w:r>
          </w:p>
        </w:tc>
      </w:tr>
      <w:tr w14:paraId="0A1D5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00" w:type="dxa"/>
            <w:shd w:val="clear" w:color="auto" w:fill="auto"/>
            <w:vAlign w:val="center"/>
          </w:tcPr>
          <w:p w14:paraId="65C99B2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10360" w:type="dxa"/>
            <w:gridSpan w:val="10"/>
            <w:shd w:val="clear" w:color="auto" w:fill="auto"/>
            <w:vAlign w:val="center"/>
          </w:tcPr>
          <w:p w14:paraId="50141B8C">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392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00" w:type="dxa"/>
            <w:shd w:val="clear" w:color="auto" w:fill="auto"/>
            <w:vAlign w:val="center"/>
          </w:tcPr>
          <w:p w14:paraId="579AB74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10360" w:type="dxa"/>
            <w:gridSpan w:val="10"/>
            <w:shd w:val="clear" w:color="auto" w:fill="auto"/>
            <w:vAlign w:val="center"/>
          </w:tcPr>
          <w:p w14:paraId="08937BAF">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ED4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6260" w:type="dxa"/>
            <w:gridSpan w:val="5"/>
            <w:shd w:val="clear" w:color="auto" w:fill="auto"/>
            <w:vAlign w:val="center"/>
          </w:tcPr>
          <w:p w14:paraId="0D958B2B">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项目负责人：李庆九</w:t>
            </w:r>
          </w:p>
        </w:tc>
        <w:tc>
          <w:tcPr>
            <w:tcW w:w="4800" w:type="dxa"/>
            <w:gridSpan w:val="6"/>
            <w:shd w:val="clear" w:color="auto" w:fill="auto"/>
            <w:vAlign w:val="center"/>
          </w:tcPr>
          <w:p w14:paraId="6766D909">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财务负责人：朱媛媛</w:t>
            </w:r>
          </w:p>
        </w:tc>
      </w:tr>
    </w:tbl>
    <w:p w14:paraId="378E554D">
      <w:pPr>
        <w:pStyle w:val="5"/>
        <w:ind w:firstLine="880"/>
      </w:pPr>
    </w:p>
    <w:p w14:paraId="600117C0">
      <w:pPr>
        <w:ind w:firstLine="640"/>
      </w:pPr>
    </w:p>
    <w:p w14:paraId="4D95668E">
      <w:pPr>
        <w:pStyle w:val="2"/>
        <w:ind w:firstLine="360"/>
      </w:pPr>
    </w:p>
    <w:p w14:paraId="305CBF8E">
      <w:pPr>
        <w:pStyle w:val="3"/>
        <w:ind w:left="640" w:firstLine="640"/>
      </w:pPr>
    </w:p>
    <w:p w14:paraId="6D4ED6D7">
      <w:pPr>
        <w:pStyle w:val="3"/>
        <w:ind w:left="640" w:firstLine="640"/>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
        <w:gridCol w:w="1309"/>
        <w:gridCol w:w="1208"/>
        <w:gridCol w:w="1336"/>
        <w:gridCol w:w="476"/>
        <w:gridCol w:w="951"/>
        <w:gridCol w:w="476"/>
        <w:gridCol w:w="1009"/>
        <w:gridCol w:w="508"/>
        <w:gridCol w:w="486"/>
        <w:gridCol w:w="874"/>
      </w:tblGrid>
      <w:tr w14:paraId="1407B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1060" w:type="dxa"/>
            <w:gridSpan w:val="11"/>
            <w:shd w:val="clear" w:color="auto" w:fill="auto"/>
            <w:vAlign w:val="center"/>
          </w:tcPr>
          <w:p w14:paraId="651863B4">
            <w:pPr>
              <w:widowControl/>
              <w:spacing w:after="0" w:line="240" w:lineRule="auto"/>
              <w:ind w:firstLine="0" w:firstLineChars="0"/>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28F2D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420" w:type="dxa"/>
            <w:gridSpan w:val="2"/>
            <w:shd w:val="clear" w:color="auto" w:fill="auto"/>
            <w:vAlign w:val="center"/>
          </w:tcPr>
          <w:p w14:paraId="4ECB26F7">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8640" w:type="dxa"/>
            <w:gridSpan w:val="9"/>
            <w:shd w:val="clear" w:color="auto" w:fill="auto"/>
            <w:vAlign w:val="center"/>
          </w:tcPr>
          <w:p w14:paraId="6935732D">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51118124T000010184306-教师培训经费</w:t>
            </w:r>
          </w:p>
        </w:tc>
      </w:tr>
      <w:tr w14:paraId="5015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2420" w:type="dxa"/>
            <w:gridSpan w:val="2"/>
            <w:shd w:val="clear" w:color="auto" w:fill="auto"/>
            <w:vAlign w:val="center"/>
          </w:tcPr>
          <w:p w14:paraId="63D6A307">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w:t>
            </w:r>
          </w:p>
        </w:tc>
        <w:tc>
          <w:tcPr>
            <w:tcW w:w="5420" w:type="dxa"/>
            <w:gridSpan w:val="5"/>
            <w:shd w:val="clear" w:color="auto" w:fill="auto"/>
            <w:vAlign w:val="center"/>
          </w:tcPr>
          <w:p w14:paraId="5616B599">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教育局</w:t>
            </w:r>
          </w:p>
        </w:tc>
        <w:tc>
          <w:tcPr>
            <w:tcW w:w="1100" w:type="dxa"/>
            <w:shd w:val="clear" w:color="auto" w:fill="auto"/>
            <w:vAlign w:val="center"/>
          </w:tcPr>
          <w:p w14:paraId="633A36C6">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120" w:type="dxa"/>
            <w:gridSpan w:val="3"/>
            <w:shd w:val="clear" w:color="auto" w:fill="auto"/>
            <w:vAlign w:val="center"/>
          </w:tcPr>
          <w:p w14:paraId="4C644D8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峨眉山市教师培训中心</w:t>
            </w:r>
          </w:p>
        </w:tc>
      </w:tr>
      <w:tr w14:paraId="461F6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vMerge w:val="restart"/>
            <w:shd w:val="clear" w:color="auto" w:fill="auto"/>
            <w:vAlign w:val="center"/>
          </w:tcPr>
          <w:p w14:paraId="494D8B69">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项目基本情况</w:t>
            </w:r>
          </w:p>
        </w:tc>
        <w:tc>
          <w:tcPr>
            <w:tcW w:w="1720" w:type="dxa"/>
            <w:vMerge w:val="restart"/>
            <w:shd w:val="clear" w:color="auto" w:fill="auto"/>
            <w:vAlign w:val="center"/>
          </w:tcPr>
          <w:p w14:paraId="274F3868">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1.项目年度目标完成情况</w:t>
            </w:r>
          </w:p>
        </w:tc>
        <w:tc>
          <w:tcPr>
            <w:tcW w:w="5420" w:type="dxa"/>
            <w:gridSpan w:val="5"/>
            <w:shd w:val="clear" w:color="auto" w:fill="auto"/>
            <w:vAlign w:val="center"/>
          </w:tcPr>
          <w:p w14:paraId="0A5AB99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项目年度目标</w:t>
            </w:r>
          </w:p>
        </w:tc>
        <w:tc>
          <w:tcPr>
            <w:tcW w:w="3220" w:type="dxa"/>
            <w:gridSpan w:val="4"/>
            <w:shd w:val="clear" w:color="auto" w:fill="auto"/>
            <w:vAlign w:val="center"/>
          </w:tcPr>
          <w:p w14:paraId="13C0089B">
            <w:pPr>
              <w:widowControl/>
              <w:spacing w:after="0" w:line="240" w:lineRule="auto"/>
              <w:ind w:firstLine="0" w:firstLineChars="0"/>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1C630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700" w:type="dxa"/>
            <w:vMerge w:val="continue"/>
            <w:vAlign w:val="center"/>
          </w:tcPr>
          <w:p w14:paraId="05B40865">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6E673153">
            <w:pPr>
              <w:widowControl/>
              <w:spacing w:after="0" w:line="240" w:lineRule="auto"/>
              <w:ind w:firstLine="0" w:firstLineChars="0"/>
              <w:jc w:val="left"/>
              <w:rPr>
                <w:rFonts w:ascii="宋体" w:hAnsi="宋体" w:eastAsia="宋体" w:cs="宋体"/>
                <w:color w:val="000000"/>
                <w:kern w:val="0"/>
                <w:sz w:val="18"/>
                <w:szCs w:val="18"/>
              </w:rPr>
            </w:pPr>
          </w:p>
        </w:tc>
        <w:tc>
          <w:tcPr>
            <w:tcW w:w="5420" w:type="dxa"/>
            <w:gridSpan w:val="5"/>
            <w:shd w:val="clear" w:color="auto" w:fill="auto"/>
            <w:vAlign w:val="center"/>
          </w:tcPr>
          <w:p w14:paraId="57B8FA8C">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通过开展名师、校长、班主任、新教师等提升培训、进行教育教学业务比赛、各学科主题研训、研训人员提升培训等工作，进一步提升教师专业能力，打造高品质的峨眉教育</w:t>
            </w:r>
          </w:p>
        </w:tc>
        <w:tc>
          <w:tcPr>
            <w:tcW w:w="3220" w:type="dxa"/>
            <w:gridSpan w:val="4"/>
            <w:shd w:val="clear" w:color="auto" w:fill="auto"/>
            <w:vAlign w:val="center"/>
          </w:tcPr>
          <w:p w14:paraId="43C06E39">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开展相应的培训工作，进一步提升了教师专业能力，打造了高品质的峨眉教育</w:t>
            </w:r>
          </w:p>
        </w:tc>
      </w:tr>
      <w:tr w14:paraId="2216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vMerge w:val="continue"/>
            <w:vAlign w:val="center"/>
          </w:tcPr>
          <w:p w14:paraId="653EC4EA">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5A53534E">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2.项目实施内容及过程概述</w:t>
            </w:r>
          </w:p>
        </w:tc>
        <w:tc>
          <w:tcPr>
            <w:tcW w:w="8640" w:type="dxa"/>
            <w:gridSpan w:val="9"/>
            <w:shd w:val="clear" w:color="auto" w:fill="auto"/>
            <w:vAlign w:val="center"/>
          </w:tcPr>
          <w:p w14:paraId="1D8061CF">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及时支付培训，业务比赛，主题研讨等各项活动的经费，保障峨眉教育事业的发展</w:t>
            </w:r>
          </w:p>
        </w:tc>
      </w:tr>
      <w:tr w14:paraId="0547A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00" w:type="dxa"/>
            <w:vMerge w:val="restart"/>
            <w:shd w:val="clear" w:color="auto" w:fill="auto"/>
            <w:vAlign w:val="center"/>
          </w:tcPr>
          <w:p w14:paraId="6844C52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预算执行情况（10分）</w:t>
            </w:r>
          </w:p>
        </w:tc>
        <w:tc>
          <w:tcPr>
            <w:tcW w:w="1720" w:type="dxa"/>
            <w:shd w:val="clear" w:color="auto" w:fill="auto"/>
            <w:vAlign w:val="center"/>
          </w:tcPr>
          <w:p w14:paraId="6E4540D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年度预算数（万元）</w:t>
            </w:r>
          </w:p>
        </w:tc>
        <w:tc>
          <w:tcPr>
            <w:tcW w:w="1560" w:type="dxa"/>
            <w:shd w:val="clear" w:color="auto" w:fill="auto"/>
            <w:vAlign w:val="center"/>
          </w:tcPr>
          <w:p w14:paraId="3C5B1B1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年初预算</w:t>
            </w:r>
          </w:p>
        </w:tc>
        <w:tc>
          <w:tcPr>
            <w:tcW w:w="1760" w:type="dxa"/>
            <w:shd w:val="clear" w:color="auto" w:fill="auto"/>
            <w:vAlign w:val="center"/>
          </w:tcPr>
          <w:p w14:paraId="54DF340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调整后预算数</w:t>
            </w:r>
          </w:p>
        </w:tc>
        <w:tc>
          <w:tcPr>
            <w:tcW w:w="2100" w:type="dxa"/>
            <w:gridSpan w:val="3"/>
            <w:shd w:val="clear" w:color="auto" w:fill="auto"/>
            <w:vAlign w:val="center"/>
          </w:tcPr>
          <w:p w14:paraId="321288F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预算执行数</w:t>
            </w:r>
          </w:p>
        </w:tc>
        <w:tc>
          <w:tcPr>
            <w:tcW w:w="1100" w:type="dxa"/>
            <w:shd w:val="clear" w:color="auto" w:fill="auto"/>
            <w:vAlign w:val="center"/>
          </w:tcPr>
          <w:p w14:paraId="58133D6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20" w:type="dxa"/>
            <w:shd w:val="clear" w:color="auto" w:fill="auto"/>
            <w:vAlign w:val="center"/>
          </w:tcPr>
          <w:p w14:paraId="3A8730F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60" w:type="dxa"/>
            <w:shd w:val="clear" w:color="auto" w:fill="auto"/>
            <w:vAlign w:val="center"/>
          </w:tcPr>
          <w:p w14:paraId="47D8D72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40" w:type="dxa"/>
            <w:shd w:val="clear" w:color="auto" w:fill="auto"/>
            <w:vAlign w:val="center"/>
          </w:tcPr>
          <w:p w14:paraId="3F97E91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原因</w:t>
            </w:r>
          </w:p>
        </w:tc>
      </w:tr>
      <w:tr w14:paraId="789DF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00" w:type="dxa"/>
            <w:vMerge w:val="continue"/>
            <w:vAlign w:val="center"/>
          </w:tcPr>
          <w:p w14:paraId="4F133C84">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4E666DC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总额</w:t>
            </w:r>
          </w:p>
        </w:tc>
        <w:tc>
          <w:tcPr>
            <w:tcW w:w="1560" w:type="dxa"/>
            <w:shd w:val="clear" w:color="auto" w:fill="auto"/>
            <w:vAlign w:val="center"/>
          </w:tcPr>
          <w:p w14:paraId="535790A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657F503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0.78</w:t>
            </w:r>
          </w:p>
        </w:tc>
        <w:tc>
          <w:tcPr>
            <w:tcW w:w="2100" w:type="dxa"/>
            <w:gridSpan w:val="3"/>
            <w:shd w:val="clear" w:color="auto" w:fill="auto"/>
            <w:vAlign w:val="center"/>
          </w:tcPr>
          <w:p w14:paraId="13F58B3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0.78</w:t>
            </w:r>
          </w:p>
        </w:tc>
        <w:tc>
          <w:tcPr>
            <w:tcW w:w="1100" w:type="dxa"/>
            <w:shd w:val="clear" w:color="auto" w:fill="auto"/>
            <w:vAlign w:val="center"/>
          </w:tcPr>
          <w:p w14:paraId="73A41E1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20" w:type="dxa"/>
            <w:shd w:val="clear" w:color="auto" w:fill="auto"/>
            <w:vAlign w:val="center"/>
          </w:tcPr>
          <w:p w14:paraId="73D0AFB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6B0730F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vMerge w:val="restart"/>
            <w:shd w:val="clear" w:color="auto" w:fill="auto"/>
            <w:vAlign w:val="center"/>
          </w:tcPr>
          <w:p w14:paraId="6B2E33AC">
            <w:pPr>
              <w:widowControl/>
              <w:spacing w:after="0" w:line="240" w:lineRule="auto"/>
              <w:ind w:firstLine="0" w:firstLineChars="0"/>
              <w:jc w:val="left"/>
              <w:rPr>
                <w:rFonts w:ascii="黑体" w:hAnsi="黑体" w:eastAsia="黑体" w:cs="宋体"/>
                <w:i/>
                <w:iCs/>
                <w:color w:val="000000"/>
                <w:kern w:val="0"/>
                <w:sz w:val="18"/>
                <w:szCs w:val="18"/>
              </w:rPr>
            </w:pPr>
            <w:r>
              <w:rPr>
                <w:rFonts w:hint="eastAsia" w:ascii="黑体" w:hAnsi="黑体" w:eastAsia="黑体" w:cs="宋体"/>
                <w:i/>
                <w:iCs/>
                <w:color w:val="000000"/>
                <w:kern w:val="0"/>
                <w:sz w:val="18"/>
                <w:szCs w:val="18"/>
              </w:rPr>
              <w:t>　</w:t>
            </w:r>
          </w:p>
        </w:tc>
      </w:tr>
      <w:tr w14:paraId="2DE1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56673567">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16243A0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其中：财政资金</w:t>
            </w:r>
          </w:p>
        </w:tc>
        <w:tc>
          <w:tcPr>
            <w:tcW w:w="1560" w:type="dxa"/>
            <w:shd w:val="clear" w:color="auto" w:fill="auto"/>
            <w:vAlign w:val="center"/>
          </w:tcPr>
          <w:p w14:paraId="21169F9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4000B55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0.78</w:t>
            </w:r>
          </w:p>
        </w:tc>
        <w:tc>
          <w:tcPr>
            <w:tcW w:w="2100" w:type="dxa"/>
            <w:gridSpan w:val="3"/>
            <w:shd w:val="clear" w:color="auto" w:fill="auto"/>
            <w:vAlign w:val="center"/>
          </w:tcPr>
          <w:p w14:paraId="7844B57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0.78</w:t>
            </w:r>
          </w:p>
        </w:tc>
        <w:tc>
          <w:tcPr>
            <w:tcW w:w="1100" w:type="dxa"/>
            <w:shd w:val="clear" w:color="auto" w:fill="auto"/>
            <w:vAlign w:val="center"/>
          </w:tcPr>
          <w:p w14:paraId="35EB97E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520" w:type="dxa"/>
            <w:shd w:val="clear" w:color="auto" w:fill="auto"/>
            <w:vAlign w:val="center"/>
          </w:tcPr>
          <w:p w14:paraId="19BE24B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7DAAA17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7E7F208D">
            <w:pPr>
              <w:widowControl/>
              <w:spacing w:after="0" w:line="240" w:lineRule="auto"/>
              <w:ind w:firstLine="0" w:firstLineChars="0"/>
              <w:jc w:val="left"/>
              <w:rPr>
                <w:rFonts w:ascii="黑体" w:hAnsi="黑体" w:eastAsia="黑体" w:cs="宋体"/>
                <w:i/>
                <w:iCs/>
                <w:color w:val="000000"/>
                <w:kern w:val="0"/>
                <w:sz w:val="18"/>
                <w:szCs w:val="18"/>
              </w:rPr>
            </w:pPr>
          </w:p>
        </w:tc>
      </w:tr>
      <w:tr w14:paraId="6D85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00" w:type="dxa"/>
            <w:vMerge w:val="continue"/>
            <w:vAlign w:val="center"/>
          </w:tcPr>
          <w:p w14:paraId="7E6F7C11">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5C5BB1E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财政专户管理资金</w:t>
            </w:r>
          </w:p>
        </w:tc>
        <w:tc>
          <w:tcPr>
            <w:tcW w:w="1560" w:type="dxa"/>
            <w:shd w:val="clear" w:color="auto" w:fill="auto"/>
            <w:vAlign w:val="center"/>
          </w:tcPr>
          <w:p w14:paraId="6A24284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69D5B35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100" w:type="dxa"/>
            <w:gridSpan w:val="3"/>
            <w:shd w:val="clear" w:color="auto" w:fill="auto"/>
            <w:vAlign w:val="center"/>
          </w:tcPr>
          <w:p w14:paraId="6927BB6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shd w:val="clear" w:color="auto" w:fill="auto"/>
            <w:vAlign w:val="center"/>
          </w:tcPr>
          <w:p w14:paraId="186E767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20" w:type="dxa"/>
            <w:shd w:val="clear" w:color="auto" w:fill="auto"/>
            <w:vAlign w:val="center"/>
          </w:tcPr>
          <w:p w14:paraId="2CA68BE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51768E5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3DC9AC1D">
            <w:pPr>
              <w:widowControl/>
              <w:spacing w:after="0" w:line="240" w:lineRule="auto"/>
              <w:ind w:firstLine="0" w:firstLineChars="0"/>
              <w:jc w:val="left"/>
              <w:rPr>
                <w:rFonts w:ascii="黑体" w:hAnsi="黑体" w:eastAsia="黑体" w:cs="宋体"/>
                <w:i/>
                <w:iCs/>
                <w:color w:val="000000"/>
                <w:kern w:val="0"/>
                <w:sz w:val="18"/>
                <w:szCs w:val="18"/>
              </w:rPr>
            </w:pPr>
          </w:p>
        </w:tc>
      </w:tr>
      <w:tr w14:paraId="4DBE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700" w:type="dxa"/>
            <w:vMerge w:val="continue"/>
            <w:vAlign w:val="center"/>
          </w:tcPr>
          <w:p w14:paraId="5AFE099A">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4C056E4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单位资金</w:t>
            </w:r>
          </w:p>
        </w:tc>
        <w:tc>
          <w:tcPr>
            <w:tcW w:w="1560" w:type="dxa"/>
            <w:shd w:val="clear" w:color="auto" w:fill="auto"/>
            <w:vAlign w:val="center"/>
          </w:tcPr>
          <w:p w14:paraId="2BD6C8C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760" w:type="dxa"/>
            <w:shd w:val="clear" w:color="auto" w:fill="auto"/>
            <w:vAlign w:val="center"/>
          </w:tcPr>
          <w:p w14:paraId="798ECC5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2100" w:type="dxa"/>
            <w:gridSpan w:val="3"/>
            <w:shd w:val="clear" w:color="auto" w:fill="auto"/>
            <w:vAlign w:val="center"/>
          </w:tcPr>
          <w:p w14:paraId="3BA9494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100" w:type="dxa"/>
            <w:shd w:val="clear" w:color="auto" w:fill="auto"/>
            <w:vAlign w:val="center"/>
          </w:tcPr>
          <w:p w14:paraId="55CE912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20" w:type="dxa"/>
            <w:shd w:val="clear" w:color="auto" w:fill="auto"/>
            <w:vAlign w:val="center"/>
          </w:tcPr>
          <w:p w14:paraId="7D75096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25A767F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33E7F721">
            <w:pPr>
              <w:widowControl/>
              <w:spacing w:after="0" w:line="240" w:lineRule="auto"/>
              <w:ind w:firstLine="0" w:firstLineChars="0"/>
              <w:jc w:val="left"/>
              <w:rPr>
                <w:rFonts w:ascii="黑体" w:hAnsi="黑体" w:eastAsia="黑体" w:cs="宋体"/>
                <w:i/>
                <w:iCs/>
                <w:color w:val="000000"/>
                <w:kern w:val="0"/>
                <w:sz w:val="18"/>
                <w:szCs w:val="18"/>
              </w:rPr>
            </w:pPr>
          </w:p>
        </w:tc>
      </w:tr>
      <w:tr w14:paraId="7C29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00" w:type="dxa"/>
            <w:vMerge w:val="continue"/>
            <w:vAlign w:val="center"/>
          </w:tcPr>
          <w:p w14:paraId="43DDF2FF">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124C0B3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1560" w:type="dxa"/>
            <w:shd w:val="clear" w:color="auto" w:fill="auto"/>
            <w:vAlign w:val="center"/>
          </w:tcPr>
          <w:p w14:paraId="4CD26812">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60" w:type="dxa"/>
            <w:shd w:val="clear" w:color="auto" w:fill="auto"/>
            <w:vAlign w:val="center"/>
          </w:tcPr>
          <w:p w14:paraId="21F9A3F8">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00" w:type="dxa"/>
            <w:gridSpan w:val="3"/>
            <w:shd w:val="clear" w:color="auto" w:fill="auto"/>
            <w:vAlign w:val="center"/>
          </w:tcPr>
          <w:p w14:paraId="408E4CBF">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00" w:type="dxa"/>
            <w:shd w:val="clear" w:color="auto" w:fill="auto"/>
            <w:vAlign w:val="center"/>
          </w:tcPr>
          <w:p w14:paraId="18B28B7B">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shd w:val="clear" w:color="auto" w:fill="auto"/>
            <w:vAlign w:val="center"/>
          </w:tcPr>
          <w:p w14:paraId="2A453C4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60" w:type="dxa"/>
            <w:shd w:val="clear" w:color="auto" w:fill="auto"/>
            <w:vAlign w:val="center"/>
          </w:tcPr>
          <w:p w14:paraId="5AD470E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40" w:type="dxa"/>
            <w:vMerge w:val="continue"/>
            <w:vAlign w:val="center"/>
          </w:tcPr>
          <w:p w14:paraId="6410C161">
            <w:pPr>
              <w:widowControl/>
              <w:spacing w:after="0" w:line="240" w:lineRule="auto"/>
              <w:ind w:firstLine="0" w:firstLineChars="0"/>
              <w:jc w:val="left"/>
              <w:rPr>
                <w:rFonts w:ascii="黑体" w:hAnsi="黑体" w:eastAsia="黑体" w:cs="宋体"/>
                <w:i/>
                <w:iCs/>
                <w:color w:val="000000"/>
                <w:kern w:val="0"/>
                <w:sz w:val="18"/>
                <w:szCs w:val="18"/>
              </w:rPr>
            </w:pPr>
          </w:p>
        </w:tc>
      </w:tr>
      <w:tr w14:paraId="3D4EA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00" w:type="dxa"/>
            <w:vMerge w:val="restart"/>
            <w:shd w:val="clear" w:color="auto" w:fill="auto"/>
            <w:vAlign w:val="center"/>
          </w:tcPr>
          <w:p w14:paraId="3B155D4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绩效指标（90分）</w:t>
            </w:r>
          </w:p>
        </w:tc>
        <w:tc>
          <w:tcPr>
            <w:tcW w:w="1720" w:type="dxa"/>
            <w:shd w:val="clear" w:color="auto" w:fill="auto"/>
            <w:vAlign w:val="center"/>
          </w:tcPr>
          <w:p w14:paraId="14133F8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560" w:type="dxa"/>
            <w:shd w:val="clear" w:color="auto" w:fill="auto"/>
            <w:vAlign w:val="center"/>
          </w:tcPr>
          <w:p w14:paraId="1D74DA2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1760" w:type="dxa"/>
            <w:shd w:val="clear" w:color="auto" w:fill="auto"/>
            <w:vAlign w:val="center"/>
          </w:tcPr>
          <w:p w14:paraId="1D0BDE9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520" w:type="dxa"/>
            <w:shd w:val="clear" w:color="auto" w:fill="auto"/>
            <w:vAlign w:val="center"/>
          </w:tcPr>
          <w:p w14:paraId="263379E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指标性质</w:t>
            </w:r>
          </w:p>
        </w:tc>
        <w:tc>
          <w:tcPr>
            <w:tcW w:w="1060" w:type="dxa"/>
            <w:shd w:val="clear" w:color="auto" w:fill="auto"/>
            <w:vAlign w:val="center"/>
          </w:tcPr>
          <w:p w14:paraId="0CDA1CF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c>
          <w:tcPr>
            <w:tcW w:w="520" w:type="dxa"/>
            <w:shd w:val="clear" w:color="auto" w:fill="auto"/>
            <w:vAlign w:val="center"/>
          </w:tcPr>
          <w:p w14:paraId="4BE7504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度量单位</w:t>
            </w:r>
          </w:p>
        </w:tc>
        <w:tc>
          <w:tcPr>
            <w:tcW w:w="1100" w:type="dxa"/>
            <w:shd w:val="clear" w:color="auto" w:fill="auto"/>
            <w:vAlign w:val="center"/>
          </w:tcPr>
          <w:p w14:paraId="4E5D733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完成值</w:t>
            </w:r>
          </w:p>
        </w:tc>
        <w:tc>
          <w:tcPr>
            <w:tcW w:w="520" w:type="dxa"/>
            <w:shd w:val="clear" w:color="auto" w:fill="auto"/>
            <w:vAlign w:val="center"/>
          </w:tcPr>
          <w:p w14:paraId="58B15A9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权重</w:t>
            </w:r>
          </w:p>
        </w:tc>
        <w:tc>
          <w:tcPr>
            <w:tcW w:w="460" w:type="dxa"/>
            <w:shd w:val="clear" w:color="auto" w:fill="auto"/>
            <w:vAlign w:val="center"/>
          </w:tcPr>
          <w:p w14:paraId="4C119A3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得分</w:t>
            </w:r>
          </w:p>
        </w:tc>
        <w:tc>
          <w:tcPr>
            <w:tcW w:w="1140" w:type="dxa"/>
            <w:shd w:val="clear" w:color="auto" w:fill="auto"/>
            <w:vAlign w:val="center"/>
          </w:tcPr>
          <w:p w14:paraId="1C6761C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未完成原因分析</w:t>
            </w:r>
          </w:p>
        </w:tc>
      </w:tr>
      <w:tr w14:paraId="3977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00" w:type="dxa"/>
            <w:vMerge w:val="continue"/>
            <w:vAlign w:val="center"/>
          </w:tcPr>
          <w:p w14:paraId="003D4F44">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restart"/>
            <w:shd w:val="clear" w:color="auto" w:fill="auto"/>
            <w:vAlign w:val="center"/>
          </w:tcPr>
          <w:p w14:paraId="3290D75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560" w:type="dxa"/>
            <w:shd w:val="clear" w:color="auto" w:fill="auto"/>
            <w:vAlign w:val="center"/>
          </w:tcPr>
          <w:p w14:paraId="4C893DD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1760" w:type="dxa"/>
            <w:shd w:val="clear" w:color="auto" w:fill="auto"/>
            <w:vAlign w:val="center"/>
          </w:tcPr>
          <w:p w14:paraId="061B511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培训全市中小学教师</w:t>
            </w:r>
          </w:p>
        </w:tc>
        <w:tc>
          <w:tcPr>
            <w:tcW w:w="520" w:type="dxa"/>
            <w:shd w:val="clear" w:color="auto" w:fill="auto"/>
            <w:vAlign w:val="center"/>
          </w:tcPr>
          <w:p w14:paraId="7F27B2C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6481AE8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2500</w:t>
            </w:r>
          </w:p>
        </w:tc>
        <w:tc>
          <w:tcPr>
            <w:tcW w:w="520" w:type="dxa"/>
            <w:shd w:val="clear" w:color="auto" w:fill="auto"/>
            <w:vAlign w:val="center"/>
          </w:tcPr>
          <w:p w14:paraId="2EB6233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00" w:type="dxa"/>
            <w:shd w:val="clear" w:color="auto" w:fill="auto"/>
            <w:vAlign w:val="center"/>
          </w:tcPr>
          <w:p w14:paraId="21F7635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2500</w:t>
            </w:r>
          </w:p>
        </w:tc>
        <w:tc>
          <w:tcPr>
            <w:tcW w:w="520" w:type="dxa"/>
            <w:shd w:val="clear" w:color="auto" w:fill="auto"/>
            <w:vAlign w:val="center"/>
          </w:tcPr>
          <w:p w14:paraId="538D09A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60" w:type="dxa"/>
            <w:shd w:val="clear" w:color="auto" w:fill="auto"/>
            <w:vAlign w:val="center"/>
          </w:tcPr>
          <w:p w14:paraId="0DC2A0A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0" w:type="dxa"/>
            <w:shd w:val="clear" w:color="auto" w:fill="auto"/>
            <w:vAlign w:val="center"/>
          </w:tcPr>
          <w:p w14:paraId="7D5F518A">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5A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700" w:type="dxa"/>
            <w:vMerge w:val="continue"/>
            <w:vAlign w:val="center"/>
          </w:tcPr>
          <w:p w14:paraId="52E18F21">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3ECB61DE">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286C248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1760" w:type="dxa"/>
            <w:shd w:val="clear" w:color="auto" w:fill="auto"/>
            <w:vAlign w:val="center"/>
          </w:tcPr>
          <w:p w14:paraId="58233B2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进一步提升教师专业能力，打造高品质的峨眉教育</w:t>
            </w:r>
          </w:p>
        </w:tc>
        <w:tc>
          <w:tcPr>
            <w:tcW w:w="520" w:type="dxa"/>
            <w:shd w:val="clear" w:color="auto" w:fill="auto"/>
            <w:vAlign w:val="center"/>
          </w:tcPr>
          <w:p w14:paraId="79A5E3C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50640A2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3F649AD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2370445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25C6CAF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0D7C4EC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0C896FF8">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51A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700" w:type="dxa"/>
            <w:vMerge w:val="continue"/>
            <w:vAlign w:val="center"/>
          </w:tcPr>
          <w:p w14:paraId="74CB51C0">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76B1A505">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162D8B8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1760" w:type="dxa"/>
            <w:shd w:val="clear" w:color="auto" w:fill="auto"/>
            <w:vAlign w:val="center"/>
          </w:tcPr>
          <w:p w14:paraId="431B660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当年完成</w:t>
            </w:r>
          </w:p>
        </w:tc>
        <w:tc>
          <w:tcPr>
            <w:tcW w:w="520" w:type="dxa"/>
            <w:shd w:val="clear" w:color="auto" w:fill="auto"/>
            <w:vAlign w:val="center"/>
          </w:tcPr>
          <w:p w14:paraId="2CE14052">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032FFE0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20" w:type="dxa"/>
            <w:shd w:val="clear" w:color="auto" w:fill="auto"/>
            <w:vAlign w:val="center"/>
          </w:tcPr>
          <w:p w14:paraId="160A7EA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w:t>
            </w:r>
          </w:p>
        </w:tc>
        <w:tc>
          <w:tcPr>
            <w:tcW w:w="1100" w:type="dxa"/>
            <w:shd w:val="clear" w:color="auto" w:fill="auto"/>
            <w:vAlign w:val="center"/>
          </w:tcPr>
          <w:p w14:paraId="2118008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20" w:type="dxa"/>
            <w:shd w:val="clear" w:color="auto" w:fill="auto"/>
            <w:vAlign w:val="center"/>
          </w:tcPr>
          <w:p w14:paraId="022B4FF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460" w:type="dxa"/>
            <w:shd w:val="clear" w:color="auto" w:fill="auto"/>
            <w:vAlign w:val="center"/>
          </w:tcPr>
          <w:p w14:paraId="03321A0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140" w:type="dxa"/>
            <w:shd w:val="clear" w:color="auto" w:fill="auto"/>
            <w:vAlign w:val="center"/>
          </w:tcPr>
          <w:p w14:paraId="3338FC16">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43B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00" w:type="dxa"/>
            <w:vMerge w:val="continue"/>
            <w:vAlign w:val="center"/>
          </w:tcPr>
          <w:p w14:paraId="692B4963">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restart"/>
            <w:shd w:val="clear" w:color="auto" w:fill="auto"/>
            <w:vAlign w:val="center"/>
          </w:tcPr>
          <w:p w14:paraId="04CAE65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560" w:type="dxa"/>
            <w:shd w:val="clear" w:color="auto" w:fill="auto"/>
            <w:vAlign w:val="center"/>
          </w:tcPr>
          <w:p w14:paraId="10B675C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1760" w:type="dxa"/>
            <w:shd w:val="clear" w:color="auto" w:fill="auto"/>
            <w:vAlign w:val="center"/>
          </w:tcPr>
          <w:p w14:paraId="4B243E6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通过培训，进一步提升教师素养，为社会发展打下坚实的基础</w:t>
            </w:r>
          </w:p>
        </w:tc>
        <w:tc>
          <w:tcPr>
            <w:tcW w:w="520" w:type="dxa"/>
            <w:shd w:val="clear" w:color="auto" w:fill="auto"/>
            <w:vAlign w:val="center"/>
          </w:tcPr>
          <w:p w14:paraId="0B06817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16B2BB7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4717AA3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4C96355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3B5EB83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12A93887">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3E5796AA">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43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700" w:type="dxa"/>
            <w:vMerge w:val="continue"/>
            <w:vAlign w:val="center"/>
          </w:tcPr>
          <w:p w14:paraId="01A29D07">
            <w:pPr>
              <w:widowControl/>
              <w:spacing w:after="0" w:line="240" w:lineRule="auto"/>
              <w:ind w:firstLine="0" w:firstLineChars="0"/>
              <w:jc w:val="left"/>
              <w:rPr>
                <w:rFonts w:ascii="宋体" w:hAnsi="宋体" w:eastAsia="宋体" w:cs="宋体"/>
                <w:color w:val="000000"/>
                <w:kern w:val="0"/>
                <w:sz w:val="18"/>
                <w:szCs w:val="18"/>
              </w:rPr>
            </w:pPr>
          </w:p>
        </w:tc>
        <w:tc>
          <w:tcPr>
            <w:tcW w:w="1720" w:type="dxa"/>
            <w:vMerge w:val="continue"/>
            <w:vAlign w:val="center"/>
          </w:tcPr>
          <w:p w14:paraId="36FCC403">
            <w:pPr>
              <w:widowControl/>
              <w:spacing w:after="0" w:line="240" w:lineRule="auto"/>
              <w:ind w:firstLine="0" w:firstLineChars="0"/>
              <w:jc w:val="left"/>
              <w:rPr>
                <w:rFonts w:ascii="宋体" w:hAnsi="宋体" w:eastAsia="宋体" w:cs="宋体"/>
                <w:color w:val="000000"/>
                <w:kern w:val="0"/>
                <w:sz w:val="18"/>
                <w:szCs w:val="18"/>
              </w:rPr>
            </w:pPr>
          </w:p>
        </w:tc>
        <w:tc>
          <w:tcPr>
            <w:tcW w:w="1560" w:type="dxa"/>
            <w:shd w:val="clear" w:color="auto" w:fill="auto"/>
            <w:vAlign w:val="center"/>
          </w:tcPr>
          <w:p w14:paraId="22F1BBA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可持续发展指标</w:t>
            </w:r>
          </w:p>
        </w:tc>
        <w:tc>
          <w:tcPr>
            <w:tcW w:w="1760" w:type="dxa"/>
            <w:shd w:val="clear" w:color="auto" w:fill="auto"/>
            <w:vAlign w:val="center"/>
          </w:tcPr>
          <w:p w14:paraId="24F82E0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提升教育水平、打造高品质的峨眉教育</w:t>
            </w:r>
          </w:p>
        </w:tc>
        <w:tc>
          <w:tcPr>
            <w:tcW w:w="520" w:type="dxa"/>
            <w:shd w:val="clear" w:color="auto" w:fill="auto"/>
            <w:vAlign w:val="center"/>
          </w:tcPr>
          <w:p w14:paraId="121A23B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059D332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3FD1000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3682A6D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62C5B0F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22B20C8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3309E99F">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6F7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700" w:type="dxa"/>
            <w:vMerge w:val="continue"/>
            <w:vAlign w:val="center"/>
          </w:tcPr>
          <w:p w14:paraId="1F2F2615">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7028761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560" w:type="dxa"/>
            <w:shd w:val="clear" w:color="auto" w:fill="auto"/>
            <w:vAlign w:val="center"/>
          </w:tcPr>
          <w:p w14:paraId="3DACC05C">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1760" w:type="dxa"/>
            <w:shd w:val="clear" w:color="auto" w:fill="auto"/>
            <w:vAlign w:val="center"/>
          </w:tcPr>
          <w:p w14:paraId="5892DE65">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服务于人民满意的教育，打造高品质的峨眉教育</w:t>
            </w:r>
          </w:p>
        </w:tc>
        <w:tc>
          <w:tcPr>
            <w:tcW w:w="520" w:type="dxa"/>
            <w:shd w:val="clear" w:color="auto" w:fill="auto"/>
            <w:vAlign w:val="center"/>
          </w:tcPr>
          <w:p w14:paraId="741CAAD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1060" w:type="dxa"/>
            <w:shd w:val="clear" w:color="auto" w:fill="auto"/>
            <w:vAlign w:val="center"/>
          </w:tcPr>
          <w:p w14:paraId="37F347D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35431E8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shd w:val="clear" w:color="auto" w:fill="auto"/>
            <w:vAlign w:val="center"/>
          </w:tcPr>
          <w:p w14:paraId="2CF0FDA8">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优良</w:t>
            </w:r>
          </w:p>
        </w:tc>
        <w:tc>
          <w:tcPr>
            <w:tcW w:w="520" w:type="dxa"/>
            <w:shd w:val="clear" w:color="auto" w:fill="auto"/>
            <w:vAlign w:val="center"/>
          </w:tcPr>
          <w:p w14:paraId="295662A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60" w:type="dxa"/>
            <w:shd w:val="clear" w:color="auto" w:fill="auto"/>
            <w:vAlign w:val="center"/>
          </w:tcPr>
          <w:p w14:paraId="69617AA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140" w:type="dxa"/>
            <w:shd w:val="clear" w:color="auto" w:fill="auto"/>
            <w:vAlign w:val="center"/>
          </w:tcPr>
          <w:p w14:paraId="5839C542">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8462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700" w:type="dxa"/>
            <w:vMerge w:val="continue"/>
            <w:vAlign w:val="center"/>
          </w:tcPr>
          <w:p w14:paraId="1A536683">
            <w:pPr>
              <w:widowControl/>
              <w:spacing w:after="0" w:line="240" w:lineRule="auto"/>
              <w:ind w:firstLine="0" w:firstLineChars="0"/>
              <w:jc w:val="left"/>
              <w:rPr>
                <w:rFonts w:ascii="宋体" w:hAnsi="宋体" w:eastAsia="宋体" w:cs="宋体"/>
                <w:color w:val="000000"/>
                <w:kern w:val="0"/>
                <w:sz w:val="18"/>
                <w:szCs w:val="18"/>
              </w:rPr>
            </w:pPr>
          </w:p>
        </w:tc>
        <w:tc>
          <w:tcPr>
            <w:tcW w:w="1720" w:type="dxa"/>
            <w:shd w:val="clear" w:color="auto" w:fill="auto"/>
            <w:vAlign w:val="center"/>
          </w:tcPr>
          <w:p w14:paraId="0065ECFF">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1560" w:type="dxa"/>
            <w:shd w:val="clear" w:color="auto" w:fill="auto"/>
            <w:vAlign w:val="center"/>
          </w:tcPr>
          <w:p w14:paraId="6722D3F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经济成本指标</w:t>
            </w:r>
          </w:p>
        </w:tc>
        <w:tc>
          <w:tcPr>
            <w:tcW w:w="1760" w:type="dxa"/>
            <w:shd w:val="clear" w:color="auto" w:fill="auto"/>
            <w:vAlign w:val="center"/>
          </w:tcPr>
          <w:p w14:paraId="18080A6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控制成本</w:t>
            </w:r>
          </w:p>
        </w:tc>
        <w:tc>
          <w:tcPr>
            <w:tcW w:w="520" w:type="dxa"/>
            <w:shd w:val="clear" w:color="auto" w:fill="auto"/>
            <w:vAlign w:val="center"/>
          </w:tcPr>
          <w:p w14:paraId="489D678E">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060" w:type="dxa"/>
            <w:shd w:val="clear" w:color="auto" w:fill="auto"/>
            <w:vAlign w:val="center"/>
          </w:tcPr>
          <w:p w14:paraId="1038EA59">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200000</w:t>
            </w:r>
          </w:p>
        </w:tc>
        <w:tc>
          <w:tcPr>
            <w:tcW w:w="520" w:type="dxa"/>
            <w:shd w:val="clear" w:color="auto" w:fill="auto"/>
            <w:vAlign w:val="center"/>
          </w:tcPr>
          <w:p w14:paraId="0D47DAB4">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元</w:t>
            </w:r>
          </w:p>
        </w:tc>
        <w:tc>
          <w:tcPr>
            <w:tcW w:w="1100" w:type="dxa"/>
            <w:shd w:val="clear" w:color="auto" w:fill="auto"/>
            <w:vAlign w:val="center"/>
          </w:tcPr>
          <w:p w14:paraId="627DA611">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200000</w:t>
            </w:r>
          </w:p>
        </w:tc>
        <w:tc>
          <w:tcPr>
            <w:tcW w:w="520" w:type="dxa"/>
            <w:shd w:val="clear" w:color="auto" w:fill="auto"/>
            <w:vAlign w:val="center"/>
          </w:tcPr>
          <w:p w14:paraId="1EA26A33">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460" w:type="dxa"/>
            <w:shd w:val="clear" w:color="auto" w:fill="auto"/>
            <w:vAlign w:val="center"/>
          </w:tcPr>
          <w:p w14:paraId="521E864A">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140" w:type="dxa"/>
            <w:shd w:val="clear" w:color="auto" w:fill="auto"/>
            <w:vAlign w:val="center"/>
          </w:tcPr>
          <w:p w14:paraId="1E704B55">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97CD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940" w:type="dxa"/>
            <w:gridSpan w:val="8"/>
            <w:shd w:val="clear" w:color="auto" w:fill="auto"/>
            <w:vAlign w:val="center"/>
          </w:tcPr>
          <w:p w14:paraId="19973C2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520" w:type="dxa"/>
            <w:shd w:val="clear" w:color="auto" w:fill="auto"/>
            <w:vAlign w:val="center"/>
          </w:tcPr>
          <w:p w14:paraId="225628F0">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60" w:type="dxa"/>
            <w:shd w:val="clear" w:color="auto" w:fill="auto"/>
            <w:vAlign w:val="center"/>
          </w:tcPr>
          <w:p w14:paraId="622551E6">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140" w:type="dxa"/>
            <w:shd w:val="clear" w:color="auto" w:fill="auto"/>
            <w:vAlign w:val="center"/>
          </w:tcPr>
          <w:p w14:paraId="7F21974A">
            <w:pPr>
              <w:widowControl/>
              <w:spacing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E4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shd w:val="clear" w:color="auto" w:fill="auto"/>
            <w:vAlign w:val="center"/>
          </w:tcPr>
          <w:p w14:paraId="3121B20B">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评价结论</w:t>
            </w:r>
          </w:p>
        </w:tc>
        <w:tc>
          <w:tcPr>
            <w:tcW w:w="10360" w:type="dxa"/>
            <w:gridSpan w:val="10"/>
            <w:shd w:val="clear" w:color="auto" w:fill="auto"/>
            <w:vAlign w:val="center"/>
          </w:tcPr>
          <w:p w14:paraId="51347EB7">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全面完成年度工作目标，支出绩效自评分100分</w:t>
            </w:r>
          </w:p>
        </w:tc>
      </w:tr>
      <w:tr w14:paraId="4D060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0" w:type="dxa"/>
            <w:shd w:val="clear" w:color="auto" w:fill="auto"/>
            <w:vAlign w:val="center"/>
          </w:tcPr>
          <w:p w14:paraId="23AE59F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存在问题</w:t>
            </w:r>
          </w:p>
        </w:tc>
        <w:tc>
          <w:tcPr>
            <w:tcW w:w="10360" w:type="dxa"/>
            <w:gridSpan w:val="10"/>
            <w:shd w:val="clear" w:color="auto" w:fill="auto"/>
            <w:vAlign w:val="center"/>
          </w:tcPr>
          <w:p w14:paraId="4E246526">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BA1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00" w:type="dxa"/>
            <w:shd w:val="clear" w:color="auto" w:fill="auto"/>
            <w:vAlign w:val="center"/>
          </w:tcPr>
          <w:p w14:paraId="5B02772D">
            <w:pPr>
              <w:widowControl/>
              <w:spacing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改进措施</w:t>
            </w:r>
          </w:p>
        </w:tc>
        <w:tc>
          <w:tcPr>
            <w:tcW w:w="10360" w:type="dxa"/>
            <w:gridSpan w:val="10"/>
            <w:shd w:val="clear" w:color="auto" w:fill="auto"/>
            <w:vAlign w:val="center"/>
          </w:tcPr>
          <w:p w14:paraId="39B2A28F">
            <w:pPr>
              <w:widowControl/>
              <w:spacing w:after="0" w:line="240" w:lineRule="auto"/>
              <w:ind w:firstLine="0" w:firstLineChars="0"/>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324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260" w:type="dxa"/>
            <w:gridSpan w:val="5"/>
            <w:shd w:val="clear" w:color="auto" w:fill="auto"/>
            <w:vAlign w:val="center"/>
          </w:tcPr>
          <w:p w14:paraId="03370539">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项目负责人：李庆九</w:t>
            </w:r>
          </w:p>
        </w:tc>
        <w:tc>
          <w:tcPr>
            <w:tcW w:w="4800" w:type="dxa"/>
            <w:gridSpan w:val="6"/>
            <w:shd w:val="clear" w:color="auto" w:fill="auto"/>
            <w:vAlign w:val="center"/>
          </w:tcPr>
          <w:p w14:paraId="36E0CE24">
            <w:pPr>
              <w:widowControl/>
              <w:spacing w:after="0" w:line="240" w:lineRule="auto"/>
              <w:ind w:firstLine="0" w:firstLineChars="0"/>
              <w:jc w:val="left"/>
              <w:rPr>
                <w:rFonts w:ascii="黑体" w:hAnsi="黑体" w:eastAsia="黑体" w:cs="宋体"/>
                <w:color w:val="000000"/>
                <w:kern w:val="0"/>
                <w:sz w:val="18"/>
                <w:szCs w:val="18"/>
              </w:rPr>
            </w:pPr>
            <w:r>
              <w:rPr>
                <w:rFonts w:hint="eastAsia" w:ascii="黑体" w:hAnsi="黑体" w:eastAsia="黑体" w:cs="宋体"/>
                <w:color w:val="000000"/>
                <w:kern w:val="0"/>
                <w:sz w:val="18"/>
                <w:szCs w:val="18"/>
              </w:rPr>
              <w:t>财务负责人：朱媛媛</w:t>
            </w:r>
          </w:p>
        </w:tc>
      </w:tr>
    </w:tbl>
    <w:p w14:paraId="36117737">
      <w:pPr>
        <w:ind w:firstLine="640"/>
      </w:pPr>
    </w:p>
    <w:p w14:paraId="10A3198D">
      <w:pPr>
        <w:pStyle w:val="5"/>
        <w:ind w:firstLine="880"/>
      </w:pPr>
      <w:r>
        <w:rPr>
          <w:rFonts w:hint="eastAsia"/>
        </w:rPr>
        <w:t>第</w:t>
      </w:r>
      <w:r>
        <w:rPr>
          <w:rStyle w:val="28"/>
          <w:rFonts w:hint="eastAsia"/>
          <w:bCs/>
        </w:rPr>
        <w:t>五部分 附表</w:t>
      </w:r>
      <w:bookmarkEnd w:id="69"/>
      <w:bookmarkEnd w:id="70"/>
      <w:bookmarkEnd w:id="71"/>
      <w:bookmarkStart w:id="72" w:name="_Toc15396619"/>
    </w:p>
    <w:p w14:paraId="4DD2B3A4">
      <w:pPr>
        <w:ind w:firstLine="640"/>
      </w:pPr>
      <w:r>
        <w:rPr>
          <w:rFonts w:hint="eastAsia"/>
        </w:rPr>
        <w:t>一、收入支出决算总表</w:t>
      </w:r>
      <w:bookmarkEnd w:id="72"/>
    </w:p>
    <w:p w14:paraId="1E45CEA1">
      <w:pPr>
        <w:ind w:firstLine="640"/>
      </w:pPr>
      <w:bookmarkStart w:id="73" w:name="_Toc15396620"/>
      <w:r>
        <w:rPr>
          <w:rFonts w:hint="eastAsia"/>
        </w:rPr>
        <w:t>二、收入决算表</w:t>
      </w:r>
      <w:bookmarkEnd w:id="73"/>
    </w:p>
    <w:p w14:paraId="586FEF05">
      <w:pPr>
        <w:ind w:firstLine="640"/>
      </w:pPr>
      <w:bookmarkStart w:id="74" w:name="_Toc15396621"/>
      <w:r>
        <w:rPr>
          <w:rFonts w:hint="eastAsia"/>
        </w:rPr>
        <w:t>三、支出决算表</w:t>
      </w:r>
      <w:bookmarkEnd w:id="74"/>
    </w:p>
    <w:p w14:paraId="2C569850">
      <w:pPr>
        <w:ind w:firstLine="640"/>
      </w:pPr>
      <w:bookmarkStart w:id="75" w:name="_Toc15396622"/>
      <w:r>
        <w:rPr>
          <w:rFonts w:hint="eastAsia"/>
        </w:rPr>
        <w:t>四、财政拨款收入支出决算总表</w:t>
      </w:r>
      <w:bookmarkEnd w:id="75"/>
    </w:p>
    <w:p w14:paraId="52059981">
      <w:pPr>
        <w:ind w:firstLine="640"/>
      </w:pPr>
      <w:bookmarkStart w:id="76" w:name="_Toc15396623"/>
      <w:r>
        <w:rPr>
          <w:rFonts w:hint="eastAsia"/>
        </w:rPr>
        <w:t>五、财政拨款支出决算明细表</w:t>
      </w:r>
      <w:bookmarkEnd w:id="76"/>
      <w:bookmarkStart w:id="77" w:name="_Toc15396624"/>
    </w:p>
    <w:p w14:paraId="644F9101">
      <w:pPr>
        <w:ind w:firstLine="640"/>
      </w:pPr>
      <w:r>
        <w:rPr>
          <w:rFonts w:hint="eastAsia"/>
        </w:rPr>
        <w:t>六、一般公共预算财政拨款支出决算表</w:t>
      </w:r>
      <w:bookmarkEnd w:id="77"/>
    </w:p>
    <w:p w14:paraId="281AD527">
      <w:pPr>
        <w:ind w:firstLine="640"/>
      </w:pPr>
      <w:bookmarkStart w:id="78" w:name="_Toc15396625"/>
      <w:r>
        <w:rPr>
          <w:rFonts w:hint="eastAsia"/>
        </w:rPr>
        <w:t>七、一般公共预算财政拨款支出决算明细表</w:t>
      </w:r>
      <w:bookmarkEnd w:id="78"/>
    </w:p>
    <w:p w14:paraId="3DE4034C">
      <w:pPr>
        <w:ind w:firstLine="640"/>
      </w:pPr>
      <w:bookmarkStart w:id="79" w:name="_Toc15396626"/>
      <w:r>
        <w:rPr>
          <w:rFonts w:hint="eastAsia"/>
        </w:rPr>
        <w:t>八、一般公共预算财政拨款基本支出决算表</w:t>
      </w:r>
      <w:bookmarkEnd w:id="79"/>
    </w:p>
    <w:p w14:paraId="0D43533E">
      <w:pPr>
        <w:ind w:firstLine="640"/>
      </w:pPr>
      <w:bookmarkStart w:id="80" w:name="_Toc15396627"/>
      <w:r>
        <w:rPr>
          <w:rFonts w:hint="eastAsia"/>
        </w:rPr>
        <w:t>九、一般公共预算财政拨款项目支出决算表</w:t>
      </w:r>
      <w:bookmarkEnd w:id="80"/>
    </w:p>
    <w:p w14:paraId="79176EBC">
      <w:pPr>
        <w:ind w:firstLine="640"/>
      </w:pPr>
      <w:bookmarkStart w:id="81" w:name="_Toc15396628"/>
      <w:r>
        <w:rPr>
          <w:rFonts w:hint="eastAsia"/>
        </w:rPr>
        <w:t>十、</w:t>
      </w:r>
      <w:bookmarkEnd w:id="81"/>
      <w:r>
        <w:rPr>
          <w:rFonts w:hint="eastAsia"/>
        </w:rPr>
        <w:t>政府性基金预算财政拨款收入支出决算表</w:t>
      </w:r>
    </w:p>
    <w:p w14:paraId="4BC4765B">
      <w:pPr>
        <w:ind w:firstLine="640"/>
      </w:pPr>
      <w:bookmarkStart w:id="82" w:name="_Toc15396629"/>
      <w:r>
        <w:rPr>
          <w:rFonts w:hint="eastAsia"/>
        </w:rPr>
        <w:t>十一、</w:t>
      </w:r>
      <w:bookmarkEnd w:id="82"/>
      <w:r>
        <w:rPr>
          <w:rFonts w:hint="eastAsia"/>
        </w:rPr>
        <w:t>国有资本经营预算财政拨款收入支出决算表</w:t>
      </w:r>
    </w:p>
    <w:p w14:paraId="1FFF02AE">
      <w:pPr>
        <w:ind w:firstLine="640"/>
      </w:pPr>
      <w:bookmarkStart w:id="83" w:name="_Toc15396630"/>
      <w:r>
        <w:rPr>
          <w:rFonts w:hint="eastAsia"/>
        </w:rPr>
        <w:t>十二、</w:t>
      </w:r>
      <w:bookmarkEnd w:id="83"/>
      <w:r>
        <w:rPr>
          <w:rFonts w:hint="eastAsia"/>
        </w:rPr>
        <w:t>国有资本经营预算财政拨款支出决算表</w:t>
      </w:r>
    </w:p>
    <w:p w14:paraId="75364C06">
      <w:pPr>
        <w:ind w:firstLine="640"/>
      </w:pPr>
      <w:bookmarkStart w:id="84" w:name="_Toc15396631"/>
      <w:r>
        <w:rPr>
          <w:rFonts w:hint="eastAsia"/>
        </w:rPr>
        <w:t>十三、</w:t>
      </w:r>
      <w:bookmarkEnd w:id="84"/>
      <w:r>
        <w:rPr>
          <w:rFonts w:hint="eastAsia"/>
        </w:rPr>
        <w:t>财政拨款“三公”经费支出决算表</w:t>
      </w:r>
    </w:p>
    <w:sectPr>
      <w:footerReference r:id="rId12" w:type="first"/>
      <w:footerReference r:id="rId11" w:type="default"/>
      <w:pgSz w:w="11906" w:h="16838"/>
      <w:pgMar w:top="1417" w:right="1417" w:bottom="1134" w:left="1417" w:header="851" w:footer="992" w:gutter="0"/>
      <w:pgNumType w:fmt="numberInDash" w:start="1"/>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784E">
    <w:pPr>
      <w:pStyle w:val="11"/>
      <w:ind w:firstLine="360"/>
      <w:jc w:val="center"/>
    </w:pPr>
  </w:p>
  <w:p w14:paraId="70F8C49E">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16AE">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1C33">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2D6E7">
    <w:pPr>
      <w:pStyle w:val="11"/>
      <w:ind w:firstLine="360"/>
      <w:jc w:val="center"/>
    </w:pPr>
  </w:p>
  <w:p w14:paraId="4CE0959F">
    <w:pPr>
      <w:pStyle w:val="11"/>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445C">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6CB7">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953EE">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47B9">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061DE"/>
    <w:rsid w:val="000222C6"/>
    <w:rsid w:val="000233BE"/>
    <w:rsid w:val="0002549F"/>
    <w:rsid w:val="000348F6"/>
    <w:rsid w:val="000468DB"/>
    <w:rsid w:val="0006487A"/>
    <w:rsid w:val="00065F8F"/>
    <w:rsid w:val="00070A43"/>
    <w:rsid w:val="000768F2"/>
    <w:rsid w:val="00077E2D"/>
    <w:rsid w:val="0009184B"/>
    <w:rsid w:val="00094236"/>
    <w:rsid w:val="0009593C"/>
    <w:rsid w:val="00097322"/>
    <w:rsid w:val="000A6A92"/>
    <w:rsid w:val="000B047F"/>
    <w:rsid w:val="000B5923"/>
    <w:rsid w:val="000B5A48"/>
    <w:rsid w:val="000B6FF3"/>
    <w:rsid w:val="000C3467"/>
    <w:rsid w:val="000C3CA6"/>
    <w:rsid w:val="000C706E"/>
    <w:rsid w:val="000D1267"/>
    <w:rsid w:val="000D1D50"/>
    <w:rsid w:val="000D5782"/>
    <w:rsid w:val="000E6613"/>
    <w:rsid w:val="000E7119"/>
    <w:rsid w:val="00114E9B"/>
    <w:rsid w:val="00116AC2"/>
    <w:rsid w:val="001324CD"/>
    <w:rsid w:val="00133B6A"/>
    <w:rsid w:val="00142216"/>
    <w:rsid w:val="00144D6A"/>
    <w:rsid w:val="0014729F"/>
    <w:rsid w:val="001508D8"/>
    <w:rsid w:val="00157BAB"/>
    <w:rsid w:val="001654D1"/>
    <w:rsid w:val="0017338A"/>
    <w:rsid w:val="00173EA9"/>
    <w:rsid w:val="00174518"/>
    <w:rsid w:val="0018106D"/>
    <w:rsid w:val="001877A7"/>
    <w:rsid w:val="00191536"/>
    <w:rsid w:val="00196687"/>
    <w:rsid w:val="001B3841"/>
    <w:rsid w:val="001C0962"/>
    <w:rsid w:val="001D5049"/>
    <w:rsid w:val="001D7531"/>
    <w:rsid w:val="001E737D"/>
    <w:rsid w:val="001F0592"/>
    <w:rsid w:val="001F7506"/>
    <w:rsid w:val="002006CD"/>
    <w:rsid w:val="00202B36"/>
    <w:rsid w:val="00204B7A"/>
    <w:rsid w:val="00204CDE"/>
    <w:rsid w:val="0021101A"/>
    <w:rsid w:val="00220536"/>
    <w:rsid w:val="00235629"/>
    <w:rsid w:val="00260C38"/>
    <w:rsid w:val="002616C0"/>
    <w:rsid w:val="00261B56"/>
    <w:rsid w:val="00265372"/>
    <w:rsid w:val="002662AA"/>
    <w:rsid w:val="00272112"/>
    <w:rsid w:val="00280496"/>
    <w:rsid w:val="00284F90"/>
    <w:rsid w:val="00294DC9"/>
    <w:rsid w:val="00295495"/>
    <w:rsid w:val="002A31DE"/>
    <w:rsid w:val="002A410D"/>
    <w:rsid w:val="002B2613"/>
    <w:rsid w:val="002B7C1B"/>
    <w:rsid w:val="002D6D05"/>
    <w:rsid w:val="002E0B81"/>
    <w:rsid w:val="002E502B"/>
    <w:rsid w:val="002F1818"/>
    <w:rsid w:val="002F567B"/>
    <w:rsid w:val="003216A9"/>
    <w:rsid w:val="0032515D"/>
    <w:rsid w:val="00325556"/>
    <w:rsid w:val="00335A74"/>
    <w:rsid w:val="003405FA"/>
    <w:rsid w:val="00342612"/>
    <w:rsid w:val="0035185E"/>
    <w:rsid w:val="003572F8"/>
    <w:rsid w:val="00362966"/>
    <w:rsid w:val="00362E9D"/>
    <w:rsid w:val="00365575"/>
    <w:rsid w:val="0036561B"/>
    <w:rsid w:val="0037013F"/>
    <w:rsid w:val="00380C92"/>
    <w:rsid w:val="00386154"/>
    <w:rsid w:val="003A484F"/>
    <w:rsid w:val="003A4883"/>
    <w:rsid w:val="003B0BE0"/>
    <w:rsid w:val="003B0C1B"/>
    <w:rsid w:val="003B688C"/>
    <w:rsid w:val="003C0291"/>
    <w:rsid w:val="003C30B0"/>
    <w:rsid w:val="003C39AE"/>
    <w:rsid w:val="003C7B60"/>
    <w:rsid w:val="003D0C0F"/>
    <w:rsid w:val="003D1FB2"/>
    <w:rsid w:val="003D66DA"/>
    <w:rsid w:val="003E1310"/>
    <w:rsid w:val="003E6F55"/>
    <w:rsid w:val="00406254"/>
    <w:rsid w:val="004223DE"/>
    <w:rsid w:val="00434489"/>
    <w:rsid w:val="00437085"/>
    <w:rsid w:val="00443880"/>
    <w:rsid w:val="004447E0"/>
    <w:rsid w:val="004464F4"/>
    <w:rsid w:val="004623F0"/>
    <w:rsid w:val="004630E8"/>
    <w:rsid w:val="00471401"/>
    <w:rsid w:val="00473F31"/>
    <w:rsid w:val="0048263A"/>
    <w:rsid w:val="00487E5D"/>
    <w:rsid w:val="004929FA"/>
    <w:rsid w:val="004A711F"/>
    <w:rsid w:val="004B199D"/>
    <w:rsid w:val="004B4690"/>
    <w:rsid w:val="004D213F"/>
    <w:rsid w:val="004E0A2D"/>
    <w:rsid w:val="004E206B"/>
    <w:rsid w:val="004E6DF7"/>
    <w:rsid w:val="004F0FBD"/>
    <w:rsid w:val="00505A47"/>
    <w:rsid w:val="00512FDA"/>
    <w:rsid w:val="00520DA0"/>
    <w:rsid w:val="0053695E"/>
    <w:rsid w:val="00537E58"/>
    <w:rsid w:val="005664BB"/>
    <w:rsid w:val="00566FFA"/>
    <w:rsid w:val="0057481D"/>
    <w:rsid w:val="005761CC"/>
    <w:rsid w:val="0058486E"/>
    <w:rsid w:val="00585B33"/>
    <w:rsid w:val="0059014D"/>
    <w:rsid w:val="005B5C64"/>
    <w:rsid w:val="005C5337"/>
    <w:rsid w:val="005C6BD0"/>
    <w:rsid w:val="005D1C8B"/>
    <w:rsid w:val="005D468D"/>
    <w:rsid w:val="005D5CED"/>
    <w:rsid w:val="005E687F"/>
    <w:rsid w:val="005F1A4C"/>
    <w:rsid w:val="00602DEF"/>
    <w:rsid w:val="00605688"/>
    <w:rsid w:val="0060632C"/>
    <w:rsid w:val="006070AF"/>
    <w:rsid w:val="00607E6C"/>
    <w:rsid w:val="006101B1"/>
    <w:rsid w:val="00613B83"/>
    <w:rsid w:val="00614E44"/>
    <w:rsid w:val="0062270A"/>
    <w:rsid w:val="00622830"/>
    <w:rsid w:val="00623DA0"/>
    <w:rsid w:val="00630AEF"/>
    <w:rsid w:val="006325F8"/>
    <w:rsid w:val="00633463"/>
    <w:rsid w:val="00634C9A"/>
    <w:rsid w:val="006440E4"/>
    <w:rsid w:val="0066343B"/>
    <w:rsid w:val="006643CE"/>
    <w:rsid w:val="00664777"/>
    <w:rsid w:val="006748A4"/>
    <w:rsid w:val="00681A31"/>
    <w:rsid w:val="00683E73"/>
    <w:rsid w:val="00696A76"/>
    <w:rsid w:val="006A3141"/>
    <w:rsid w:val="006A5E34"/>
    <w:rsid w:val="006B2422"/>
    <w:rsid w:val="006B2B9A"/>
    <w:rsid w:val="006C1937"/>
    <w:rsid w:val="006D170C"/>
    <w:rsid w:val="006D3D42"/>
    <w:rsid w:val="006E6C86"/>
    <w:rsid w:val="006F020C"/>
    <w:rsid w:val="007127B7"/>
    <w:rsid w:val="0071798E"/>
    <w:rsid w:val="00726379"/>
    <w:rsid w:val="007416B6"/>
    <w:rsid w:val="00743C73"/>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2FDA"/>
    <w:rsid w:val="007E5FB9"/>
    <w:rsid w:val="007F1991"/>
    <w:rsid w:val="007F2C2F"/>
    <w:rsid w:val="007F55FC"/>
    <w:rsid w:val="007F5665"/>
    <w:rsid w:val="00800112"/>
    <w:rsid w:val="00813348"/>
    <w:rsid w:val="008253BB"/>
    <w:rsid w:val="00825869"/>
    <w:rsid w:val="00833454"/>
    <w:rsid w:val="0083706E"/>
    <w:rsid w:val="008408F6"/>
    <w:rsid w:val="008423A5"/>
    <w:rsid w:val="00844BC2"/>
    <w:rsid w:val="008469B9"/>
    <w:rsid w:val="00850625"/>
    <w:rsid w:val="00853718"/>
    <w:rsid w:val="00855221"/>
    <w:rsid w:val="00857320"/>
    <w:rsid w:val="00860645"/>
    <w:rsid w:val="00865AB3"/>
    <w:rsid w:val="00871F71"/>
    <w:rsid w:val="00872FD8"/>
    <w:rsid w:val="00885AF4"/>
    <w:rsid w:val="008939CD"/>
    <w:rsid w:val="008B768C"/>
    <w:rsid w:val="008C2103"/>
    <w:rsid w:val="008C32C0"/>
    <w:rsid w:val="008C4DB1"/>
    <w:rsid w:val="008C4EAF"/>
    <w:rsid w:val="008C5176"/>
    <w:rsid w:val="008C7FD0"/>
    <w:rsid w:val="008E1DE7"/>
    <w:rsid w:val="008E707C"/>
    <w:rsid w:val="00900B08"/>
    <w:rsid w:val="00902155"/>
    <w:rsid w:val="009028B6"/>
    <w:rsid w:val="00902FA3"/>
    <w:rsid w:val="00916B01"/>
    <w:rsid w:val="00923564"/>
    <w:rsid w:val="0092392E"/>
    <w:rsid w:val="00927B88"/>
    <w:rsid w:val="009315F9"/>
    <w:rsid w:val="00933499"/>
    <w:rsid w:val="00935C98"/>
    <w:rsid w:val="00946945"/>
    <w:rsid w:val="00951248"/>
    <w:rsid w:val="0095152F"/>
    <w:rsid w:val="00954C49"/>
    <w:rsid w:val="00955030"/>
    <w:rsid w:val="00955E37"/>
    <w:rsid w:val="0097099F"/>
    <w:rsid w:val="00971997"/>
    <w:rsid w:val="00971FFC"/>
    <w:rsid w:val="0098660A"/>
    <w:rsid w:val="009931C3"/>
    <w:rsid w:val="009B2C43"/>
    <w:rsid w:val="009B3582"/>
    <w:rsid w:val="009B4EAE"/>
    <w:rsid w:val="009B7573"/>
    <w:rsid w:val="009C22F4"/>
    <w:rsid w:val="009C2A4B"/>
    <w:rsid w:val="009C2E98"/>
    <w:rsid w:val="009D3447"/>
    <w:rsid w:val="009D4711"/>
    <w:rsid w:val="009F1185"/>
    <w:rsid w:val="009F18CD"/>
    <w:rsid w:val="009F1C07"/>
    <w:rsid w:val="009F2A13"/>
    <w:rsid w:val="009F7527"/>
    <w:rsid w:val="00A04EB0"/>
    <w:rsid w:val="00A135BD"/>
    <w:rsid w:val="00A13CC1"/>
    <w:rsid w:val="00A16847"/>
    <w:rsid w:val="00A237D8"/>
    <w:rsid w:val="00A268C4"/>
    <w:rsid w:val="00A307CD"/>
    <w:rsid w:val="00A331C8"/>
    <w:rsid w:val="00A40A00"/>
    <w:rsid w:val="00A4142F"/>
    <w:rsid w:val="00A422EB"/>
    <w:rsid w:val="00A45BB7"/>
    <w:rsid w:val="00A56DF2"/>
    <w:rsid w:val="00A56E6E"/>
    <w:rsid w:val="00A64D46"/>
    <w:rsid w:val="00A67AB5"/>
    <w:rsid w:val="00A733B2"/>
    <w:rsid w:val="00A741C2"/>
    <w:rsid w:val="00A91760"/>
    <w:rsid w:val="00A93B00"/>
    <w:rsid w:val="00A93C21"/>
    <w:rsid w:val="00AB64C9"/>
    <w:rsid w:val="00AC3C6A"/>
    <w:rsid w:val="00AC7110"/>
    <w:rsid w:val="00AD5620"/>
    <w:rsid w:val="00AD656B"/>
    <w:rsid w:val="00AD7C1B"/>
    <w:rsid w:val="00AE16BA"/>
    <w:rsid w:val="00AE1EBE"/>
    <w:rsid w:val="00AF3021"/>
    <w:rsid w:val="00B03C9D"/>
    <w:rsid w:val="00B060AE"/>
    <w:rsid w:val="00B10517"/>
    <w:rsid w:val="00B14E76"/>
    <w:rsid w:val="00B161B8"/>
    <w:rsid w:val="00B2048C"/>
    <w:rsid w:val="00B24ACC"/>
    <w:rsid w:val="00B2773A"/>
    <w:rsid w:val="00B310B9"/>
    <w:rsid w:val="00B35F3F"/>
    <w:rsid w:val="00B36CBB"/>
    <w:rsid w:val="00B4131F"/>
    <w:rsid w:val="00B425E0"/>
    <w:rsid w:val="00B440AA"/>
    <w:rsid w:val="00B44B70"/>
    <w:rsid w:val="00B455E4"/>
    <w:rsid w:val="00B5206C"/>
    <w:rsid w:val="00B53C56"/>
    <w:rsid w:val="00B57DAF"/>
    <w:rsid w:val="00B77EA6"/>
    <w:rsid w:val="00B81598"/>
    <w:rsid w:val="00B841F1"/>
    <w:rsid w:val="00B944D6"/>
    <w:rsid w:val="00BB4DF0"/>
    <w:rsid w:val="00BC289F"/>
    <w:rsid w:val="00BC2D50"/>
    <w:rsid w:val="00BC5361"/>
    <w:rsid w:val="00BC5460"/>
    <w:rsid w:val="00BC6B50"/>
    <w:rsid w:val="00BD0E25"/>
    <w:rsid w:val="00BD6525"/>
    <w:rsid w:val="00BF5BD6"/>
    <w:rsid w:val="00C03E31"/>
    <w:rsid w:val="00C229B4"/>
    <w:rsid w:val="00C25F71"/>
    <w:rsid w:val="00C33E72"/>
    <w:rsid w:val="00C354B2"/>
    <w:rsid w:val="00C35554"/>
    <w:rsid w:val="00C41223"/>
    <w:rsid w:val="00C42709"/>
    <w:rsid w:val="00C45C3E"/>
    <w:rsid w:val="00C533CC"/>
    <w:rsid w:val="00C5751C"/>
    <w:rsid w:val="00C61BFC"/>
    <w:rsid w:val="00C62B85"/>
    <w:rsid w:val="00C65438"/>
    <w:rsid w:val="00C87646"/>
    <w:rsid w:val="00C87FD8"/>
    <w:rsid w:val="00C91381"/>
    <w:rsid w:val="00C91CBB"/>
    <w:rsid w:val="00CB4E70"/>
    <w:rsid w:val="00CC09B6"/>
    <w:rsid w:val="00CC666F"/>
    <w:rsid w:val="00CD1E3F"/>
    <w:rsid w:val="00CE2DE2"/>
    <w:rsid w:val="00CE44F6"/>
    <w:rsid w:val="00CE49DA"/>
    <w:rsid w:val="00CE7B61"/>
    <w:rsid w:val="00D00095"/>
    <w:rsid w:val="00D114F0"/>
    <w:rsid w:val="00D20620"/>
    <w:rsid w:val="00D254F7"/>
    <w:rsid w:val="00D26091"/>
    <w:rsid w:val="00D2685C"/>
    <w:rsid w:val="00D34E7C"/>
    <w:rsid w:val="00D35489"/>
    <w:rsid w:val="00D36AFE"/>
    <w:rsid w:val="00D51276"/>
    <w:rsid w:val="00D606B3"/>
    <w:rsid w:val="00D7035F"/>
    <w:rsid w:val="00D8252D"/>
    <w:rsid w:val="00DA4DF6"/>
    <w:rsid w:val="00DA634F"/>
    <w:rsid w:val="00DA65AC"/>
    <w:rsid w:val="00DB1913"/>
    <w:rsid w:val="00DC410D"/>
    <w:rsid w:val="00DC5A81"/>
    <w:rsid w:val="00DC68CA"/>
    <w:rsid w:val="00DC7CBA"/>
    <w:rsid w:val="00DD73B7"/>
    <w:rsid w:val="00DF28BC"/>
    <w:rsid w:val="00DF34B9"/>
    <w:rsid w:val="00DF4DC5"/>
    <w:rsid w:val="00DF540C"/>
    <w:rsid w:val="00E01053"/>
    <w:rsid w:val="00E07ACF"/>
    <w:rsid w:val="00E17DBE"/>
    <w:rsid w:val="00E331A1"/>
    <w:rsid w:val="00E33202"/>
    <w:rsid w:val="00E336A9"/>
    <w:rsid w:val="00E40972"/>
    <w:rsid w:val="00E472B1"/>
    <w:rsid w:val="00E50624"/>
    <w:rsid w:val="00E54633"/>
    <w:rsid w:val="00E568DF"/>
    <w:rsid w:val="00E61370"/>
    <w:rsid w:val="00E64269"/>
    <w:rsid w:val="00E82267"/>
    <w:rsid w:val="00E853CE"/>
    <w:rsid w:val="00E867B6"/>
    <w:rsid w:val="00E91055"/>
    <w:rsid w:val="00E976CF"/>
    <w:rsid w:val="00EA010F"/>
    <w:rsid w:val="00EC242D"/>
    <w:rsid w:val="00ED01F2"/>
    <w:rsid w:val="00ED1B63"/>
    <w:rsid w:val="00ED3C1F"/>
    <w:rsid w:val="00ED4085"/>
    <w:rsid w:val="00ED420E"/>
    <w:rsid w:val="00ED6FBE"/>
    <w:rsid w:val="00ED7B0B"/>
    <w:rsid w:val="00EE2F57"/>
    <w:rsid w:val="00EF4C34"/>
    <w:rsid w:val="00EF77C6"/>
    <w:rsid w:val="00F05438"/>
    <w:rsid w:val="00F07893"/>
    <w:rsid w:val="00F11E50"/>
    <w:rsid w:val="00F1361C"/>
    <w:rsid w:val="00F156F0"/>
    <w:rsid w:val="00F160C7"/>
    <w:rsid w:val="00F2408F"/>
    <w:rsid w:val="00F240E9"/>
    <w:rsid w:val="00F36D8F"/>
    <w:rsid w:val="00F417B1"/>
    <w:rsid w:val="00F45853"/>
    <w:rsid w:val="00F602DF"/>
    <w:rsid w:val="00F60BF4"/>
    <w:rsid w:val="00F619D3"/>
    <w:rsid w:val="00F64B89"/>
    <w:rsid w:val="00F754A1"/>
    <w:rsid w:val="00F81FD9"/>
    <w:rsid w:val="00F841AA"/>
    <w:rsid w:val="00F84A94"/>
    <w:rsid w:val="00F87E96"/>
    <w:rsid w:val="00F93645"/>
    <w:rsid w:val="00FA23E8"/>
    <w:rsid w:val="00FB690B"/>
    <w:rsid w:val="00FD06F0"/>
    <w:rsid w:val="00FD3CC1"/>
    <w:rsid w:val="00FD5030"/>
    <w:rsid w:val="00FF1E02"/>
    <w:rsid w:val="00FF30B4"/>
    <w:rsid w:val="00FF60B2"/>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CF71E7"/>
    <w:rsid w:val="2DF04E50"/>
    <w:rsid w:val="2E586DFA"/>
    <w:rsid w:val="2EE00E70"/>
    <w:rsid w:val="2F040D46"/>
    <w:rsid w:val="2F6B035B"/>
    <w:rsid w:val="2FAE5751"/>
    <w:rsid w:val="2FB1A395"/>
    <w:rsid w:val="2FD9A7D8"/>
    <w:rsid w:val="2FDBF714"/>
    <w:rsid w:val="30AB6865"/>
    <w:rsid w:val="31542E21"/>
    <w:rsid w:val="319F7F4E"/>
    <w:rsid w:val="32BD1EF1"/>
    <w:rsid w:val="3304709D"/>
    <w:rsid w:val="33A773CB"/>
    <w:rsid w:val="345A1510"/>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B553A5"/>
    <w:rsid w:val="53F74C96"/>
    <w:rsid w:val="54984C79"/>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A1168B"/>
    <w:rsid w:val="62BF3928"/>
    <w:rsid w:val="63B3701E"/>
    <w:rsid w:val="647F5392"/>
    <w:rsid w:val="65E66580"/>
    <w:rsid w:val="664B1D71"/>
    <w:rsid w:val="664B4E8E"/>
    <w:rsid w:val="67277B67"/>
    <w:rsid w:val="67AA3209"/>
    <w:rsid w:val="698D0931"/>
    <w:rsid w:val="6A7FE5F3"/>
    <w:rsid w:val="6A991870"/>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BF098E"/>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60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28"/>
    <w:qFormat/>
    <w:uiPriority w:val="9"/>
    <w:pPr>
      <w:keepNext/>
      <w:keepLines/>
      <w:spacing w:before="260" w:after="260" w:line="578" w:lineRule="auto"/>
      <w:jc w:val="center"/>
      <w:outlineLvl w:val="0"/>
    </w:pPr>
    <w:rPr>
      <w:rFonts w:eastAsia="方正小标宋简体"/>
      <w:bCs/>
      <w:kern w:val="44"/>
      <w:sz w:val="44"/>
      <w:szCs w:val="44"/>
    </w:rPr>
  </w:style>
  <w:style w:type="paragraph" w:styleId="6">
    <w:name w:val="heading 2"/>
    <w:basedOn w:val="1"/>
    <w:next w:val="1"/>
    <w:link w:val="29"/>
    <w:unhideWhenUsed/>
    <w:qFormat/>
    <w:uiPriority w:val="9"/>
    <w:pPr>
      <w:keepNext/>
      <w:keepLines/>
      <w:spacing w:before="260" w:after="260" w:line="415" w:lineRule="auto"/>
      <w:outlineLvl w:val="1"/>
    </w:pPr>
    <w:rPr>
      <w:rFonts w:asciiTheme="majorHAnsi" w:hAnsiTheme="majorHAnsi" w:eastAsiaTheme="majorEastAsia" w:cstheme="majorBidi"/>
      <w:b/>
      <w:bCs/>
      <w:szCs w:val="32"/>
    </w:rPr>
  </w:style>
  <w:style w:type="paragraph" w:styleId="7">
    <w:name w:val="heading 3"/>
    <w:basedOn w:val="1"/>
    <w:next w:val="1"/>
    <w:link w:val="32"/>
    <w:unhideWhenUsed/>
    <w:qFormat/>
    <w:uiPriority w:val="9"/>
    <w:pPr>
      <w:keepNext/>
      <w:keepLines/>
      <w:spacing w:before="260" w:after="260" w:line="415" w:lineRule="auto"/>
      <w:outlineLvl w:val="2"/>
    </w:pPr>
    <w:rPr>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spacing w:after="160" w:line="278" w:lineRule="auto"/>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pPr>
  </w:style>
  <w:style w:type="character" w:customStyle="1" w:styleId="28">
    <w:name w:val="标题 1 字符"/>
    <w:basedOn w:val="16"/>
    <w:link w:val="5"/>
    <w:qFormat/>
    <w:uiPriority w:val="9"/>
    <w:rPr>
      <w:rFonts w:ascii="Times New Roman" w:hAnsi="Times New Roman" w:eastAsia="方正小标宋简体" w:cs="Times New Roman"/>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eastAsia="宋体" w:cs="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6.png"/><Relationship Id="rId25" Type="http://schemas.openxmlformats.org/officeDocument/2006/relationships/chart" Target="charts/chart7.xml"/><Relationship Id="rId24" Type="http://schemas.openxmlformats.org/officeDocument/2006/relationships/image" Target="media/image5.png"/><Relationship Id="rId23" Type="http://schemas.openxmlformats.org/officeDocument/2006/relationships/chart" Target="charts/chart6.xml"/><Relationship Id="rId22" Type="http://schemas.openxmlformats.org/officeDocument/2006/relationships/image" Target="media/image4.png"/><Relationship Id="rId21" Type="http://schemas.openxmlformats.org/officeDocument/2006/relationships/chart" Target="charts/chart5.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image" Target="media/image2.png"/><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image" Target="media/image1.png"/><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Desktop\2025.11.24&#20915;&#31639;&#20844;&#24320;\&#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Desktop\&#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Desktop\&#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Desktop\2025.11.24&#20915;&#31639;&#20844;&#24320;\&#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Desktop\2025.11.24&#20915;&#31639;&#20844;&#24320;\&#20915;&#31639;&#20844;&#24320;&#2999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Desktop\2025.11.24&#20915;&#31639;&#20844;&#24320;\&#20915;&#31639;&#20844;&#24320;&#29992;&#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Desktop\2025.11.24&#20915;&#31639;&#20844;&#24320;\&#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Sheet1!$A$117:$A$120</c:f>
              <c:strCache>
                <c:ptCount val="2"/>
                <c:pt idx="0">
                  <c:v>2023年收、支</c:v>
                </c:pt>
                <c:pt idx="1">
                  <c:v>2024年收、支</c:v>
                </c:pt>
              </c:strCache>
            </c:strRef>
          </c:cat>
          <c:val>
            <c:numRef>
              <c:f>Sheet1!$B$117:$B$120</c:f>
              <c:numCache>
                <c:formatCode>General</c:formatCode>
                <c:ptCount val="4"/>
                <c:pt idx="0">
                  <c:v>945.25</c:v>
                </c:pt>
                <c:pt idx="1">
                  <c:v>861.16</c:v>
                </c:pt>
              </c:numCache>
            </c:numRef>
          </c:val>
        </c:ser>
        <c:dLbls>
          <c:showLegendKey val="0"/>
          <c:showVal val="0"/>
          <c:showCatName val="0"/>
          <c:showSerName val="0"/>
          <c:showPercent val="0"/>
          <c:showBubbleSize val="0"/>
        </c:dLbls>
        <c:gapWidth val="150"/>
        <c:overlap val="100"/>
        <c:axId val="217978752"/>
        <c:axId val="1"/>
      </c:barChart>
      <c:catAx>
        <c:axId val="21797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17978752"/>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4a80fe4-2291-4854-8bee-076cba09291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Sheet1!$B$2:$B$8</c:f>
              <c:numCache>
                <c:formatCode>General</c:formatCode>
                <c:ptCount val="7"/>
                <c:pt idx="0">
                  <c:v>778.97</c:v>
                </c:pt>
                <c:pt idx="1">
                  <c:v>0</c:v>
                </c:pt>
                <c:pt idx="2">
                  <c:v>0</c:v>
                </c:pt>
                <c:pt idx="3">
                  <c:v>0</c:v>
                </c:pt>
                <c:pt idx="4">
                  <c:v>82.18</c:v>
                </c:pt>
                <c:pt idx="5">
                  <c:v>0</c:v>
                </c:pt>
                <c:pt idx="6">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3353336703614"/>
          <c:y val="0.0178577280560705"/>
          <c:w val="0.330962833841362"/>
          <c:h val="0.992889679917518"/>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85271ab9-3cca-4bc7-99dd-e177329bc0a5}"/>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748.94</c:v>
                </c:pt>
                <c:pt idx="1">
                  <c:v>112.22</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3353336703614"/>
          <c:y val="0.306629599256837"/>
          <c:w val="0.330962833841362"/>
          <c:h val="0.39722470812817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d2261a0-1a9b-4637-a6ec-e66f11114f7c}"/>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521276865652708"/>
          <c:w val="0.75270410812907"/>
          <c:h val="0.534882262939881"/>
        </c:manualLayout>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Sheet1!$A$30:$A$31</c:f>
              <c:strCache>
                <c:ptCount val="2"/>
                <c:pt idx="0">
                  <c:v>2023年财政拨款收、支</c:v>
                </c:pt>
                <c:pt idx="1">
                  <c:v>2024年财政拨款收、支</c:v>
                </c:pt>
              </c:strCache>
            </c:strRef>
          </c:cat>
          <c:val>
            <c:numRef>
              <c:f>Sheet1!$B$30:$B$31</c:f>
              <c:numCache>
                <c:formatCode>General</c:formatCode>
                <c:ptCount val="2"/>
                <c:pt idx="0">
                  <c:v>777.63</c:v>
                </c:pt>
                <c:pt idx="1">
                  <c:v>778.97</c:v>
                </c:pt>
              </c:numCache>
            </c:numRef>
          </c:val>
        </c:ser>
        <c:dLbls>
          <c:showLegendKey val="0"/>
          <c:showVal val="0"/>
          <c:showCatName val="0"/>
          <c:showSerName val="0"/>
          <c:showPercent val="0"/>
          <c:showBubbleSize val="0"/>
        </c:dLbls>
        <c:gapWidth val="150"/>
        <c:axId val="176734496"/>
        <c:axId val="1"/>
      </c:barChart>
      <c:catAx>
        <c:axId val="176734496"/>
        <c:scaling>
          <c:orientation val="minMax"/>
        </c:scaling>
        <c:delete val="0"/>
        <c:axPos val="b"/>
        <c:numFmt formatCode="General" sourceLinked="1"/>
        <c:majorTickMark val="out"/>
        <c:minorTickMark val="none"/>
        <c:tickLblPos val="nextTo"/>
        <c:txPr>
          <a:bodyPr rot="-27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6734496"/>
        <c:crosses val="autoZero"/>
        <c:crossBetween val="between"/>
      </c:valAx>
    </c:plotArea>
    <c:legend>
      <c:legendPos val="r"/>
      <c:layout>
        <c:manualLayout>
          <c:xMode val="edge"/>
          <c:yMode val="edge"/>
          <c:x val="0.401870671969345"/>
          <c:y val="0"/>
          <c:w val="0.199838912851581"/>
          <c:h val="0.20555995074075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5414668-acca-4403-8133-8d81cc4a15f8}"/>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Sheet1!$A$51:$A$52</c:f>
              <c:strCache>
                <c:ptCount val="2"/>
                <c:pt idx="0">
                  <c:v>2023年度一般公共预算财政拨款支出</c:v>
                </c:pt>
                <c:pt idx="1">
                  <c:v>2024年度一般公共预算财政拨款支出</c:v>
                </c:pt>
              </c:strCache>
            </c:strRef>
          </c:cat>
          <c:val>
            <c:numRef>
              <c:f>Sheet1!$B$51:$B$52</c:f>
              <c:numCache>
                <c:formatCode>General</c:formatCode>
                <c:ptCount val="2"/>
                <c:pt idx="0">
                  <c:v>773.23</c:v>
                </c:pt>
                <c:pt idx="1" c:formatCode="0.00_ ">
                  <c:v>778.97</c:v>
                </c:pt>
              </c:numCache>
            </c:numRef>
          </c:val>
        </c:ser>
        <c:dLbls>
          <c:showLegendKey val="0"/>
          <c:showVal val="0"/>
          <c:showCatName val="0"/>
          <c:showSerName val="0"/>
          <c:showPercent val="0"/>
          <c:showBubbleSize val="0"/>
        </c:dLbls>
        <c:gapWidth val="150"/>
        <c:overlap val="100"/>
        <c:axId val="217975872"/>
        <c:axId val="1"/>
      </c:barChart>
      <c:catAx>
        <c:axId val="2179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17975872"/>
        <c:crosses val="autoZero"/>
        <c:crossBetween val="between"/>
      </c:valAx>
      <c:spPr>
        <a:noFill/>
        <a:ln>
          <a:noFill/>
        </a:ln>
        <a:effectLst/>
      </c:spPr>
    </c:plotArea>
    <c:plotVisOnly val="1"/>
    <c:dispBlanksAs val="gap"/>
    <c:showDLblsOverMax val="0"/>
    <c:extLst>
      <c:ext uri="{0b15fc19-7d7d-44ad-8c2d-2c3a37ce22c3}">
        <chartProps xmlns="https://web.wps.cn/et/2018/main" chartId="{c0ca9b37-803f-4c10-b5cd-dc455f9e153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1"/>
          <c:dPt>
            <c:idx val="0"/>
            <c:bubble3D val="0"/>
          </c:dPt>
          <c:dPt>
            <c:idx val="1"/>
            <c:bubble3D val="0"/>
          </c:dPt>
          <c:dPt>
            <c:idx val="2"/>
            <c:bubble3D val="0"/>
          </c:dPt>
          <c:dPt>
            <c:idx val="3"/>
            <c:bubble3D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Sheet1!$A$71:$A$74</c:f>
              <c:strCache>
                <c:ptCount val="4"/>
                <c:pt idx="0">
                  <c:v>教育支出</c:v>
                </c:pt>
                <c:pt idx="1">
                  <c:v>社会保障和就业支出</c:v>
                </c:pt>
                <c:pt idx="2">
                  <c:v>卫生健康支出</c:v>
                </c:pt>
                <c:pt idx="3">
                  <c:v>住房保障支出</c:v>
                </c:pt>
              </c:strCache>
            </c:strRef>
          </c:cat>
          <c:val>
            <c:numRef>
              <c:f>Sheet1!$B$71:$B$74</c:f>
              <c:numCache>
                <c:formatCode>General</c:formatCode>
                <c:ptCount val="4"/>
                <c:pt idx="0">
                  <c:v>587.99</c:v>
                </c:pt>
                <c:pt idx="1">
                  <c:v>117.21</c:v>
                </c:pt>
                <c:pt idx="2">
                  <c:v>21.49</c:v>
                </c:pt>
                <c:pt idx="3">
                  <c:v>52.29</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08272865870757"/>
          <c:y val="0.138369241588777"/>
          <c:w val="0.251517352937059"/>
          <c:h val="0.67926718598127"/>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6a90d1b0-6de6-49c0-aa87-e94467386272}"/>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spPr>
              <a:solidFill>
                <a:schemeClr val="accent4"/>
              </a:solidFill>
            </c:spPr>
          </c:dPt>
          <c:dPt>
            <c:idx val="2"/>
            <c:bubble3D val="0"/>
          </c:dPt>
          <c:dLbls>
            <c:dLbl>
              <c:idx val="2"/>
              <c:layout>
                <c:manualLayout>
                  <c:x val="-0.0017295374470989"/>
                  <c:y val="-0.3724825820876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Sheet1!$A$95:$A$97</c:f>
              <c:strCache>
                <c:ptCount val="3"/>
                <c:pt idx="0">
                  <c:v>因公出国（境）费支出决算</c:v>
                </c:pt>
                <c:pt idx="1">
                  <c:v>公务用车购置及运行维护费支出决算</c:v>
                </c:pt>
                <c:pt idx="2">
                  <c:v>公务接待费支出决算</c:v>
                </c:pt>
              </c:strCache>
            </c:strRef>
          </c:cat>
          <c:val>
            <c:numRef>
              <c:f>Sheet1!$B$95:$B$97</c:f>
              <c:numCache>
                <c:formatCode>General</c:formatCode>
                <c:ptCount val="3"/>
                <c:pt idx="0">
                  <c:v>0</c:v>
                </c:pt>
                <c:pt idx="1">
                  <c:v>0.9</c:v>
                </c:pt>
                <c:pt idx="2">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32849781466302"/>
          <c:y val="0.284732064741907"/>
          <c:w val="0.330464221130026"/>
          <c:h val="0.434042359288422"/>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7b128ca-abab-4aca-8622-153d80161ba6}"/>
      </c:ext>
    </c:extLst>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0.03786</cdr:x>
      <cdr:y>0.87525</cdr:y>
    </cdr:from>
    <cdr:to>
      <cdr:x>0.28621</cdr:x>
      <cdr:y>0.96507</cdr:y>
    </cdr:to>
    <cdr:sp>
      <cdr:nvSpPr>
        <cdr:cNvPr id="2" name="矩形 1"/>
        <cdr:cNvSpPr/>
      </cdr:nvSpPr>
      <cdr:spPr xmlns:a="http://schemas.openxmlformats.org/drawingml/2006/main">
        <a:xfrm xmlns:a="http://schemas.openxmlformats.org/drawingml/2006/main">
          <a:off x="151452" y="2334300"/>
          <a:ext cx="993524" cy="23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8C377-7595-4F87-995B-1D561DF864E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8396</Words>
  <Characters>9053</Characters>
  <Lines>107</Lines>
  <Paragraphs>30</Paragraphs>
  <TotalTime>2</TotalTime>
  <ScaleCrop>false</ScaleCrop>
  <LinksUpToDate>false</LinksUpToDate>
  <CharactersWithSpaces>9124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2025-11-25T02:44:00Z</dcterms:created>
  <dc:creator>曹颖</dc:creator>
  <cp:lastModifiedBy>Administrator</cp:lastModifiedBy>
  <cp:lastPrinted>2025-11-26T03:35:00Z</cp:lastPrinted>
  <dcterms:modified xsi:type="dcterms:W3CDTF">2025-12-04T00:15:00Z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