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2E83D">
      <w:pPr>
        <w:spacing w:line="600" w:lineRule="exact"/>
        <w:jc w:val="left"/>
        <w:outlineLvl w:val="0"/>
        <w:rPr>
          <w:rFonts w:ascii="方正小标宋简体" w:hAnsi="宋体" w:eastAsia="方正小标宋简体"/>
          <w:szCs w:val="21"/>
        </w:rPr>
      </w:pPr>
      <w:bookmarkStart w:id="0" w:name="_Toc15306267"/>
    </w:p>
    <w:p w14:paraId="32742256">
      <w:pPr>
        <w:pStyle w:val="2"/>
        <w:spacing w:before="93"/>
      </w:pPr>
    </w:p>
    <w:p w14:paraId="2C55FD3C">
      <w:pPr>
        <w:spacing w:line="600" w:lineRule="exact"/>
        <w:jc w:val="center"/>
        <w:outlineLvl w:val="0"/>
        <w:rPr>
          <w:rFonts w:ascii="方正小标宋简体" w:hAnsi="宋体" w:eastAsia="方正小标宋简体"/>
          <w:sz w:val="72"/>
          <w:szCs w:val="72"/>
        </w:rPr>
      </w:pPr>
    </w:p>
    <w:p w14:paraId="79E09EEA">
      <w:pPr>
        <w:spacing w:line="600" w:lineRule="exact"/>
        <w:jc w:val="center"/>
        <w:outlineLvl w:val="0"/>
        <w:rPr>
          <w:rFonts w:ascii="方正小标宋简体" w:hAnsi="宋体" w:eastAsia="方正小标宋简体"/>
          <w:sz w:val="72"/>
          <w:szCs w:val="72"/>
        </w:rPr>
      </w:pPr>
    </w:p>
    <w:bookmarkEnd w:id="0"/>
    <w:p w14:paraId="393D7916">
      <w:pPr>
        <w:keepNext w:val="0"/>
        <w:keepLines w:val="0"/>
        <w:pageBreakBefore w:val="0"/>
        <w:widowControl w:val="0"/>
        <w:kinsoku/>
        <w:wordWrap/>
        <w:overflowPunct/>
        <w:topLinePunct w:val="0"/>
        <w:autoSpaceDE/>
        <w:autoSpaceDN/>
        <w:bidi w:val="0"/>
        <w:adjustRightInd/>
        <w:snapToGrid/>
        <w:spacing w:line="480" w:lineRule="auto"/>
        <w:ind w:firstLine="2891" w:firstLineChars="400"/>
        <w:textAlignment w:val="auto"/>
        <w:rPr>
          <w:rFonts w:asciiTheme="minorEastAsia" w:hAnsiTheme="minorEastAsia" w:eastAsiaTheme="minorEastAsia"/>
          <w:b/>
          <w:sz w:val="72"/>
          <w:szCs w:val="72"/>
        </w:rPr>
      </w:pPr>
      <w:bookmarkStart w:id="1" w:name="_Toc15377425"/>
      <w:bookmarkStart w:id="2" w:name="_Toc15378441"/>
      <w:bookmarkStart w:id="3" w:name="_Toc15396597"/>
      <w:bookmarkStart w:id="4" w:name="_Toc15377193"/>
      <w:bookmarkStart w:id="5" w:name="_Toc15396475"/>
      <w:r>
        <w:rPr>
          <w:rFonts w:asciiTheme="minorEastAsia" w:hAnsiTheme="minorEastAsia" w:eastAsiaTheme="minorEastAsia"/>
          <w:b/>
          <w:sz w:val="72"/>
          <w:szCs w:val="72"/>
        </w:rPr>
        <w:t>2024</w:t>
      </w:r>
      <w:r>
        <w:rPr>
          <w:rFonts w:hint="eastAsia" w:asciiTheme="minorEastAsia" w:hAnsiTheme="minorEastAsia" w:eastAsiaTheme="minorEastAsia"/>
          <w:b/>
          <w:sz w:val="72"/>
          <w:szCs w:val="72"/>
        </w:rPr>
        <w:t>年度</w:t>
      </w:r>
      <w:bookmarkEnd w:id="1"/>
      <w:bookmarkEnd w:id="2"/>
      <w:bookmarkEnd w:id="3"/>
      <w:bookmarkEnd w:id="4"/>
      <w:bookmarkEnd w:id="5"/>
    </w:p>
    <w:p w14:paraId="4D7B0758">
      <w:pPr>
        <w:keepNext w:val="0"/>
        <w:keepLines w:val="0"/>
        <w:pageBreakBefore w:val="0"/>
        <w:widowControl w:val="0"/>
        <w:kinsoku/>
        <w:wordWrap/>
        <w:overflowPunct/>
        <w:topLinePunct w:val="0"/>
        <w:autoSpaceDE/>
        <w:autoSpaceDN/>
        <w:bidi w:val="0"/>
        <w:adjustRightInd/>
        <w:snapToGrid/>
        <w:spacing w:line="480" w:lineRule="auto"/>
        <w:ind w:left="1446" w:hanging="1446" w:hangingChars="200"/>
        <w:jc w:val="center"/>
        <w:textAlignment w:val="auto"/>
        <w:rPr>
          <w:rFonts w:hint="eastAsia" w:asciiTheme="minorEastAsia" w:hAnsiTheme="minorEastAsia" w:eastAsiaTheme="minorEastAsia"/>
          <w:b/>
          <w:sz w:val="72"/>
          <w:szCs w:val="72"/>
        </w:rPr>
      </w:pPr>
      <w:bookmarkStart w:id="6" w:name="_Toc15377426"/>
      <w:bookmarkStart w:id="7" w:name="_Toc15396598"/>
      <w:bookmarkStart w:id="8" w:name="_Toc15378442"/>
      <w:bookmarkStart w:id="9" w:name="_Toc15396476"/>
      <w:bookmarkStart w:id="10" w:name="_Toc15377194"/>
      <w:r>
        <w:rPr>
          <w:rFonts w:hint="eastAsia" w:asciiTheme="minorEastAsia" w:hAnsiTheme="minorEastAsia" w:eastAsiaTheme="minorEastAsia"/>
          <w:b/>
          <w:sz w:val="72"/>
          <w:szCs w:val="72"/>
        </w:rPr>
        <w:t>四川省</w:t>
      </w:r>
      <w:bookmarkStart w:id="11" w:name="_Toc15306268"/>
      <w:r>
        <w:rPr>
          <w:rFonts w:hint="eastAsia" w:asciiTheme="minorEastAsia" w:hAnsiTheme="minorEastAsia" w:eastAsiaTheme="minorEastAsia"/>
          <w:b/>
          <w:sz w:val="72"/>
          <w:szCs w:val="72"/>
        </w:rPr>
        <w:t>乐山市峨眉山市</w:t>
      </w:r>
    </w:p>
    <w:p w14:paraId="1541D3C6">
      <w:pPr>
        <w:keepNext w:val="0"/>
        <w:keepLines w:val="0"/>
        <w:pageBreakBefore w:val="0"/>
        <w:widowControl w:val="0"/>
        <w:kinsoku/>
        <w:wordWrap/>
        <w:overflowPunct/>
        <w:topLinePunct w:val="0"/>
        <w:autoSpaceDE/>
        <w:autoSpaceDN/>
        <w:bidi w:val="0"/>
        <w:adjustRightInd/>
        <w:snapToGrid/>
        <w:spacing w:line="480" w:lineRule="auto"/>
        <w:ind w:left="1446" w:hanging="1446" w:hangingChars="200"/>
        <w:jc w:val="center"/>
        <w:textAlignment w:val="auto"/>
        <w:rPr>
          <w:rFonts w:hint="eastAsia" w:asciiTheme="minorEastAsia" w:hAnsiTheme="minorEastAsia" w:eastAsiaTheme="minorEastAsia"/>
          <w:b/>
          <w:sz w:val="72"/>
          <w:szCs w:val="72"/>
        </w:rPr>
      </w:pPr>
      <w:r>
        <w:rPr>
          <w:rFonts w:hint="eastAsia" w:asciiTheme="minorEastAsia" w:hAnsiTheme="minorEastAsia" w:eastAsiaTheme="minorEastAsia"/>
          <w:b/>
          <w:sz w:val="72"/>
          <w:szCs w:val="72"/>
        </w:rPr>
        <w:t>桂花镇第二小学校</w:t>
      </w:r>
    </w:p>
    <w:p w14:paraId="6C445B89">
      <w:pPr>
        <w:keepNext w:val="0"/>
        <w:keepLines w:val="0"/>
        <w:pageBreakBefore w:val="0"/>
        <w:widowControl w:val="0"/>
        <w:kinsoku/>
        <w:wordWrap/>
        <w:overflowPunct/>
        <w:topLinePunct w:val="0"/>
        <w:autoSpaceDE/>
        <w:autoSpaceDN/>
        <w:bidi w:val="0"/>
        <w:adjustRightInd/>
        <w:snapToGrid/>
        <w:spacing w:line="480" w:lineRule="auto"/>
        <w:ind w:left="1446" w:hanging="1446" w:hangingChars="200"/>
        <w:jc w:val="center"/>
        <w:textAlignment w:val="auto"/>
        <w:rPr>
          <w:rFonts w:asciiTheme="minorEastAsia" w:hAnsiTheme="minorEastAsia" w:eastAsiaTheme="minorEastAsia"/>
          <w:b/>
          <w:sz w:val="72"/>
          <w:szCs w:val="72"/>
        </w:rPr>
      </w:pPr>
      <w:r>
        <w:rPr>
          <w:rFonts w:hint="eastAsia" w:asciiTheme="minorEastAsia" w:hAnsiTheme="minorEastAsia" w:eastAsiaTheme="minorEastAsia"/>
          <w:b/>
          <w:sz w:val="72"/>
          <w:szCs w:val="72"/>
        </w:rPr>
        <w:t>单位决算</w:t>
      </w:r>
      <w:bookmarkEnd w:id="6"/>
      <w:bookmarkEnd w:id="7"/>
      <w:bookmarkEnd w:id="8"/>
      <w:bookmarkEnd w:id="9"/>
      <w:bookmarkEnd w:id="10"/>
      <w:bookmarkEnd w:id="11"/>
    </w:p>
    <w:p w14:paraId="157894BA">
      <w:pPr>
        <w:widowControl/>
        <w:jc w:val="center"/>
        <w:rPr>
          <w:rFonts w:ascii="仿宋" w:hAnsi="仿宋" w:eastAsia="仿宋"/>
          <w:bCs/>
          <w:kern w:val="44"/>
          <w:sz w:val="24"/>
        </w:rPr>
      </w:pPr>
      <w:r>
        <w:rPr>
          <w:rFonts w:ascii="方正小标宋简体" w:hAnsi="宋体" w:eastAsia="方正小标宋简体"/>
          <w:sz w:val="36"/>
          <w:szCs w:val="36"/>
        </w:rPr>
        <w:br w:type="page"/>
      </w:r>
      <w:bookmarkStart w:id="12" w:name="_Toc15377196"/>
      <w:bookmarkStart w:id="13" w:name="_Toc15396599"/>
    </w:p>
    <w:p w14:paraId="52603ECC">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2DB93317">
      <w:pPr>
        <w:widowControl/>
        <w:jc w:val="center"/>
        <w:rPr>
          <w:rFonts w:ascii="Times New Roman" w:hAnsi="Times New Roman" w:eastAsia="黑体" w:cstheme="minorBidi"/>
          <w:color w:val="auto"/>
          <w:sz w:val="28"/>
          <w:szCs w:val="28"/>
          <w:highlight w:val="none"/>
        </w:rPr>
      </w:pPr>
      <w:bookmarkStart w:id="106" w:name="_GoBack"/>
      <w:bookmarkEnd w:id="106"/>
    </w:p>
    <w:p w14:paraId="3EB86A16">
      <w:pPr>
        <w:pStyle w:val="1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4 </w:t>
      </w:r>
      <w:r>
        <w:rPr>
          <w:rFonts w:hint="eastAsia" w:ascii="Times New Roman" w:hAnsi="Times New Roman" w:eastAsia="仿宋_GB2312" w:cs="仿宋_GB2312"/>
          <w:color w:val="auto"/>
          <w:sz w:val="32"/>
          <w:szCs w:val="32"/>
          <w:highlight w:val="none"/>
        </w:rPr>
        <w:t>日</w:t>
      </w:r>
    </w:p>
    <w:p w14:paraId="175E1354">
      <w:pPr>
        <w:rPr>
          <w:rFonts w:ascii="Times New Roman" w:hAnsi="Times New Roman"/>
          <w:color w:val="auto"/>
          <w:highlight w:val="none"/>
        </w:rPr>
      </w:pPr>
    </w:p>
    <w:p w14:paraId="68FCB390">
      <w:pPr>
        <w:pStyle w:val="12"/>
        <w:tabs>
          <w:tab w:val="right" w:leader="dot" w:pos="9730"/>
          <w:tab w:val="clear" w:pos="8296"/>
        </w:tabs>
        <w:ind w:left="0" w:leftChars="0" w:firstLine="0" w:firstLineChars="0"/>
        <w:rPr>
          <w:iCs w:val="0"/>
          <w:sz w:val="21"/>
          <w:szCs w:val="24"/>
        </w:rPr>
      </w:pPr>
      <w:r>
        <w:rPr>
          <w:rFonts w:hint="eastAsia" w:ascii="黑体" w:hAnsi="黑体" w:eastAsia="黑体" w:cs="黑体"/>
          <w:sz w:val="32"/>
          <w:szCs w:val="32"/>
        </w:rPr>
        <w:t>第一部分 单位概况</w:t>
      </w:r>
      <w:r>
        <w:fldChar w:fldCharType="begin"/>
      </w:r>
      <w:r>
        <w:instrText xml:space="preserve">HYPERLINK ""\l"_Toc60821794"</w:instrText>
      </w:r>
      <w:r>
        <w:fldChar w:fldCharType="separate"/>
      </w:r>
      <w:r>
        <w:tab/>
      </w:r>
      <w:r>
        <w:rPr>
          <w:rFonts w:hint="eastAsia"/>
          <w:lang w:val="en-US" w:eastAsia="zh-CN"/>
        </w:rPr>
        <w:t>4</w:t>
      </w:r>
      <w:r>
        <w:fldChar w:fldCharType="end"/>
      </w:r>
    </w:p>
    <w:p w14:paraId="149A75C8">
      <w:pPr>
        <w:pStyle w:val="12"/>
        <w:tabs>
          <w:tab w:val="right" w:leader="dot" w:pos="9730"/>
          <w:tab w:val="clear" w:pos="8296"/>
        </w:tabs>
        <w:ind w:left="0" w:leftChars="0" w:firstLine="640" w:firstLineChars="200"/>
        <w:rPr>
          <w:iCs w:val="0"/>
          <w:sz w:val="21"/>
          <w:szCs w:val="24"/>
        </w:rPr>
      </w:pPr>
      <w:r>
        <w:rPr>
          <w:rFonts w:hint="eastAsia" w:ascii="仿宋_GB2312" w:hAnsi="仿宋_GB2312" w:eastAsia="仿宋_GB2312" w:cs="仿宋_GB2312"/>
          <w:sz w:val="32"/>
          <w:szCs w:val="32"/>
        </w:rPr>
        <w:t>一、主要职责</w:t>
      </w:r>
      <w:r>
        <w:fldChar w:fldCharType="begin"/>
      </w:r>
      <w:r>
        <w:instrText xml:space="preserve">HYPERLINK ""\l"_Toc60821794"</w:instrText>
      </w:r>
      <w:r>
        <w:fldChar w:fldCharType="separate"/>
      </w:r>
      <w:r>
        <w:tab/>
      </w:r>
      <w:r>
        <w:rPr>
          <w:rFonts w:hint="eastAsia"/>
          <w:lang w:val="en-US" w:eastAsia="zh-CN"/>
        </w:rPr>
        <w:t>4</w:t>
      </w:r>
      <w:r>
        <w:fldChar w:fldCharType="end"/>
      </w:r>
    </w:p>
    <w:p w14:paraId="7EA7C9B2">
      <w:pPr>
        <w:pStyle w:val="12"/>
        <w:tabs>
          <w:tab w:val="right" w:leader="dot" w:pos="9730"/>
          <w:tab w:val="clear" w:pos="8296"/>
        </w:tabs>
        <w:ind w:left="0" w:leftChars="0" w:firstLine="640" w:firstLineChars="200"/>
        <w:outlineLvl w:val="0"/>
        <w:rPr>
          <w:rFonts w:hint="eastAsia" w:eastAsia="宋体"/>
          <w:iCs w:val="0"/>
          <w:sz w:val="21"/>
          <w:szCs w:val="24"/>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机构设置</w:t>
      </w:r>
      <w:r>
        <w:fldChar w:fldCharType="begin"/>
      </w:r>
      <w:r>
        <w:instrText xml:space="preserve">HYPERLINK ""\l"_Toc60821794"</w:instrText>
      </w:r>
      <w:r>
        <w:fldChar w:fldCharType="separate"/>
      </w:r>
      <w:r>
        <w:tab/>
      </w:r>
      <w:r>
        <w:fldChar w:fldCharType="end"/>
      </w:r>
      <w:r>
        <w:rPr>
          <w:rFonts w:hint="eastAsia"/>
          <w:lang w:val="en-US" w:eastAsia="zh-CN"/>
        </w:rPr>
        <w:t>6</w:t>
      </w:r>
    </w:p>
    <w:p w14:paraId="3C405AC3">
      <w:pPr>
        <w:pStyle w:val="12"/>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r>
        <w:fldChar w:fldCharType="begin"/>
      </w:r>
      <w:r>
        <w:instrText xml:space="preserve">HYPERLINK ""\l"_Toc60821794"</w:instrText>
      </w:r>
      <w:r>
        <w:fldChar w:fldCharType="separate"/>
      </w:r>
      <w:r>
        <w:tab/>
      </w:r>
      <w:r>
        <w:fldChar w:fldCharType="end"/>
      </w:r>
      <w:r>
        <w:rPr>
          <w:rFonts w:hint="eastAsia"/>
          <w:lang w:val="en-US" w:eastAsia="zh-CN"/>
        </w:rPr>
        <w:t>7</w:t>
      </w:r>
    </w:p>
    <w:p w14:paraId="3404BAAF">
      <w:pPr>
        <w:pStyle w:val="12"/>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一、收入支出决算总体情况说明</w:t>
      </w:r>
      <w:r>
        <w:fldChar w:fldCharType="begin"/>
      </w:r>
      <w:r>
        <w:instrText xml:space="preserve">HYPERLINK ""\l"_Toc60821794"</w:instrText>
      </w:r>
      <w:r>
        <w:fldChar w:fldCharType="separate"/>
      </w:r>
      <w:r>
        <w:tab/>
      </w:r>
      <w:r>
        <w:fldChar w:fldCharType="end"/>
      </w:r>
      <w:r>
        <w:rPr>
          <w:rFonts w:hint="eastAsia"/>
          <w:lang w:val="en-US" w:eastAsia="zh-CN"/>
        </w:rPr>
        <w:t>7</w:t>
      </w:r>
    </w:p>
    <w:p w14:paraId="53A8578B">
      <w:pPr>
        <w:pStyle w:val="12"/>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二、收入决算情况说明</w:t>
      </w:r>
      <w:r>
        <w:fldChar w:fldCharType="begin"/>
      </w:r>
      <w:r>
        <w:instrText xml:space="preserve">HYPERLINK ""\l"_Toc60821794"</w:instrText>
      </w:r>
      <w:r>
        <w:fldChar w:fldCharType="separate"/>
      </w:r>
      <w:r>
        <w:tab/>
      </w:r>
      <w:r>
        <w:fldChar w:fldCharType="end"/>
      </w:r>
      <w:r>
        <w:rPr>
          <w:rFonts w:hint="eastAsia"/>
          <w:lang w:val="en-US" w:eastAsia="zh-CN"/>
        </w:rPr>
        <w:t>7</w:t>
      </w:r>
    </w:p>
    <w:p w14:paraId="0C54B90B">
      <w:pPr>
        <w:pStyle w:val="12"/>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三、支出决算情况说明</w:t>
      </w:r>
      <w:r>
        <w:fldChar w:fldCharType="begin"/>
      </w:r>
      <w:r>
        <w:instrText xml:space="preserve">HYPERLINK ""\l"_Toc60821794"</w:instrText>
      </w:r>
      <w:r>
        <w:fldChar w:fldCharType="separate"/>
      </w:r>
      <w:r>
        <w:tab/>
      </w:r>
      <w:r>
        <w:fldChar w:fldCharType="end"/>
      </w:r>
      <w:r>
        <w:rPr>
          <w:rFonts w:hint="eastAsia"/>
          <w:lang w:val="en-US" w:eastAsia="zh-CN"/>
        </w:rPr>
        <w:t>8</w:t>
      </w:r>
    </w:p>
    <w:p w14:paraId="68BD72F7">
      <w:pPr>
        <w:pStyle w:val="12"/>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四、财政拨款收入支出决算总体情况说明</w:t>
      </w:r>
      <w:r>
        <w:fldChar w:fldCharType="begin"/>
      </w:r>
      <w:r>
        <w:instrText xml:space="preserve">HYPERLINK ""\l"_Toc60821794"</w:instrText>
      </w:r>
      <w:r>
        <w:fldChar w:fldCharType="separate"/>
      </w:r>
      <w:r>
        <w:tab/>
      </w:r>
      <w:r>
        <w:fldChar w:fldCharType="end"/>
      </w:r>
      <w:r>
        <w:rPr>
          <w:rFonts w:hint="eastAsia"/>
          <w:lang w:val="en-US" w:eastAsia="zh-CN"/>
        </w:rPr>
        <w:t>9</w:t>
      </w:r>
    </w:p>
    <w:p w14:paraId="5B7099A0">
      <w:pPr>
        <w:pStyle w:val="12"/>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五、一般公共预算财政拨款支出决算情况说明</w:t>
      </w:r>
      <w:r>
        <w:fldChar w:fldCharType="begin"/>
      </w:r>
      <w:r>
        <w:instrText xml:space="preserve">HYPERLINK ""\l"_Toc60821794"</w:instrText>
      </w:r>
      <w:r>
        <w:fldChar w:fldCharType="separate"/>
      </w:r>
      <w:r>
        <w:tab/>
      </w:r>
      <w:r>
        <w:fldChar w:fldCharType="end"/>
      </w:r>
      <w:r>
        <w:rPr>
          <w:rFonts w:hint="eastAsia"/>
          <w:lang w:val="en-US" w:eastAsia="zh-CN"/>
        </w:rPr>
        <w:t>9</w:t>
      </w:r>
    </w:p>
    <w:p w14:paraId="18A05B6D">
      <w:pPr>
        <w:pStyle w:val="12"/>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六、一般公共预算财政拨款基本支出决算情况说明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2</w:t>
      </w:r>
    </w:p>
    <w:p w14:paraId="51BCC936">
      <w:pPr>
        <w:pStyle w:val="12"/>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七、“三公”经费财政拨款支出决算情况说明</w:t>
      </w:r>
      <w:r>
        <w:fldChar w:fldCharType="begin"/>
      </w:r>
      <w:r>
        <w:instrText xml:space="preserve">HYPERLINK ""\l"_Toc60821794"</w:instrText>
      </w:r>
      <w:r>
        <w:fldChar w:fldCharType="separate"/>
      </w:r>
      <w:r>
        <w:tab/>
      </w:r>
      <w:r>
        <w:fldChar w:fldCharType="end"/>
      </w:r>
      <w:r>
        <w:rPr>
          <w:rFonts w:hint="eastAsia"/>
          <w:lang w:val="en-US" w:eastAsia="zh-CN"/>
        </w:rPr>
        <w:t>12</w:t>
      </w:r>
    </w:p>
    <w:p w14:paraId="161F0370">
      <w:pPr>
        <w:pStyle w:val="12"/>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八、政府性基金预算支出决算情况说明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13</w:t>
      </w:r>
    </w:p>
    <w:p w14:paraId="764D2EDD">
      <w:pPr>
        <w:pStyle w:val="12"/>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九、国有资本经营预算支出决算情况说明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13</w:t>
      </w:r>
    </w:p>
    <w:p w14:paraId="7769F7D6">
      <w:pPr>
        <w:pStyle w:val="12"/>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十、其他重要事项的情况说明</w:t>
      </w:r>
      <w:r>
        <w:fldChar w:fldCharType="begin"/>
      </w:r>
      <w:r>
        <w:instrText xml:space="preserve">HYPERLINK ""\l"_Toc60821794"</w:instrText>
      </w:r>
      <w:r>
        <w:fldChar w:fldCharType="separate"/>
      </w:r>
      <w:r>
        <w:tab/>
      </w:r>
      <w:r>
        <w:fldChar w:fldCharType="end"/>
      </w:r>
      <w:r>
        <w:rPr>
          <w:rFonts w:hint="eastAsia"/>
          <w:lang w:val="en-US" w:eastAsia="zh-CN"/>
        </w:rPr>
        <w:t>13</w:t>
      </w:r>
    </w:p>
    <w:p w14:paraId="35EA65FC">
      <w:pPr>
        <w:pStyle w:val="12"/>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第三部分 名词解释</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5</w:t>
      </w:r>
    </w:p>
    <w:p w14:paraId="47E5E283">
      <w:pPr>
        <w:pStyle w:val="12"/>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第四部分 附件</w:t>
      </w:r>
      <w:r>
        <w:fldChar w:fldCharType="begin"/>
      </w:r>
      <w:r>
        <w:instrText xml:space="preserve">HYPERLINK ""\l"_Toc60821794"</w:instrText>
      </w:r>
      <w:r>
        <w:fldChar w:fldCharType="separate"/>
      </w:r>
      <w:r>
        <w:tab/>
      </w:r>
      <w:r>
        <w:fldChar w:fldCharType="end"/>
      </w:r>
      <w:r>
        <w:rPr>
          <w:rFonts w:hint="eastAsia"/>
          <w:lang w:val="en-US" w:eastAsia="zh-CN"/>
        </w:rPr>
        <w:t>18</w:t>
      </w:r>
    </w:p>
    <w:p w14:paraId="7AAD3DA1">
      <w:pPr>
        <w:pStyle w:val="12"/>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第五部分 附表</w:t>
      </w:r>
      <w:r>
        <w:fldChar w:fldCharType="begin"/>
      </w:r>
      <w:r>
        <w:instrText xml:space="preserve">HYPERLINK ""\l"_Toc60821794"</w:instrText>
      </w:r>
      <w:r>
        <w:fldChar w:fldCharType="separate"/>
      </w:r>
      <w:r>
        <w:tab/>
      </w:r>
      <w:r>
        <w:fldChar w:fldCharType="end"/>
      </w:r>
      <w:r>
        <w:rPr>
          <w:rFonts w:hint="eastAsia"/>
          <w:lang w:val="en-US" w:eastAsia="zh-CN"/>
        </w:rPr>
        <w:t>28</w:t>
      </w:r>
    </w:p>
    <w:p w14:paraId="020E5309">
      <w:pPr>
        <w:pStyle w:val="12"/>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一、收入支出决算总表</w:t>
      </w:r>
      <w:r>
        <w:fldChar w:fldCharType="begin"/>
      </w:r>
      <w:r>
        <w:instrText xml:space="preserve">HYPERLINK ""\l"_Toc60821794"</w:instrText>
      </w:r>
      <w:r>
        <w:fldChar w:fldCharType="separate"/>
      </w:r>
      <w:r>
        <w:tab/>
      </w:r>
      <w:r>
        <w:fldChar w:fldCharType="end"/>
      </w:r>
      <w:r>
        <w:rPr>
          <w:rFonts w:hint="eastAsia"/>
          <w:lang w:val="en-US" w:eastAsia="zh-CN"/>
        </w:rPr>
        <w:t>28</w:t>
      </w:r>
    </w:p>
    <w:p w14:paraId="131DC965">
      <w:pPr>
        <w:pStyle w:val="12"/>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二、收入决算表</w:t>
      </w:r>
      <w:r>
        <w:fldChar w:fldCharType="begin"/>
      </w:r>
      <w:r>
        <w:instrText xml:space="preserve">HYPERLINK ""\l"_Toc60821794"</w:instrText>
      </w:r>
      <w:r>
        <w:fldChar w:fldCharType="separate"/>
      </w:r>
      <w:r>
        <w:tab/>
      </w:r>
      <w:r>
        <w:fldChar w:fldCharType="end"/>
      </w:r>
      <w:r>
        <w:rPr>
          <w:rFonts w:hint="eastAsia"/>
          <w:lang w:val="en-US" w:eastAsia="zh-CN"/>
        </w:rPr>
        <w:t>28</w:t>
      </w:r>
    </w:p>
    <w:p w14:paraId="6FB88B40">
      <w:pPr>
        <w:pStyle w:val="12"/>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三、支出决算表</w:t>
      </w:r>
      <w:r>
        <w:fldChar w:fldCharType="begin"/>
      </w:r>
      <w:r>
        <w:instrText xml:space="preserve">HYPERLINK ""\l"_Toc60821794"</w:instrText>
      </w:r>
      <w:r>
        <w:fldChar w:fldCharType="separate"/>
      </w:r>
      <w:r>
        <w:tab/>
      </w:r>
      <w:r>
        <w:fldChar w:fldCharType="end"/>
      </w:r>
      <w:r>
        <w:rPr>
          <w:rFonts w:hint="eastAsia"/>
          <w:lang w:val="en-US" w:eastAsia="zh-CN"/>
        </w:rPr>
        <w:t>28</w:t>
      </w:r>
    </w:p>
    <w:p w14:paraId="362C3117">
      <w:pPr>
        <w:pStyle w:val="12"/>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四、财政拨款收入支出决算总表</w:t>
      </w:r>
      <w:r>
        <w:fldChar w:fldCharType="begin"/>
      </w:r>
      <w:r>
        <w:instrText xml:space="preserve">HYPERLINK ""\l"_Toc60821794"</w:instrText>
      </w:r>
      <w:r>
        <w:fldChar w:fldCharType="separate"/>
      </w:r>
      <w:r>
        <w:tab/>
      </w:r>
      <w:r>
        <w:fldChar w:fldCharType="end"/>
      </w:r>
      <w:r>
        <w:rPr>
          <w:rFonts w:hint="eastAsia"/>
          <w:lang w:val="en-US" w:eastAsia="zh-CN"/>
        </w:rPr>
        <w:t>28</w:t>
      </w:r>
    </w:p>
    <w:p w14:paraId="0E28F6FF">
      <w:pPr>
        <w:pStyle w:val="12"/>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28</w:t>
      </w:r>
    </w:p>
    <w:p w14:paraId="64F4535D">
      <w:pPr>
        <w:pStyle w:val="12"/>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28</w:t>
      </w:r>
    </w:p>
    <w:p w14:paraId="1A5A754E">
      <w:pPr>
        <w:pStyle w:val="12"/>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28</w:t>
      </w:r>
    </w:p>
    <w:p w14:paraId="24B80CFA">
      <w:pPr>
        <w:pStyle w:val="12"/>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fldChar w:fldCharType="begin"/>
      </w:r>
      <w:r>
        <w:instrText xml:space="preserve">HYPERLINK ""\l"_Toc60821794"</w:instrText>
      </w:r>
      <w:r>
        <w:fldChar w:fldCharType="separate"/>
      </w:r>
      <w:r>
        <w:tab/>
      </w:r>
      <w:r>
        <w:fldChar w:fldCharType="end"/>
      </w:r>
      <w:r>
        <w:rPr>
          <w:rFonts w:hint="eastAsia"/>
          <w:lang w:val="en-US" w:eastAsia="zh-CN"/>
        </w:rPr>
        <w:t>28</w:t>
      </w:r>
    </w:p>
    <w:p w14:paraId="7B033C84">
      <w:pPr>
        <w:pStyle w:val="12"/>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fldChar w:fldCharType="begin"/>
      </w:r>
      <w:r>
        <w:instrText xml:space="preserve">HYPERLINK ""\l"_Toc60821794"</w:instrText>
      </w:r>
      <w:r>
        <w:fldChar w:fldCharType="separate"/>
      </w:r>
      <w:r>
        <w:tab/>
      </w:r>
      <w:r>
        <w:fldChar w:fldCharType="end"/>
      </w:r>
      <w:r>
        <w:rPr>
          <w:rFonts w:hint="eastAsia"/>
          <w:lang w:val="en-US" w:eastAsia="zh-CN"/>
        </w:rPr>
        <w:t>28</w:t>
      </w:r>
    </w:p>
    <w:p w14:paraId="11C398E5">
      <w:pPr>
        <w:pStyle w:val="12"/>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28</w:t>
      </w:r>
    </w:p>
    <w:p w14:paraId="524BA6FD">
      <w:pPr>
        <w:pStyle w:val="12"/>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十一、国有资本经营预算财政拨款收入支出决算表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28</w:t>
      </w:r>
    </w:p>
    <w:p w14:paraId="54E00278">
      <w:pPr>
        <w:pStyle w:val="12"/>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39</w:t>
      </w:r>
    </w:p>
    <w:p w14:paraId="211C0121">
      <w:pPr>
        <w:pStyle w:val="12"/>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十三、财政拨款“三公”经费支出决算表</w:t>
      </w:r>
      <w:r>
        <w:fldChar w:fldCharType="begin"/>
      </w:r>
      <w:r>
        <w:instrText xml:space="preserve">HYPERLINK ""\l"_Toc60821794"</w:instrText>
      </w:r>
      <w:r>
        <w:fldChar w:fldCharType="separate"/>
      </w:r>
      <w:r>
        <w:tab/>
      </w:r>
      <w:r>
        <w:fldChar w:fldCharType="end"/>
      </w:r>
      <w:r>
        <w:rPr>
          <w:rFonts w:hint="eastAsia"/>
          <w:lang w:val="en-US" w:eastAsia="zh-CN"/>
        </w:rPr>
        <w:t>28</w:t>
      </w:r>
    </w:p>
    <w:p w14:paraId="488CF9B6">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402B9A84"/>
    <w:p w14:paraId="19DA2A05"/>
    <w:p w14:paraId="618AAF4C">
      <w:pPr>
        <w:pStyle w:val="19"/>
      </w:pPr>
    </w:p>
    <w:p w14:paraId="2073DA44"/>
    <w:bookmarkEnd w:id="12"/>
    <w:bookmarkEnd w:id="13"/>
    <w:p w14:paraId="17892C83">
      <w:pPr>
        <w:pStyle w:val="3"/>
        <w:ind w:firstLine="883" w:firstLineChars="200"/>
        <w:jc w:val="center"/>
        <w:rPr>
          <w:rFonts w:ascii="黑体" w:hAnsi="黑体" w:eastAsia="黑体"/>
        </w:rPr>
      </w:pPr>
      <w:bookmarkStart w:id="14" w:name="_Toc153438385"/>
      <w:bookmarkStart w:id="15" w:name="_Toc183512700"/>
      <w:bookmarkStart w:id="16" w:name="_Toc15377204"/>
      <w:bookmarkStart w:id="17" w:name="_Toc15396602"/>
      <w:r>
        <w:rPr>
          <w:rFonts w:hint="eastAsia" w:ascii="黑体" w:hAnsi="黑体" w:eastAsia="黑体"/>
        </w:rPr>
        <w:t>第一部分 单位概况</w:t>
      </w:r>
      <w:bookmarkEnd w:id="14"/>
      <w:bookmarkEnd w:id="15"/>
    </w:p>
    <w:p w14:paraId="047D4DD9">
      <w:pPr>
        <w:pStyle w:val="4"/>
        <w:ind w:firstLine="643" w:firstLineChars="200"/>
        <w:jc w:val="left"/>
        <w:rPr>
          <w:rFonts w:ascii="黑体" w:hAnsi="黑体" w:eastAsia="黑体"/>
        </w:rPr>
      </w:pPr>
      <w:bookmarkStart w:id="18" w:name="_Toc15396600"/>
      <w:bookmarkStart w:id="19" w:name="_Toc15377197"/>
      <w:bookmarkStart w:id="20" w:name="_Toc183512701"/>
      <w:bookmarkStart w:id="21" w:name="_Toc153438386"/>
      <w:r>
        <w:rPr>
          <w:rFonts w:hint="eastAsia" w:ascii="黑体" w:hAnsi="黑体" w:eastAsia="黑体"/>
        </w:rPr>
        <w:t>一、</w:t>
      </w:r>
      <w:bookmarkEnd w:id="18"/>
      <w:bookmarkEnd w:id="19"/>
      <w:r>
        <w:rPr>
          <w:rFonts w:hint="eastAsia" w:ascii="黑体" w:hAnsi="黑体" w:eastAsia="黑体"/>
        </w:rPr>
        <w:t>主要职能</w:t>
      </w:r>
      <w:bookmarkEnd w:id="20"/>
      <w:bookmarkEnd w:id="21"/>
    </w:p>
    <w:p w14:paraId="56203068">
      <w:pPr>
        <w:pStyle w:val="5"/>
        <w:ind w:firstLine="643" w:firstLineChars="200"/>
        <w:rPr>
          <w:rFonts w:ascii="黑体" w:hAnsi="黑体" w:eastAsia="黑体"/>
        </w:rPr>
      </w:pPr>
      <w:bookmarkStart w:id="22" w:name="_Toc183512702"/>
      <w:bookmarkStart w:id="23" w:name="_Toc153438387"/>
      <w:r>
        <w:rPr>
          <w:rFonts w:hint="eastAsia" w:ascii="黑体" w:hAnsi="黑体" w:eastAsia="黑体"/>
        </w:rPr>
        <w:t>（一）、职责职能</w:t>
      </w:r>
      <w:bookmarkEnd w:id="22"/>
      <w:bookmarkEnd w:id="23"/>
    </w:p>
    <w:p w14:paraId="2BEDF6ED">
      <w:pPr>
        <w:ind w:firstLine="640" w:firstLineChars="200"/>
        <w:rPr>
          <w:rFonts w:ascii="仿宋" w:hAnsi="仿宋" w:eastAsia="仿宋"/>
          <w:sz w:val="32"/>
          <w:szCs w:val="32"/>
        </w:rPr>
      </w:pPr>
      <w:r>
        <w:rPr>
          <w:rFonts w:hint="eastAsia" w:ascii="仿宋" w:hAnsi="仿宋" w:eastAsia="仿宋"/>
          <w:sz w:val="32"/>
          <w:szCs w:val="32"/>
        </w:rPr>
        <w:t>实施小学义务教育，促进基础教育发展，小学学历教育。</w:t>
      </w:r>
    </w:p>
    <w:p w14:paraId="6326A036">
      <w:pPr>
        <w:pStyle w:val="5"/>
        <w:ind w:firstLine="643" w:firstLineChars="200"/>
        <w:rPr>
          <w:rFonts w:ascii="黑体" w:hAnsi="黑体" w:eastAsia="黑体"/>
        </w:rPr>
      </w:pPr>
      <w:bookmarkStart w:id="24" w:name="_Toc183512703"/>
      <w:bookmarkStart w:id="25" w:name="_Toc153438388"/>
      <w:r>
        <w:rPr>
          <w:rFonts w:hint="eastAsia" w:ascii="黑体" w:hAnsi="黑体" w:eastAsia="黑体"/>
        </w:rPr>
        <w:t>（二）、202</w:t>
      </w:r>
      <w:r>
        <w:rPr>
          <w:rFonts w:ascii="黑体" w:hAnsi="黑体" w:eastAsia="黑体"/>
        </w:rPr>
        <w:t>4</w:t>
      </w:r>
      <w:r>
        <w:rPr>
          <w:rFonts w:hint="eastAsia" w:ascii="黑体" w:hAnsi="黑体" w:eastAsia="黑体"/>
        </w:rPr>
        <w:t>年重点工作完成情况</w:t>
      </w:r>
      <w:bookmarkEnd w:id="24"/>
      <w:bookmarkEnd w:id="25"/>
    </w:p>
    <w:p w14:paraId="576BD74D">
      <w:pPr>
        <w:ind w:firstLine="640" w:firstLineChars="200"/>
        <w:rPr>
          <w:rFonts w:hint="eastAsia" w:ascii="仿宋" w:hAnsi="仿宋" w:eastAsia="仿宋"/>
          <w:sz w:val="32"/>
          <w:szCs w:val="32"/>
        </w:rPr>
      </w:pPr>
      <w:r>
        <w:rPr>
          <w:rFonts w:hint="eastAsia" w:ascii="仿宋" w:hAnsi="仿宋" w:eastAsia="仿宋"/>
          <w:sz w:val="32"/>
          <w:szCs w:val="32"/>
        </w:rPr>
        <w:t>本学年，在市教育局的正确领导下，在全校师生的共同努力下，我校深入贯彻习近平新时代中国特色社会主义思想，把立德树人作为教书育人的根本任务，坚持五育并举，全面落实党中央教育方针政策，学校工作顺利开展，成效显著。</w:t>
      </w:r>
    </w:p>
    <w:p w14:paraId="5F2F8255">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、夯实党建工作，强化政治学习，提高思想认识。</w:t>
      </w:r>
    </w:p>
    <w:p w14:paraId="3CA7DD28">
      <w:pPr>
        <w:ind w:firstLine="640" w:firstLineChars="200"/>
        <w:rPr>
          <w:rFonts w:hint="eastAsia" w:ascii="仿宋" w:hAnsi="仿宋" w:eastAsia="仿宋"/>
          <w:sz w:val="32"/>
          <w:szCs w:val="32"/>
        </w:rPr>
      </w:pPr>
      <w:r>
        <w:rPr>
          <w:rFonts w:hint="eastAsia" w:ascii="仿宋" w:hAnsi="仿宋" w:eastAsia="仿宋"/>
          <w:sz w:val="32"/>
          <w:szCs w:val="32"/>
        </w:rPr>
        <w:t>学校严格执行党组织领导的校长负责制，加强党对学校工作的全面领导，以习近平新时代中国特色社会化主义思想为指引，认真学习贯彻习近平总书记的系列讲话和二十大系列重要会议精神，全面加强党的建设，把党的领导贯穿办学治校、教书育人全过程。</w:t>
      </w:r>
    </w:p>
    <w:p w14:paraId="0EDC1F0D">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、严格执行国家课程，抓实三个管理，推进素质教育。</w:t>
      </w:r>
    </w:p>
    <w:p w14:paraId="2D9FEF32">
      <w:pPr>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 严格执行国家课程计划。学校立德树人，坚持五育并举的教育根本任务，开齐开足课时，按规定课时开设音乐、美术、书法等艺术课程，坚持学生每天1小时阳光体育活动，保证了学生每天一个小时的课外体育活动时间。</w:t>
      </w:r>
    </w:p>
    <w:p w14:paraId="6BA810DA">
      <w:pPr>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 xml:space="preserve">）抓好教学常规管理，促进教师专业化素质提升。为规范教师教学行为，引领教师专业化成长，学校修订出台了《桂花二小教学常规管理规范实施细则》，对备、讲、批、辅、考各环节进行规范。结合积极开展以校为本的教学研究活动。根据学校实际情况，积极开展课题研究，我校以乐山市市级科研课题《彝汉交融式乡镇小学民族团结进步教育研究》为主线，推进学校的教育教学研究工作。使教师牢固树立“课堂教学课题化、课题研究成果化”的意识，立足课堂，做好“校本化”的课题研究工作。 </w:t>
      </w:r>
    </w:p>
    <w:p w14:paraId="299B642C">
      <w:pPr>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 xml:space="preserve">）抓实学生行为习惯养成教育管理，发展快乐自信学生团队。学校提出的“行为习惯养成教育”为抓手，注重加强学生常规管理，进行良好的行为习惯教育。  </w:t>
      </w:r>
    </w:p>
    <w:p w14:paraId="495EB1E4">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、严格财务管理、透明度，扎实做好食堂管理。</w:t>
      </w:r>
    </w:p>
    <w:p w14:paraId="50DB63B9">
      <w:pPr>
        <w:ind w:firstLine="640" w:firstLineChars="200"/>
        <w:rPr>
          <w:rFonts w:hint="eastAsia" w:ascii="仿宋" w:hAnsi="仿宋" w:eastAsia="仿宋"/>
          <w:sz w:val="32"/>
          <w:szCs w:val="32"/>
        </w:rPr>
      </w:pPr>
      <w:r>
        <w:rPr>
          <w:rFonts w:hint="eastAsia" w:ascii="仿宋" w:hAnsi="仿宋" w:eastAsia="仿宋"/>
          <w:sz w:val="32"/>
          <w:szCs w:val="32"/>
        </w:rPr>
        <w:t xml:space="preserve"> 严格收费制度，杜绝乱收费现象。规范收费标准，做到财务三公开：即收费标准公开、学校收入公开、大型开支公开。帐目日清月结。</w:t>
      </w:r>
    </w:p>
    <w:p w14:paraId="0B8D9FA1">
      <w:pPr>
        <w:ind w:firstLine="640" w:firstLineChars="200"/>
        <w:rPr>
          <w:rFonts w:hint="eastAsia" w:ascii="仿宋" w:hAnsi="仿宋" w:eastAsia="仿宋"/>
          <w:sz w:val="32"/>
          <w:szCs w:val="32"/>
        </w:rPr>
      </w:pPr>
      <w:r>
        <w:rPr>
          <w:rFonts w:hint="eastAsia" w:ascii="仿宋" w:hAnsi="仿宋" w:eastAsia="仿宋"/>
          <w:sz w:val="32"/>
          <w:szCs w:val="32"/>
        </w:rPr>
        <w:t>完善财务财产规章制度，认真落实兼管人员的工作职责，将有限的资金投入教育教学之中。定期召开膳食委员会，严格按上级要求开展食堂大宗食品采购，每天对食堂采购物品进行公示。</w:t>
      </w:r>
    </w:p>
    <w:p w14:paraId="53319AC9">
      <w:p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、创建安全、和谐、诚信的校园</w:t>
      </w:r>
    </w:p>
    <w:p w14:paraId="310BECCF">
      <w:pPr>
        <w:ind w:firstLine="640" w:firstLineChars="200"/>
        <w:rPr>
          <w:rFonts w:hint="eastAsia" w:ascii="仿宋" w:hAnsi="仿宋" w:eastAsia="仿宋"/>
          <w:sz w:val="32"/>
          <w:szCs w:val="32"/>
        </w:rPr>
      </w:pPr>
      <w:r>
        <w:rPr>
          <w:rFonts w:hint="eastAsia" w:ascii="仿宋" w:hAnsi="仿宋" w:eastAsia="仿宋"/>
          <w:sz w:val="32"/>
          <w:szCs w:val="32"/>
        </w:rPr>
        <w:t>本学年我们结合本校实际，对校园内外安全进行排查隐患，加强对校园周边的整治力度。加强师生的法纪教育。邀请法制副校长、派出所警官来上法纪教育课，</w:t>
      </w:r>
    </w:p>
    <w:p w14:paraId="3188883C">
      <w:pPr>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 xml:space="preserve">、近一年来取得的成绩     </w:t>
      </w:r>
    </w:p>
    <w:p w14:paraId="62AB70B4">
      <w:pPr>
        <w:ind w:firstLine="640" w:firstLineChars="200"/>
        <w:rPr>
          <w:rFonts w:ascii="仿宋" w:hAnsi="仿宋" w:eastAsia="仿宋"/>
          <w:sz w:val="32"/>
          <w:szCs w:val="32"/>
        </w:rPr>
      </w:pPr>
      <w:r>
        <w:rPr>
          <w:rFonts w:hint="eastAsia" w:ascii="仿宋" w:hAnsi="仿宋" w:eastAsia="仿宋"/>
          <w:sz w:val="32"/>
          <w:szCs w:val="32"/>
        </w:rPr>
        <w:t>2024年1月被四川省委宣传部、四川省委统战部命名为“四川民族团结进步示范学校”。2024年荣获乐山市2024年度教学科研质量综合评估二等奖；2024年12月学校被峨眉山市教育局评为教育宣传先进单位。本年度，我校有10多人次教师在峨眉山市级以上优秀论文评优中获奖或发表。 有20多人次名学生参加峨眉山市级以上各类比赛获奖，参加全市文艺表演荣获三等奖。</w:t>
      </w:r>
    </w:p>
    <w:p w14:paraId="660FA326">
      <w:pPr>
        <w:pStyle w:val="4"/>
        <w:ind w:firstLine="643" w:firstLineChars="200"/>
        <w:rPr>
          <w:rFonts w:ascii="黑体" w:hAnsi="黑体" w:eastAsia="黑体"/>
        </w:rPr>
      </w:pPr>
      <w:bookmarkStart w:id="26" w:name="_Toc15377199"/>
      <w:bookmarkStart w:id="27" w:name="_Toc15378446"/>
      <w:bookmarkStart w:id="28" w:name="_Toc183512704"/>
      <w:bookmarkStart w:id="29" w:name="_Toc153438389"/>
      <w:r>
        <w:rPr>
          <w:rFonts w:hint="eastAsia" w:ascii="黑体" w:hAnsi="黑体" w:eastAsia="黑体"/>
        </w:rPr>
        <w:t>二、</w:t>
      </w:r>
      <w:bookmarkEnd w:id="26"/>
      <w:bookmarkEnd w:id="27"/>
      <w:r>
        <w:rPr>
          <w:rFonts w:hint="eastAsia" w:ascii="黑体" w:hAnsi="黑体" w:eastAsia="黑体"/>
        </w:rPr>
        <w:t>机构</w:t>
      </w:r>
      <w:r>
        <w:rPr>
          <w:rFonts w:ascii="黑体" w:hAnsi="黑体" w:eastAsia="黑体"/>
        </w:rPr>
        <w:t>设置</w:t>
      </w:r>
      <w:bookmarkEnd w:id="28"/>
      <w:bookmarkEnd w:id="29"/>
    </w:p>
    <w:p w14:paraId="0F01EBBF">
      <w:pPr>
        <w:ind w:firstLine="640" w:firstLineChars="200"/>
        <w:rPr>
          <w:rFonts w:ascii="仿宋" w:hAnsi="仿宋" w:eastAsia="仿宋"/>
          <w:sz w:val="32"/>
          <w:szCs w:val="32"/>
        </w:rPr>
      </w:pPr>
      <w:r>
        <w:rPr>
          <w:rFonts w:hint="eastAsia" w:ascii="仿宋" w:hAnsi="仿宋" w:eastAsia="仿宋"/>
          <w:sz w:val="32"/>
          <w:szCs w:val="32"/>
        </w:rPr>
        <w:t>峨眉山市桂花桥镇第二小学校属于峨眉山市教育局部门下属的二级预算单位，下设独立编制机构1个，其中行政机构0个，参照公务员法管理的事业机构0个，其他事业机构</w:t>
      </w:r>
      <w:r>
        <w:rPr>
          <w:rFonts w:ascii="仿宋" w:hAnsi="仿宋" w:eastAsia="仿宋"/>
          <w:sz w:val="32"/>
          <w:szCs w:val="32"/>
        </w:rPr>
        <w:t>1</w:t>
      </w:r>
      <w:r>
        <w:rPr>
          <w:rFonts w:hint="eastAsia" w:ascii="仿宋" w:hAnsi="仿宋" w:eastAsia="仿宋"/>
          <w:sz w:val="32"/>
          <w:szCs w:val="32"/>
        </w:rPr>
        <w:t>个。</w:t>
      </w:r>
    </w:p>
    <w:p w14:paraId="7A472351">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仿宋" w:hAnsi="仿宋" w:eastAsia="仿宋"/>
          <w:sz w:val="32"/>
          <w:szCs w:val="32"/>
        </w:rPr>
        <w:t>峨眉山市桂花桥镇第二小学校</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部门决算编制范围的预算单位包括：</w:t>
      </w:r>
    </w:p>
    <w:p w14:paraId="08090CBE">
      <w:pPr>
        <w:pStyle w:val="19"/>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 xml:space="preserve">    1、</w:t>
      </w:r>
      <w:r>
        <w:rPr>
          <w:rFonts w:hint="eastAsia" w:ascii="仿宋" w:hAnsi="仿宋" w:eastAsia="仿宋"/>
          <w:b w:val="0"/>
          <w:bCs/>
          <w:sz w:val="32"/>
          <w:szCs w:val="32"/>
        </w:rPr>
        <w:t>峨眉山市桂花桥镇第二小学校</w:t>
      </w:r>
      <w:r>
        <w:rPr>
          <w:rFonts w:hint="eastAsia" w:ascii="仿宋" w:hAnsi="仿宋" w:eastAsia="仿宋"/>
          <w:b w:val="0"/>
          <w:bCs/>
          <w:sz w:val="32"/>
          <w:szCs w:val="32"/>
          <w:lang w:eastAsia="zh-CN"/>
        </w:rPr>
        <w:t>。</w:t>
      </w:r>
    </w:p>
    <w:p w14:paraId="4A3CB1B4">
      <w:pPr>
        <w:rPr>
          <w:rFonts w:hint="eastAsia" w:ascii="仿宋" w:hAnsi="仿宋" w:eastAsia="仿宋"/>
          <w:sz w:val="32"/>
          <w:szCs w:val="32"/>
        </w:rPr>
      </w:pPr>
    </w:p>
    <w:bookmarkEnd w:id="16"/>
    <w:bookmarkEnd w:id="17"/>
    <w:p w14:paraId="41CB2231">
      <w:pPr>
        <w:pStyle w:val="3"/>
        <w:ind w:firstLine="883" w:firstLineChars="200"/>
        <w:jc w:val="center"/>
        <w:rPr>
          <w:rFonts w:hint="eastAsia" w:ascii="黑体" w:hAnsi="黑体" w:eastAsia="黑体"/>
        </w:rPr>
      </w:pPr>
      <w:bookmarkStart w:id="30" w:name="_Toc153438390"/>
      <w:bookmarkStart w:id="31" w:name="_Toc183512705"/>
    </w:p>
    <w:p w14:paraId="375BE0D2">
      <w:pPr>
        <w:rPr>
          <w:rFonts w:hint="eastAsia" w:ascii="黑体" w:hAnsi="黑体" w:eastAsia="黑体"/>
        </w:rPr>
      </w:pPr>
    </w:p>
    <w:p w14:paraId="1BEC13E4">
      <w:pPr>
        <w:pStyle w:val="19"/>
        <w:rPr>
          <w:rFonts w:hint="eastAsia"/>
        </w:rPr>
      </w:pPr>
    </w:p>
    <w:p w14:paraId="7D165A9E">
      <w:pPr>
        <w:pStyle w:val="3"/>
        <w:ind w:firstLine="883" w:firstLineChars="200"/>
        <w:jc w:val="center"/>
        <w:rPr>
          <w:rFonts w:ascii="黑体" w:hAnsi="黑体" w:eastAsia="黑体"/>
        </w:rPr>
      </w:pPr>
      <w:r>
        <w:rPr>
          <w:rFonts w:hint="eastAsia" w:ascii="黑体" w:hAnsi="黑体" w:eastAsia="黑体"/>
        </w:rPr>
        <w:t>第二部分 202</w:t>
      </w:r>
      <w:r>
        <w:rPr>
          <w:rFonts w:ascii="黑体" w:hAnsi="黑体" w:eastAsia="黑体"/>
        </w:rPr>
        <w:t>4</w:t>
      </w:r>
      <w:r>
        <w:rPr>
          <w:rFonts w:hint="eastAsia" w:ascii="黑体" w:hAnsi="黑体" w:eastAsia="黑体"/>
        </w:rPr>
        <w:t>年度部门决算情况说明</w:t>
      </w:r>
      <w:bookmarkEnd w:id="30"/>
      <w:bookmarkEnd w:id="31"/>
    </w:p>
    <w:p w14:paraId="5D9F5A21">
      <w:pPr>
        <w:pStyle w:val="4"/>
        <w:ind w:firstLine="643" w:firstLineChars="200"/>
        <w:rPr>
          <w:rFonts w:ascii="黑体" w:hAnsi="黑体" w:eastAsia="黑体"/>
        </w:rPr>
      </w:pPr>
      <w:bookmarkStart w:id="32" w:name="_Toc183512706"/>
      <w:bookmarkStart w:id="33" w:name="_Toc15396603"/>
      <w:bookmarkStart w:id="34" w:name="_Toc153438391"/>
      <w:bookmarkStart w:id="35" w:name="_Toc15377205"/>
      <w:r>
        <w:rPr>
          <w:rFonts w:hint="eastAsia" w:ascii="黑体" w:hAnsi="黑体" w:eastAsia="黑体"/>
        </w:rPr>
        <w:t>一、收入支出决算总体情况说明</w:t>
      </w:r>
      <w:bookmarkEnd w:id="32"/>
      <w:bookmarkEnd w:id="33"/>
      <w:bookmarkEnd w:id="34"/>
      <w:bookmarkEnd w:id="35"/>
    </w:p>
    <w:p w14:paraId="45519D99">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4</w:t>
      </w:r>
      <w:r>
        <w:rPr>
          <w:rFonts w:hint="eastAsia" w:ascii="仿宋" w:hAnsi="仿宋" w:eastAsia="仿宋"/>
          <w:sz w:val="32"/>
          <w:szCs w:val="32"/>
        </w:rPr>
        <w:t>年度收、支总计均为</w:t>
      </w:r>
      <w:r>
        <w:rPr>
          <w:rFonts w:ascii="仿宋" w:hAnsi="仿宋" w:eastAsia="仿宋"/>
          <w:bCs/>
          <w:sz w:val="32"/>
          <w:szCs w:val="32"/>
        </w:rPr>
        <w:t>808.24</w:t>
      </w:r>
      <w:r>
        <w:rPr>
          <w:rFonts w:hint="eastAsia" w:ascii="仿宋" w:hAnsi="仿宋" w:eastAsia="仿宋"/>
          <w:sz w:val="32"/>
          <w:szCs w:val="32"/>
        </w:rPr>
        <w:t>万元。与202</w:t>
      </w:r>
      <w:r>
        <w:rPr>
          <w:rFonts w:ascii="仿宋" w:hAnsi="仿宋" w:eastAsia="仿宋"/>
          <w:sz w:val="32"/>
          <w:szCs w:val="32"/>
        </w:rPr>
        <w:t>3</w:t>
      </w:r>
      <w:r>
        <w:rPr>
          <w:rFonts w:hint="eastAsia" w:ascii="仿宋" w:hAnsi="仿宋" w:eastAsia="仿宋"/>
          <w:sz w:val="32"/>
          <w:szCs w:val="32"/>
        </w:rPr>
        <w:t>年度相比，收、支总计持平。主要原因是在职教师没有人员退休，数量上没有发生变化。</w:t>
      </w:r>
    </w:p>
    <w:p w14:paraId="6717C8DA">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2146F9B6">
      <w:pPr>
        <w:pStyle w:val="19"/>
        <w:ind w:firstLine="1205" w:firstLineChars="500"/>
      </w:pPr>
      <w:r>
        <w:drawing>
          <wp:inline distT="0" distB="0" distL="0" distR="0">
            <wp:extent cx="4715510" cy="2867025"/>
            <wp:effectExtent l="0" t="0" r="8890" b="9525"/>
            <wp:docPr id="20078449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73326B6">
      <w:pPr>
        <w:pStyle w:val="4"/>
        <w:ind w:firstLine="643" w:firstLineChars="200"/>
        <w:rPr>
          <w:rStyle w:val="21"/>
          <w:b/>
          <w:bCs/>
        </w:rPr>
      </w:pPr>
      <w:bookmarkStart w:id="36" w:name="_Toc15396604"/>
      <w:bookmarkStart w:id="37" w:name="_Toc15377206"/>
      <w:bookmarkStart w:id="38" w:name="_Toc183512707"/>
      <w:r>
        <w:rPr>
          <w:rFonts w:hint="eastAsia" w:ascii="黑体" w:hAnsi="黑体" w:eastAsia="黑体"/>
        </w:rPr>
        <w:t>二、</w:t>
      </w:r>
      <w:r>
        <w:rPr>
          <w:rFonts w:hint="eastAsia"/>
        </w:rPr>
        <w:t>收</w:t>
      </w:r>
      <w:r>
        <w:rPr>
          <w:rStyle w:val="21"/>
          <w:rFonts w:hint="eastAsia"/>
          <w:b/>
          <w:bCs/>
        </w:rPr>
        <w:t>入决算情况说明</w:t>
      </w:r>
      <w:bookmarkEnd w:id="36"/>
      <w:bookmarkEnd w:id="37"/>
      <w:bookmarkEnd w:id="38"/>
    </w:p>
    <w:p w14:paraId="0061093C">
      <w:pPr>
        <w:ind w:firstLine="640" w:firstLineChars="200"/>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4</w:t>
      </w:r>
      <w:r>
        <w:rPr>
          <w:rFonts w:hint="eastAsia" w:ascii="仿宋" w:hAnsi="仿宋" w:eastAsia="仿宋"/>
          <w:sz w:val="32"/>
          <w:szCs w:val="32"/>
        </w:rPr>
        <w:t>年度本年收入合计</w:t>
      </w:r>
      <w:r>
        <w:rPr>
          <w:rFonts w:ascii="仿宋" w:hAnsi="仿宋" w:eastAsia="仿宋"/>
          <w:sz w:val="32"/>
          <w:szCs w:val="32"/>
        </w:rPr>
        <w:t>808.24</w:t>
      </w:r>
      <w:r>
        <w:rPr>
          <w:rFonts w:hint="eastAsia" w:ascii="仿宋" w:hAnsi="仿宋" w:eastAsia="仿宋"/>
          <w:sz w:val="32"/>
          <w:szCs w:val="32"/>
        </w:rPr>
        <w:t>万元，其中：一般公共预算财政拨款收入</w:t>
      </w:r>
      <w:r>
        <w:rPr>
          <w:rFonts w:ascii="仿宋" w:hAnsi="仿宋" w:eastAsia="仿宋"/>
          <w:sz w:val="32"/>
          <w:szCs w:val="32"/>
        </w:rPr>
        <w:t>741.96</w:t>
      </w:r>
      <w:r>
        <w:rPr>
          <w:rFonts w:hint="eastAsia" w:ascii="仿宋" w:hAnsi="仿宋" w:eastAsia="仿宋"/>
          <w:sz w:val="32"/>
          <w:szCs w:val="32"/>
        </w:rPr>
        <w:t>万元，占</w:t>
      </w:r>
      <w:r>
        <w:rPr>
          <w:rFonts w:ascii="仿宋" w:hAnsi="仿宋" w:eastAsia="仿宋"/>
          <w:sz w:val="32"/>
          <w:szCs w:val="32"/>
        </w:rPr>
        <w:t>91. 8%</w:t>
      </w:r>
      <w:r>
        <w:rPr>
          <w:rFonts w:hint="eastAsia" w:ascii="仿宋" w:hAnsi="仿宋" w:eastAsia="仿宋"/>
          <w:sz w:val="32"/>
          <w:szCs w:val="32"/>
        </w:rPr>
        <w:t>；政府性基金预算财政拨款收入</w:t>
      </w:r>
      <w:r>
        <w:rPr>
          <w:rFonts w:ascii="仿宋" w:hAnsi="仿宋" w:eastAsia="仿宋"/>
          <w:sz w:val="32"/>
          <w:szCs w:val="32"/>
        </w:rPr>
        <w:t>25.71</w:t>
      </w:r>
      <w:r>
        <w:rPr>
          <w:rFonts w:hint="eastAsia" w:ascii="仿宋" w:hAnsi="仿宋" w:eastAsia="仿宋"/>
          <w:sz w:val="32"/>
          <w:szCs w:val="32"/>
        </w:rPr>
        <w:t>万元，占</w:t>
      </w:r>
      <w:r>
        <w:rPr>
          <w:rFonts w:ascii="仿宋" w:hAnsi="仿宋" w:eastAsia="仿宋"/>
          <w:sz w:val="32"/>
          <w:szCs w:val="32"/>
        </w:rPr>
        <w:t>3.18%</w:t>
      </w:r>
      <w:r>
        <w:rPr>
          <w:rFonts w:hint="eastAsia" w:ascii="仿宋" w:hAnsi="仿宋" w:eastAsia="仿宋"/>
          <w:sz w:val="32"/>
          <w:szCs w:val="32"/>
        </w:rPr>
        <w:t>；国有资本经营预算财政拨款收入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40.57</w:t>
      </w:r>
      <w:r>
        <w:rPr>
          <w:rFonts w:hint="eastAsia" w:ascii="仿宋" w:hAnsi="仿宋" w:eastAsia="仿宋"/>
          <w:sz w:val="32"/>
          <w:szCs w:val="32"/>
        </w:rPr>
        <w:t>万元，占</w:t>
      </w:r>
      <w:r>
        <w:rPr>
          <w:rFonts w:ascii="仿宋" w:hAnsi="仿宋" w:eastAsia="仿宋"/>
          <w:sz w:val="32"/>
          <w:szCs w:val="32"/>
        </w:rPr>
        <w:t>5.02%</w:t>
      </w:r>
    </w:p>
    <w:p w14:paraId="25ABF2AE">
      <w:pPr>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5089B34F">
      <w:pPr>
        <w:ind w:firstLine="1050" w:firstLineChars="500"/>
      </w:pPr>
      <w:r>
        <w:drawing>
          <wp:inline distT="0" distB="0" distL="0" distR="0">
            <wp:extent cx="3924300" cy="2076450"/>
            <wp:effectExtent l="0" t="0" r="0" b="0"/>
            <wp:docPr id="143984944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DB0CB78">
      <w:pPr>
        <w:pStyle w:val="4"/>
        <w:ind w:firstLine="643" w:firstLineChars="200"/>
        <w:rPr>
          <w:rFonts w:ascii="黑体" w:hAnsi="黑体" w:eastAsia="黑体"/>
          <w:b w:val="0"/>
          <w:bCs w:val="0"/>
        </w:rPr>
      </w:pPr>
      <w:bookmarkStart w:id="39" w:name="_Toc183512708"/>
      <w:bookmarkStart w:id="40" w:name="_Toc15377207"/>
      <w:bookmarkStart w:id="41" w:name="_Toc15396605"/>
      <w:r>
        <w:rPr>
          <w:rFonts w:hint="eastAsia" w:ascii="黑体" w:hAnsi="黑体" w:eastAsia="黑体"/>
        </w:rPr>
        <w:t>三、支</w:t>
      </w:r>
      <w:r>
        <w:rPr>
          <w:rFonts w:hint="eastAsia" w:ascii="黑体" w:hAnsi="黑体" w:eastAsia="黑体"/>
          <w:b w:val="0"/>
          <w:bCs w:val="0"/>
        </w:rPr>
        <w:t>出决算情况说明</w:t>
      </w:r>
      <w:bookmarkEnd w:id="39"/>
      <w:bookmarkEnd w:id="40"/>
      <w:bookmarkEnd w:id="41"/>
    </w:p>
    <w:p w14:paraId="127A9868">
      <w:pPr>
        <w:ind w:firstLine="640" w:firstLineChars="200"/>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4</w:t>
      </w:r>
      <w:r>
        <w:rPr>
          <w:rFonts w:hint="eastAsia" w:ascii="仿宋" w:hAnsi="仿宋" w:eastAsia="仿宋"/>
          <w:sz w:val="32"/>
          <w:szCs w:val="32"/>
        </w:rPr>
        <w:t>年度本年支出合计</w:t>
      </w:r>
      <w:r>
        <w:rPr>
          <w:rFonts w:ascii="仿宋" w:hAnsi="仿宋" w:eastAsia="仿宋"/>
          <w:sz w:val="32"/>
          <w:szCs w:val="32"/>
        </w:rPr>
        <w:t>795.6</w:t>
      </w:r>
      <w:r>
        <w:rPr>
          <w:rFonts w:hint="eastAsia" w:ascii="仿宋" w:hAnsi="仿宋" w:eastAsia="仿宋"/>
          <w:sz w:val="32"/>
          <w:szCs w:val="32"/>
        </w:rPr>
        <w:t>万元，其中：基本支出</w:t>
      </w:r>
      <w:r>
        <w:rPr>
          <w:rFonts w:ascii="仿宋" w:hAnsi="仿宋" w:eastAsia="仿宋"/>
          <w:sz w:val="32"/>
          <w:szCs w:val="32"/>
        </w:rPr>
        <w:t>666.91</w:t>
      </w:r>
      <w:r>
        <w:rPr>
          <w:rFonts w:hint="eastAsia" w:ascii="仿宋" w:hAnsi="仿宋" w:eastAsia="仿宋"/>
          <w:sz w:val="32"/>
          <w:szCs w:val="32"/>
        </w:rPr>
        <w:t>万元，占</w:t>
      </w:r>
      <w:r>
        <w:rPr>
          <w:rFonts w:ascii="仿宋" w:hAnsi="仿宋" w:eastAsia="仿宋"/>
          <w:sz w:val="32"/>
          <w:szCs w:val="32"/>
        </w:rPr>
        <w:t>83.82%</w:t>
      </w:r>
      <w:r>
        <w:rPr>
          <w:rFonts w:hint="eastAsia" w:ascii="仿宋" w:hAnsi="仿宋" w:eastAsia="仿宋"/>
          <w:sz w:val="32"/>
          <w:szCs w:val="32"/>
        </w:rPr>
        <w:t>；项目支出</w:t>
      </w:r>
      <w:r>
        <w:rPr>
          <w:rFonts w:ascii="仿宋" w:hAnsi="仿宋" w:eastAsia="仿宋"/>
          <w:sz w:val="32"/>
          <w:szCs w:val="32"/>
        </w:rPr>
        <w:t>128.69</w:t>
      </w:r>
      <w:r>
        <w:rPr>
          <w:rFonts w:hint="eastAsia" w:ascii="仿宋" w:hAnsi="仿宋" w:eastAsia="仿宋"/>
          <w:sz w:val="32"/>
          <w:szCs w:val="32"/>
        </w:rPr>
        <w:t>万元，占</w:t>
      </w:r>
      <w:r>
        <w:rPr>
          <w:rFonts w:ascii="仿宋" w:hAnsi="仿宋" w:eastAsia="仿宋"/>
          <w:sz w:val="32"/>
          <w:szCs w:val="32"/>
        </w:rPr>
        <w:t>16.18%</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14:paraId="04359125">
      <w:pPr>
        <w:ind w:firstLine="200"/>
        <w:rPr>
          <w:rFonts w:ascii="仿宋" w:hAnsi="仿宋" w:eastAsia="仿宋"/>
          <w:sz w:val="32"/>
          <w:szCs w:val="32"/>
        </w:rPr>
      </w:pPr>
      <w:r>
        <w:rPr>
          <w:rFonts w:hint="eastAsia" w:ascii="仿宋" w:hAnsi="仿宋" w:eastAsia="仿宋"/>
          <w:sz w:val="32"/>
          <w:szCs w:val="32"/>
        </w:rPr>
        <w:t>（图3：支出决算结构图）（饼状图）</w:t>
      </w:r>
    </w:p>
    <w:p w14:paraId="7DCA10B5">
      <w:pPr>
        <w:ind w:firstLine="1470" w:firstLineChars="700"/>
        <w:rPr>
          <w:rFonts w:ascii="仿宋" w:hAnsi="仿宋" w:eastAsia="仿宋"/>
          <w:sz w:val="32"/>
          <w:szCs w:val="32"/>
        </w:rPr>
      </w:pPr>
      <w:r>
        <mc:AlternateContent>
          <mc:Choice Requires="wps">
            <w:drawing>
              <wp:anchor distT="0" distB="0" distL="114300" distR="114300" simplePos="0" relativeHeight="251659264" behindDoc="0" locked="0" layoutInCell="1" allowOverlap="1">
                <wp:simplePos x="0" y="0"/>
                <wp:positionH relativeFrom="column">
                  <wp:posOffset>3590925</wp:posOffset>
                </wp:positionH>
                <wp:positionV relativeFrom="paragraph">
                  <wp:posOffset>147955</wp:posOffset>
                </wp:positionV>
                <wp:extent cx="1015365" cy="323850"/>
                <wp:effectExtent l="0" t="0" r="0" b="0"/>
                <wp:wrapNone/>
                <wp:docPr id="325725884" name="文本框 5"/>
                <wp:cNvGraphicFramePr/>
                <a:graphic xmlns:a="http://schemas.openxmlformats.org/drawingml/2006/main">
                  <a:graphicData uri="http://schemas.microsoft.com/office/word/2010/wordprocessingShape">
                    <wps:wsp>
                      <wps:cNvSpPr txBox="1"/>
                      <wps:spPr bwMode="auto">
                        <a:xfrm>
                          <a:off x="0" y="0"/>
                          <a:ext cx="1015393" cy="323929"/>
                        </a:xfrm>
                        <a:prstGeom prst="rect">
                          <a:avLst/>
                        </a:prstGeom>
                      </wps:spPr>
                      <wps:txbx>
                        <w:txbxContent>
                          <w:p w14:paraId="4B9DB74C">
                            <w:pPr>
                              <w:rPr>
                                <w:rFonts w:asciiTheme="minorHAnsi" w:eastAsiaTheme="minorEastAsia" w:cstheme="minorBidi"/>
                                <w:kern w:val="0"/>
                                <w:sz w:val="22"/>
                                <w:szCs w:val="22"/>
                              </w:rPr>
                            </w:pPr>
                            <w:r>
                              <w:rPr>
                                <w:rFonts w:hint="eastAsia" w:asciiTheme="minorHAnsi" w:eastAsiaTheme="minorEastAsia" w:cstheme="minorBidi"/>
                                <w:sz w:val="22"/>
                                <w:szCs w:val="22"/>
                              </w:rPr>
                              <w:t>单位：万元</w:t>
                            </w:r>
                          </w:p>
                        </w:txbxContent>
                      </wps:txbx>
                      <wps:bodyPr wrap="square" rtlCol="0" anchor="t"/>
                    </wps:wsp>
                  </a:graphicData>
                </a:graphic>
              </wp:anchor>
            </w:drawing>
          </mc:Choice>
          <mc:Fallback>
            <w:pict>
              <v:shape id="文本框 5" o:spid="_x0000_s1026" o:spt="202" type="#_x0000_t202" style="position:absolute;left:0pt;margin-left:282.75pt;margin-top:11.65pt;height:25.5pt;width:79.95pt;z-index:251659264;mso-width-relative:page;mso-height-relative:page;" filled="f" stroked="f" coordsize="21600,21600" o:gfxdata="UEsDBAoAAAAAAIdO4kAAAAAAAAAAAAAAAAAEAAAAZHJzL1BLAwQUAAAACACHTuJAWZNRwdcAAAAJ&#10;AQAADwAAAGRycy9kb3ducmV2LnhtbE2PTU/DMAyG70j8h8hI3FiythlQmu4A4gpifEjcssZrKxqn&#10;arK1/HvMCW62/Oj181bbxQ/ihFPsAxlYrxQIpCa4nloDb6+PVzcgYrLk7BAIDXxjhG19flbZ0oWZ&#10;XvC0S63gEIqlNdClNJZSxqZDb+MqjEh8O4TJ28Tr1Eo32ZnD/SAzpTbS2574Q2dHvO+w+dodvYH3&#10;p8PnR6Ge2wevxzksSpK/lcZcXqzVHYiES/qD4Vef1aFmp304kotiMKA3WjNqIMtzEAxcZ7oAseeh&#10;yEHWlfzfoP4BUEsDBBQAAAAIAIdO4kAMIgT8wAEAAFkDAAAOAAAAZHJzL2Uyb0RvYy54bWytU82O&#10;0zAQviPxDpbvNGlKoY2argQVXPiTFh5g6jhNpNhjPG6TvgC8AScu3Pe5+hyMk7a7Wi574GLZ4/E3&#10;3/fNeHXTm1YctKcGbSGnk1QKbRWWjd0V8tvXdy8WUlAAW0KLVhfyqEnerJ8/W3Uu1xnW2JbaCwax&#10;lHeukHUILk8SUrU2QBN02vJlhd5A4KPfJaWHjtFNm2Rp+irp0JfOo9JEHN2Ml/KM6J8CiFXVKL1B&#10;tTfahhHV6xYCS6K6cSTXA9uq0ip8rirSQbSFZKVhWLkI77dxTdYryHceXN2oMwV4CoVHmgw0lote&#10;oTYQQOx98w+UaZRHwipMFJpkFDI4wiqm6SNvbmtwetDCVpO7mk7/D1Z9OnzxoikLOcvmr7P5YvFS&#10;CguGG3/69fP0++7054eYR5s6Rzln3zrOD/0b7Hl4LnGKwW33EUt+B/uAgxd95U30hFUKzmbLj1fL&#10;dR+EihDpdD5bzqRQfDfLZstsGUETyC+vnafwXqMRcVNIzy0d0OHwgcKYeknhd5FlZDPyDf22P1Pf&#10;Ynlkkh23upD0fQ9eS+FD+xbHyQCrauTBCEP5CMOOD0TO0xFb+vA8FLv/Ee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ZNRwdcAAAAJAQAADwAAAAAAAAABACAAAAAiAAAAZHJzL2Rvd25yZXYueG1s&#10;UEsBAhQAFAAAAAgAh07iQAwiBPzAAQAAWQMAAA4AAAAAAAAAAQAgAAAAJgEAAGRycy9lMm9Eb2Mu&#10;eG1sUEsFBgAAAAAGAAYAWQEAAFgFAAAAAA==&#10;">
                <v:fill on="f" focussize="0,0"/>
                <v:stroke on="f"/>
                <v:imagedata o:title=""/>
                <o:lock v:ext="edit" aspectratio="f"/>
                <v:textbox>
                  <w:txbxContent>
                    <w:p w14:paraId="4B9DB74C">
                      <w:pPr>
                        <w:rPr>
                          <w:rFonts w:asciiTheme="minorHAnsi" w:eastAsiaTheme="minorEastAsia" w:cstheme="minorBidi"/>
                          <w:kern w:val="0"/>
                          <w:sz w:val="22"/>
                          <w:szCs w:val="22"/>
                        </w:rPr>
                      </w:pPr>
                      <w:r>
                        <w:rPr>
                          <w:rFonts w:hint="eastAsia" w:asciiTheme="minorHAnsi" w:eastAsiaTheme="minorEastAsia" w:cstheme="minorBidi"/>
                          <w:sz w:val="22"/>
                          <w:szCs w:val="22"/>
                        </w:rPr>
                        <w:t>单位：万元</w:t>
                      </w:r>
                    </w:p>
                  </w:txbxContent>
                </v:textbox>
              </v:shape>
            </w:pict>
          </mc:Fallback>
        </mc:AlternateContent>
      </w:r>
      <w:r>
        <w:drawing>
          <wp:inline distT="0" distB="0" distL="0" distR="0">
            <wp:extent cx="4000500" cy="2752725"/>
            <wp:effectExtent l="0" t="0" r="0" b="9525"/>
            <wp:docPr id="34610282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0DF73C">
      <w:pPr>
        <w:tabs>
          <w:tab w:val="center" w:pos="1009"/>
        </w:tabs>
        <w:rPr>
          <w:rFonts w:ascii="仿宋" w:hAnsi="仿宋" w:eastAsia="仿宋"/>
          <w:sz w:val="32"/>
          <w:szCs w:val="32"/>
        </w:rPr>
      </w:pPr>
      <w:r>
        <w:rPr>
          <w:rFonts w:ascii="仿宋" w:hAnsi="仿宋" w:eastAsia="仿宋"/>
          <w:sz w:val="32"/>
          <w:szCs w:val="32"/>
        </w:rPr>
        <w:tab/>
      </w:r>
    </w:p>
    <w:p w14:paraId="30D27484">
      <w:pPr>
        <w:pStyle w:val="4"/>
        <w:ind w:firstLine="643" w:firstLineChars="200"/>
        <w:rPr>
          <w:rStyle w:val="21"/>
          <w:rFonts w:ascii="黑体" w:hAnsi="黑体" w:eastAsia="黑体"/>
          <w:b/>
          <w:bCs w:val="0"/>
        </w:rPr>
      </w:pPr>
      <w:bookmarkStart w:id="42" w:name="_Toc183512709"/>
      <w:bookmarkStart w:id="43" w:name="_Toc15396606"/>
      <w:bookmarkStart w:id="44" w:name="_Toc15377208"/>
      <w:r>
        <w:rPr>
          <w:rFonts w:hint="eastAsia"/>
        </w:rPr>
        <w:t>四、财</w:t>
      </w:r>
      <w:r>
        <w:rPr>
          <w:rStyle w:val="21"/>
          <w:rFonts w:hint="eastAsia" w:ascii="黑体" w:hAnsi="黑体" w:eastAsia="黑体"/>
          <w:b w:val="0"/>
          <w:bCs w:val="0"/>
        </w:rPr>
        <w:t>政拨款收入支出决算总体情况说明</w:t>
      </w:r>
      <w:bookmarkEnd w:id="42"/>
      <w:bookmarkEnd w:id="43"/>
      <w:bookmarkEnd w:id="44"/>
    </w:p>
    <w:p w14:paraId="14CCBCE1">
      <w:pPr>
        <w:ind w:firstLine="640" w:firstLineChars="200"/>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4</w:t>
      </w:r>
      <w:r>
        <w:rPr>
          <w:rFonts w:hint="eastAsia" w:ascii="仿宋" w:hAnsi="仿宋" w:eastAsia="仿宋"/>
          <w:sz w:val="32"/>
          <w:szCs w:val="32"/>
        </w:rPr>
        <w:t>年度财政拨款收、支总计均为</w:t>
      </w:r>
      <w:r>
        <w:rPr>
          <w:rFonts w:ascii="仿宋" w:hAnsi="仿宋" w:eastAsia="仿宋"/>
          <w:sz w:val="32"/>
          <w:szCs w:val="32"/>
        </w:rPr>
        <w:t>767.67</w:t>
      </w:r>
      <w:r>
        <w:rPr>
          <w:rFonts w:hint="eastAsia" w:ascii="仿宋" w:hAnsi="仿宋" w:eastAsia="仿宋"/>
          <w:sz w:val="32"/>
          <w:szCs w:val="32"/>
        </w:rPr>
        <w:t>万元。与202</w:t>
      </w:r>
      <w:r>
        <w:rPr>
          <w:rFonts w:ascii="仿宋" w:hAnsi="仿宋" w:eastAsia="仿宋"/>
          <w:sz w:val="32"/>
          <w:szCs w:val="32"/>
        </w:rPr>
        <w:t>3</w:t>
      </w:r>
      <w:r>
        <w:rPr>
          <w:rFonts w:hint="eastAsia" w:ascii="仿宋" w:hAnsi="仿宋" w:eastAsia="仿宋"/>
          <w:sz w:val="32"/>
          <w:szCs w:val="32"/>
        </w:rPr>
        <w:t>年度相比，财政拨款收、支总计各增加</w:t>
      </w:r>
      <w:r>
        <w:rPr>
          <w:rFonts w:ascii="仿宋" w:hAnsi="仿宋" w:eastAsia="仿宋"/>
          <w:sz w:val="32"/>
          <w:szCs w:val="32"/>
        </w:rPr>
        <w:t>2.86</w:t>
      </w:r>
      <w:r>
        <w:rPr>
          <w:rFonts w:hint="eastAsia" w:ascii="仿宋" w:hAnsi="仿宋" w:eastAsia="仿宋"/>
          <w:sz w:val="32"/>
          <w:szCs w:val="32"/>
        </w:rPr>
        <w:t>万元，增加</w:t>
      </w:r>
      <w:r>
        <w:rPr>
          <w:rFonts w:ascii="仿宋" w:hAnsi="仿宋" w:eastAsia="仿宋"/>
          <w:sz w:val="32"/>
          <w:szCs w:val="32"/>
        </w:rPr>
        <w:t>0.37%</w:t>
      </w:r>
      <w:r>
        <w:rPr>
          <w:rFonts w:hint="eastAsia" w:ascii="仿宋" w:hAnsi="仿宋" w:eastAsia="仿宋"/>
          <w:sz w:val="32"/>
          <w:szCs w:val="32"/>
        </w:rPr>
        <w:t>。主要变动原因是在职教师正常晋升薪级工资，人员经费开支增加。</w:t>
      </w:r>
    </w:p>
    <w:p w14:paraId="0D76BDD0">
      <w:pPr>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2AA8E8AB">
      <w:pPr>
        <w:ind w:firstLine="1470" w:firstLineChars="700"/>
        <w:rPr>
          <w:rFonts w:ascii="仿宋" w:hAnsi="仿宋" w:eastAsia="仿宋"/>
          <w:sz w:val="32"/>
          <w:szCs w:val="32"/>
        </w:rPr>
      </w:pPr>
      <w:r>
        <mc:AlternateContent>
          <mc:Choice Requires="wps">
            <w:drawing>
              <wp:anchor distT="0" distB="0" distL="114300" distR="114300" simplePos="0" relativeHeight="251660288" behindDoc="0" locked="0" layoutInCell="1" allowOverlap="1">
                <wp:simplePos x="0" y="0"/>
                <wp:positionH relativeFrom="column">
                  <wp:posOffset>1994535</wp:posOffset>
                </wp:positionH>
                <wp:positionV relativeFrom="paragraph">
                  <wp:posOffset>85725</wp:posOffset>
                </wp:positionV>
                <wp:extent cx="1015365" cy="323850"/>
                <wp:effectExtent l="0" t="0" r="0" b="0"/>
                <wp:wrapNone/>
                <wp:docPr id="2073931731" name="文本框 3"/>
                <wp:cNvGraphicFramePr/>
                <a:graphic xmlns:a="http://schemas.openxmlformats.org/drawingml/2006/main">
                  <a:graphicData uri="http://schemas.microsoft.com/office/word/2010/wordprocessingShape">
                    <wps:wsp>
                      <wps:cNvSpPr txBox="1"/>
                      <wps:spPr bwMode="auto">
                        <a:xfrm>
                          <a:off x="0" y="0"/>
                          <a:ext cx="1015393" cy="323929"/>
                        </a:xfrm>
                        <a:prstGeom prst="rect">
                          <a:avLst/>
                        </a:prstGeom>
                      </wps:spPr>
                      <wps:txbx>
                        <w:txbxContent>
                          <w:p w14:paraId="2FE2568F">
                            <w:pPr>
                              <w:rPr>
                                <w:rFonts w:asciiTheme="minorHAnsi" w:eastAsiaTheme="minorEastAsia" w:cstheme="minorBidi"/>
                                <w:kern w:val="0"/>
                                <w:sz w:val="22"/>
                                <w:szCs w:val="22"/>
                              </w:rPr>
                            </w:pPr>
                            <w:r>
                              <w:rPr>
                                <w:rFonts w:hint="eastAsia" w:asciiTheme="minorHAnsi" w:eastAsiaTheme="minorEastAsia" w:cstheme="minorBidi"/>
                                <w:sz w:val="22"/>
                                <w:szCs w:val="22"/>
                              </w:rPr>
                              <w:t>单位：万元</w:t>
                            </w:r>
                          </w:p>
                        </w:txbxContent>
                      </wps:txbx>
                      <wps:bodyPr wrap="square" rtlCol="0" anchor="t"/>
                    </wps:wsp>
                  </a:graphicData>
                </a:graphic>
              </wp:anchor>
            </w:drawing>
          </mc:Choice>
          <mc:Fallback>
            <w:pict>
              <v:shape id="文本框 3" o:spid="_x0000_s1026" o:spt="202" type="#_x0000_t202" style="position:absolute;left:0pt;margin-left:157.05pt;margin-top:6.75pt;height:25.5pt;width:79.95pt;z-index:251660288;mso-width-relative:page;mso-height-relative:page;" filled="f" stroked="f" coordsize="21600,21600" o:gfxdata="UEsDBAoAAAAAAIdO4kAAAAAAAAAAAAAAAAAEAAAAZHJzL1BLAwQUAAAACACHTuJAmdQfVNYAAAAJ&#10;AQAADwAAAGRycy9kb3ducmV2LnhtbE2PwU7DMBBE70j8g7VI3Kgd6hQIcXoAcQVRoFJvbrxNIuJ1&#10;FLtN+HuWEz2u5mn2TbmefS9OOMYukIFsoUAg1cF11Bj4/Hi5uQcRkyVn+0Bo4AcjrKvLi9IWLkz0&#10;jqdNagSXUCysgTaloZAy1i16GxdhQOLsEEZvE59jI91oJy73vbxVaiW97Yg/tHbApxbr783RG/h6&#10;Pey2Wr01zz4fpjArSf5BGnN9lalHEAnn9A/Dnz6rQ8VO+3AkF0VvYJnpjFEOljkIBvSd5nF7Ayud&#10;g6xKeb6g+gVQSwMEFAAAAAgAh07iQHAkLsG+AQAAWgMAAA4AAABkcnMvZTJvRG9jLnhtbK1TS44T&#10;MRDdI3EHy3vSP8GQVjojQQQbftLAASpud7qltsu4nHTnAnADVmzYc66cY8rdSUDDZhZsLH+qXr33&#10;qry6HU0vDtpTh7aS2SKVQluFdWd3lfzy+c2zl1JQAFtDj1ZX8qhJ3q6fPlkNrtQ5ttjX2gsGsVQO&#10;rpJtCK5MElKtNkALdNryY4PeQOCj3yW1h4HRTZ/kafoiGdDXzqPSRHy7mR/lGdE/BhCbplN6g2pv&#10;tA0zqtc9BJZEbedIrie2TaNV+Ng0pIPoK8lKw7RyEd5v45qsV1DuPLi2U2cK8BgKDzQZ6CwXvUJt&#10;IIDY++4fKNMpj4RNWCg0ySxkcoRVZOkDb+5acHrSwlaTu5pO/w9WfTh88qKrK5mnN8WyyG6KTAoL&#10;hjt/+vH99PP36dc3UUSfBkclh985TgjjKxx5ei73FC+3w3usOQ/2ASczxsabaArLFBzNnh+vnusx&#10;CBUh0uw515VC8VuRF8t8GUETKC/ZzlN4q9GIuKmk555O6HB4R2EOvYRwXmQZ2cx8w7gdz9S3WB+Z&#10;5MC9riR93YPXUvjQv8Z5NMCqFnkywlQ+wrDlE5HzeMSe/n2eiv35Eut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dQfVNYAAAAJAQAADwAAAAAAAAABACAAAAAiAAAAZHJzL2Rvd25yZXYueG1sUEsB&#10;AhQAFAAAAAgAh07iQHAkLsG+AQAAWgMAAA4AAAAAAAAAAQAgAAAAJQEAAGRycy9lMm9Eb2MueG1s&#10;UEsFBgAAAAAGAAYAWQEAAFUFAAAAAA==&#10;">
                <v:fill on="f" focussize="0,0"/>
                <v:stroke on="f"/>
                <v:imagedata o:title=""/>
                <o:lock v:ext="edit" aspectratio="f"/>
                <v:textbox>
                  <w:txbxContent>
                    <w:p w14:paraId="2FE2568F">
                      <w:pPr>
                        <w:rPr>
                          <w:rFonts w:asciiTheme="minorHAnsi" w:eastAsiaTheme="minorEastAsia" w:cstheme="minorBidi"/>
                          <w:kern w:val="0"/>
                          <w:sz w:val="22"/>
                          <w:szCs w:val="22"/>
                        </w:rPr>
                      </w:pPr>
                      <w:r>
                        <w:rPr>
                          <w:rFonts w:hint="eastAsia" w:asciiTheme="minorHAnsi" w:eastAsiaTheme="minorEastAsia" w:cstheme="minorBidi"/>
                          <w:sz w:val="22"/>
                          <w:szCs w:val="22"/>
                        </w:rPr>
                        <w:t>单位：万元</w:t>
                      </w:r>
                    </w:p>
                  </w:txbxContent>
                </v:textbox>
              </v:shape>
            </w:pict>
          </mc:Fallback>
        </mc:AlternateContent>
      </w:r>
      <w:r>
        <w:drawing>
          <wp:inline distT="0" distB="0" distL="0" distR="0">
            <wp:extent cx="4904740" cy="4143375"/>
            <wp:effectExtent l="0" t="0" r="10160" b="9525"/>
            <wp:docPr id="471891545"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8B6870">
      <w:pPr>
        <w:pStyle w:val="4"/>
        <w:ind w:firstLine="643" w:firstLineChars="200"/>
        <w:rPr>
          <w:rStyle w:val="21"/>
          <w:rFonts w:ascii="黑体" w:hAnsi="黑体" w:eastAsia="黑体"/>
          <w:b/>
          <w:bCs w:val="0"/>
        </w:rPr>
      </w:pPr>
      <w:bookmarkStart w:id="45" w:name="_Toc15377209"/>
      <w:bookmarkStart w:id="46" w:name="_Toc183512710"/>
      <w:bookmarkStart w:id="47" w:name="_Toc15396607"/>
      <w:r>
        <w:rPr>
          <w:rFonts w:hint="eastAsia"/>
        </w:rPr>
        <w:t>五、一</w:t>
      </w:r>
      <w:r>
        <w:rPr>
          <w:rStyle w:val="21"/>
          <w:rFonts w:hint="eastAsia" w:ascii="黑体" w:hAnsi="黑体" w:eastAsia="黑体"/>
          <w:b w:val="0"/>
          <w:bCs w:val="0"/>
        </w:rPr>
        <w:t>般公共预算财政拨款支出决算情况说明</w:t>
      </w:r>
      <w:bookmarkEnd w:id="45"/>
      <w:bookmarkEnd w:id="46"/>
      <w:bookmarkEnd w:id="47"/>
    </w:p>
    <w:p w14:paraId="11325985">
      <w:pPr>
        <w:ind w:firstLine="640" w:firstLineChars="200"/>
        <w:rPr>
          <w:rFonts w:ascii="仿宋" w:hAnsi="仿宋" w:eastAsia="仿宋"/>
          <w:sz w:val="32"/>
          <w:szCs w:val="32"/>
        </w:rPr>
      </w:pPr>
      <w:bookmarkStart w:id="48" w:name="_Toc15377210"/>
      <w:r>
        <w:rPr>
          <w:rFonts w:hint="eastAsia" w:ascii="仿宋" w:hAnsi="仿宋" w:eastAsia="仿宋"/>
          <w:sz w:val="32"/>
          <w:szCs w:val="32"/>
        </w:rPr>
        <w:t>（一）一般公共预算财政拨款支出决算总体情况</w:t>
      </w:r>
      <w:bookmarkEnd w:id="48"/>
    </w:p>
    <w:p w14:paraId="53A10C12">
      <w:pPr>
        <w:ind w:firstLine="640" w:firstLineChars="200"/>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4</w:t>
      </w:r>
      <w:r>
        <w:rPr>
          <w:rFonts w:hint="eastAsia" w:ascii="仿宋" w:hAnsi="仿宋" w:eastAsia="仿宋"/>
          <w:sz w:val="32"/>
          <w:szCs w:val="32"/>
        </w:rPr>
        <w:t>年度一般公共预算财政拨款支出</w:t>
      </w:r>
      <w:r>
        <w:rPr>
          <w:rFonts w:ascii="仿宋" w:hAnsi="仿宋" w:eastAsia="仿宋"/>
          <w:sz w:val="32"/>
          <w:szCs w:val="32"/>
        </w:rPr>
        <w:t>741.96</w:t>
      </w:r>
      <w:r>
        <w:rPr>
          <w:rFonts w:hint="eastAsia" w:ascii="仿宋" w:hAnsi="仿宋" w:eastAsia="仿宋"/>
          <w:sz w:val="32"/>
          <w:szCs w:val="32"/>
        </w:rPr>
        <w:t>万元，占本年支出合计的</w:t>
      </w:r>
      <w:r>
        <w:rPr>
          <w:rFonts w:ascii="仿宋" w:hAnsi="仿宋" w:eastAsia="仿宋"/>
          <w:sz w:val="32"/>
          <w:szCs w:val="32"/>
        </w:rPr>
        <w:t>96.65%</w:t>
      </w:r>
      <w:r>
        <w:rPr>
          <w:rFonts w:hint="eastAsia" w:ascii="仿宋" w:hAnsi="仿宋" w:eastAsia="仿宋"/>
          <w:sz w:val="32"/>
          <w:szCs w:val="32"/>
        </w:rPr>
        <w:t>。与202</w:t>
      </w:r>
      <w:r>
        <w:rPr>
          <w:rFonts w:ascii="仿宋" w:hAnsi="仿宋" w:eastAsia="仿宋"/>
          <w:sz w:val="32"/>
          <w:szCs w:val="32"/>
        </w:rPr>
        <w:t>3</w:t>
      </w:r>
      <w:r>
        <w:rPr>
          <w:rFonts w:hint="eastAsia" w:ascii="仿宋" w:hAnsi="仿宋" w:eastAsia="仿宋"/>
          <w:sz w:val="32"/>
          <w:szCs w:val="32"/>
        </w:rPr>
        <w:t>年度相比，一般公共预算财政拨款支出增加</w:t>
      </w:r>
      <w:r>
        <w:rPr>
          <w:rFonts w:ascii="仿宋" w:hAnsi="仿宋" w:eastAsia="仿宋"/>
          <w:sz w:val="32"/>
          <w:szCs w:val="32"/>
        </w:rPr>
        <w:t>4.17</w:t>
      </w:r>
      <w:r>
        <w:rPr>
          <w:rFonts w:hint="eastAsia" w:ascii="仿宋" w:hAnsi="仿宋" w:eastAsia="仿宋"/>
          <w:sz w:val="32"/>
          <w:szCs w:val="32"/>
        </w:rPr>
        <w:t>万元，增加</w:t>
      </w:r>
      <w:r>
        <w:rPr>
          <w:rFonts w:ascii="仿宋" w:hAnsi="仿宋" w:eastAsia="仿宋"/>
          <w:sz w:val="32"/>
          <w:szCs w:val="32"/>
        </w:rPr>
        <w:t>0.57%</w:t>
      </w:r>
      <w:r>
        <w:rPr>
          <w:rFonts w:hint="eastAsia" w:ascii="仿宋" w:hAnsi="仿宋" w:eastAsia="仿宋"/>
          <w:sz w:val="32"/>
          <w:szCs w:val="32"/>
        </w:rPr>
        <w:t>。主要变动原因是在职教师正常晋升薪级工资，人员经费开支增加。</w:t>
      </w:r>
    </w:p>
    <w:p w14:paraId="6458F6B0">
      <w:pPr>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2EC646FE">
      <w:pPr>
        <w:pStyle w:val="19"/>
        <w:ind w:firstLine="964" w:firstLineChars="400"/>
      </w:pPr>
      <w:r>
        <mc:AlternateContent>
          <mc:Choice Requires="wps">
            <w:drawing>
              <wp:anchor distT="0" distB="0" distL="114300" distR="114300" simplePos="0" relativeHeight="251661312" behindDoc="0" locked="0" layoutInCell="1" allowOverlap="1">
                <wp:simplePos x="0" y="0"/>
                <wp:positionH relativeFrom="column">
                  <wp:posOffset>4918710</wp:posOffset>
                </wp:positionH>
                <wp:positionV relativeFrom="paragraph">
                  <wp:posOffset>-267335</wp:posOffset>
                </wp:positionV>
                <wp:extent cx="1066800" cy="504825"/>
                <wp:effectExtent l="0" t="0" r="0" b="0"/>
                <wp:wrapNone/>
                <wp:docPr id="4" name="文本框 8"/>
                <wp:cNvGraphicFramePr/>
                <a:graphic xmlns:a="http://schemas.openxmlformats.org/drawingml/2006/main">
                  <a:graphicData uri="http://schemas.microsoft.com/office/word/2010/wordprocessingShape">
                    <wps:wsp>
                      <wps:cNvSpPr txBox="1"/>
                      <wps:spPr bwMode="auto">
                        <a:xfrm>
                          <a:off x="0" y="0"/>
                          <a:ext cx="1066517" cy="504825"/>
                        </a:xfrm>
                        <a:prstGeom prst="rect">
                          <a:avLst/>
                        </a:prstGeom>
                      </wps:spPr>
                      <wps:txbx>
                        <w:txbxContent>
                          <w:p w14:paraId="4C54B44C">
                            <w:pPr>
                              <w:rPr>
                                <w:rFonts w:asciiTheme="minorHAnsi" w:eastAsiaTheme="minorEastAsia" w:cstheme="minorBidi"/>
                                <w:kern w:val="0"/>
                                <w:sz w:val="22"/>
                                <w:szCs w:val="22"/>
                              </w:rPr>
                            </w:pPr>
                            <w:r>
                              <w:rPr>
                                <w:rFonts w:hint="eastAsia" w:asciiTheme="minorHAnsi" w:eastAsiaTheme="minorEastAsia" w:cstheme="minorBidi"/>
                                <w:sz w:val="22"/>
                                <w:szCs w:val="22"/>
                              </w:rPr>
                              <w:t>单位：万元</w:t>
                            </w:r>
                          </w:p>
                        </w:txbxContent>
                      </wps:txbx>
                      <wps:bodyPr vertOverflow="clip" horzOverflow="clip" wrap="square" rtlCol="0" anchor="t">
                        <a:noAutofit/>
                      </wps:bodyPr>
                    </wps:wsp>
                  </a:graphicData>
                </a:graphic>
              </wp:anchor>
            </w:drawing>
          </mc:Choice>
          <mc:Fallback>
            <w:pict>
              <v:shape id="文本框 8" o:spid="_x0000_s1026" o:spt="202" type="#_x0000_t202" style="position:absolute;left:0pt;margin-left:387.3pt;margin-top:-21.05pt;height:39.75pt;width:84pt;z-index:251661312;mso-width-relative:page;mso-height-relative:page;" filled="f" stroked="f" coordsize="21600,21600" o:gfxdata="UEsDBAoAAAAAAIdO4kAAAAAAAAAAAAAAAAAEAAAAZHJzL1BLAwQUAAAACACHTuJAsp0At9gAAAAK&#10;AQAADwAAAGRycy9kb3ducmV2LnhtbE2PTU/DMAyG70j8h8hI3LakpaxbqbsDiCuI8SHtljVZW9E4&#10;VZOt5d9jTuxo+9Hr5y23s+vF2Y6h84SQLBUIS7U3HTUIH+/PizWIEDUZ3XuyCD82wLa6vip1YfxE&#10;b/a8i43gEAqFRmhjHAopQ91ap8PSD5b4dvSj05HHsZFm1BOHu16mSq2k0x3xh1YP9rG19ffu5BA+&#10;X477r0y9Nk/ufpj8rCS5jUS8vUnUA4ho5/gPw58+q0PFTgd/IhNEj5Dn2YpRhEWWJiCY2GQpbw4I&#10;d3kGsirlZYXqF1BLAwQUAAAACACHTuJA2G6lHtQBAACTAwAADgAAAGRycy9lMm9Eb2MueG1srVNB&#10;jtMwFN0jcQfLe5q0mpYqqjsCKtgAgzRwANexG0uxv7HdJuUAcANWbNhzrp6DbyftjMpmFmws5/v5&#10;/feef1a3vWnJQfqgwTI6nZSUSCug1nbH6JfPb18sKQmR25q3YCWjRxno7fr5s1XnKjmDBtpaeoIk&#10;NlSdY7SJ0VVFEUQjDQ8TcNLioQJveMRPvytqzztkN20xK8tF0YGvnQchQ8DqZjikI6N/CiEopYXc&#10;gNgbaePA6mXLI1oKjXaBrrNapaSId0oFGUnLKDqNecUmuN+mtViveLXz3DVajBL4UyRceTJcW2x6&#10;odrwyMne63+ojBYeAqg4EWCKwUhOBF1My6ts7hvuZPaCUQd3CT38P1rx8fDJE10zekOJ5QYf/PTz&#10;x+nXn9Pv72SZ4ulcqBB17xAX+9fQ49Cc6yEVt90HqPEe30fIGfTKm5QFuiOIxqiPl6hlH4lIFOVi&#10;MZ++pETg2by8Wc7mibTg1fm28yG+k2BI2jDq8SkzOz+8D3GAniF4L6lMaga9sd/2o/Qt1EcUiQMf&#10;73BRLXSMilY7Shrw365rHY4Co+HrnntJiY/tGxgmh1uBeEYHERZeoVuls5DUe2gzCsG3ylbGuUrD&#10;8Pg7ox7+pf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p0At9gAAAAKAQAADwAAAAAAAAABACAA&#10;AAAiAAAAZHJzL2Rvd25yZXYueG1sUEsBAhQAFAAAAAgAh07iQNhupR7UAQAAkwMAAA4AAAAAAAAA&#10;AQAgAAAAJwEAAGRycy9lMm9Eb2MueG1sUEsFBgAAAAAGAAYAWQEAAG0FAAAAAA==&#10;">
                <v:fill on="f" focussize="0,0"/>
                <v:stroke on="f"/>
                <v:imagedata o:title=""/>
                <o:lock v:ext="edit" aspectratio="f"/>
                <v:textbox>
                  <w:txbxContent>
                    <w:p w14:paraId="4C54B44C">
                      <w:pPr>
                        <w:rPr>
                          <w:rFonts w:asciiTheme="minorHAnsi" w:eastAsiaTheme="minorEastAsia" w:cstheme="minorBidi"/>
                          <w:kern w:val="0"/>
                          <w:sz w:val="22"/>
                          <w:szCs w:val="22"/>
                        </w:rPr>
                      </w:pPr>
                      <w:r>
                        <w:rPr>
                          <w:rFonts w:hint="eastAsia" w:asciiTheme="minorHAnsi" w:eastAsiaTheme="minorEastAsia" w:cstheme="minorBidi"/>
                          <w:sz w:val="22"/>
                          <w:szCs w:val="22"/>
                        </w:rPr>
                        <w:t>单位：万元</w:t>
                      </w:r>
                    </w:p>
                  </w:txbxContent>
                </v:textbox>
              </v:shape>
            </w:pict>
          </mc:Fallback>
        </mc:AlternateContent>
      </w:r>
      <w:r>
        <w:drawing>
          <wp:inline distT="0" distB="0" distL="0" distR="0">
            <wp:extent cx="4782185" cy="3314700"/>
            <wp:effectExtent l="0" t="0" r="18415" b="0"/>
            <wp:docPr id="119365121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586439">
      <w:pPr>
        <w:ind w:firstLine="640" w:firstLineChars="200"/>
        <w:rPr>
          <w:rFonts w:ascii="仿宋" w:hAnsi="仿宋" w:eastAsia="仿宋"/>
          <w:sz w:val="32"/>
          <w:szCs w:val="32"/>
        </w:rPr>
      </w:pPr>
      <w:bookmarkStart w:id="49" w:name="_Toc15377211"/>
      <w:r>
        <w:rPr>
          <w:rFonts w:hint="eastAsia" w:ascii="仿宋" w:hAnsi="仿宋" w:eastAsia="仿宋"/>
          <w:sz w:val="32"/>
          <w:szCs w:val="32"/>
        </w:rPr>
        <w:t>（二）一般公共预算财政拨款支出决算结构情况</w:t>
      </w:r>
      <w:bookmarkEnd w:id="49"/>
    </w:p>
    <w:p w14:paraId="1909BC5F">
      <w:pPr>
        <w:ind w:firstLine="640" w:firstLineChars="200"/>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4</w:t>
      </w:r>
      <w:r>
        <w:rPr>
          <w:rFonts w:hint="eastAsia" w:ascii="仿宋" w:hAnsi="仿宋" w:eastAsia="仿宋"/>
          <w:sz w:val="32"/>
          <w:szCs w:val="32"/>
        </w:rPr>
        <w:t>年度一般公共预算财政拨款支出</w:t>
      </w:r>
      <w:r>
        <w:rPr>
          <w:rFonts w:ascii="仿宋" w:hAnsi="仿宋" w:eastAsia="仿宋"/>
          <w:sz w:val="32"/>
          <w:szCs w:val="32"/>
        </w:rPr>
        <w:t>741.96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sz w:val="32"/>
          <w:szCs w:val="32"/>
        </w:rPr>
        <w:t>一般公共服务</w:t>
      </w:r>
      <w:r>
        <w:rPr>
          <w:rFonts w:hint="eastAsia" w:ascii="仿宋" w:hAnsi="仿宋" w:eastAsia="仿宋"/>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；教育支出</w:t>
      </w:r>
      <w:r>
        <w:rPr>
          <w:rFonts w:ascii="仿宋" w:hAnsi="仿宋" w:eastAsia="仿宋"/>
          <w:sz w:val="32"/>
          <w:szCs w:val="32"/>
        </w:rPr>
        <w:t>584.27</w:t>
      </w:r>
      <w:r>
        <w:rPr>
          <w:rFonts w:hint="eastAsia" w:ascii="仿宋" w:hAnsi="仿宋" w:eastAsia="仿宋"/>
          <w:sz w:val="32"/>
          <w:szCs w:val="32"/>
        </w:rPr>
        <w:t>万元，占</w:t>
      </w:r>
      <w:r>
        <w:rPr>
          <w:rFonts w:ascii="仿宋" w:hAnsi="仿宋" w:eastAsia="仿宋"/>
          <w:sz w:val="32"/>
          <w:szCs w:val="32"/>
        </w:rPr>
        <w:t>78.75%</w:t>
      </w:r>
      <w:r>
        <w:rPr>
          <w:rFonts w:hint="eastAsia" w:ascii="仿宋" w:hAnsi="仿宋" w:eastAsia="仿宋"/>
          <w:sz w:val="32"/>
          <w:szCs w:val="32"/>
        </w:rPr>
        <w:t>；科学技术</w:t>
      </w:r>
      <w:r>
        <w:rPr>
          <w:rFonts w:hint="eastAsia" w:ascii="仿宋" w:hAnsi="仿宋" w:eastAsia="仿宋"/>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Cs/>
          <w:sz w:val="32"/>
          <w:szCs w:val="32"/>
        </w:rPr>
        <w:t>文化旅游体育与传媒支出0万元，占0</w:t>
      </w:r>
      <w:r>
        <w:rPr>
          <w:rFonts w:ascii="仿宋" w:hAnsi="仿宋" w:eastAsia="仿宋"/>
          <w:bCs/>
          <w:sz w:val="32"/>
          <w:szCs w:val="32"/>
        </w:rPr>
        <w:t>%</w:t>
      </w:r>
      <w:r>
        <w:rPr>
          <w:rFonts w:hint="eastAsia" w:ascii="仿宋" w:hAnsi="仿宋" w:eastAsia="仿宋"/>
          <w:sz w:val="32"/>
          <w:szCs w:val="32"/>
        </w:rPr>
        <w:t>；社会保障和就业</w:t>
      </w:r>
      <w:r>
        <w:rPr>
          <w:rFonts w:hint="eastAsia" w:ascii="仿宋" w:hAnsi="仿宋" w:eastAsia="仿宋"/>
          <w:bCs/>
          <w:sz w:val="32"/>
          <w:szCs w:val="32"/>
        </w:rPr>
        <w:t>支出</w:t>
      </w:r>
      <w:r>
        <w:rPr>
          <w:rFonts w:ascii="仿宋" w:hAnsi="仿宋" w:eastAsia="仿宋"/>
          <w:sz w:val="32"/>
          <w:szCs w:val="32"/>
        </w:rPr>
        <w:t>93.28</w:t>
      </w:r>
      <w:r>
        <w:rPr>
          <w:rFonts w:hint="eastAsia" w:ascii="仿宋" w:hAnsi="仿宋" w:eastAsia="仿宋"/>
          <w:sz w:val="32"/>
          <w:szCs w:val="32"/>
        </w:rPr>
        <w:t>万元，占</w:t>
      </w:r>
      <w:r>
        <w:rPr>
          <w:rFonts w:ascii="仿宋" w:hAnsi="仿宋" w:eastAsia="仿宋"/>
          <w:sz w:val="32"/>
          <w:szCs w:val="32"/>
        </w:rPr>
        <w:t>12.57%</w:t>
      </w:r>
      <w:r>
        <w:rPr>
          <w:rFonts w:hint="eastAsia" w:ascii="仿宋" w:hAnsi="仿宋" w:eastAsia="仿宋"/>
          <w:sz w:val="32"/>
          <w:szCs w:val="32"/>
        </w:rPr>
        <w:t>；</w:t>
      </w:r>
      <w:r>
        <w:rPr>
          <w:rFonts w:hint="eastAsia" w:ascii="仿宋" w:hAnsi="仿宋" w:eastAsia="仿宋"/>
          <w:bCs/>
          <w:sz w:val="32"/>
          <w:szCs w:val="32"/>
        </w:rPr>
        <w:t>卫生健康支出</w:t>
      </w:r>
      <w:r>
        <w:rPr>
          <w:rFonts w:ascii="仿宋" w:hAnsi="仿宋" w:eastAsia="仿宋"/>
          <w:sz w:val="32"/>
          <w:szCs w:val="32"/>
        </w:rPr>
        <w:t>18.68</w:t>
      </w:r>
      <w:r>
        <w:rPr>
          <w:rFonts w:hint="eastAsia" w:ascii="仿宋" w:hAnsi="仿宋" w:eastAsia="仿宋"/>
          <w:sz w:val="32"/>
          <w:szCs w:val="32"/>
        </w:rPr>
        <w:t>万元，占</w:t>
      </w:r>
      <w:r>
        <w:rPr>
          <w:rFonts w:ascii="仿宋" w:hAnsi="仿宋" w:eastAsia="仿宋"/>
          <w:sz w:val="32"/>
          <w:szCs w:val="32"/>
        </w:rPr>
        <w:t>2.52%</w:t>
      </w:r>
      <w:r>
        <w:rPr>
          <w:rFonts w:hint="eastAsia" w:ascii="仿宋" w:hAnsi="仿宋" w:eastAsia="仿宋"/>
          <w:sz w:val="32"/>
          <w:szCs w:val="32"/>
        </w:rPr>
        <w:t>；</w:t>
      </w:r>
      <w:r>
        <w:rPr>
          <w:rFonts w:hint="eastAsia" w:ascii="仿宋" w:hAnsi="仿宋" w:eastAsia="仿宋"/>
          <w:bCs/>
          <w:sz w:val="32"/>
          <w:szCs w:val="32"/>
        </w:rPr>
        <w:t>住房保障支出</w:t>
      </w:r>
      <w:r>
        <w:rPr>
          <w:rFonts w:ascii="仿宋" w:hAnsi="仿宋" w:eastAsia="仿宋"/>
          <w:sz w:val="32"/>
          <w:szCs w:val="32"/>
        </w:rPr>
        <w:t>45.72</w:t>
      </w:r>
      <w:r>
        <w:rPr>
          <w:rFonts w:hint="eastAsia" w:ascii="仿宋" w:hAnsi="仿宋" w:eastAsia="仿宋"/>
          <w:sz w:val="32"/>
          <w:szCs w:val="32"/>
        </w:rPr>
        <w:t>万元，占</w:t>
      </w:r>
      <w:r>
        <w:rPr>
          <w:rFonts w:ascii="仿宋" w:hAnsi="仿宋" w:eastAsia="仿宋"/>
          <w:sz w:val="32"/>
          <w:szCs w:val="32"/>
        </w:rPr>
        <w:t>6.16%</w:t>
      </w:r>
      <w:r>
        <w:rPr>
          <w:rFonts w:hint="eastAsia" w:ascii="仿宋" w:hAnsi="仿宋" w:eastAsia="仿宋"/>
          <w:sz w:val="32"/>
          <w:szCs w:val="32"/>
        </w:rPr>
        <w:t>；。</w:t>
      </w:r>
    </w:p>
    <w:p w14:paraId="258C3DF0">
      <w:pPr>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1030E739">
      <w:pPr>
        <w:ind w:firstLine="1470" w:firstLineChars="700"/>
        <w:rPr>
          <w:rFonts w:ascii="仿宋" w:hAnsi="仿宋" w:eastAsia="仿宋"/>
          <w:sz w:val="32"/>
          <w:szCs w:val="32"/>
        </w:rPr>
      </w:pPr>
      <w:r>
        <w:drawing>
          <wp:inline distT="0" distB="0" distL="0" distR="0">
            <wp:extent cx="4734560" cy="2238375"/>
            <wp:effectExtent l="38100" t="0" r="8890" b="9525"/>
            <wp:docPr id="10015897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2330AD">
      <w:pPr>
        <w:ind w:firstLine="640" w:firstLineChars="200"/>
        <w:rPr>
          <w:rFonts w:ascii="仿宋" w:hAnsi="仿宋" w:eastAsia="仿宋"/>
          <w:sz w:val="32"/>
          <w:szCs w:val="32"/>
        </w:rPr>
      </w:pPr>
      <w:bookmarkStart w:id="50" w:name="_Toc15377212"/>
      <w:r>
        <w:rPr>
          <w:rFonts w:hint="eastAsia" w:ascii="仿宋" w:hAnsi="仿宋" w:eastAsia="仿宋"/>
          <w:sz w:val="32"/>
          <w:szCs w:val="32"/>
        </w:rPr>
        <w:t>（三）一般公共预算财政拨款支出决算具体情况</w:t>
      </w:r>
      <w:bookmarkEnd w:id="50"/>
    </w:p>
    <w:p w14:paraId="440F34D0">
      <w:pPr>
        <w:ind w:firstLine="640" w:firstLineChars="200"/>
        <w:rPr>
          <w:rFonts w:ascii="仿宋" w:hAnsi="仿宋" w:eastAsia="仿宋"/>
          <w:b/>
          <w:sz w:val="32"/>
          <w:szCs w:val="32"/>
        </w:rPr>
      </w:pPr>
      <w:bookmarkStart w:id="51" w:name="_Toc15377444"/>
      <w:bookmarkStart w:id="52" w:name="_Toc15377213"/>
      <w:bookmarkStart w:id="53" w:name="_Toc15378460"/>
      <w:r>
        <w:rPr>
          <w:rFonts w:hint="eastAsia" w:ascii="仿宋" w:hAnsi="仿宋" w:eastAsia="仿宋"/>
          <w:sz w:val="32"/>
          <w:szCs w:val="32"/>
        </w:rPr>
        <w:t>202</w:t>
      </w:r>
      <w:r>
        <w:rPr>
          <w:rFonts w:ascii="仿宋" w:hAnsi="仿宋" w:eastAsia="仿宋"/>
          <w:sz w:val="32"/>
          <w:szCs w:val="32"/>
        </w:rPr>
        <w:t>4</w:t>
      </w:r>
      <w:r>
        <w:rPr>
          <w:rFonts w:hint="eastAsia" w:ascii="仿宋" w:hAnsi="仿宋" w:eastAsia="仿宋"/>
          <w:sz w:val="32"/>
          <w:szCs w:val="32"/>
        </w:rPr>
        <w:t>年度一般公共预算支出决算数为</w:t>
      </w:r>
      <w:r>
        <w:rPr>
          <w:rFonts w:ascii="仿宋" w:hAnsi="仿宋" w:eastAsia="仿宋"/>
          <w:sz w:val="32"/>
          <w:szCs w:val="32"/>
        </w:rPr>
        <w:t>741.96万元</w:t>
      </w:r>
      <w:r>
        <w:rPr>
          <w:rFonts w:hint="eastAsia" w:ascii="仿宋" w:hAnsi="仿宋" w:eastAsia="仿宋"/>
          <w:sz w:val="32"/>
          <w:szCs w:val="32"/>
        </w:rPr>
        <w:t>，</w:t>
      </w:r>
      <w:r>
        <w:rPr>
          <w:rStyle w:val="16"/>
          <w:rFonts w:hint="eastAsia" w:ascii="仿宋" w:hAnsi="仿宋" w:eastAsia="仿宋"/>
          <w:b w:val="0"/>
          <w:bCs/>
          <w:sz w:val="32"/>
          <w:szCs w:val="32"/>
        </w:rPr>
        <w:t>完成预算100</w:t>
      </w:r>
      <w:r>
        <w:rPr>
          <w:rStyle w:val="16"/>
          <w:rFonts w:ascii="仿宋" w:hAnsi="仿宋" w:eastAsia="仿宋"/>
          <w:b w:val="0"/>
          <w:bCs/>
          <w:sz w:val="32"/>
          <w:szCs w:val="32"/>
        </w:rPr>
        <w:t>%</w:t>
      </w:r>
      <w:r>
        <w:rPr>
          <w:rStyle w:val="16"/>
          <w:rFonts w:hint="eastAsia" w:ascii="仿宋" w:hAnsi="仿宋" w:eastAsia="仿宋"/>
          <w:b w:val="0"/>
          <w:bCs/>
          <w:sz w:val="32"/>
          <w:szCs w:val="32"/>
        </w:rPr>
        <w:t>。其中：</w:t>
      </w:r>
      <w:bookmarkEnd w:id="51"/>
      <w:bookmarkEnd w:id="52"/>
      <w:bookmarkEnd w:id="53"/>
    </w:p>
    <w:p w14:paraId="1669F2D8">
      <w:pPr>
        <w:ind w:firstLine="640" w:firstLineChars="200"/>
        <w:rPr>
          <w:rStyle w:val="16"/>
          <w:rFonts w:ascii="仿宋" w:hAnsi="仿宋" w:eastAsia="仿宋"/>
          <w:b w:val="0"/>
          <w:bCs/>
          <w:sz w:val="32"/>
          <w:szCs w:val="32"/>
        </w:rPr>
      </w:pPr>
      <w:r>
        <w:rPr>
          <w:rStyle w:val="16"/>
          <w:rFonts w:hint="eastAsia" w:ascii="仿宋" w:hAnsi="仿宋" w:eastAsia="仿宋"/>
          <w:b w:val="0"/>
          <w:bCs/>
          <w:sz w:val="32"/>
          <w:szCs w:val="32"/>
        </w:rPr>
        <w:t>1</w:t>
      </w:r>
      <w:r>
        <w:rPr>
          <w:rStyle w:val="16"/>
          <w:rFonts w:ascii="仿宋" w:hAnsi="仿宋" w:eastAsia="仿宋"/>
          <w:b w:val="0"/>
          <w:bCs/>
          <w:sz w:val="32"/>
          <w:szCs w:val="32"/>
        </w:rPr>
        <w:t>、</w:t>
      </w:r>
      <w:r>
        <w:rPr>
          <w:rFonts w:hint="eastAsia" w:ascii="仿宋" w:hAnsi="仿宋" w:eastAsia="仿宋"/>
          <w:sz w:val="32"/>
          <w:szCs w:val="32"/>
        </w:rPr>
        <w:t>教育支出（类）普通教育（款）学前教育（项）</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13.85</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799615CB">
      <w:pPr>
        <w:ind w:firstLine="640" w:firstLineChars="200"/>
        <w:rPr>
          <w:rStyle w:val="16"/>
          <w:rFonts w:ascii="仿宋" w:hAnsi="仿宋" w:eastAsia="仿宋"/>
          <w:b w:val="0"/>
          <w:bCs/>
          <w:sz w:val="32"/>
          <w:szCs w:val="32"/>
        </w:rPr>
      </w:pPr>
      <w:r>
        <w:rPr>
          <w:rFonts w:hint="eastAsia" w:ascii="仿宋" w:hAnsi="仿宋" w:eastAsia="仿宋"/>
          <w:sz w:val="32"/>
          <w:szCs w:val="32"/>
        </w:rPr>
        <w:t>2、教育支出（类）普通教育（款）小学教育（项）</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328.21</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2DDF266C">
      <w:pPr>
        <w:ind w:firstLine="640" w:firstLineChars="200"/>
        <w:rPr>
          <w:rStyle w:val="16"/>
          <w:rFonts w:ascii="仿宋" w:hAnsi="仿宋" w:eastAsia="仿宋"/>
          <w:b w:val="0"/>
          <w:bCs/>
          <w:sz w:val="32"/>
          <w:szCs w:val="32"/>
        </w:rPr>
      </w:pPr>
      <w:r>
        <w:rPr>
          <w:rFonts w:hint="eastAsia" w:ascii="仿宋" w:hAnsi="仿宋" w:eastAsia="仿宋"/>
          <w:sz w:val="32"/>
          <w:szCs w:val="32"/>
        </w:rPr>
        <w:t>3、教育支出（类）普通教育（款）其他普通教育支出（项）</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221.95</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5E454239">
      <w:pPr>
        <w:ind w:firstLine="640" w:firstLineChars="200"/>
        <w:rPr>
          <w:rFonts w:ascii="仿宋" w:hAnsi="仿宋" w:eastAsia="仿宋"/>
          <w:bCs/>
          <w:sz w:val="32"/>
          <w:szCs w:val="32"/>
        </w:rPr>
      </w:pPr>
      <w:r>
        <w:rPr>
          <w:rFonts w:ascii="仿宋" w:hAnsi="仿宋" w:eastAsia="仿宋"/>
          <w:sz w:val="32"/>
          <w:szCs w:val="32"/>
        </w:rPr>
        <w:t>4</w:t>
      </w:r>
      <w:r>
        <w:rPr>
          <w:rFonts w:hint="eastAsia" w:ascii="仿宋" w:hAnsi="仿宋" w:eastAsia="仿宋"/>
          <w:sz w:val="32"/>
          <w:szCs w:val="32"/>
        </w:rPr>
        <w:t>、教育支出（类）普通教育（款）教育附加安排的支出（项）</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20.26</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580BBC3C">
      <w:pPr>
        <w:ind w:firstLine="640" w:firstLineChars="200"/>
        <w:rPr>
          <w:rStyle w:val="16"/>
          <w:rFonts w:ascii="仿宋" w:hAnsi="仿宋" w:eastAsia="仿宋"/>
          <w:b w:val="0"/>
          <w:bCs/>
          <w:sz w:val="32"/>
          <w:szCs w:val="32"/>
        </w:rPr>
      </w:pPr>
      <w:r>
        <w:rPr>
          <w:rStyle w:val="16"/>
          <w:rFonts w:ascii="仿宋" w:hAnsi="仿宋" w:eastAsia="仿宋"/>
          <w:b w:val="0"/>
          <w:bCs/>
          <w:sz w:val="32"/>
          <w:szCs w:val="32"/>
        </w:rPr>
        <w:t>5</w:t>
      </w:r>
      <w:r>
        <w:rPr>
          <w:rStyle w:val="16"/>
          <w:rFonts w:hint="eastAsia" w:ascii="仿宋" w:hAnsi="仿宋" w:eastAsia="仿宋"/>
          <w:b w:val="0"/>
          <w:bCs/>
          <w:sz w:val="32"/>
          <w:szCs w:val="32"/>
        </w:rPr>
        <w:t>、</w:t>
      </w:r>
      <w:r>
        <w:rPr>
          <w:rFonts w:hint="eastAsia" w:ascii="仿宋" w:hAnsi="仿宋" w:eastAsia="仿宋"/>
          <w:sz w:val="32"/>
          <w:szCs w:val="32"/>
        </w:rPr>
        <w:t>社会保障和就业支出（类）行政事业单位养老支出（款）机关事业单位基本养老保险缴费支出（项）</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48.46</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55412D27">
      <w:pPr>
        <w:ind w:firstLine="640" w:firstLineChars="200"/>
        <w:rPr>
          <w:rStyle w:val="16"/>
          <w:rFonts w:ascii="仿宋" w:hAnsi="仿宋" w:eastAsia="仿宋"/>
          <w:b w:val="0"/>
          <w:bCs/>
          <w:sz w:val="32"/>
          <w:szCs w:val="32"/>
        </w:rPr>
      </w:pPr>
      <w:r>
        <w:rPr>
          <w:rFonts w:ascii="仿宋" w:hAnsi="仿宋" w:eastAsia="仿宋"/>
          <w:sz w:val="32"/>
          <w:szCs w:val="32"/>
        </w:rPr>
        <w:t>6</w:t>
      </w:r>
      <w:r>
        <w:rPr>
          <w:rFonts w:hint="eastAsia" w:ascii="仿宋" w:hAnsi="仿宋" w:eastAsia="仿宋"/>
          <w:sz w:val="32"/>
          <w:szCs w:val="32"/>
        </w:rPr>
        <w:t>、社会保障和就业支出（类）行政事业单位养老支出（款）机关事业单位职业年金缴费支出（项）</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24.23</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406E0576">
      <w:pPr>
        <w:ind w:firstLine="640" w:firstLineChars="200"/>
        <w:rPr>
          <w:rStyle w:val="16"/>
          <w:rFonts w:ascii="仿宋" w:hAnsi="仿宋" w:eastAsia="仿宋"/>
          <w:b w:val="0"/>
          <w:bCs/>
          <w:sz w:val="32"/>
          <w:szCs w:val="32"/>
        </w:rPr>
      </w:pPr>
      <w:r>
        <w:rPr>
          <w:rFonts w:ascii="仿宋" w:hAnsi="仿宋" w:eastAsia="仿宋"/>
          <w:sz w:val="32"/>
          <w:szCs w:val="32"/>
        </w:rPr>
        <w:t>7</w:t>
      </w:r>
      <w:r>
        <w:rPr>
          <w:rFonts w:hint="eastAsia" w:ascii="仿宋" w:hAnsi="仿宋" w:eastAsia="仿宋"/>
          <w:sz w:val="32"/>
          <w:szCs w:val="32"/>
        </w:rPr>
        <w:t>、社会保障和就业支出（类）抚恤（款）死亡抚恤（项）</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14.86</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57D466F8">
      <w:pPr>
        <w:ind w:firstLine="640" w:firstLineChars="200"/>
        <w:rPr>
          <w:rStyle w:val="16"/>
          <w:rFonts w:ascii="仿宋" w:hAnsi="仿宋" w:eastAsia="仿宋"/>
          <w:b w:val="0"/>
          <w:bCs/>
          <w:sz w:val="32"/>
          <w:szCs w:val="32"/>
        </w:rPr>
      </w:pPr>
      <w:r>
        <w:rPr>
          <w:rFonts w:ascii="仿宋" w:hAnsi="仿宋" w:eastAsia="仿宋"/>
          <w:sz w:val="32"/>
          <w:szCs w:val="32"/>
        </w:rPr>
        <w:t>8</w:t>
      </w:r>
      <w:r>
        <w:rPr>
          <w:rFonts w:hint="eastAsia" w:ascii="仿宋" w:hAnsi="仿宋" w:eastAsia="仿宋"/>
          <w:sz w:val="32"/>
          <w:szCs w:val="32"/>
        </w:rPr>
        <w:t>、社会保障和就业支出（类）抚恤（款）其他优抚支出（项）</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1.02</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0A7F0F8A">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、社会保障和就业支出（类）其他社会保障和就业支出（款）其他社会保障和就业支出（项）</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4.71</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4783D3A2">
      <w:pPr>
        <w:ind w:firstLine="640" w:firstLineChars="200"/>
        <w:rPr>
          <w:rFonts w:ascii="仿宋" w:hAnsi="仿宋" w:eastAsia="仿宋"/>
          <w:bCs/>
          <w:sz w:val="32"/>
          <w:szCs w:val="32"/>
        </w:rPr>
      </w:pPr>
      <w:r>
        <w:rPr>
          <w:rStyle w:val="16"/>
          <w:rFonts w:ascii="仿宋" w:hAnsi="仿宋" w:eastAsia="仿宋"/>
          <w:b w:val="0"/>
          <w:bCs/>
          <w:sz w:val="32"/>
          <w:szCs w:val="32"/>
        </w:rPr>
        <w:t>10</w:t>
      </w:r>
      <w:r>
        <w:rPr>
          <w:rStyle w:val="16"/>
          <w:rFonts w:hint="eastAsia" w:ascii="仿宋" w:hAnsi="仿宋" w:eastAsia="仿宋"/>
          <w:b w:val="0"/>
          <w:bCs/>
          <w:sz w:val="32"/>
          <w:szCs w:val="32"/>
        </w:rPr>
        <w:t>、</w:t>
      </w:r>
      <w:r>
        <w:rPr>
          <w:rFonts w:hint="eastAsia" w:ascii="仿宋" w:hAnsi="仿宋" w:eastAsia="仿宋"/>
          <w:sz w:val="32"/>
          <w:szCs w:val="32"/>
        </w:rPr>
        <w:t>卫生健康支出（类）行政事业单位医疗（款）事业单位医疗（项）</w:t>
      </w:r>
      <w:r>
        <w:rPr>
          <w:rStyle w:val="16"/>
          <w:rFonts w:ascii="仿宋" w:hAnsi="仿宋" w:eastAsia="仿宋"/>
          <w:b w:val="0"/>
          <w:bCs/>
          <w:sz w:val="32"/>
          <w:szCs w:val="32"/>
        </w:rPr>
        <w:t>:</w:t>
      </w:r>
      <w:r>
        <w:rPr>
          <w:rStyle w:val="16"/>
          <w:rFonts w:hint="eastAsia" w:ascii="仿宋" w:hAnsi="仿宋" w:eastAsia="仿宋"/>
          <w:b w:val="0"/>
          <w:bCs/>
          <w:sz w:val="32"/>
          <w:szCs w:val="32"/>
        </w:rPr>
        <w:t>支出决算为</w:t>
      </w:r>
      <w:r>
        <w:rPr>
          <w:rStyle w:val="16"/>
          <w:rFonts w:ascii="仿宋" w:hAnsi="仿宋" w:eastAsia="仿宋"/>
          <w:b w:val="0"/>
          <w:bCs/>
          <w:sz w:val="32"/>
          <w:szCs w:val="32"/>
        </w:rPr>
        <w:t>16.68</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275AD807">
      <w:pPr>
        <w:ind w:firstLine="640" w:firstLineChars="200"/>
        <w:rPr>
          <w:rFonts w:ascii="仿宋" w:hAnsi="仿宋" w:eastAsia="仿宋"/>
          <w:sz w:val="32"/>
          <w:szCs w:val="32"/>
        </w:rPr>
      </w:pPr>
      <w:r>
        <w:rPr>
          <w:rStyle w:val="16"/>
          <w:rFonts w:hint="eastAsia" w:ascii="仿宋" w:hAnsi="仿宋" w:eastAsia="仿宋"/>
          <w:b w:val="0"/>
          <w:bCs/>
          <w:sz w:val="32"/>
          <w:szCs w:val="32"/>
        </w:rPr>
        <w:t>1</w:t>
      </w:r>
      <w:r>
        <w:rPr>
          <w:rStyle w:val="16"/>
          <w:rFonts w:ascii="仿宋" w:hAnsi="仿宋" w:eastAsia="仿宋"/>
          <w:b w:val="0"/>
          <w:bCs/>
          <w:sz w:val="32"/>
          <w:szCs w:val="32"/>
        </w:rPr>
        <w:t>1</w:t>
      </w:r>
      <w:r>
        <w:rPr>
          <w:rStyle w:val="16"/>
          <w:rFonts w:hint="eastAsia" w:ascii="仿宋" w:hAnsi="仿宋" w:eastAsia="仿宋"/>
          <w:b w:val="0"/>
          <w:bCs/>
          <w:sz w:val="32"/>
          <w:szCs w:val="32"/>
        </w:rPr>
        <w:t>、</w:t>
      </w:r>
      <w:r>
        <w:rPr>
          <w:rFonts w:hint="eastAsia" w:ascii="仿宋" w:hAnsi="仿宋" w:eastAsia="仿宋"/>
          <w:sz w:val="32"/>
          <w:szCs w:val="32"/>
        </w:rPr>
        <w:t>住房保障支出（类）住房改革支出（款）住房公积金（项）</w:t>
      </w:r>
      <w:r>
        <w:rPr>
          <w:rStyle w:val="16"/>
          <w:rFonts w:ascii="仿宋" w:hAnsi="仿宋" w:eastAsia="仿宋"/>
          <w:b w:val="0"/>
          <w:bCs/>
          <w:sz w:val="32"/>
          <w:szCs w:val="32"/>
        </w:rPr>
        <w:t>:</w:t>
      </w:r>
      <w:r>
        <w:rPr>
          <w:rStyle w:val="16"/>
          <w:rFonts w:hint="eastAsia" w:ascii="仿宋" w:hAnsi="仿宋" w:eastAsia="仿宋"/>
          <w:b w:val="0"/>
          <w:bCs/>
          <w:sz w:val="32"/>
          <w:szCs w:val="32"/>
        </w:rPr>
        <w:t>支出决算为</w:t>
      </w:r>
      <w:r>
        <w:rPr>
          <w:rStyle w:val="16"/>
          <w:rFonts w:ascii="仿宋" w:hAnsi="仿宋" w:eastAsia="仿宋"/>
          <w:b w:val="0"/>
          <w:bCs/>
          <w:sz w:val="32"/>
          <w:szCs w:val="32"/>
        </w:rPr>
        <w:t>45.72</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631E46C7">
      <w:pPr>
        <w:pStyle w:val="4"/>
        <w:ind w:firstLine="643" w:firstLineChars="200"/>
        <w:rPr>
          <w:rStyle w:val="21"/>
          <w:b w:val="0"/>
          <w:bCs w:val="0"/>
        </w:rPr>
      </w:pPr>
      <w:bookmarkStart w:id="54" w:name="_Toc183512711"/>
      <w:bookmarkStart w:id="55" w:name="_Toc15377214"/>
      <w:bookmarkStart w:id="56" w:name="_Toc15396608"/>
      <w:r>
        <w:rPr>
          <w:rFonts w:hint="eastAsia"/>
        </w:rPr>
        <w:t>六、一</w:t>
      </w:r>
      <w:r>
        <w:rPr>
          <w:rStyle w:val="21"/>
          <w:rFonts w:hint="eastAsia" w:ascii="黑体" w:hAnsi="黑体" w:eastAsia="黑体"/>
          <w:b w:val="0"/>
          <w:bCs w:val="0"/>
        </w:rPr>
        <w:t>般公共预算财政拨款基本支出决算情况说明</w:t>
      </w:r>
      <w:bookmarkEnd w:id="54"/>
      <w:bookmarkEnd w:id="55"/>
      <w:bookmarkEnd w:id="56"/>
      <w:r>
        <w:rPr>
          <w:rStyle w:val="21"/>
          <w:rFonts w:ascii="黑体" w:hAnsi="黑体" w:eastAsia="黑体"/>
          <w:b w:val="0"/>
          <w:bCs w:val="0"/>
        </w:rPr>
        <w:tab/>
      </w:r>
    </w:p>
    <w:p w14:paraId="1B8E3003">
      <w:pPr>
        <w:ind w:firstLine="640" w:firstLineChars="200"/>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4</w:t>
      </w:r>
      <w:r>
        <w:rPr>
          <w:rFonts w:hint="eastAsia" w:ascii="仿宋" w:hAnsi="仿宋" w:eastAsia="仿宋"/>
          <w:sz w:val="32"/>
          <w:szCs w:val="32"/>
        </w:rPr>
        <w:t>年度一般公共预算财政拨款基本支出</w:t>
      </w:r>
      <w:r>
        <w:rPr>
          <w:rFonts w:ascii="仿宋" w:hAnsi="仿宋" w:eastAsia="仿宋"/>
          <w:sz w:val="32"/>
          <w:szCs w:val="32"/>
        </w:rPr>
        <w:t>553.52</w:t>
      </w:r>
      <w:r>
        <w:rPr>
          <w:rFonts w:hint="eastAsia" w:ascii="仿宋" w:hAnsi="仿宋" w:eastAsia="仿宋"/>
          <w:sz w:val="32"/>
          <w:szCs w:val="32"/>
        </w:rPr>
        <w:t>万元，其中：</w:t>
      </w:r>
    </w:p>
    <w:p w14:paraId="38D4B643">
      <w:pPr>
        <w:ind w:firstLine="640" w:firstLineChars="200"/>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538.51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15.01</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360F3A4">
      <w:pPr>
        <w:pStyle w:val="4"/>
        <w:ind w:firstLine="643" w:firstLineChars="200"/>
        <w:rPr>
          <w:rStyle w:val="21"/>
          <w:rFonts w:ascii="黑体" w:hAnsi="黑体" w:eastAsia="黑体"/>
          <w:b/>
          <w:bCs w:val="0"/>
        </w:rPr>
      </w:pPr>
      <w:bookmarkStart w:id="57" w:name="_Toc183512712"/>
      <w:bookmarkStart w:id="58" w:name="_Toc15396609"/>
      <w:bookmarkStart w:id="59" w:name="_Toc15377215"/>
      <w:r>
        <w:rPr>
          <w:rFonts w:hint="eastAsia"/>
        </w:rPr>
        <w:t>七、</w:t>
      </w:r>
      <w:r>
        <w:rPr>
          <w:rStyle w:val="21"/>
          <w:rFonts w:hint="eastAsia" w:ascii="黑体" w:hAnsi="黑体" w:eastAsia="黑体"/>
          <w:b w:val="0"/>
          <w:bCs w:val="0"/>
        </w:rPr>
        <w:t>财政拨款“三公”经费支出决算情况说明</w:t>
      </w:r>
      <w:bookmarkEnd w:id="57"/>
      <w:bookmarkEnd w:id="58"/>
      <w:bookmarkEnd w:id="59"/>
    </w:p>
    <w:p w14:paraId="496FC979">
      <w:pPr>
        <w:ind w:firstLine="640" w:firstLineChars="200"/>
        <w:rPr>
          <w:rFonts w:ascii="仿宋" w:hAnsi="仿宋" w:eastAsia="仿宋"/>
          <w:sz w:val="32"/>
          <w:szCs w:val="32"/>
        </w:rPr>
      </w:pPr>
      <w:bookmarkStart w:id="60" w:name="_Toc15377216"/>
      <w:r>
        <w:rPr>
          <w:rFonts w:hint="eastAsia" w:ascii="仿宋" w:hAnsi="仿宋" w:eastAsia="仿宋"/>
          <w:sz w:val="32"/>
          <w:szCs w:val="32"/>
        </w:rPr>
        <w:t>（一）“三公”经费财政拨款支出决算总体情况说明</w:t>
      </w:r>
      <w:bookmarkEnd w:id="60"/>
    </w:p>
    <w:p w14:paraId="6090FA33">
      <w:pPr>
        <w:ind w:firstLine="640" w:firstLineChars="200"/>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4</w:t>
      </w:r>
      <w:r>
        <w:rPr>
          <w:rFonts w:hint="eastAsia" w:ascii="仿宋" w:hAnsi="仿宋" w:eastAsia="仿宋"/>
          <w:sz w:val="32"/>
          <w:szCs w:val="32"/>
        </w:rPr>
        <w:t>年度“三公”经费财政拨款支出决算为</w:t>
      </w:r>
      <w:r>
        <w:rPr>
          <w:rFonts w:ascii="仿宋" w:hAnsi="仿宋" w:eastAsia="仿宋"/>
          <w:sz w:val="32"/>
          <w:szCs w:val="32"/>
        </w:rPr>
        <w:t>0</w:t>
      </w:r>
      <w:r>
        <w:rPr>
          <w:rFonts w:hint="eastAsia" w:ascii="仿宋" w:hAnsi="仿宋" w:eastAsia="仿宋"/>
          <w:sz w:val="32"/>
          <w:szCs w:val="32"/>
        </w:rPr>
        <w:t>万元，完成预算</w:t>
      </w:r>
      <w:r>
        <w:rPr>
          <w:rFonts w:ascii="仿宋" w:hAnsi="仿宋" w:eastAsia="仿宋"/>
          <w:sz w:val="32"/>
          <w:szCs w:val="32"/>
        </w:rPr>
        <w:t>0%</w:t>
      </w:r>
      <w:r>
        <w:rPr>
          <w:rFonts w:hint="eastAsia" w:ascii="仿宋" w:hAnsi="仿宋" w:eastAsia="仿宋"/>
          <w:sz w:val="32"/>
          <w:szCs w:val="32"/>
        </w:rPr>
        <w:t>，较上年度增加0万元，增长0%。</w:t>
      </w:r>
    </w:p>
    <w:p w14:paraId="34DB6F2A">
      <w:pPr>
        <w:ind w:firstLine="640" w:firstLineChars="200"/>
        <w:rPr>
          <w:rFonts w:ascii="仿宋" w:hAnsi="仿宋" w:eastAsia="仿宋"/>
          <w:sz w:val="32"/>
          <w:szCs w:val="32"/>
        </w:rPr>
      </w:pPr>
      <w:bookmarkStart w:id="61" w:name="_Toc15377217"/>
      <w:r>
        <w:rPr>
          <w:rFonts w:hint="eastAsia" w:ascii="仿宋" w:hAnsi="仿宋" w:eastAsia="仿宋"/>
          <w:sz w:val="32"/>
          <w:szCs w:val="32"/>
        </w:rPr>
        <w:t>（二）“三公”经费财政拨款支出决算具体情况说明</w:t>
      </w:r>
      <w:bookmarkEnd w:id="61"/>
    </w:p>
    <w:p w14:paraId="614462AA">
      <w:pPr>
        <w:ind w:firstLine="640" w:firstLineChars="200"/>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4</w:t>
      </w:r>
      <w:r>
        <w:rPr>
          <w:rFonts w:hint="eastAsia" w:ascii="仿宋" w:hAnsi="仿宋" w:eastAsia="仿宋"/>
          <w:sz w:val="32"/>
          <w:szCs w:val="32"/>
        </w:rPr>
        <w:t>年度“三公”经费财政拨款支出决算中，因公出国（境）费支出决算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bookmarkStart w:id="62" w:name="_Toc15396610"/>
      <w:bookmarkStart w:id="63" w:name="_Toc15377218"/>
    </w:p>
    <w:p w14:paraId="178A0DBE">
      <w:pPr>
        <w:pStyle w:val="4"/>
        <w:ind w:firstLine="643" w:firstLineChars="200"/>
        <w:rPr>
          <w:rStyle w:val="21"/>
          <w:rFonts w:ascii="黑体" w:hAnsi="黑体" w:eastAsia="黑体"/>
          <w:b w:val="0"/>
          <w:bCs w:val="0"/>
        </w:rPr>
      </w:pPr>
      <w:bookmarkStart w:id="64" w:name="_Toc183512713"/>
      <w:r>
        <w:rPr>
          <w:rFonts w:hint="eastAsia" w:ascii="黑体" w:hAnsi="黑体" w:eastAsia="黑体"/>
        </w:rPr>
        <w:t>八</w:t>
      </w:r>
      <w:r>
        <w:rPr>
          <w:rFonts w:hint="eastAsia"/>
        </w:rPr>
        <w:t>、</w:t>
      </w:r>
      <w:r>
        <w:rPr>
          <w:rStyle w:val="21"/>
          <w:rFonts w:hint="eastAsia" w:ascii="黑体" w:hAnsi="黑体" w:eastAsia="黑体"/>
          <w:b w:val="0"/>
          <w:bCs w:val="0"/>
        </w:rPr>
        <w:t>政府性基金预算支出决算情况说明</w:t>
      </w:r>
      <w:bookmarkEnd w:id="62"/>
      <w:bookmarkEnd w:id="63"/>
      <w:bookmarkEnd w:id="64"/>
    </w:p>
    <w:p w14:paraId="263E00C6">
      <w:pPr>
        <w:spacing w:line="600" w:lineRule="exact"/>
        <w:ind w:firstLine="64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年度政府性基金预算财政拨款支出</w:t>
      </w:r>
      <w:r>
        <w:rPr>
          <w:rFonts w:ascii="仿宋" w:hAnsi="仿宋" w:eastAsia="仿宋"/>
          <w:sz w:val="32"/>
          <w:szCs w:val="32"/>
        </w:rPr>
        <w:t>25.71</w:t>
      </w:r>
      <w:r>
        <w:rPr>
          <w:rFonts w:hint="eastAsia" w:ascii="仿宋_GB2312" w:eastAsia="仿宋_GB2312"/>
          <w:sz w:val="32"/>
          <w:szCs w:val="32"/>
        </w:rPr>
        <w:t>万元。</w:t>
      </w:r>
    </w:p>
    <w:p w14:paraId="33B08219">
      <w:pPr>
        <w:pStyle w:val="4"/>
        <w:ind w:firstLine="643" w:firstLineChars="200"/>
        <w:rPr>
          <w:rStyle w:val="21"/>
          <w:rFonts w:ascii="黑体" w:hAnsi="黑体" w:eastAsia="黑体"/>
          <w:b w:val="0"/>
          <w:bCs w:val="0"/>
        </w:rPr>
      </w:pPr>
      <w:bookmarkStart w:id="65" w:name="_Toc183512714"/>
      <w:r>
        <w:rPr>
          <w:rFonts w:hint="eastAsia" w:ascii="黑体" w:hAnsi="黑体" w:eastAsia="黑体"/>
        </w:rPr>
        <w:t>九</w:t>
      </w:r>
      <w:r>
        <w:rPr>
          <w:rFonts w:hint="eastAsia"/>
        </w:rPr>
        <w:t>、</w:t>
      </w:r>
      <w:r>
        <w:rPr>
          <w:rStyle w:val="21"/>
          <w:rFonts w:hint="eastAsia" w:ascii="黑体" w:hAnsi="黑体" w:eastAsia="黑体"/>
          <w:b w:val="0"/>
          <w:bCs w:val="0"/>
        </w:rPr>
        <w:t>政府性基金预算支出决算情况说明</w:t>
      </w:r>
      <w:bookmarkEnd w:id="65"/>
    </w:p>
    <w:p w14:paraId="157BCE94">
      <w:pPr>
        <w:spacing w:line="600" w:lineRule="exact"/>
        <w:ind w:firstLine="64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年度国有资本经营预算财政拨款支出</w:t>
      </w:r>
      <w:r>
        <w:rPr>
          <w:rFonts w:ascii="仿宋" w:hAnsi="仿宋" w:eastAsia="仿宋"/>
          <w:sz w:val="32"/>
          <w:szCs w:val="32"/>
        </w:rPr>
        <w:t>0</w:t>
      </w:r>
      <w:r>
        <w:rPr>
          <w:rFonts w:hint="eastAsia" w:ascii="仿宋_GB2312" w:eastAsia="仿宋_GB2312"/>
          <w:sz w:val="32"/>
          <w:szCs w:val="32"/>
        </w:rPr>
        <w:t>万元。</w:t>
      </w:r>
    </w:p>
    <w:p w14:paraId="49B0C0E8">
      <w:pPr>
        <w:spacing w:line="580" w:lineRule="exact"/>
        <w:jc w:val="center"/>
        <w:rPr>
          <w:rFonts w:ascii="方正小标宋简体" w:hAnsi="方正小标宋简体" w:eastAsia="方正小标宋简体" w:cs="方正小标宋简体"/>
          <w:sz w:val="44"/>
          <w:szCs w:val="44"/>
        </w:rPr>
      </w:pPr>
    </w:p>
    <w:p w14:paraId="1CE56684">
      <w:pPr>
        <w:pStyle w:val="4"/>
        <w:ind w:firstLine="643" w:firstLineChars="200"/>
        <w:rPr>
          <w:rStyle w:val="21"/>
          <w:rFonts w:ascii="黑体" w:hAnsi="黑体" w:eastAsia="黑体"/>
          <w:b/>
          <w:bCs w:val="0"/>
        </w:rPr>
      </w:pPr>
      <w:bookmarkStart w:id="66" w:name="_Toc183512715"/>
      <w:bookmarkStart w:id="67" w:name="_Toc15377221"/>
      <w:bookmarkStart w:id="68" w:name="_Toc15396612"/>
      <w:r>
        <w:rPr>
          <w:rFonts w:hint="eastAsia"/>
        </w:rPr>
        <w:t>十、</w:t>
      </w:r>
      <w:r>
        <w:rPr>
          <w:rStyle w:val="21"/>
          <w:rFonts w:hint="eastAsia" w:ascii="黑体" w:hAnsi="黑体" w:eastAsia="黑体"/>
          <w:b w:val="0"/>
          <w:bCs w:val="0"/>
        </w:rPr>
        <w:t>其他重要事项的情况说明</w:t>
      </w:r>
      <w:bookmarkEnd w:id="66"/>
      <w:bookmarkEnd w:id="67"/>
      <w:bookmarkEnd w:id="68"/>
    </w:p>
    <w:p w14:paraId="279A8E73">
      <w:pPr>
        <w:ind w:firstLine="640" w:firstLineChars="200"/>
        <w:rPr>
          <w:rFonts w:ascii="仿宋" w:hAnsi="仿宋" w:eastAsia="仿宋"/>
          <w:sz w:val="32"/>
          <w:szCs w:val="32"/>
        </w:rPr>
      </w:pPr>
      <w:bookmarkStart w:id="69" w:name="_Toc15377222"/>
      <w:r>
        <w:rPr>
          <w:rFonts w:hint="eastAsia" w:ascii="仿宋" w:hAnsi="仿宋" w:eastAsia="仿宋"/>
          <w:sz w:val="32"/>
          <w:szCs w:val="32"/>
        </w:rPr>
        <w:t>（一）机关运行经费支出情况</w:t>
      </w:r>
      <w:bookmarkEnd w:id="69"/>
    </w:p>
    <w:p w14:paraId="6F57A9F7">
      <w:pPr>
        <w:ind w:firstLine="640" w:firstLineChars="200"/>
        <w:rPr>
          <w:rFonts w:hint="eastAsia" w:ascii="仿宋" w:hAnsi="仿宋" w:eastAsia="仿宋"/>
          <w:sz w:val="32"/>
          <w:szCs w:val="32"/>
          <w:lang w:val="en-US" w:eastAsia="zh-CN"/>
        </w:rPr>
      </w:pPr>
      <w:r>
        <w:rPr>
          <w:rFonts w:hint="eastAsia" w:ascii="仿宋" w:hAnsi="仿宋" w:eastAsia="仿宋"/>
          <w:sz w:val="32"/>
          <w:szCs w:val="32"/>
        </w:rPr>
        <w:t>202</w:t>
      </w:r>
      <w:r>
        <w:rPr>
          <w:rFonts w:ascii="仿宋" w:hAnsi="仿宋" w:eastAsia="仿宋"/>
          <w:sz w:val="32"/>
          <w:szCs w:val="32"/>
        </w:rPr>
        <w:t>4</w:t>
      </w:r>
      <w:r>
        <w:rPr>
          <w:rFonts w:hint="eastAsia" w:ascii="仿宋" w:hAnsi="仿宋" w:eastAsia="仿宋"/>
          <w:sz w:val="32"/>
          <w:szCs w:val="32"/>
        </w:rPr>
        <w:t>年度，峨眉山市桂花桥镇第二小学校机关运行经费支出</w:t>
      </w:r>
      <w:r>
        <w:rPr>
          <w:rFonts w:ascii="仿宋" w:hAnsi="仿宋" w:eastAsia="仿宋"/>
          <w:sz w:val="32"/>
          <w:szCs w:val="32"/>
        </w:rPr>
        <w:t>0</w:t>
      </w:r>
      <w:r>
        <w:rPr>
          <w:rFonts w:hint="eastAsia" w:ascii="仿宋" w:hAnsi="仿宋" w:eastAsia="仿宋"/>
          <w:sz w:val="32"/>
          <w:szCs w:val="32"/>
        </w:rPr>
        <w:t>万元，比202</w:t>
      </w:r>
      <w:r>
        <w:rPr>
          <w:rFonts w:ascii="仿宋" w:hAnsi="仿宋" w:eastAsia="仿宋"/>
          <w:sz w:val="32"/>
          <w:szCs w:val="32"/>
        </w:rPr>
        <w:t>3</w:t>
      </w:r>
      <w:r>
        <w:rPr>
          <w:rFonts w:hint="eastAsia" w:ascii="仿宋" w:hAnsi="仿宋" w:eastAsia="仿宋"/>
          <w:sz w:val="32"/>
          <w:szCs w:val="32"/>
        </w:rPr>
        <w:t>年度增加0万元，增长0</w:t>
      </w:r>
      <w:r>
        <w:rPr>
          <w:rFonts w:ascii="仿宋" w:hAnsi="仿宋" w:eastAsia="仿宋"/>
          <w:sz w:val="32"/>
          <w:szCs w:val="32"/>
        </w:rPr>
        <w:t>%</w:t>
      </w:r>
      <w:r>
        <w:rPr>
          <w:rFonts w:hint="eastAsia" w:ascii="仿宋" w:hAnsi="仿宋" w:eastAsia="仿宋"/>
          <w:sz w:val="32"/>
          <w:szCs w:val="32"/>
          <w:lang w:eastAsia="zh-CN"/>
        </w:rPr>
        <w:t>。</w:t>
      </w:r>
    </w:p>
    <w:p w14:paraId="112060EB">
      <w:pPr>
        <w:ind w:firstLine="640" w:firstLineChars="200"/>
        <w:rPr>
          <w:rFonts w:ascii="仿宋" w:hAnsi="仿宋" w:eastAsia="仿宋"/>
          <w:sz w:val="32"/>
          <w:szCs w:val="32"/>
        </w:rPr>
      </w:pPr>
      <w:bookmarkStart w:id="70" w:name="_Toc15377223"/>
      <w:r>
        <w:rPr>
          <w:rFonts w:hint="eastAsia" w:ascii="仿宋" w:hAnsi="仿宋" w:eastAsia="仿宋"/>
          <w:sz w:val="32"/>
          <w:szCs w:val="32"/>
        </w:rPr>
        <w:t>（二）政府采购支出情况</w:t>
      </w:r>
      <w:bookmarkEnd w:id="70"/>
    </w:p>
    <w:p w14:paraId="2232D856">
      <w:pPr>
        <w:ind w:firstLine="640" w:firstLineChars="200"/>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4</w:t>
      </w:r>
      <w:r>
        <w:rPr>
          <w:rFonts w:hint="eastAsia" w:ascii="仿宋" w:hAnsi="仿宋" w:eastAsia="仿宋"/>
          <w:sz w:val="32"/>
          <w:szCs w:val="32"/>
        </w:rPr>
        <w:t>年度，峨眉山市桂花桥镇第二小学校政府采购支出总额</w:t>
      </w:r>
      <w:r>
        <w:rPr>
          <w:rFonts w:ascii="仿宋" w:hAnsi="仿宋" w:eastAsia="仿宋"/>
          <w:sz w:val="32"/>
          <w:szCs w:val="32"/>
        </w:rPr>
        <w:t>0</w:t>
      </w:r>
      <w:r>
        <w:rPr>
          <w:rFonts w:hint="eastAsia" w:ascii="仿宋" w:hAnsi="仿宋" w:eastAsia="仿宋"/>
          <w:sz w:val="32"/>
          <w:szCs w:val="32"/>
        </w:rPr>
        <w:t>万元，其中：政府采购货物支出</w:t>
      </w:r>
      <w:r>
        <w:rPr>
          <w:rFonts w:ascii="仿宋" w:hAnsi="仿宋" w:eastAsia="仿宋"/>
          <w:sz w:val="32"/>
          <w:szCs w:val="32"/>
        </w:rPr>
        <w:t>0</w:t>
      </w:r>
      <w:r>
        <w:rPr>
          <w:rFonts w:hint="eastAsia" w:ascii="仿宋" w:hAnsi="仿宋" w:eastAsia="仿宋"/>
          <w:sz w:val="32"/>
          <w:szCs w:val="32"/>
        </w:rPr>
        <w:t>万元、政府采购工程支出</w:t>
      </w:r>
      <w:r>
        <w:rPr>
          <w:rFonts w:ascii="仿宋" w:hAnsi="仿宋" w:eastAsia="仿宋"/>
          <w:sz w:val="32"/>
          <w:szCs w:val="32"/>
        </w:rPr>
        <w:t>0</w:t>
      </w:r>
      <w:r>
        <w:rPr>
          <w:rFonts w:hint="eastAsia" w:ascii="仿宋" w:hAnsi="仿宋" w:eastAsia="仿宋"/>
          <w:sz w:val="32"/>
          <w:szCs w:val="32"/>
        </w:rPr>
        <w:t>万元、政府采购服务支出</w:t>
      </w:r>
      <w:r>
        <w:rPr>
          <w:rFonts w:ascii="仿宋" w:hAnsi="仿宋" w:eastAsia="仿宋"/>
          <w:sz w:val="32"/>
          <w:szCs w:val="32"/>
        </w:rPr>
        <w:t>0</w:t>
      </w:r>
      <w:r>
        <w:rPr>
          <w:rFonts w:hint="eastAsia" w:ascii="仿宋" w:hAnsi="仿宋" w:eastAsia="仿宋"/>
          <w:sz w:val="32"/>
          <w:szCs w:val="32"/>
        </w:rPr>
        <w:t>万元。授予中小企业合同金额</w:t>
      </w:r>
      <w:r>
        <w:rPr>
          <w:rFonts w:ascii="仿宋" w:hAnsi="仿宋" w:eastAsia="仿宋"/>
          <w:sz w:val="32"/>
          <w:szCs w:val="32"/>
        </w:rPr>
        <w:t>0</w:t>
      </w:r>
      <w:r>
        <w:rPr>
          <w:rFonts w:hint="eastAsia" w:ascii="仿宋" w:hAnsi="仿宋" w:eastAsia="仿宋"/>
          <w:sz w:val="32"/>
          <w:szCs w:val="32"/>
        </w:rPr>
        <w:t>万元，占政府采购支出总额的</w:t>
      </w:r>
      <w:r>
        <w:rPr>
          <w:rFonts w:ascii="仿宋" w:hAnsi="仿宋" w:eastAsia="仿宋"/>
          <w:sz w:val="32"/>
          <w:szCs w:val="32"/>
        </w:rPr>
        <w:t>0%</w:t>
      </w:r>
      <w:r>
        <w:rPr>
          <w:rFonts w:hint="eastAsia" w:ascii="仿宋" w:hAnsi="仿宋" w:eastAsia="仿宋"/>
          <w:sz w:val="32"/>
          <w:szCs w:val="32"/>
        </w:rPr>
        <w:t>，其中：授予小微企业合同金额</w:t>
      </w:r>
      <w:r>
        <w:rPr>
          <w:rFonts w:ascii="仿宋" w:hAnsi="仿宋" w:eastAsia="仿宋"/>
          <w:sz w:val="32"/>
          <w:szCs w:val="32"/>
        </w:rPr>
        <w:t>0</w:t>
      </w:r>
      <w:r>
        <w:rPr>
          <w:rFonts w:hint="eastAsia" w:ascii="仿宋" w:hAnsi="仿宋" w:eastAsia="仿宋"/>
          <w:sz w:val="32"/>
          <w:szCs w:val="32"/>
        </w:rPr>
        <w:t>万元，占政府采购支出总额的</w:t>
      </w:r>
      <w:r>
        <w:rPr>
          <w:rFonts w:ascii="仿宋" w:hAnsi="仿宋" w:eastAsia="仿宋"/>
          <w:sz w:val="32"/>
          <w:szCs w:val="32"/>
        </w:rPr>
        <w:t>0%</w:t>
      </w:r>
      <w:r>
        <w:rPr>
          <w:rFonts w:hint="eastAsia" w:ascii="仿宋" w:hAnsi="仿宋" w:eastAsia="仿宋"/>
          <w:sz w:val="32"/>
          <w:szCs w:val="32"/>
        </w:rPr>
        <w:t>。</w:t>
      </w:r>
    </w:p>
    <w:p w14:paraId="13A2213A">
      <w:pPr>
        <w:ind w:firstLine="640" w:firstLineChars="200"/>
        <w:rPr>
          <w:rFonts w:ascii="仿宋" w:hAnsi="仿宋" w:eastAsia="仿宋"/>
          <w:sz w:val="32"/>
          <w:szCs w:val="32"/>
        </w:rPr>
      </w:pPr>
      <w:bookmarkStart w:id="71" w:name="_Toc15377224"/>
      <w:r>
        <w:rPr>
          <w:rFonts w:hint="eastAsia" w:ascii="仿宋" w:hAnsi="仿宋" w:eastAsia="仿宋"/>
          <w:sz w:val="32"/>
          <w:szCs w:val="32"/>
        </w:rPr>
        <w:t>（三）国有资产占有使用情况</w:t>
      </w:r>
      <w:bookmarkEnd w:id="71"/>
    </w:p>
    <w:p w14:paraId="4DE17A92">
      <w:pPr>
        <w:ind w:firstLine="640" w:firstLineChars="200"/>
        <w:rPr>
          <w:rFonts w:ascii="仿宋" w:hAnsi="仿宋" w:eastAsia="仿宋"/>
          <w:sz w:val="32"/>
          <w:szCs w:val="32"/>
        </w:rPr>
      </w:pPr>
      <w:r>
        <w:rPr>
          <w:rFonts w:hint="eastAsia" w:ascii="仿宋" w:hAnsi="仿宋" w:eastAsia="仿宋"/>
          <w:sz w:val="32"/>
          <w:szCs w:val="32"/>
        </w:rPr>
        <w:t>截至202</w:t>
      </w:r>
      <w:r>
        <w:rPr>
          <w:rFonts w:ascii="仿宋" w:hAnsi="仿宋" w:eastAsia="仿宋"/>
          <w:sz w:val="32"/>
          <w:szCs w:val="32"/>
        </w:rPr>
        <w:t>4</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日，峨眉山市桂花桥镇第二小学校共有车辆0辆，其中：主要领导干部用车0辆、机要通信用车0辆、应急保障用车0辆、其他用车0辆，单价</w:t>
      </w:r>
      <w:r>
        <w:rPr>
          <w:rFonts w:ascii="仿宋" w:hAnsi="仿宋" w:eastAsia="仿宋"/>
          <w:sz w:val="32"/>
          <w:szCs w:val="32"/>
        </w:rPr>
        <w:t>100</w:t>
      </w:r>
      <w:r>
        <w:rPr>
          <w:rFonts w:hint="eastAsia" w:ascii="仿宋" w:hAnsi="仿宋" w:eastAsia="仿宋"/>
          <w:sz w:val="32"/>
          <w:szCs w:val="32"/>
        </w:rPr>
        <w:t>万元以上设备（不含车辆）</w:t>
      </w:r>
      <w:r>
        <w:rPr>
          <w:rFonts w:ascii="仿宋" w:hAnsi="仿宋" w:eastAsia="仿宋"/>
          <w:sz w:val="32"/>
          <w:szCs w:val="32"/>
        </w:rPr>
        <w:t>0</w:t>
      </w:r>
      <w:r>
        <w:rPr>
          <w:rFonts w:hint="eastAsia" w:ascii="仿宋" w:hAnsi="仿宋" w:eastAsia="仿宋"/>
          <w:sz w:val="32"/>
          <w:szCs w:val="32"/>
        </w:rPr>
        <w:t>台（套）。</w:t>
      </w:r>
    </w:p>
    <w:p w14:paraId="5E281E56">
      <w:pPr>
        <w:ind w:firstLine="640" w:firstLineChars="200"/>
        <w:rPr>
          <w:rFonts w:ascii="仿宋" w:hAnsi="仿宋" w:eastAsia="仿宋"/>
          <w:sz w:val="32"/>
          <w:szCs w:val="32"/>
        </w:rPr>
      </w:pPr>
      <w:r>
        <w:rPr>
          <w:rFonts w:hint="eastAsia" w:ascii="仿宋" w:hAnsi="仿宋" w:eastAsia="仿宋"/>
          <w:sz w:val="32"/>
          <w:szCs w:val="32"/>
        </w:rPr>
        <w:t>（四）预算绩效管理情况</w:t>
      </w:r>
    </w:p>
    <w:p w14:paraId="4420A747">
      <w:pPr>
        <w:ind w:firstLine="640" w:firstLineChars="200"/>
        <w:rPr>
          <w:rFonts w:ascii="仿宋" w:hAnsi="仿宋" w:eastAsia="仿宋"/>
          <w:sz w:val="32"/>
          <w:szCs w:val="32"/>
        </w:rPr>
      </w:pPr>
      <w:r>
        <w:rPr>
          <w:rFonts w:hint="eastAsia" w:ascii="仿宋" w:hAnsi="仿宋" w:eastAsia="仿宋"/>
          <w:sz w:val="32"/>
          <w:szCs w:val="32"/>
        </w:rPr>
        <w:t>根据预算绩效管理要求，本单位在202</w:t>
      </w:r>
      <w:r>
        <w:rPr>
          <w:rFonts w:ascii="仿宋" w:hAnsi="仿宋" w:eastAsia="仿宋"/>
          <w:sz w:val="32"/>
          <w:szCs w:val="32"/>
        </w:rPr>
        <w:t>4</w:t>
      </w:r>
      <w:r>
        <w:rPr>
          <w:rFonts w:hint="eastAsia" w:ascii="仿宋" w:hAnsi="仿宋" w:eastAsia="仿宋"/>
          <w:sz w:val="32"/>
          <w:szCs w:val="32"/>
        </w:rPr>
        <w:t>年度预算编制阶段，组织对峨眉山市桂花桥镇第二小学校城乡义务教育公用经费等</w:t>
      </w:r>
      <w:r>
        <w:rPr>
          <w:rFonts w:hint="eastAsia" w:ascii="仿宋" w:hAnsi="仿宋" w:eastAsia="仿宋"/>
          <w:sz w:val="32"/>
          <w:szCs w:val="32"/>
          <w:lang w:val="en-US" w:eastAsia="zh-CN"/>
        </w:rPr>
        <w:t>9</w:t>
      </w:r>
      <w:r>
        <w:rPr>
          <w:rFonts w:hint="eastAsia" w:ascii="仿宋" w:hAnsi="仿宋" w:eastAsia="仿宋"/>
          <w:sz w:val="32"/>
          <w:szCs w:val="32"/>
        </w:rPr>
        <w:t>个项目开展了预算事前绩效评估，对</w:t>
      </w:r>
      <w:r>
        <w:rPr>
          <w:rFonts w:hint="eastAsia" w:ascii="仿宋" w:hAnsi="仿宋" w:eastAsia="仿宋"/>
          <w:sz w:val="32"/>
          <w:szCs w:val="32"/>
          <w:lang w:val="en-US" w:eastAsia="zh-CN"/>
        </w:rPr>
        <w:t>9</w:t>
      </w:r>
      <w:r>
        <w:rPr>
          <w:rFonts w:hint="eastAsia" w:ascii="仿宋" w:hAnsi="仿宋" w:eastAsia="仿宋"/>
          <w:sz w:val="32"/>
          <w:szCs w:val="32"/>
        </w:rPr>
        <w:t>个项目编制了绩效目标，预算执行过程中，选取</w:t>
      </w:r>
      <w:r>
        <w:rPr>
          <w:rFonts w:hint="eastAsia" w:ascii="仿宋" w:hAnsi="仿宋" w:eastAsia="仿宋"/>
          <w:sz w:val="32"/>
          <w:szCs w:val="32"/>
          <w:lang w:val="en-US" w:eastAsia="zh-CN"/>
        </w:rPr>
        <w:t>9</w:t>
      </w:r>
      <w:r>
        <w:rPr>
          <w:rFonts w:hint="eastAsia" w:ascii="仿宋" w:hAnsi="仿宋" w:eastAsia="仿宋"/>
          <w:sz w:val="32"/>
          <w:szCs w:val="32"/>
        </w:rPr>
        <w:t>个项目开展绩效监控，组织对</w:t>
      </w:r>
      <w:r>
        <w:rPr>
          <w:rFonts w:hint="eastAsia" w:ascii="仿宋" w:hAnsi="仿宋" w:eastAsia="仿宋"/>
          <w:sz w:val="32"/>
          <w:szCs w:val="32"/>
          <w:lang w:val="en-US" w:eastAsia="zh-CN"/>
        </w:rPr>
        <w:t>9</w:t>
      </w:r>
      <w:r>
        <w:rPr>
          <w:rFonts w:hint="eastAsia" w:ascii="仿宋" w:hAnsi="仿宋" w:eastAsia="仿宋"/>
          <w:sz w:val="32"/>
          <w:szCs w:val="32"/>
        </w:rPr>
        <w:t>个项目开展绩效自评，绩效自评表详见第四部分附件。</w:t>
      </w:r>
    </w:p>
    <w:p w14:paraId="33BE270F">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20ED433E">
      <w:pPr>
        <w:pStyle w:val="3"/>
        <w:ind w:firstLine="2209" w:firstLineChars="500"/>
        <w:rPr>
          <w:rStyle w:val="20"/>
          <w:rFonts w:ascii="黑体" w:hAnsi="黑体" w:eastAsia="黑体"/>
          <w:b/>
          <w:bCs w:val="0"/>
        </w:rPr>
      </w:pPr>
      <w:bookmarkStart w:id="72" w:name="_Toc15377225"/>
      <w:bookmarkStart w:id="73" w:name="_Toc183512716"/>
      <w:bookmarkStart w:id="74" w:name="_Toc15396613"/>
      <w:r>
        <w:rPr>
          <w:rFonts w:hint="eastAsia"/>
        </w:rPr>
        <w:t>第三部分 名</w:t>
      </w:r>
      <w:r>
        <w:rPr>
          <w:rStyle w:val="20"/>
          <w:rFonts w:hint="eastAsia" w:ascii="黑体" w:hAnsi="黑体" w:eastAsia="黑体"/>
          <w:b w:val="0"/>
          <w:bCs w:val="0"/>
        </w:rPr>
        <w:t>词解释</w:t>
      </w:r>
      <w:bookmarkEnd w:id="72"/>
      <w:bookmarkEnd w:id="73"/>
      <w:bookmarkEnd w:id="74"/>
    </w:p>
    <w:p w14:paraId="49395E5D">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1.财政拨款收入：指省级财政当年拨付的资金。 </w:t>
      </w:r>
    </w:p>
    <w:p w14:paraId="38E60282">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2.事业收入：指事业单位开展专业业务活动及辅助活动所取得的收入。如财政专户核拨的幼儿园保教费收入等。</w:t>
      </w:r>
    </w:p>
    <w:p w14:paraId="6AFAFE34">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3.其他收入：指除上述“财政拨款收入”、“事业收入”、“经营收入”等以外的收入。主要是捐赠收入、利息收入等。 </w:t>
      </w:r>
    </w:p>
    <w:p w14:paraId="39F70DF2">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4.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5DEDCE5">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5.年初结转和结余：指以前年度尚未完成、结转到本年按有关规定继续使用的资金。  </w:t>
      </w:r>
    </w:p>
    <w:p w14:paraId="61CD312E">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6.教育支出（类）普通教育（款）学前教育（项）:指反映各部门举办的学前教育支出。</w:t>
      </w:r>
    </w:p>
    <w:p w14:paraId="17E49272">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7.教育支出（类）普通教育（款）小学教育（项）:指反映各部门举办的小学教育支出。</w:t>
      </w:r>
    </w:p>
    <w:p w14:paraId="36D2E5FF">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8.教育支出（类）普通教育（款）其他普通教育支出（项）:指反映除上述项目以外其他用于普通教育方面的支出。</w:t>
      </w:r>
    </w:p>
    <w:p w14:paraId="53CE4585">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9.教育支出（类）教育费附加安排的支出（款）农村中小学校舍建设（项）:指反映教育费附加安排用于农村中小学校舍新建、改建、修缮和维护的支出。</w:t>
      </w:r>
    </w:p>
    <w:p w14:paraId="2B4DF003">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10.教育支出（类）教育费附加安排的支出（款）农村中小学教学设施（项）:指反映教育费附加安排用于改善农村中小学教学设施和办学条件的支出。</w:t>
      </w:r>
    </w:p>
    <w:p w14:paraId="67FD5DC2">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11.教育支出（类）教育费附加安排的支出（款）其他教育费附加安排的支出（项）: 指反映除上述项目以外的教育费附加支出。</w:t>
      </w:r>
    </w:p>
    <w:p w14:paraId="7E02BDEE">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12.教育支出（类）其他教育支出（款）其他教育支出（项）:指反映除上述项目以外其他用于教育方面的支出。</w:t>
      </w:r>
    </w:p>
    <w:p w14:paraId="4A3D473A">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13.社会保障和就业支出（类）行政事业单位离退休（款）机关事业单位基本养老保险缴费支出（项）: 指反映机关事业单位实施养老保险制度由单位缴纳的基本养老保险费支出。</w:t>
      </w:r>
    </w:p>
    <w:p w14:paraId="2BE247F9">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14.社会保障和就业支出（类）行政事业单位离退休（款）机关事业单位职业年金缴费支出（项）: 指反映机关事业单位实施养老保险制度由单位缴纳的职业年金支出。</w:t>
      </w:r>
    </w:p>
    <w:p w14:paraId="22EFF560">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15.社会保障和就业支出（类）行政事业单位离退休（款）其他行政事业单位离退休支出（项）: 指反映除上述项目以外其他用于行政事业单位离退休方面的支出。</w:t>
      </w:r>
    </w:p>
    <w:p w14:paraId="6AA51626">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16.社会保障和就业支出（类）抚恤（款）死亡抚恤（项）:指反映按规定用于烈士和牺牲、病故人员家属的一次性和定期抚恤金以及丧葬补助费。</w:t>
      </w:r>
    </w:p>
    <w:p w14:paraId="5A4FAB6F">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17.社会保障和就业支出（类）抚恤（款）其他优抚支出（项）:指反映除上述项目以外其他用于优抚方面的支出。</w:t>
      </w:r>
    </w:p>
    <w:p w14:paraId="3D70B64A">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18.社会保障和就业支出（类）其他社会保障就业支出（款）其他社会保障就业支出（项）:指反映除上述项目以外其他用于社会保障和就业方面的支出。</w:t>
      </w:r>
    </w:p>
    <w:p w14:paraId="3BB41F45">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19</w:t>
      </w:r>
      <w:r>
        <w:rPr>
          <w:rFonts w:hint="eastAsia" w:ascii="仿宋_GB2312" w:eastAsia="仿宋_GB2312"/>
          <w:color w:val="auto"/>
          <w:sz w:val="32"/>
          <w:szCs w:val="32"/>
        </w:rPr>
        <w:t>.卫生健康支出（类）行政事业单位医疗（款）事业单位医疗（项）:指反映财政部门集中安排的事业单位基本医疗保险缴费经费，未参加医疗保险的事业单位的公费医疗经费，按国家规定享受离休人员待遇的医疗经费。</w:t>
      </w:r>
    </w:p>
    <w:p w14:paraId="08207CD3">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0</w:t>
      </w:r>
      <w:r>
        <w:rPr>
          <w:rFonts w:hint="eastAsia" w:ascii="仿宋_GB2312" w:eastAsia="仿宋_GB2312"/>
          <w:color w:val="auto"/>
          <w:sz w:val="32"/>
          <w:szCs w:val="32"/>
        </w:rPr>
        <w:t>.住房保障支出（类）住房改革支出（款）住房公积金（项）: 指反映行政事业单位按人力资源和社会保障部、财政部规定的基本工资和津贴补贴以及规定比例为职工缴纳的住房公积金。</w:t>
      </w:r>
    </w:p>
    <w:p w14:paraId="61616D90">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1</w:t>
      </w:r>
      <w:r>
        <w:rPr>
          <w:rFonts w:hint="eastAsia" w:ascii="仿宋_GB2312" w:eastAsia="仿宋_GB2312"/>
          <w:color w:val="auto"/>
          <w:sz w:val="32"/>
          <w:szCs w:val="32"/>
        </w:rPr>
        <w:t>.结余分配：指事业单位按规定提取的职工福利基金、事业基金和缴纳的所得税，以及建设单位按规定应交回的基本建设竣工项目结余资金。</w:t>
      </w:r>
    </w:p>
    <w:p w14:paraId="71B50F04">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2</w:t>
      </w:r>
      <w:r>
        <w:rPr>
          <w:rFonts w:hint="eastAsia" w:ascii="仿宋_GB2312" w:eastAsia="仿宋_GB2312"/>
          <w:color w:val="auto"/>
          <w:sz w:val="32"/>
          <w:szCs w:val="32"/>
        </w:rPr>
        <w:t>.年末结转和结余：指本年度或以前年度预算安排、因客观条件发生变化无法按原计划实施，需延迟到以后年度按有关规定继续使用的资金。</w:t>
      </w:r>
    </w:p>
    <w:p w14:paraId="4A0E0743">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3</w:t>
      </w:r>
      <w:r>
        <w:rPr>
          <w:rFonts w:hint="eastAsia" w:ascii="仿宋_GB2312" w:eastAsia="仿宋_GB2312"/>
          <w:color w:val="auto"/>
          <w:sz w:val="32"/>
          <w:szCs w:val="32"/>
        </w:rPr>
        <w:t>.基本支出：指为保障机构正常运转、完成日常工作任务而发生的人员支出和公用支出。</w:t>
      </w:r>
    </w:p>
    <w:p w14:paraId="17396418">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4</w:t>
      </w:r>
      <w:r>
        <w:rPr>
          <w:rFonts w:hint="eastAsia" w:ascii="仿宋_GB2312" w:eastAsia="仿宋_GB2312"/>
          <w:color w:val="auto"/>
          <w:sz w:val="32"/>
          <w:szCs w:val="32"/>
        </w:rPr>
        <w:t xml:space="preserve">.项目支出：指在基本支出之外为完成特定行政任务和事业发展目标所发生的支出。 </w:t>
      </w:r>
    </w:p>
    <w:p w14:paraId="0FC19C87">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5</w:t>
      </w:r>
      <w:r>
        <w:rPr>
          <w:rFonts w:hint="eastAsia" w:ascii="仿宋_GB2312" w:eastAsia="仿宋_GB2312"/>
          <w:color w:val="auto"/>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58D487C">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6</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75" w:name="_Toc15396614"/>
      <w:bookmarkStart w:id="76" w:name="_Toc183512717"/>
      <w:bookmarkStart w:id="77" w:name="_Toc15377226"/>
    </w:p>
    <w:p w14:paraId="6017E976">
      <w:pPr>
        <w:pStyle w:val="30"/>
        <w:spacing w:line="560" w:lineRule="exact"/>
        <w:ind w:firstLine="880" w:firstLineChars="200"/>
        <w:jc w:val="center"/>
        <w:rPr>
          <w:rFonts w:hint="eastAsia" w:ascii="黑体" w:hAnsi="黑体" w:eastAsia="黑体"/>
          <w:sz w:val="44"/>
          <w:szCs w:val="44"/>
        </w:rPr>
      </w:pPr>
    </w:p>
    <w:p w14:paraId="53E8BAF4">
      <w:pPr>
        <w:pStyle w:val="30"/>
        <w:spacing w:line="560" w:lineRule="exact"/>
        <w:ind w:firstLine="880" w:firstLineChars="200"/>
        <w:jc w:val="center"/>
        <w:rPr>
          <w:rFonts w:hint="eastAsia" w:ascii="黑体" w:hAnsi="黑体" w:eastAsia="黑体"/>
          <w:sz w:val="44"/>
          <w:szCs w:val="44"/>
        </w:rPr>
      </w:pPr>
    </w:p>
    <w:p w14:paraId="7EBDC872">
      <w:pPr>
        <w:pStyle w:val="30"/>
        <w:spacing w:line="560" w:lineRule="exact"/>
        <w:ind w:firstLine="880" w:firstLineChars="200"/>
        <w:jc w:val="center"/>
        <w:rPr>
          <w:rFonts w:hint="eastAsia" w:ascii="黑体" w:hAnsi="黑体" w:eastAsia="黑体"/>
          <w:sz w:val="44"/>
          <w:szCs w:val="44"/>
        </w:rPr>
      </w:pPr>
    </w:p>
    <w:p w14:paraId="593E58B9">
      <w:pPr>
        <w:pStyle w:val="30"/>
        <w:spacing w:line="560" w:lineRule="exact"/>
        <w:ind w:firstLine="880" w:firstLineChars="200"/>
        <w:jc w:val="center"/>
        <w:rPr>
          <w:rFonts w:hint="eastAsia" w:ascii="黑体" w:hAnsi="黑体" w:eastAsia="黑体"/>
          <w:sz w:val="44"/>
          <w:szCs w:val="44"/>
        </w:rPr>
      </w:pPr>
    </w:p>
    <w:p w14:paraId="46AB091D">
      <w:pPr>
        <w:pStyle w:val="30"/>
        <w:spacing w:line="560" w:lineRule="exact"/>
        <w:ind w:firstLine="880" w:firstLineChars="200"/>
        <w:jc w:val="center"/>
        <w:rPr>
          <w:rFonts w:hint="eastAsia" w:ascii="黑体" w:hAnsi="黑体" w:eastAsia="黑体"/>
          <w:sz w:val="44"/>
          <w:szCs w:val="44"/>
        </w:rPr>
      </w:pPr>
    </w:p>
    <w:p w14:paraId="791D6969">
      <w:pPr>
        <w:pStyle w:val="30"/>
        <w:spacing w:line="560" w:lineRule="exact"/>
        <w:ind w:firstLine="880" w:firstLineChars="200"/>
        <w:jc w:val="center"/>
        <w:rPr>
          <w:rFonts w:hint="eastAsia" w:ascii="黑体" w:hAnsi="黑体" w:eastAsia="黑体"/>
          <w:sz w:val="44"/>
          <w:szCs w:val="44"/>
        </w:rPr>
      </w:pPr>
    </w:p>
    <w:p w14:paraId="58570913">
      <w:pPr>
        <w:pStyle w:val="30"/>
        <w:spacing w:line="560" w:lineRule="exact"/>
        <w:ind w:firstLine="880" w:firstLineChars="200"/>
        <w:jc w:val="center"/>
        <w:rPr>
          <w:rFonts w:hint="eastAsia" w:ascii="黑体" w:hAnsi="黑体" w:eastAsia="黑体"/>
          <w:sz w:val="44"/>
          <w:szCs w:val="44"/>
        </w:rPr>
      </w:pPr>
    </w:p>
    <w:p w14:paraId="7803D4D8">
      <w:pPr>
        <w:pStyle w:val="30"/>
        <w:spacing w:line="560" w:lineRule="exact"/>
        <w:ind w:firstLine="880" w:firstLineChars="200"/>
        <w:jc w:val="center"/>
        <w:rPr>
          <w:rFonts w:hint="eastAsia" w:ascii="黑体" w:hAnsi="黑体" w:eastAsia="黑体"/>
          <w:sz w:val="44"/>
          <w:szCs w:val="44"/>
        </w:rPr>
      </w:pPr>
    </w:p>
    <w:p w14:paraId="114850A8">
      <w:pPr>
        <w:pStyle w:val="30"/>
        <w:spacing w:line="560" w:lineRule="exact"/>
        <w:ind w:firstLine="880" w:firstLineChars="200"/>
        <w:jc w:val="center"/>
        <w:rPr>
          <w:rFonts w:hint="eastAsia" w:ascii="黑体" w:hAnsi="黑体" w:eastAsia="黑体"/>
          <w:sz w:val="44"/>
          <w:szCs w:val="44"/>
        </w:rPr>
      </w:pPr>
    </w:p>
    <w:p w14:paraId="0390EE48">
      <w:pPr>
        <w:pStyle w:val="30"/>
        <w:spacing w:line="560" w:lineRule="exact"/>
        <w:ind w:firstLine="880" w:firstLineChars="200"/>
        <w:jc w:val="center"/>
        <w:rPr>
          <w:rFonts w:hint="eastAsia" w:ascii="黑体" w:hAnsi="黑体" w:eastAsia="黑体"/>
          <w:sz w:val="44"/>
          <w:szCs w:val="44"/>
        </w:rPr>
      </w:pPr>
    </w:p>
    <w:p w14:paraId="2CA8DDF9">
      <w:pPr>
        <w:pStyle w:val="30"/>
        <w:spacing w:line="560" w:lineRule="exact"/>
        <w:ind w:firstLine="880" w:firstLineChars="200"/>
        <w:jc w:val="center"/>
        <w:rPr>
          <w:rFonts w:hint="eastAsia" w:ascii="黑体" w:hAnsi="黑体" w:eastAsia="黑体"/>
          <w:sz w:val="44"/>
          <w:szCs w:val="44"/>
        </w:rPr>
      </w:pPr>
    </w:p>
    <w:p w14:paraId="171A084C">
      <w:pPr>
        <w:pStyle w:val="30"/>
        <w:spacing w:line="560" w:lineRule="exact"/>
        <w:ind w:firstLine="880" w:firstLineChars="200"/>
        <w:jc w:val="center"/>
        <w:rPr>
          <w:rFonts w:hint="eastAsia" w:ascii="黑体" w:hAnsi="黑体" w:eastAsia="黑体"/>
          <w:sz w:val="44"/>
          <w:szCs w:val="44"/>
        </w:rPr>
      </w:pPr>
    </w:p>
    <w:p w14:paraId="084ECC39">
      <w:pPr>
        <w:pStyle w:val="30"/>
        <w:spacing w:line="560" w:lineRule="exact"/>
        <w:ind w:firstLine="880" w:firstLineChars="200"/>
        <w:jc w:val="center"/>
        <w:rPr>
          <w:rFonts w:hint="eastAsia" w:ascii="黑体" w:hAnsi="黑体" w:eastAsia="黑体"/>
          <w:sz w:val="44"/>
          <w:szCs w:val="44"/>
        </w:rPr>
      </w:pPr>
    </w:p>
    <w:p w14:paraId="61FE821C">
      <w:pPr>
        <w:pStyle w:val="30"/>
        <w:spacing w:line="560" w:lineRule="exact"/>
        <w:ind w:firstLine="880" w:firstLineChars="200"/>
        <w:jc w:val="center"/>
        <w:rPr>
          <w:rFonts w:hint="eastAsia" w:ascii="黑体" w:hAnsi="黑体" w:eastAsia="黑体"/>
          <w:sz w:val="44"/>
          <w:szCs w:val="44"/>
        </w:rPr>
      </w:pPr>
    </w:p>
    <w:p w14:paraId="4AB147E4">
      <w:pPr>
        <w:pStyle w:val="30"/>
        <w:spacing w:line="560" w:lineRule="exact"/>
        <w:ind w:firstLine="880" w:firstLineChars="200"/>
        <w:jc w:val="center"/>
        <w:rPr>
          <w:rFonts w:hint="eastAsia" w:ascii="黑体" w:hAnsi="黑体" w:eastAsia="黑体"/>
          <w:sz w:val="44"/>
          <w:szCs w:val="44"/>
        </w:rPr>
      </w:pPr>
    </w:p>
    <w:p w14:paraId="053E5D5E">
      <w:pPr>
        <w:pStyle w:val="30"/>
        <w:spacing w:line="560" w:lineRule="exact"/>
        <w:ind w:firstLine="880" w:firstLineChars="200"/>
        <w:jc w:val="center"/>
        <w:rPr>
          <w:rFonts w:hint="eastAsia" w:ascii="黑体" w:hAnsi="黑体" w:eastAsia="黑体"/>
          <w:sz w:val="44"/>
          <w:szCs w:val="44"/>
        </w:rPr>
      </w:pPr>
    </w:p>
    <w:p w14:paraId="37F125BE">
      <w:pPr>
        <w:pStyle w:val="30"/>
        <w:spacing w:line="560" w:lineRule="exact"/>
        <w:ind w:firstLine="880" w:firstLineChars="200"/>
        <w:jc w:val="center"/>
        <w:rPr>
          <w:rFonts w:hint="eastAsia" w:ascii="黑体" w:hAnsi="黑体" w:eastAsia="黑体"/>
          <w:sz w:val="44"/>
          <w:szCs w:val="44"/>
        </w:rPr>
      </w:pPr>
    </w:p>
    <w:p w14:paraId="71311FCD">
      <w:pPr>
        <w:pStyle w:val="30"/>
        <w:spacing w:line="560" w:lineRule="exact"/>
        <w:ind w:firstLine="880" w:firstLineChars="200"/>
        <w:jc w:val="center"/>
        <w:rPr>
          <w:rFonts w:hint="eastAsia" w:ascii="黑体" w:hAnsi="黑体" w:eastAsia="黑体"/>
          <w:sz w:val="44"/>
          <w:szCs w:val="44"/>
        </w:rPr>
      </w:pPr>
    </w:p>
    <w:p w14:paraId="2D733917">
      <w:pPr>
        <w:pStyle w:val="30"/>
        <w:spacing w:line="560" w:lineRule="exact"/>
        <w:ind w:firstLine="880" w:firstLineChars="200"/>
        <w:jc w:val="center"/>
        <w:rPr>
          <w:rFonts w:hint="eastAsia" w:ascii="黑体" w:hAnsi="黑体" w:eastAsia="黑体"/>
          <w:sz w:val="44"/>
          <w:szCs w:val="44"/>
        </w:rPr>
      </w:pPr>
    </w:p>
    <w:p w14:paraId="0BF3F97E">
      <w:pPr>
        <w:pStyle w:val="30"/>
        <w:spacing w:line="560" w:lineRule="exact"/>
        <w:ind w:firstLine="880" w:firstLineChars="200"/>
        <w:jc w:val="center"/>
        <w:rPr>
          <w:rStyle w:val="20"/>
          <w:rFonts w:ascii="黑体" w:hAnsi="黑体" w:eastAsia="黑体"/>
          <w:b w:val="0"/>
        </w:rPr>
      </w:pPr>
      <w:r>
        <w:rPr>
          <w:rFonts w:hint="eastAsia" w:ascii="黑体" w:hAnsi="黑体" w:eastAsia="黑体"/>
          <w:sz w:val="44"/>
          <w:szCs w:val="44"/>
        </w:rPr>
        <w:t>第</w:t>
      </w:r>
      <w:r>
        <w:rPr>
          <w:rStyle w:val="20"/>
          <w:rFonts w:hint="eastAsia" w:ascii="黑体" w:hAnsi="黑体" w:eastAsia="黑体"/>
          <w:b w:val="0"/>
        </w:rPr>
        <w:t>四部分 附件</w:t>
      </w:r>
      <w:bookmarkEnd w:id="75"/>
      <w:bookmarkEnd w:id="76"/>
    </w:p>
    <w:p w14:paraId="621089D8">
      <w:bookmarkStart w:id="78" w:name="_Toc183512719"/>
      <w:bookmarkStart w:id="79" w:name="_Toc15396618"/>
      <w:r>
        <w:drawing>
          <wp:inline distT="0" distB="0" distL="0" distR="0">
            <wp:extent cx="5981700" cy="6648450"/>
            <wp:effectExtent l="0" t="0" r="0" b="0"/>
            <wp:docPr id="18844295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29557"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81700" cy="6648450"/>
                    </a:xfrm>
                    <a:prstGeom prst="rect">
                      <a:avLst/>
                    </a:prstGeom>
                    <a:noFill/>
                    <a:ln>
                      <a:noFill/>
                    </a:ln>
                  </pic:spPr>
                </pic:pic>
              </a:graphicData>
            </a:graphic>
          </wp:inline>
        </w:drawing>
      </w:r>
    </w:p>
    <w:p w14:paraId="2082BCFF">
      <w:pPr>
        <w:pStyle w:val="19"/>
      </w:pPr>
      <w:r>
        <w:drawing>
          <wp:inline distT="0" distB="0" distL="0" distR="0">
            <wp:extent cx="5962650" cy="8429625"/>
            <wp:effectExtent l="0" t="0" r="0" b="9525"/>
            <wp:docPr id="58160915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609153"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62650" cy="8429625"/>
                    </a:xfrm>
                    <a:prstGeom prst="rect">
                      <a:avLst/>
                    </a:prstGeom>
                    <a:noFill/>
                    <a:ln>
                      <a:noFill/>
                    </a:ln>
                  </pic:spPr>
                </pic:pic>
              </a:graphicData>
            </a:graphic>
          </wp:inline>
        </w:drawing>
      </w:r>
    </w:p>
    <w:p w14:paraId="5D83C843"/>
    <w:p w14:paraId="49FA5440">
      <w:pPr>
        <w:pStyle w:val="19"/>
      </w:pPr>
      <w:r>
        <w:drawing>
          <wp:inline distT="0" distB="0" distL="0" distR="0">
            <wp:extent cx="5981700" cy="8439150"/>
            <wp:effectExtent l="0" t="0" r="0" b="0"/>
            <wp:docPr id="49598767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87678"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81700" cy="8439150"/>
                    </a:xfrm>
                    <a:prstGeom prst="rect">
                      <a:avLst/>
                    </a:prstGeom>
                    <a:noFill/>
                    <a:ln>
                      <a:noFill/>
                    </a:ln>
                  </pic:spPr>
                </pic:pic>
              </a:graphicData>
            </a:graphic>
          </wp:inline>
        </w:drawing>
      </w:r>
    </w:p>
    <w:p w14:paraId="5850E7BE"/>
    <w:p w14:paraId="4986316B">
      <w:pPr>
        <w:pStyle w:val="19"/>
      </w:pPr>
      <w:r>
        <w:drawing>
          <wp:inline distT="0" distB="0" distL="0" distR="0">
            <wp:extent cx="6000750" cy="8353425"/>
            <wp:effectExtent l="0" t="0" r="0" b="9525"/>
            <wp:docPr id="175271660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16606"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000750" cy="8353425"/>
                    </a:xfrm>
                    <a:prstGeom prst="rect">
                      <a:avLst/>
                    </a:prstGeom>
                    <a:noFill/>
                    <a:ln>
                      <a:noFill/>
                    </a:ln>
                  </pic:spPr>
                </pic:pic>
              </a:graphicData>
            </a:graphic>
          </wp:inline>
        </w:drawing>
      </w:r>
    </w:p>
    <w:p w14:paraId="5A7E8071"/>
    <w:p w14:paraId="550147CA">
      <w:pPr>
        <w:pStyle w:val="19"/>
      </w:pPr>
      <w:r>
        <w:drawing>
          <wp:inline distT="0" distB="0" distL="0" distR="0">
            <wp:extent cx="5981700" cy="8229600"/>
            <wp:effectExtent l="0" t="0" r="0" b="0"/>
            <wp:docPr id="210179727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97272"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981700" cy="8229600"/>
                    </a:xfrm>
                    <a:prstGeom prst="rect">
                      <a:avLst/>
                    </a:prstGeom>
                    <a:noFill/>
                    <a:ln>
                      <a:noFill/>
                    </a:ln>
                  </pic:spPr>
                </pic:pic>
              </a:graphicData>
            </a:graphic>
          </wp:inline>
        </w:drawing>
      </w:r>
    </w:p>
    <w:p w14:paraId="09945512"/>
    <w:p w14:paraId="2D76E550">
      <w:pPr>
        <w:pStyle w:val="19"/>
      </w:pPr>
      <w:r>
        <w:drawing>
          <wp:inline distT="0" distB="0" distL="0" distR="0">
            <wp:extent cx="5953125" cy="8496300"/>
            <wp:effectExtent l="0" t="0" r="9525" b="0"/>
            <wp:docPr id="85074746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47460" name="图片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953125" cy="8496300"/>
                    </a:xfrm>
                    <a:prstGeom prst="rect">
                      <a:avLst/>
                    </a:prstGeom>
                    <a:noFill/>
                    <a:ln>
                      <a:noFill/>
                    </a:ln>
                  </pic:spPr>
                </pic:pic>
              </a:graphicData>
            </a:graphic>
          </wp:inline>
        </w:drawing>
      </w:r>
    </w:p>
    <w:p w14:paraId="61B6031A"/>
    <w:p w14:paraId="443BA272">
      <w:pPr>
        <w:pStyle w:val="19"/>
      </w:pPr>
      <w:r>
        <w:drawing>
          <wp:inline distT="0" distB="0" distL="0" distR="0">
            <wp:extent cx="6010275" cy="8448675"/>
            <wp:effectExtent l="0" t="0" r="9525" b="9525"/>
            <wp:docPr id="132410419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104190" name="图片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010275" cy="8448675"/>
                    </a:xfrm>
                    <a:prstGeom prst="rect">
                      <a:avLst/>
                    </a:prstGeom>
                    <a:noFill/>
                    <a:ln>
                      <a:noFill/>
                    </a:ln>
                  </pic:spPr>
                </pic:pic>
              </a:graphicData>
            </a:graphic>
          </wp:inline>
        </w:drawing>
      </w:r>
    </w:p>
    <w:p w14:paraId="5F7A81A9"/>
    <w:p w14:paraId="6D401BC7">
      <w:r>
        <w:drawing>
          <wp:inline distT="0" distB="0" distL="0" distR="0">
            <wp:extent cx="6019800" cy="8543925"/>
            <wp:effectExtent l="0" t="0" r="0" b="9525"/>
            <wp:docPr id="27939784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397845" name="图片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019800" cy="8543925"/>
                    </a:xfrm>
                    <a:prstGeom prst="rect">
                      <a:avLst/>
                    </a:prstGeom>
                    <a:noFill/>
                    <a:ln>
                      <a:noFill/>
                    </a:ln>
                  </pic:spPr>
                </pic:pic>
              </a:graphicData>
            </a:graphic>
          </wp:inline>
        </w:drawing>
      </w:r>
    </w:p>
    <w:p w14:paraId="1585D23B">
      <w:pPr>
        <w:pStyle w:val="19"/>
      </w:pPr>
      <w:r>
        <w:drawing>
          <wp:inline distT="0" distB="0" distL="0" distR="0">
            <wp:extent cx="5991225" cy="8639175"/>
            <wp:effectExtent l="0" t="0" r="9525" b="9525"/>
            <wp:docPr id="188344865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48652" name="图片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991225" cy="8639175"/>
                    </a:xfrm>
                    <a:prstGeom prst="rect">
                      <a:avLst/>
                    </a:prstGeom>
                    <a:noFill/>
                    <a:ln>
                      <a:noFill/>
                    </a:ln>
                  </pic:spPr>
                </pic:pic>
              </a:graphicData>
            </a:graphic>
          </wp:inline>
        </w:drawing>
      </w:r>
    </w:p>
    <w:p w14:paraId="7C7368D4">
      <w:pPr>
        <w:spacing w:line="600" w:lineRule="exact"/>
        <w:jc w:val="center"/>
        <w:outlineLvl w:val="0"/>
        <w:rPr>
          <w:rFonts w:ascii="仿宋" w:hAnsi="仿宋" w:eastAsia="仿宋"/>
        </w:rPr>
      </w:pPr>
      <w:r>
        <w:rPr>
          <w:rFonts w:hint="eastAsia" w:ascii="黑体" w:hAnsi="黑体" w:eastAsia="黑体"/>
          <w:sz w:val="44"/>
          <w:szCs w:val="44"/>
        </w:rPr>
        <w:t>第</w:t>
      </w:r>
      <w:r>
        <w:rPr>
          <w:rStyle w:val="20"/>
          <w:rFonts w:hint="eastAsia" w:ascii="黑体" w:hAnsi="黑体" w:eastAsia="黑体"/>
          <w:b w:val="0"/>
        </w:rPr>
        <w:t>五部分 附表</w:t>
      </w:r>
      <w:bookmarkEnd w:id="77"/>
      <w:bookmarkEnd w:id="78"/>
      <w:bookmarkEnd w:id="79"/>
      <w:bookmarkStart w:id="80" w:name="_Toc15396619"/>
    </w:p>
    <w:p w14:paraId="728985A6">
      <w:pPr>
        <w:pStyle w:val="4"/>
        <w:rPr>
          <w:rFonts w:ascii="仿宋" w:hAnsi="仿宋" w:eastAsia="仿宋"/>
        </w:rPr>
      </w:pPr>
      <w:bookmarkStart w:id="81" w:name="_Toc183512720"/>
      <w:r>
        <w:rPr>
          <w:rFonts w:hint="eastAsia" w:ascii="仿宋" w:hAnsi="仿宋" w:eastAsia="仿宋"/>
          <w:b w:val="0"/>
        </w:rPr>
        <w:t>一、收</w:t>
      </w:r>
      <w:r>
        <w:rPr>
          <w:rStyle w:val="21"/>
          <w:rFonts w:hint="eastAsia" w:ascii="仿宋" w:hAnsi="仿宋" w:eastAsia="仿宋"/>
          <w:b w:val="0"/>
          <w:bCs w:val="0"/>
        </w:rPr>
        <w:t>入支出决算总表</w:t>
      </w:r>
      <w:bookmarkEnd w:id="80"/>
      <w:bookmarkEnd w:id="81"/>
    </w:p>
    <w:p w14:paraId="20D91C3B">
      <w:pPr>
        <w:pStyle w:val="4"/>
        <w:rPr>
          <w:rFonts w:ascii="仿宋" w:hAnsi="仿宋" w:eastAsia="仿宋"/>
        </w:rPr>
      </w:pPr>
      <w:bookmarkStart w:id="82" w:name="_Toc15396620"/>
      <w:bookmarkStart w:id="83" w:name="_Toc183512721"/>
      <w:r>
        <w:rPr>
          <w:rFonts w:hint="eastAsia" w:ascii="仿宋" w:hAnsi="仿宋" w:eastAsia="仿宋"/>
          <w:b w:val="0"/>
        </w:rPr>
        <w:t>二、收</w:t>
      </w:r>
      <w:r>
        <w:rPr>
          <w:rStyle w:val="21"/>
          <w:rFonts w:hint="eastAsia" w:ascii="仿宋" w:hAnsi="仿宋" w:eastAsia="仿宋"/>
          <w:b w:val="0"/>
          <w:bCs w:val="0"/>
        </w:rPr>
        <w:t>入决算表</w:t>
      </w:r>
      <w:bookmarkEnd w:id="82"/>
      <w:bookmarkEnd w:id="83"/>
    </w:p>
    <w:p w14:paraId="441CBEB4">
      <w:pPr>
        <w:pStyle w:val="4"/>
        <w:rPr>
          <w:rFonts w:ascii="仿宋" w:hAnsi="仿宋" w:eastAsia="仿宋"/>
        </w:rPr>
      </w:pPr>
      <w:bookmarkStart w:id="84" w:name="_Toc183512722"/>
      <w:bookmarkStart w:id="85" w:name="_Toc15396621"/>
      <w:r>
        <w:rPr>
          <w:rStyle w:val="21"/>
          <w:rFonts w:hint="eastAsia" w:ascii="仿宋" w:hAnsi="仿宋" w:eastAsia="仿宋"/>
          <w:b w:val="0"/>
          <w:bCs w:val="0"/>
        </w:rPr>
        <w:t>三、</w:t>
      </w:r>
      <w:r>
        <w:rPr>
          <w:rFonts w:hint="eastAsia" w:ascii="仿宋" w:hAnsi="仿宋" w:eastAsia="仿宋"/>
          <w:b w:val="0"/>
        </w:rPr>
        <w:t>支</w:t>
      </w:r>
      <w:r>
        <w:rPr>
          <w:rStyle w:val="21"/>
          <w:rFonts w:hint="eastAsia" w:ascii="仿宋" w:hAnsi="仿宋" w:eastAsia="仿宋"/>
          <w:b w:val="0"/>
          <w:bCs w:val="0"/>
        </w:rPr>
        <w:t>出决算表</w:t>
      </w:r>
      <w:bookmarkEnd w:id="84"/>
      <w:bookmarkEnd w:id="85"/>
    </w:p>
    <w:p w14:paraId="1DCCCCDE">
      <w:pPr>
        <w:pStyle w:val="4"/>
        <w:rPr>
          <w:rFonts w:ascii="仿宋" w:hAnsi="仿宋" w:eastAsia="仿宋"/>
          <w:b w:val="0"/>
        </w:rPr>
      </w:pPr>
      <w:bookmarkStart w:id="86" w:name="_Toc183512723"/>
      <w:bookmarkStart w:id="87" w:name="_Toc15396622"/>
      <w:r>
        <w:rPr>
          <w:rStyle w:val="21"/>
          <w:rFonts w:hint="eastAsia" w:ascii="仿宋" w:hAnsi="仿宋" w:eastAsia="仿宋"/>
          <w:b w:val="0"/>
          <w:bCs w:val="0"/>
        </w:rPr>
        <w:t>四、</w:t>
      </w:r>
      <w:r>
        <w:rPr>
          <w:rFonts w:hint="eastAsia" w:ascii="仿宋" w:hAnsi="仿宋" w:eastAsia="仿宋"/>
          <w:b w:val="0"/>
        </w:rPr>
        <w:t>财</w:t>
      </w:r>
      <w:r>
        <w:rPr>
          <w:rStyle w:val="21"/>
          <w:rFonts w:hint="eastAsia" w:ascii="仿宋" w:hAnsi="仿宋" w:eastAsia="仿宋"/>
          <w:b w:val="0"/>
          <w:bCs w:val="0"/>
        </w:rPr>
        <w:t>政拨款收入支出决算总表</w:t>
      </w:r>
      <w:bookmarkEnd w:id="86"/>
      <w:bookmarkEnd w:id="87"/>
    </w:p>
    <w:p w14:paraId="54DC3371">
      <w:pPr>
        <w:pStyle w:val="4"/>
        <w:rPr>
          <w:rStyle w:val="21"/>
          <w:rFonts w:ascii="仿宋" w:hAnsi="仿宋" w:eastAsia="仿宋"/>
          <w:b w:val="0"/>
          <w:bCs w:val="0"/>
        </w:rPr>
      </w:pPr>
      <w:bookmarkStart w:id="88" w:name="_Toc183512724"/>
      <w:bookmarkStart w:id="89" w:name="_Toc15396623"/>
      <w:r>
        <w:rPr>
          <w:rStyle w:val="21"/>
          <w:rFonts w:hint="eastAsia" w:ascii="仿宋" w:hAnsi="仿宋" w:eastAsia="仿宋"/>
          <w:b w:val="0"/>
          <w:bCs w:val="0"/>
        </w:rPr>
        <w:t>五、</w:t>
      </w:r>
      <w:r>
        <w:rPr>
          <w:rFonts w:hint="eastAsia" w:ascii="仿宋" w:hAnsi="仿宋" w:eastAsia="仿宋"/>
          <w:b w:val="0"/>
        </w:rPr>
        <w:t>财</w:t>
      </w:r>
      <w:r>
        <w:rPr>
          <w:rStyle w:val="21"/>
          <w:rFonts w:hint="eastAsia" w:ascii="仿宋" w:hAnsi="仿宋" w:eastAsia="仿宋"/>
          <w:b w:val="0"/>
          <w:bCs w:val="0"/>
        </w:rPr>
        <w:t>政拨款支出决算明细表</w:t>
      </w:r>
      <w:bookmarkEnd w:id="88"/>
      <w:bookmarkEnd w:id="89"/>
      <w:bookmarkStart w:id="90" w:name="_Toc15396624"/>
    </w:p>
    <w:p w14:paraId="1EAE6B3E">
      <w:pPr>
        <w:pStyle w:val="4"/>
        <w:rPr>
          <w:rFonts w:ascii="仿宋" w:hAnsi="仿宋" w:eastAsia="仿宋"/>
        </w:rPr>
      </w:pPr>
      <w:bookmarkStart w:id="91" w:name="_Toc183512725"/>
      <w:r>
        <w:rPr>
          <w:rStyle w:val="21"/>
          <w:rFonts w:hint="eastAsia" w:ascii="仿宋" w:hAnsi="仿宋" w:eastAsia="仿宋"/>
          <w:b w:val="0"/>
          <w:bCs w:val="0"/>
        </w:rPr>
        <w:t>六、</w:t>
      </w:r>
      <w:r>
        <w:rPr>
          <w:rFonts w:hint="eastAsia" w:ascii="仿宋" w:hAnsi="仿宋" w:eastAsia="仿宋"/>
          <w:b w:val="0"/>
        </w:rPr>
        <w:t>一</w:t>
      </w:r>
      <w:r>
        <w:rPr>
          <w:rStyle w:val="21"/>
          <w:rFonts w:hint="eastAsia" w:ascii="仿宋" w:hAnsi="仿宋" w:eastAsia="仿宋"/>
          <w:b w:val="0"/>
          <w:bCs w:val="0"/>
        </w:rPr>
        <w:t>般公共预算财政拨款支出决算表</w:t>
      </w:r>
      <w:bookmarkEnd w:id="90"/>
      <w:bookmarkEnd w:id="91"/>
    </w:p>
    <w:p w14:paraId="2454E04C">
      <w:pPr>
        <w:pStyle w:val="4"/>
        <w:rPr>
          <w:rFonts w:ascii="仿宋" w:hAnsi="仿宋" w:eastAsia="仿宋"/>
        </w:rPr>
      </w:pPr>
      <w:bookmarkStart w:id="92" w:name="_Toc15396625"/>
      <w:bookmarkStart w:id="93" w:name="_Toc183512726"/>
      <w:r>
        <w:rPr>
          <w:rStyle w:val="21"/>
          <w:rFonts w:hint="eastAsia" w:ascii="仿宋" w:hAnsi="仿宋" w:eastAsia="仿宋"/>
          <w:b w:val="0"/>
          <w:bCs w:val="0"/>
        </w:rPr>
        <w:t>七、</w:t>
      </w:r>
      <w:r>
        <w:rPr>
          <w:rFonts w:hint="eastAsia" w:ascii="仿宋" w:hAnsi="仿宋" w:eastAsia="仿宋"/>
          <w:b w:val="0"/>
        </w:rPr>
        <w:t>一</w:t>
      </w:r>
      <w:r>
        <w:rPr>
          <w:rStyle w:val="21"/>
          <w:rFonts w:hint="eastAsia" w:ascii="仿宋" w:hAnsi="仿宋" w:eastAsia="仿宋"/>
          <w:b w:val="0"/>
          <w:bCs w:val="0"/>
        </w:rPr>
        <w:t>般公共预算财政拨款支出决算明细表</w:t>
      </w:r>
      <w:bookmarkEnd w:id="92"/>
      <w:bookmarkEnd w:id="93"/>
    </w:p>
    <w:p w14:paraId="672D94FB">
      <w:pPr>
        <w:pStyle w:val="4"/>
        <w:rPr>
          <w:rFonts w:ascii="仿宋" w:hAnsi="仿宋" w:eastAsia="仿宋"/>
        </w:rPr>
      </w:pPr>
      <w:bookmarkStart w:id="94" w:name="_Toc183512727"/>
      <w:bookmarkStart w:id="95" w:name="_Toc15396626"/>
      <w:r>
        <w:rPr>
          <w:rStyle w:val="21"/>
          <w:rFonts w:hint="eastAsia" w:ascii="仿宋" w:hAnsi="仿宋" w:eastAsia="仿宋"/>
          <w:b w:val="0"/>
          <w:bCs w:val="0"/>
        </w:rPr>
        <w:t>八、</w:t>
      </w:r>
      <w:r>
        <w:rPr>
          <w:rFonts w:hint="eastAsia" w:ascii="仿宋" w:hAnsi="仿宋" w:eastAsia="仿宋"/>
          <w:b w:val="0"/>
        </w:rPr>
        <w:t>一</w:t>
      </w:r>
      <w:r>
        <w:rPr>
          <w:rStyle w:val="21"/>
          <w:rFonts w:hint="eastAsia" w:ascii="仿宋" w:hAnsi="仿宋" w:eastAsia="仿宋"/>
          <w:b w:val="0"/>
          <w:bCs w:val="0"/>
        </w:rPr>
        <w:t>般公共预算财政拨款基本支出决算表</w:t>
      </w:r>
      <w:bookmarkEnd w:id="94"/>
      <w:bookmarkEnd w:id="95"/>
    </w:p>
    <w:p w14:paraId="5AB94510">
      <w:pPr>
        <w:pStyle w:val="4"/>
        <w:rPr>
          <w:rFonts w:ascii="仿宋" w:hAnsi="仿宋" w:eastAsia="仿宋"/>
        </w:rPr>
      </w:pPr>
      <w:bookmarkStart w:id="96" w:name="_Toc183512728"/>
      <w:bookmarkStart w:id="97" w:name="_Toc15396627"/>
      <w:r>
        <w:rPr>
          <w:rStyle w:val="21"/>
          <w:rFonts w:hint="eastAsia" w:ascii="仿宋" w:hAnsi="仿宋" w:eastAsia="仿宋"/>
          <w:b w:val="0"/>
          <w:bCs w:val="0"/>
        </w:rPr>
        <w:t>九、</w:t>
      </w:r>
      <w:r>
        <w:rPr>
          <w:rFonts w:hint="eastAsia" w:ascii="仿宋" w:hAnsi="仿宋" w:eastAsia="仿宋"/>
          <w:b w:val="0"/>
        </w:rPr>
        <w:t>一</w:t>
      </w:r>
      <w:r>
        <w:rPr>
          <w:rStyle w:val="21"/>
          <w:rFonts w:hint="eastAsia" w:ascii="仿宋" w:hAnsi="仿宋" w:eastAsia="仿宋"/>
          <w:b w:val="0"/>
          <w:bCs w:val="0"/>
        </w:rPr>
        <w:t>般公共预算财政拨款项目支出决算表</w:t>
      </w:r>
      <w:bookmarkEnd w:id="96"/>
      <w:bookmarkEnd w:id="97"/>
    </w:p>
    <w:p w14:paraId="109B5586">
      <w:pPr>
        <w:pStyle w:val="4"/>
        <w:rPr>
          <w:rFonts w:ascii="仿宋" w:hAnsi="仿宋" w:eastAsia="仿宋"/>
        </w:rPr>
      </w:pPr>
      <w:bookmarkStart w:id="98" w:name="_Toc15396628"/>
      <w:bookmarkStart w:id="99" w:name="_Toc183512729"/>
      <w:r>
        <w:rPr>
          <w:rStyle w:val="21"/>
          <w:rFonts w:hint="eastAsia" w:ascii="仿宋" w:hAnsi="仿宋" w:eastAsia="仿宋"/>
          <w:b w:val="0"/>
          <w:bCs w:val="0"/>
        </w:rPr>
        <w:t>十、</w:t>
      </w:r>
      <w:bookmarkEnd w:id="98"/>
      <w:r>
        <w:rPr>
          <w:rFonts w:hint="eastAsia" w:ascii="仿宋" w:hAnsi="仿宋" w:eastAsia="仿宋"/>
          <w:b w:val="0"/>
        </w:rPr>
        <w:t>政</w:t>
      </w:r>
      <w:r>
        <w:rPr>
          <w:rStyle w:val="21"/>
          <w:rFonts w:hint="eastAsia" w:ascii="仿宋" w:hAnsi="仿宋" w:eastAsia="仿宋"/>
          <w:b w:val="0"/>
          <w:bCs w:val="0"/>
        </w:rPr>
        <w:t>府性基金预算财政拨款收入支出决算表</w:t>
      </w:r>
      <w:bookmarkEnd w:id="99"/>
    </w:p>
    <w:p w14:paraId="322CBFEF">
      <w:pPr>
        <w:pStyle w:val="4"/>
        <w:rPr>
          <w:rFonts w:ascii="仿宋" w:hAnsi="仿宋" w:eastAsia="仿宋"/>
        </w:rPr>
      </w:pPr>
      <w:bookmarkStart w:id="100" w:name="_Toc15396629"/>
      <w:bookmarkStart w:id="101" w:name="_Toc183512730"/>
      <w:r>
        <w:rPr>
          <w:rStyle w:val="21"/>
          <w:rFonts w:hint="eastAsia" w:ascii="仿宋" w:hAnsi="仿宋" w:eastAsia="仿宋"/>
          <w:b w:val="0"/>
          <w:bCs w:val="0"/>
        </w:rPr>
        <w:t>十一、</w:t>
      </w:r>
      <w:bookmarkEnd w:id="100"/>
      <w:r>
        <w:rPr>
          <w:rFonts w:hint="eastAsia" w:ascii="仿宋" w:hAnsi="仿宋" w:eastAsia="仿宋"/>
          <w:b w:val="0"/>
        </w:rPr>
        <w:t>国</w:t>
      </w:r>
      <w:r>
        <w:rPr>
          <w:rStyle w:val="21"/>
          <w:rFonts w:hint="eastAsia" w:ascii="仿宋" w:hAnsi="仿宋" w:eastAsia="仿宋"/>
          <w:b w:val="0"/>
          <w:bCs w:val="0"/>
        </w:rPr>
        <w:t>有资本经营预算财政拨款收入支出决算表</w:t>
      </w:r>
      <w:bookmarkEnd w:id="101"/>
    </w:p>
    <w:p w14:paraId="79CC0DE3">
      <w:pPr>
        <w:pStyle w:val="4"/>
        <w:rPr>
          <w:rFonts w:ascii="仿宋" w:hAnsi="仿宋" w:eastAsia="仿宋"/>
        </w:rPr>
      </w:pPr>
      <w:bookmarkStart w:id="102" w:name="_Toc15396630"/>
      <w:bookmarkStart w:id="103" w:name="_Toc183512731"/>
      <w:r>
        <w:rPr>
          <w:rStyle w:val="21"/>
          <w:rFonts w:hint="eastAsia" w:ascii="仿宋" w:hAnsi="仿宋" w:eastAsia="仿宋"/>
          <w:b w:val="0"/>
          <w:bCs w:val="0"/>
        </w:rPr>
        <w:t>十二、</w:t>
      </w:r>
      <w:bookmarkEnd w:id="102"/>
      <w:r>
        <w:rPr>
          <w:rStyle w:val="21"/>
          <w:rFonts w:hint="eastAsia" w:ascii="仿宋" w:hAnsi="仿宋" w:eastAsia="仿宋"/>
          <w:b w:val="0"/>
          <w:bCs w:val="0"/>
        </w:rPr>
        <w:t>国有资本经营预算财政拨款支出决算表</w:t>
      </w:r>
      <w:bookmarkEnd w:id="103"/>
    </w:p>
    <w:p w14:paraId="243DA40B">
      <w:pPr>
        <w:pStyle w:val="4"/>
        <w:rPr>
          <w:rFonts w:eastAsia="仿宋"/>
        </w:rPr>
      </w:pPr>
      <w:bookmarkStart w:id="104" w:name="_Toc15396631"/>
      <w:bookmarkStart w:id="105" w:name="_Toc183512732"/>
      <w:r>
        <w:rPr>
          <w:rStyle w:val="21"/>
          <w:rFonts w:hint="eastAsia" w:ascii="仿宋" w:hAnsi="仿宋" w:eastAsia="仿宋"/>
          <w:b w:val="0"/>
          <w:bCs w:val="0"/>
        </w:rPr>
        <w:t>十三、</w:t>
      </w:r>
      <w:bookmarkEnd w:id="104"/>
      <w:r>
        <w:rPr>
          <w:rStyle w:val="21"/>
          <w:rFonts w:hint="eastAsia" w:ascii="仿宋" w:hAnsi="仿宋" w:eastAsia="仿宋"/>
          <w:b w:val="0"/>
          <w:bCs w:val="0"/>
        </w:rPr>
        <w:t>财政拨款“三公”经费支出决算表</w:t>
      </w:r>
      <w:bookmarkEnd w:id="105"/>
    </w:p>
    <w:sectPr>
      <w:headerReference r:id="rId3" w:type="default"/>
      <w:footerReference r:id="rId4" w:type="default"/>
      <w:pgSz w:w="11906" w:h="16838"/>
      <w:pgMar w:top="1440" w:right="1134" w:bottom="1440" w:left="1134"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0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86970EE">
        <w:pPr>
          <w:pStyle w:val="9"/>
          <w:jc w:val="center"/>
        </w:pPr>
        <w:r>
          <w:fldChar w:fldCharType="begin"/>
        </w:r>
        <w:r>
          <w:instrText xml:space="preserve">PAGE   \* MERGEFORMAT</w:instrText>
        </w:r>
        <w:r>
          <w:fldChar w:fldCharType="separate"/>
        </w:r>
        <w:r>
          <w:rPr>
            <w:lang w:val="zh-CN"/>
          </w:rPr>
          <w:t>4</w:t>
        </w:r>
        <w:r>
          <w:fldChar w:fldCharType="end"/>
        </w:r>
      </w:p>
    </w:sdtContent>
  </w:sdt>
  <w:p w14:paraId="401E324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57CCC">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3459A"/>
    <w:rsid w:val="000468DB"/>
    <w:rsid w:val="000625EB"/>
    <w:rsid w:val="0006487A"/>
    <w:rsid w:val="00065F8F"/>
    <w:rsid w:val="00070A43"/>
    <w:rsid w:val="000768F2"/>
    <w:rsid w:val="000902E7"/>
    <w:rsid w:val="0009184B"/>
    <w:rsid w:val="00094236"/>
    <w:rsid w:val="0009593C"/>
    <w:rsid w:val="00097322"/>
    <w:rsid w:val="000A6A92"/>
    <w:rsid w:val="000B047F"/>
    <w:rsid w:val="000B5923"/>
    <w:rsid w:val="000B5A48"/>
    <w:rsid w:val="000B6FF3"/>
    <w:rsid w:val="000C3467"/>
    <w:rsid w:val="000C3CA6"/>
    <w:rsid w:val="000D1267"/>
    <w:rsid w:val="000D1D50"/>
    <w:rsid w:val="000D4F31"/>
    <w:rsid w:val="000D5782"/>
    <w:rsid w:val="000E4864"/>
    <w:rsid w:val="000E6613"/>
    <w:rsid w:val="000E7119"/>
    <w:rsid w:val="001012F5"/>
    <w:rsid w:val="00111A7E"/>
    <w:rsid w:val="00114E9B"/>
    <w:rsid w:val="00142216"/>
    <w:rsid w:val="00144D6A"/>
    <w:rsid w:val="0014729F"/>
    <w:rsid w:val="00157BAB"/>
    <w:rsid w:val="001611E3"/>
    <w:rsid w:val="001644EF"/>
    <w:rsid w:val="001654D1"/>
    <w:rsid w:val="00174518"/>
    <w:rsid w:val="0018005C"/>
    <w:rsid w:val="0018106D"/>
    <w:rsid w:val="001877A7"/>
    <w:rsid w:val="00191536"/>
    <w:rsid w:val="001926B6"/>
    <w:rsid w:val="00196687"/>
    <w:rsid w:val="001A1DAD"/>
    <w:rsid w:val="001B7CA9"/>
    <w:rsid w:val="001C0962"/>
    <w:rsid w:val="001D4254"/>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4746"/>
    <w:rsid w:val="00265372"/>
    <w:rsid w:val="002662AA"/>
    <w:rsid w:val="00280496"/>
    <w:rsid w:val="00294DC9"/>
    <w:rsid w:val="00295495"/>
    <w:rsid w:val="002A31DE"/>
    <w:rsid w:val="002A7738"/>
    <w:rsid w:val="002B2613"/>
    <w:rsid w:val="002C5004"/>
    <w:rsid w:val="002D371F"/>
    <w:rsid w:val="002D6D05"/>
    <w:rsid w:val="002F1818"/>
    <w:rsid w:val="002F567B"/>
    <w:rsid w:val="00310B0D"/>
    <w:rsid w:val="00314D22"/>
    <w:rsid w:val="003216A9"/>
    <w:rsid w:val="00331D4F"/>
    <w:rsid w:val="00335A74"/>
    <w:rsid w:val="00343DCB"/>
    <w:rsid w:val="0036561B"/>
    <w:rsid w:val="0037013F"/>
    <w:rsid w:val="00380C92"/>
    <w:rsid w:val="003A2F6C"/>
    <w:rsid w:val="003A484F"/>
    <w:rsid w:val="003A4883"/>
    <w:rsid w:val="003B0BE0"/>
    <w:rsid w:val="003B0C1B"/>
    <w:rsid w:val="003B688C"/>
    <w:rsid w:val="003C0291"/>
    <w:rsid w:val="003C39AE"/>
    <w:rsid w:val="003C7B60"/>
    <w:rsid w:val="003D0C0F"/>
    <w:rsid w:val="003D1FB2"/>
    <w:rsid w:val="003D66DA"/>
    <w:rsid w:val="003E1310"/>
    <w:rsid w:val="003E4BE4"/>
    <w:rsid w:val="003E6F55"/>
    <w:rsid w:val="00406254"/>
    <w:rsid w:val="00412596"/>
    <w:rsid w:val="00417E49"/>
    <w:rsid w:val="004223DE"/>
    <w:rsid w:val="00425C50"/>
    <w:rsid w:val="0043059F"/>
    <w:rsid w:val="0043177C"/>
    <w:rsid w:val="00434155"/>
    <w:rsid w:val="00434489"/>
    <w:rsid w:val="00435A59"/>
    <w:rsid w:val="00437085"/>
    <w:rsid w:val="00443880"/>
    <w:rsid w:val="004464F4"/>
    <w:rsid w:val="0046049C"/>
    <w:rsid w:val="00471401"/>
    <w:rsid w:val="00473F31"/>
    <w:rsid w:val="0048263A"/>
    <w:rsid w:val="00487E5D"/>
    <w:rsid w:val="00491261"/>
    <w:rsid w:val="004A711F"/>
    <w:rsid w:val="004B199D"/>
    <w:rsid w:val="004B4690"/>
    <w:rsid w:val="004C6A18"/>
    <w:rsid w:val="004D711D"/>
    <w:rsid w:val="004E0A2D"/>
    <w:rsid w:val="004E206B"/>
    <w:rsid w:val="004E6444"/>
    <w:rsid w:val="004E6DF7"/>
    <w:rsid w:val="004F0FBD"/>
    <w:rsid w:val="00503EC5"/>
    <w:rsid w:val="00505A47"/>
    <w:rsid w:val="00512FDA"/>
    <w:rsid w:val="00515336"/>
    <w:rsid w:val="005168EE"/>
    <w:rsid w:val="00520DA0"/>
    <w:rsid w:val="0053224A"/>
    <w:rsid w:val="005533CF"/>
    <w:rsid w:val="005664BB"/>
    <w:rsid w:val="00566FFA"/>
    <w:rsid w:val="005719F9"/>
    <w:rsid w:val="0057481D"/>
    <w:rsid w:val="0058486E"/>
    <w:rsid w:val="00585B33"/>
    <w:rsid w:val="0059014D"/>
    <w:rsid w:val="00596417"/>
    <w:rsid w:val="005B0FA3"/>
    <w:rsid w:val="005B3C53"/>
    <w:rsid w:val="005B5C64"/>
    <w:rsid w:val="005B6E8A"/>
    <w:rsid w:val="005C5337"/>
    <w:rsid w:val="005C57DA"/>
    <w:rsid w:val="005C6BD0"/>
    <w:rsid w:val="005D1C09"/>
    <w:rsid w:val="005D1C8B"/>
    <w:rsid w:val="005D468D"/>
    <w:rsid w:val="005D5CED"/>
    <w:rsid w:val="005F10BC"/>
    <w:rsid w:val="005F1A4C"/>
    <w:rsid w:val="00605688"/>
    <w:rsid w:val="006070AF"/>
    <w:rsid w:val="00607E6C"/>
    <w:rsid w:val="006101B1"/>
    <w:rsid w:val="00614E44"/>
    <w:rsid w:val="0062270A"/>
    <w:rsid w:val="00622830"/>
    <w:rsid w:val="00623DA0"/>
    <w:rsid w:val="0063057B"/>
    <w:rsid w:val="00630AEF"/>
    <w:rsid w:val="006325F8"/>
    <w:rsid w:val="00633463"/>
    <w:rsid w:val="00634C9A"/>
    <w:rsid w:val="006440E4"/>
    <w:rsid w:val="00655FC5"/>
    <w:rsid w:val="0066343B"/>
    <w:rsid w:val="00664777"/>
    <w:rsid w:val="006748A4"/>
    <w:rsid w:val="00681A31"/>
    <w:rsid w:val="00683E73"/>
    <w:rsid w:val="006866DD"/>
    <w:rsid w:val="00687011"/>
    <w:rsid w:val="006944CB"/>
    <w:rsid w:val="006A3141"/>
    <w:rsid w:val="006A5E34"/>
    <w:rsid w:val="006B2422"/>
    <w:rsid w:val="006B2B9A"/>
    <w:rsid w:val="006C1937"/>
    <w:rsid w:val="006E11B4"/>
    <w:rsid w:val="006F020C"/>
    <w:rsid w:val="006F48B1"/>
    <w:rsid w:val="0070641A"/>
    <w:rsid w:val="0071021A"/>
    <w:rsid w:val="007127B7"/>
    <w:rsid w:val="0071798E"/>
    <w:rsid w:val="00726341"/>
    <w:rsid w:val="007313D6"/>
    <w:rsid w:val="007336DB"/>
    <w:rsid w:val="007416B6"/>
    <w:rsid w:val="00746F48"/>
    <w:rsid w:val="00752815"/>
    <w:rsid w:val="0075404D"/>
    <w:rsid w:val="0076182A"/>
    <w:rsid w:val="00767B7E"/>
    <w:rsid w:val="00773A75"/>
    <w:rsid w:val="0077403F"/>
    <w:rsid w:val="007770C3"/>
    <w:rsid w:val="00784D24"/>
    <w:rsid w:val="00785FBA"/>
    <w:rsid w:val="00786E4A"/>
    <w:rsid w:val="007875EB"/>
    <w:rsid w:val="0079426B"/>
    <w:rsid w:val="007D1682"/>
    <w:rsid w:val="007D312A"/>
    <w:rsid w:val="007D3F19"/>
    <w:rsid w:val="007E23B0"/>
    <w:rsid w:val="007E23E5"/>
    <w:rsid w:val="007E4408"/>
    <w:rsid w:val="007E7BF9"/>
    <w:rsid w:val="007F1991"/>
    <w:rsid w:val="007F2C2F"/>
    <w:rsid w:val="007F55FC"/>
    <w:rsid w:val="007F5665"/>
    <w:rsid w:val="00800112"/>
    <w:rsid w:val="00803C46"/>
    <w:rsid w:val="00813102"/>
    <w:rsid w:val="00813348"/>
    <w:rsid w:val="008253BB"/>
    <w:rsid w:val="00836696"/>
    <w:rsid w:val="0083706E"/>
    <w:rsid w:val="008408F6"/>
    <w:rsid w:val="008423A5"/>
    <w:rsid w:val="00850625"/>
    <w:rsid w:val="008516BB"/>
    <w:rsid w:val="00853718"/>
    <w:rsid w:val="00855221"/>
    <w:rsid w:val="008561D0"/>
    <w:rsid w:val="00860645"/>
    <w:rsid w:val="00871F71"/>
    <w:rsid w:val="00872318"/>
    <w:rsid w:val="00872FD8"/>
    <w:rsid w:val="00873203"/>
    <w:rsid w:val="00876D1C"/>
    <w:rsid w:val="00885AF4"/>
    <w:rsid w:val="008939CD"/>
    <w:rsid w:val="008B768C"/>
    <w:rsid w:val="008C4DB1"/>
    <w:rsid w:val="008C4EAF"/>
    <w:rsid w:val="008C5176"/>
    <w:rsid w:val="008C7FD0"/>
    <w:rsid w:val="008C7FD8"/>
    <w:rsid w:val="008E1DE7"/>
    <w:rsid w:val="008E25E0"/>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FBA"/>
    <w:rsid w:val="0097099F"/>
    <w:rsid w:val="00971997"/>
    <w:rsid w:val="00971FFC"/>
    <w:rsid w:val="0098660A"/>
    <w:rsid w:val="009931C3"/>
    <w:rsid w:val="009A37DC"/>
    <w:rsid w:val="009B2C43"/>
    <w:rsid w:val="009B4EAE"/>
    <w:rsid w:val="009B7573"/>
    <w:rsid w:val="009C22F4"/>
    <w:rsid w:val="009C2A4B"/>
    <w:rsid w:val="009C2E98"/>
    <w:rsid w:val="009D3447"/>
    <w:rsid w:val="009D4711"/>
    <w:rsid w:val="009E1378"/>
    <w:rsid w:val="009F1185"/>
    <w:rsid w:val="009F18CD"/>
    <w:rsid w:val="009F2A13"/>
    <w:rsid w:val="009F7527"/>
    <w:rsid w:val="00A04EB0"/>
    <w:rsid w:val="00A12C69"/>
    <w:rsid w:val="00A13CC1"/>
    <w:rsid w:val="00A16847"/>
    <w:rsid w:val="00A237D8"/>
    <w:rsid w:val="00A268C4"/>
    <w:rsid w:val="00A307CD"/>
    <w:rsid w:val="00A331C8"/>
    <w:rsid w:val="00A40A00"/>
    <w:rsid w:val="00A4142F"/>
    <w:rsid w:val="00A422EB"/>
    <w:rsid w:val="00A45BB7"/>
    <w:rsid w:val="00A56DF2"/>
    <w:rsid w:val="00A56E6E"/>
    <w:rsid w:val="00A56F1C"/>
    <w:rsid w:val="00A67AB5"/>
    <w:rsid w:val="00A733B2"/>
    <w:rsid w:val="00A741C2"/>
    <w:rsid w:val="00A8558B"/>
    <w:rsid w:val="00A91760"/>
    <w:rsid w:val="00A93B00"/>
    <w:rsid w:val="00A93C21"/>
    <w:rsid w:val="00AA5C10"/>
    <w:rsid w:val="00AB64C9"/>
    <w:rsid w:val="00AB71FB"/>
    <w:rsid w:val="00AC3C6A"/>
    <w:rsid w:val="00AC448C"/>
    <w:rsid w:val="00AD5620"/>
    <w:rsid w:val="00AD656B"/>
    <w:rsid w:val="00AD7C1B"/>
    <w:rsid w:val="00AE16BA"/>
    <w:rsid w:val="00AE1EBE"/>
    <w:rsid w:val="00B01E4F"/>
    <w:rsid w:val="00B03C9D"/>
    <w:rsid w:val="00B060AE"/>
    <w:rsid w:val="00B06226"/>
    <w:rsid w:val="00B10517"/>
    <w:rsid w:val="00B14E76"/>
    <w:rsid w:val="00B14F4D"/>
    <w:rsid w:val="00B161B8"/>
    <w:rsid w:val="00B2048C"/>
    <w:rsid w:val="00B310B9"/>
    <w:rsid w:val="00B35F3F"/>
    <w:rsid w:val="00B36CBB"/>
    <w:rsid w:val="00B425E0"/>
    <w:rsid w:val="00B440AA"/>
    <w:rsid w:val="00B44B70"/>
    <w:rsid w:val="00B50664"/>
    <w:rsid w:val="00B52236"/>
    <w:rsid w:val="00B53C56"/>
    <w:rsid w:val="00B57DAF"/>
    <w:rsid w:val="00B77EA6"/>
    <w:rsid w:val="00B81598"/>
    <w:rsid w:val="00B841F1"/>
    <w:rsid w:val="00B9376E"/>
    <w:rsid w:val="00B944D6"/>
    <w:rsid w:val="00BB4DF0"/>
    <w:rsid w:val="00BC289F"/>
    <w:rsid w:val="00BC2D50"/>
    <w:rsid w:val="00BC5361"/>
    <w:rsid w:val="00BC5460"/>
    <w:rsid w:val="00BC6B50"/>
    <w:rsid w:val="00BD0E25"/>
    <w:rsid w:val="00BD257F"/>
    <w:rsid w:val="00BF5BD6"/>
    <w:rsid w:val="00C03E31"/>
    <w:rsid w:val="00C12D50"/>
    <w:rsid w:val="00C2051C"/>
    <w:rsid w:val="00C33E72"/>
    <w:rsid w:val="00C354B2"/>
    <w:rsid w:val="00C35554"/>
    <w:rsid w:val="00C373A5"/>
    <w:rsid w:val="00C42709"/>
    <w:rsid w:val="00C533CC"/>
    <w:rsid w:val="00C5751C"/>
    <w:rsid w:val="00C61BFC"/>
    <w:rsid w:val="00C62B85"/>
    <w:rsid w:val="00C65438"/>
    <w:rsid w:val="00C87FD8"/>
    <w:rsid w:val="00C91381"/>
    <w:rsid w:val="00C91CBB"/>
    <w:rsid w:val="00C94252"/>
    <w:rsid w:val="00CA2988"/>
    <w:rsid w:val="00CB4E70"/>
    <w:rsid w:val="00CC09B6"/>
    <w:rsid w:val="00CC0BFC"/>
    <w:rsid w:val="00CC666F"/>
    <w:rsid w:val="00CD1E3F"/>
    <w:rsid w:val="00CE44F6"/>
    <w:rsid w:val="00CE49DA"/>
    <w:rsid w:val="00CE7B61"/>
    <w:rsid w:val="00CF0688"/>
    <w:rsid w:val="00D00095"/>
    <w:rsid w:val="00D02B6A"/>
    <w:rsid w:val="00D114F0"/>
    <w:rsid w:val="00D20620"/>
    <w:rsid w:val="00D254F7"/>
    <w:rsid w:val="00D25DCD"/>
    <w:rsid w:val="00D26091"/>
    <w:rsid w:val="00D2685C"/>
    <w:rsid w:val="00D31E6F"/>
    <w:rsid w:val="00D34E7C"/>
    <w:rsid w:val="00D35489"/>
    <w:rsid w:val="00D36AFE"/>
    <w:rsid w:val="00D51276"/>
    <w:rsid w:val="00D66799"/>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7E73"/>
    <w:rsid w:val="00E82267"/>
    <w:rsid w:val="00E847C7"/>
    <w:rsid w:val="00E853CE"/>
    <w:rsid w:val="00E867B6"/>
    <w:rsid w:val="00E917C1"/>
    <w:rsid w:val="00EA010F"/>
    <w:rsid w:val="00EA4BD3"/>
    <w:rsid w:val="00EB0F49"/>
    <w:rsid w:val="00EB4F16"/>
    <w:rsid w:val="00EC73D6"/>
    <w:rsid w:val="00ED1B63"/>
    <w:rsid w:val="00ED3C1F"/>
    <w:rsid w:val="00ED4085"/>
    <w:rsid w:val="00ED420E"/>
    <w:rsid w:val="00ED6DB1"/>
    <w:rsid w:val="00ED6FBE"/>
    <w:rsid w:val="00EE2F57"/>
    <w:rsid w:val="00EF4C34"/>
    <w:rsid w:val="00EF77C6"/>
    <w:rsid w:val="00F03C80"/>
    <w:rsid w:val="00F05438"/>
    <w:rsid w:val="00F1361C"/>
    <w:rsid w:val="00F156F0"/>
    <w:rsid w:val="00F160C7"/>
    <w:rsid w:val="00F2408F"/>
    <w:rsid w:val="00F240E9"/>
    <w:rsid w:val="00F3023F"/>
    <w:rsid w:val="00F35264"/>
    <w:rsid w:val="00F36D8F"/>
    <w:rsid w:val="00F417B1"/>
    <w:rsid w:val="00F45853"/>
    <w:rsid w:val="00F602DF"/>
    <w:rsid w:val="00F678B9"/>
    <w:rsid w:val="00F754A1"/>
    <w:rsid w:val="00F81FD9"/>
    <w:rsid w:val="00F8200C"/>
    <w:rsid w:val="00F841AA"/>
    <w:rsid w:val="00F84A94"/>
    <w:rsid w:val="00F87E96"/>
    <w:rsid w:val="00FA23E8"/>
    <w:rsid w:val="00FC0B83"/>
    <w:rsid w:val="00FC3228"/>
    <w:rsid w:val="00FD1AE4"/>
    <w:rsid w:val="00FD2B18"/>
    <w:rsid w:val="00FD3CC1"/>
    <w:rsid w:val="00FE1053"/>
    <w:rsid w:val="00FF1E02"/>
    <w:rsid w:val="00FF30B4"/>
    <w:rsid w:val="03DC2831"/>
    <w:rsid w:val="081B5E94"/>
    <w:rsid w:val="0A2032A3"/>
    <w:rsid w:val="0B8A37D8"/>
    <w:rsid w:val="0F5FFB2F"/>
    <w:rsid w:val="0FFFCF60"/>
    <w:rsid w:val="10C055FF"/>
    <w:rsid w:val="118107EC"/>
    <w:rsid w:val="11DD6519"/>
    <w:rsid w:val="16BB723D"/>
    <w:rsid w:val="18015F3F"/>
    <w:rsid w:val="185E118E"/>
    <w:rsid w:val="199B335C"/>
    <w:rsid w:val="1BE8440E"/>
    <w:rsid w:val="1CBB73DF"/>
    <w:rsid w:val="1D155CEE"/>
    <w:rsid w:val="1FDBBF84"/>
    <w:rsid w:val="20F57F95"/>
    <w:rsid w:val="240371BF"/>
    <w:rsid w:val="25711CC6"/>
    <w:rsid w:val="25C741E6"/>
    <w:rsid w:val="276F80C0"/>
    <w:rsid w:val="27842671"/>
    <w:rsid w:val="29FD04D3"/>
    <w:rsid w:val="2ABE7A3E"/>
    <w:rsid w:val="2AFF09B6"/>
    <w:rsid w:val="2BD30C4F"/>
    <w:rsid w:val="2CA234A8"/>
    <w:rsid w:val="2EFA178C"/>
    <w:rsid w:val="2EFDF86C"/>
    <w:rsid w:val="2F9D17E1"/>
    <w:rsid w:val="30B46D73"/>
    <w:rsid w:val="319F7F4E"/>
    <w:rsid w:val="356A28F1"/>
    <w:rsid w:val="357C035A"/>
    <w:rsid w:val="368E000D"/>
    <w:rsid w:val="37A10E22"/>
    <w:rsid w:val="383D272C"/>
    <w:rsid w:val="39AE70AB"/>
    <w:rsid w:val="3A4DCE41"/>
    <w:rsid w:val="3BCB56FA"/>
    <w:rsid w:val="3C0C0783"/>
    <w:rsid w:val="3DC6542A"/>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51DB4B86"/>
    <w:rsid w:val="51F64DB0"/>
    <w:rsid w:val="55333C3E"/>
    <w:rsid w:val="58C95729"/>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FE07A9"/>
    <w:rsid w:val="71BF4EC2"/>
    <w:rsid w:val="72734D90"/>
    <w:rsid w:val="73E75B71"/>
    <w:rsid w:val="74073BAC"/>
    <w:rsid w:val="7412278C"/>
    <w:rsid w:val="754065B9"/>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4"/>
    <w:semiHidden/>
    <w:unhideWhenUsed/>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FollowedHyperlink"/>
    <w:basedOn w:val="15"/>
    <w:semiHidden/>
    <w:unhideWhenUsed/>
    <w:qFormat/>
    <w:uiPriority w:val="99"/>
    <w:rPr>
      <w:color w:val="800080"/>
      <w:u w:val="single"/>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标题 1 字符"/>
    <w:basedOn w:val="15"/>
    <w:link w:val="3"/>
    <w:qFormat/>
    <w:uiPriority w:val="9"/>
    <w:rPr>
      <w:rFonts w:ascii="Times New Roman" w:hAnsi="Times New Roman"/>
      <w:b/>
      <w:bCs/>
      <w:kern w:val="44"/>
      <w:sz w:val="44"/>
      <w:szCs w:val="44"/>
    </w:rPr>
  </w:style>
  <w:style w:type="character" w:customStyle="1" w:styleId="21">
    <w:name w:val="标题 2 字符"/>
    <w:basedOn w:val="15"/>
    <w:link w:val="4"/>
    <w:qFormat/>
    <w:uiPriority w:val="9"/>
    <w:rPr>
      <w:rFonts w:asciiTheme="majorHAnsi" w:hAnsiTheme="majorHAnsi" w:eastAsiaTheme="majorEastAsia" w:cstheme="majorBidi"/>
      <w:b/>
      <w:bCs/>
      <w:kern w:val="2"/>
      <w:sz w:val="32"/>
      <w:szCs w:val="32"/>
    </w:rPr>
  </w:style>
  <w:style w:type="character" w:customStyle="1" w:styleId="22">
    <w:name w:val="标题 3 字符"/>
    <w:basedOn w:val="15"/>
    <w:link w:val="5"/>
    <w:qFormat/>
    <w:uiPriority w:val="9"/>
    <w:rPr>
      <w:rFonts w:ascii="Times New Roman" w:hAnsi="Times New Roman"/>
      <w:b/>
      <w:bCs/>
      <w:kern w:val="2"/>
      <w:sz w:val="32"/>
      <w:szCs w:val="32"/>
    </w:rPr>
  </w:style>
  <w:style w:type="character" w:customStyle="1" w:styleId="23">
    <w:name w:val="正文文本 字符"/>
    <w:link w:val="2"/>
    <w:qFormat/>
    <w:locked/>
    <w:uiPriority w:val="99"/>
    <w:rPr>
      <w:rFonts w:ascii="仿宋_GB2312" w:hAnsi="Times New Roman" w:eastAsia="仿宋_GB2312"/>
      <w:sz w:val="24"/>
    </w:rPr>
  </w:style>
  <w:style w:type="character" w:customStyle="1" w:styleId="24">
    <w:name w:val="批注框文本 字符"/>
    <w:basedOn w:val="15"/>
    <w:link w:val="8"/>
    <w:semiHidden/>
    <w:qFormat/>
    <w:uiPriority w:val="99"/>
    <w:rPr>
      <w:rFonts w:ascii="Times New Roman" w:hAnsi="Times New Roman"/>
      <w:kern w:val="2"/>
      <w:sz w:val="18"/>
      <w:szCs w:val="18"/>
    </w:rPr>
  </w:style>
  <w:style w:type="character" w:customStyle="1" w:styleId="25">
    <w:name w:val="页脚 字符"/>
    <w:link w:val="9"/>
    <w:qFormat/>
    <w:locked/>
    <w:uiPriority w:val="99"/>
    <w:rPr>
      <w:sz w:val="18"/>
    </w:rPr>
  </w:style>
  <w:style w:type="character" w:customStyle="1" w:styleId="26">
    <w:name w:val="页眉 字符"/>
    <w:link w:val="10"/>
    <w:semiHidden/>
    <w:qFormat/>
    <w:locked/>
    <w:uiPriority w:val="99"/>
    <w:rPr>
      <w:sz w:val="18"/>
    </w:rPr>
  </w:style>
  <w:style w:type="character" w:customStyle="1" w:styleId="27">
    <w:name w:val="Header Char"/>
    <w:basedOn w:val="15"/>
    <w:semiHidden/>
    <w:qFormat/>
    <w:uiPriority w:val="99"/>
    <w:rPr>
      <w:rFonts w:ascii="Times New Roman" w:hAnsi="Times New Roman"/>
      <w:sz w:val="18"/>
      <w:szCs w:val="18"/>
    </w:rPr>
  </w:style>
  <w:style w:type="character" w:customStyle="1" w:styleId="28">
    <w:name w:val="Footer Char"/>
    <w:basedOn w:val="15"/>
    <w:semiHidden/>
    <w:qFormat/>
    <w:uiPriority w:val="99"/>
    <w:rPr>
      <w:rFonts w:ascii="Times New Roman" w:hAnsi="Times New Roman"/>
      <w:sz w:val="18"/>
      <w:szCs w:val="18"/>
    </w:rPr>
  </w:style>
  <w:style w:type="character" w:customStyle="1" w:styleId="29">
    <w:name w:val="Body Text Char"/>
    <w:basedOn w:val="15"/>
    <w:semiHidden/>
    <w:qFormat/>
    <w:uiPriority w:val="99"/>
    <w:rPr>
      <w:rFonts w:ascii="Times New Roman" w:hAnsi="Times New Roman"/>
      <w:szCs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37">
    <w:name w:val="xl66"/>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38">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9">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0">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1">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2">
    <w:name w:val="xl7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3">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44">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45">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46">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47">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48">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9">
    <w:name w:val="xl78"/>
    <w:basedOn w:val="1"/>
    <w:qFormat/>
    <w:uiPriority w:val="0"/>
    <w:pPr>
      <w:widowControl/>
      <w:spacing w:before="100" w:beforeAutospacing="1" w:after="100" w:afterAutospacing="1"/>
      <w:jc w:val="left"/>
    </w:pPr>
    <w:rPr>
      <w:rFonts w:ascii="宋体" w:hAnsi="宋体" w:cs="宋体"/>
      <w:color w:val="C0C0C0"/>
      <w:kern w:val="0"/>
      <w:sz w:val="20"/>
      <w:szCs w:val="20"/>
    </w:rPr>
  </w:style>
  <w:style w:type="paragraph" w:customStyle="1" w:styleId="50">
    <w:name w:val="xl79"/>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5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53">
    <w:name w:val="xl64"/>
    <w:basedOn w:val="1"/>
    <w:qFormat/>
    <w:uiPriority w:val="0"/>
    <w:pPr>
      <w:widowControl/>
      <w:spacing w:before="100" w:beforeAutospacing="1" w:after="100" w:afterAutospacing="1"/>
      <w:jc w:val="left"/>
    </w:pPr>
    <w:rPr>
      <w:rFonts w:ascii="黑体" w:hAnsi="黑体" w:eastAsia="黑体" w:cs="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9.emf"/><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image" Target="media/image7.emf"/><Relationship Id="rId17" Type="http://schemas.openxmlformats.org/officeDocument/2006/relationships/image" Target="media/image6.emf"/><Relationship Id="rId16" Type="http://schemas.openxmlformats.org/officeDocument/2006/relationships/image" Target="media/image5.emf"/><Relationship Id="rId15" Type="http://schemas.openxmlformats.org/officeDocument/2006/relationships/image" Target="media/image4.emf"/><Relationship Id="rId14" Type="http://schemas.openxmlformats.org/officeDocument/2006/relationships/image" Target="media/image3.emf"/><Relationship Id="rId13" Type="http://schemas.openxmlformats.org/officeDocument/2006/relationships/image" Target="media/image2.emf"/><Relationship Id="rId12" Type="http://schemas.openxmlformats.org/officeDocument/2006/relationships/image" Target="media/image1.emf"/><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25&#24180;&#36130;&#21153;\2025&#36130;&#21153;\2025&#36130;&#21153;&#36164;&#26009;\&#39044;&#20915;&#31639;\2025&#24180;&#20915;&#31639;&#20844;&#24320;\&#20915;&#31639;&#20844;&#24320;&#36164;&#26009;\&#20915;&#31639;&#20844;&#24320;&#29992;&#22270;.xls"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oleObject" Target="file:///E:\2025&#24180;&#36130;&#21153;\2025&#36130;&#21153;\2025&#36130;&#21153;&#36164;&#26009;\&#39044;&#20915;&#31639;\2025&#24180;&#20915;&#31639;&#20844;&#24320;\&#20915;&#31639;&#20844;&#24320;&#36164;&#26009;\&#20915;&#31639;&#20844;&#24320;&#29992;&#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25&#24180;&#36130;&#21153;\2025&#36130;&#21153;\2025&#36130;&#21153;&#36164;&#26009;\&#39044;&#20915;&#31639;\2025&#24180;&#20915;&#31639;&#20844;&#24320;\&#20915;&#31639;&#20844;&#24320;&#36164;&#26009;\&#20915;&#31639;&#20844;&#24320;&#29992;&#22270;.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2025&#24180;&#36130;&#21153;\2025&#36130;&#21153;\2025&#36130;&#21153;&#36164;&#26009;\&#39044;&#20915;&#31639;\2025&#24180;&#20915;&#31639;&#20844;&#24320;\&#20915;&#31639;&#20844;&#24320;&#36164;&#26009;\&#20915;&#31639;&#20844;&#24320;&#2999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575621918825"/>
          <c:y val="0.0789417989417988"/>
          <c:w val="0.713351325607239"/>
          <c:h val="0.83712962962963"/>
        </c:manualLayout>
      </c:layout>
      <c:barChart>
        <c:barDir val="col"/>
        <c:grouping val="stacked"/>
        <c:varyColors val="0"/>
        <c:ser>
          <c:idx val="0"/>
          <c:order val="0"/>
          <c:invertIfNegative val="0"/>
          <c:dPt>
            <c:idx val="1"/>
            <c:invertIfNegative val="0"/>
            <c:bubble3D val="0"/>
          </c:dPt>
          <c:dLbls>
            <c:dLbl>
              <c:idx val="0"/>
              <c:layout>
                <c:manualLayout>
                  <c:x val="0.00762025718367995"/>
                  <c:y val="-0.40888888888888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99085090755715"/>
                  <c:y val="-0.4007756132756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Sheet1!$A$128:$A$131</c:f>
              <c:strCache>
                <c:ptCount val="2"/>
                <c:pt idx="0">
                  <c:v>2023年收、支</c:v>
                </c:pt>
                <c:pt idx="1">
                  <c:v>2024年收、支</c:v>
                </c:pt>
              </c:strCache>
            </c:strRef>
          </c:cat>
          <c:val>
            <c:numRef>
              <c:f>Sheet1!$B$128:$B$131</c:f>
              <c:numCache>
                <c:formatCode>General</c:formatCode>
                <c:ptCount val="4"/>
                <c:pt idx="0">
                  <c:v>808.24</c:v>
                </c:pt>
                <c:pt idx="1">
                  <c:v>808.24</c:v>
                </c:pt>
              </c:numCache>
            </c:numRef>
          </c:val>
        </c:ser>
        <c:dLbls>
          <c:showLegendKey val="0"/>
          <c:showVal val="0"/>
          <c:showCatName val="0"/>
          <c:showSerName val="0"/>
          <c:showPercent val="0"/>
          <c:showBubbleSize val="0"/>
        </c:dLbls>
        <c:gapWidth val="150"/>
        <c:overlap val="100"/>
        <c:axId val="297775"/>
        <c:axId val="1"/>
      </c:barChart>
      <c:catAx>
        <c:axId val="297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97775"/>
        <c:crosses val="autoZero"/>
        <c:crossBetween val="between"/>
      </c:valAx>
      <c:spPr>
        <a:noFill/>
        <a:ln>
          <a:noFill/>
        </a:ln>
        <a:effectLst/>
      </c:spPr>
    </c:plotArea>
    <c:legend>
      <c:legendPos val="r"/>
      <c:layout>
        <c:manualLayout>
          <c:xMode val="edge"/>
          <c:yMode val="edge"/>
          <c:x val="0.862528611821732"/>
          <c:y val="0.461038961038961"/>
          <c:w val="0.118"/>
          <c:h val="0.17625"/>
        </c:manualLayout>
      </c:layout>
      <c:overlay val="0"/>
      <c:spPr>
        <a:noFill/>
        <a:ln>
          <a:noFill/>
        </a:ln>
        <a:effectLst/>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1142ca16-ffea-4f51-9e3b-d1c889bea0b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127895676593334"/>
                  <c:y val="-0.19013175668113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11974417717107"/>
                  <c:y val="0.031705149517299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61900109716223"/>
                  <c:y val="-0.08119499007159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93025074091895"/>
                  <c:y val="-0.05153515031142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79096510184728"/>
                  <c:y val="0.007823764530080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Sheet1!$A$2:$A$8</c:f>
              <c:strCache>
                <c:ptCount val="7"/>
                <c:pt idx="0">
                  <c:v>一般公共预算财政拨款收入</c:v>
                </c:pt>
                <c:pt idx="1">
                  <c:v>政府性基金预算财政拨款收入</c:v>
                </c:pt>
                <c:pt idx="2">
                  <c:v>国有资本经营预算财政拨款收</c:v>
                </c:pt>
                <c:pt idx="3">
                  <c:v>上级补助收入</c:v>
                </c:pt>
                <c:pt idx="4">
                  <c:v>事业收入</c:v>
                </c:pt>
                <c:pt idx="5">
                  <c:v>经营收入</c:v>
                </c:pt>
                <c:pt idx="6">
                  <c:v>其他收入</c:v>
                </c:pt>
              </c:strCache>
            </c:strRef>
          </c:cat>
          <c:val>
            <c:numRef>
              <c:f>Sheet1!$B$2:$B$8</c:f>
              <c:numCache>
                <c:formatCode>General</c:formatCode>
                <c:ptCount val="7"/>
                <c:pt idx="0">
                  <c:v>741.96</c:v>
                </c:pt>
                <c:pt idx="1">
                  <c:v>25.71</c:v>
                </c:pt>
                <c:pt idx="2">
                  <c:v>0</c:v>
                </c:pt>
                <c:pt idx="3">
                  <c:v>0</c:v>
                </c:pt>
                <c:pt idx="4">
                  <c:v>0</c:v>
                </c:pt>
                <c:pt idx="5">
                  <c:v>0</c:v>
                </c:pt>
                <c:pt idx="6">
                  <c:v>40.57</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35734364285206"/>
          <c:y val="0.0176684199208846"/>
          <c:w val="0.330962833841362"/>
          <c:h val="0.982364147601186"/>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97bcd55f-0f5d-4615-8b80-e070c42d86b8}"/>
      </c:ext>
    </c:extLst>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Sheet1!$A$18:$A$22</c:f>
              <c:strCache>
                <c:ptCount val="5"/>
                <c:pt idx="0">
                  <c:v>基本支出</c:v>
                </c:pt>
                <c:pt idx="1">
                  <c:v>项目支出</c:v>
                </c:pt>
                <c:pt idx="2">
                  <c:v>上缴上级支出</c:v>
                </c:pt>
                <c:pt idx="3">
                  <c:v>经营支出</c:v>
                </c:pt>
                <c:pt idx="4">
                  <c:v>对附属单位补助支出</c:v>
                </c:pt>
              </c:strCache>
            </c:strRef>
          </c:cat>
          <c:val>
            <c:numRef>
              <c:f>Sheet1!$B$18:$B$22</c:f>
              <c:numCache>
                <c:formatCode>General</c:formatCode>
                <c:ptCount val="5"/>
                <c:pt idx="0">
                  <c:v>666.91</c:v>
                </c:pt>
                <c:pt idx="1">
                  <c:v>128.69</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33353336703614"/>
          <c:y val="0.307968407128179"/>
          <c:w val="0.330962833841362"/>
          <c:h val="0.394476386658566"/>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2a9dc186-df41-437f-a92c-b4bf520e114f}"/>
      </c:ext>
    </c:extLst>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221483787909915"/>
          <c:w val="0.757960119636082"/>
          <c:h val="0.591881067042619"/>
        </c:manualLayout>
      </c:layout>
      <c:barChart>
        <c:barDir val="col"/>
        <c:grouping val="clustered"/>
        <c:varyColors val="0"/>
        <c:ser>
          <c:idx val="0"/>
          <c:order val="0"/>
          <c:invertIfNegative val="0"/>
          <c:dLbls>
            <c:dLbl>
              <c:idx val="0"/>
              <c:layout>
                <c:manualLayout>
                  <c:x val="0"/>
                  <c:y val="-0.0019479492774246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087356321839080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Sheet1!$A$38:$A$39</c:f>
              <c:strCache>
                <c:ptCount val="2"/>
                <c:pt idx="0">
                  <c:v>2023年财政拨款收、支</c:v>
                </c:pt>
                <c:pt idx="1">
                  <c:v>2024年财政拨款收、支</c:v>
                </c:pt>
              </c:strCache>
            </c:strRef>
          </c:cat>
          <c:val>
            <c:numRef>
              <c:f>Sheet1!$B$38:$B$39</c:f>
              <c:numCache>
                <c:formatCode>General</c:formatCode>
                <c:ptCount val="2"/>
                <c:pt idx="0">
                  <c:v>764.81</c:v>
                </c:pt>
                <c:pt idx="1">
                  <c:v>767.67</c:v>
                </c:pt>
              </c:numCache>
            </c:numRef>
          </c:val>
        </c:ser>
        <c:dLbls>
          <c:showLegendKey val="0"/>
          <c:showVal val="0"/>
          <c:showCatName val="0"/>
          <c:showSerName val="0"/>
          <c:showPercent val="0"/>
          <c:showBubbleSize val="0"/>
        </c:dLbls>
        <c:gapWidth val="150"/>
        <c:axId val="296527"/>
        <c:axId val="1"/>
      </c:barChart>
      <c:catAx>
        <c:axId val="296527"/>
        <c:scaling>
          <c:orientation val="minMax"/>
        </c:scaling>
        <c:delete val="0"/>
        <c:axPos val="b"/>
        <c:numFmt formatCode="General" sourceLinked="1"/>
        <c:majorTickMark val="out"/>
        <c:minorTickMark val="none"/>
        <c:tickLblPos val="nextTo"/>
        <c:txPr>
          <a:bodyPr rot="-27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96527"/>
        <c:crosses val="autoZero"/>
        <c:crossBetween val="between"/>
      </c:valAx>
    </c:plotArea>
    <c:legend>
      <c:legendPos val="r"/>
      <c:layout>
        <c:manualLayout>
          <c:xMode val="edge"/>
          <c:yMode val="edge"/>
          <c:x val="0.842883763883757"/>
          <c:y val="0.265526685835194"/>
          <c:w val="0.130956516987589"/>
          <c:h val="0.096555158485525"/>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aec5aa45-31ee-4078-ae26-8da8adf56e18}"/>
      </c:ext>
    </c:extLst>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Lbl>
              <c:idx val="0"/>
              <c:layout>
                <c:manualLayout>
                  <c:x val="-0.0173040147965836"/>
                  <c:y val="-0.13480465803843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66743862899491"/>
                  <c:y val="-0.24352098229100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Sheet1!$A$59:$A$60</c:f>
              <c:strCache>
                <c:ptCount val="2"/>
                <c:pt idx="0">
                  <c:v>2023年度一般公共预算财政拨款支出</c:v>
                </c:pt>
                <c:pt idx="1">
                  <c:v>2024年度一般公共预算财政拨款支出</c:v>
                </c:pt>
              </c:strCache>
            </c:strRef>
          </c:cat>
          <c:val>
            <c:numRef>
              <c:f>Sheet1!$B$59:$B$60</c:f>
              <c:numCache>
                <c:formatCode>General</c:formatCode>
                <c:ptCount val="2"/>
                <c:pt idx="0">
                  <c:v>737.79</c:v>
                </c:pt>
                <c:pt idx="1" c:formatCode="0.00_ ">
                  <c:v>741.96</c:v>
                </c:pt>
              </c:numCache>
            </c:numRef>
          </c:val>
        </c:ser>
        <c:dLbls>
          <c:showLegendKey val="0"/>
          <c:showVal val="0"/>
          <c:showCatName val="0"/>
          <c:showSerName val="0"/>
          <c:showPercent val="0"/>
          <c:showBubbleSize val="0"/>
        </c:dLbls>
        <c:gapWidth val="150"/>
        <c:overlap val="100"/>
        <c:axId val="296111"/>
        <c:axId val="1"/>
      </c:barChart>
      <c:catAx>
        <c:axId val="296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96111"/>
        <c:crosses val="autoZero"/>
        <c:crossBetween val="between"/>
      </c:valAx>
      <c:spPr>
        <a:noFill/>
        <a:ln>
          <a:noFill/>
        </a:ln>
        <a:effectLst/>
      </c:spPr>
    </c:plotArea>
    <c:plotVisOnly val="1"/>
    <c:dispBlanksAs val="gap"/>
    <c:showDLblsOverMax val="0"/>
    <c:extLst>
      <c:ext uri="{0b15fc19-7d7d-44ad-8c2d-2c3a37ce22c3}">
        <chartProps xmlns="https://web.wps.cn/et/2018/main" chartId="{4cb78f9b-050c-4f9b-8491-e768566682a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view3D>
    <c:floor>
      <c:thickness val="0"/>
    </c:floor>
    <c:sideWall>
      <c:thickness val="0"/>
    </c:sideWall>
    <c:backWall>
      <c:thickness val="0"/>
    </c:backWall>
    <c:plotArea>
      <c:layout>
        <c:manualLayout>
          <c:layoutTarget val="inner"/>
          <c:xMode val="edge"/>
          <c:yMode val="edge"/>
          <c:x val="0.0300477384181428"/>
          <c:y val="0.0570589327192732"/>
          <c:w val="0.656023611483767"/>
          <c:h val="0.834615384615385"/>
        </c:manualLayout>
      </c:layout>
      <c:pie3D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322147651006711"/>
                  <c:y val="-0.08452357659949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3154362416107"/>
                  <c:y val="-0.011739385638818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57818625309517"/>
                  <c:y val="-0.07982782234396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15436241610738"/>
                  <c:y val="-0.07278419096067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Sheet1!$A$79:$A$85</c:f>
              <c:strCache>
                <c:ptCount val="7"/>
                <c:pt idx="0">
                  <c:v>一般公共服务支出</c:v>
                </c:pt>
                <c:pt idx="1">
                  <c:v>国防支出</c:v>
                </c:pt>
                <c:pt idx="2">
                  <c:v>教育支出</c:v>
                </c:pt>
                <c:pt idx="3">
                  <c:v>社会保障和就业支出</c:v>
                </c:pt>
                <c:pt idx="4">
                  <c:v>卫生健康支出</c:v>
                </c:pt>
                <c:pt idx="5">
                  <c:v>城乡社区支出</c:v>
                </c:pt>
                <c:pt idx="6">
                  <c:v>住房保障支出</c:v>
                </c:pt>
              </c:strCache>
            </c:strRef>
          </c:cat>
          <c:val>
            <c:numRef>
              <c:f>Sheet1!$B$79:$B$85</c:f>
              <c:numCache>
                <c:formatCode>General</c:formatCode>
                <c:ptCount val="7"/>
                <c:pt idx="0">
                  <c:v>0</c:v>
                </c:pt>
                <c:pt idx="1">
                  <c:v>0</c:v>
                </c:pt>
                <c:pt idx="2">
                  <c:v>584.27</c:v>
                </c:pt>
                <c:pt idx="3">
                  <c:v>93.28</c:v>
                </c:pt>
                <c:pt idx="4">
                  <c:v>18.68</c:v>
                </c:pt>
                <c:pt idx="5">
                  <c:v>0</c:v>
                </c:pt>
                <c:pt idx="6">
                  <c:v>45.72</c:v>
                </c:pt>
              </c:numCache>
            </c:numRef>
          </c:val>
        </c:ser>
        <c:dLbls>
          <c:showLegendKey val="0"/>
          <c:showVal val="0"/>
          <c:showCatName val="0"/>
          <c:showSerName val="0"/>
          <c:showPercent val="0"/>
          <c:showBubbleSize val="0"/>
        </c:dLbls>
      </c:pie3DChart>
      <c:spPr>
        <a:noFill/>
        <a:ln w="3175">
          <a:noFill/>
        </a:ln>
      </c:spPr>
    </c:plotArea>
    <c:legend>
      <c:legendPos val="r"/>
      <c:layout>
        <c:manualLayout>
          <c:xMode val="edge"/>
          <c:yMode val="edge"/>
          <c:x val="0.708272865870757"/>
          <c:y val="0.143306776590093"/>
          <c:w val="0.251517352937059"/>
          <c:h val="0.67291877703174"/>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66f724d4-4862-46a3-90e7-28543812c83f}"/>
      </c:ext>
    </c:extLst>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0.08063</cdr:x>
      <cdr:y>0.86539</cdr:y>
    </cdr:from>
    <cdr:to>
      <cdr:x>0.33264</cdr:x>
      <cdr:y>0.95425</cdr:y>
    </cdr:to>
    <cdr:sp>
      <cdr:nvSpPr>
        <cdr:cNvPr id="2" name="矩形 1"/>
        <cdr:cNvSpPr/>
      </cdr:nvSpPr>
      <cdr:spPr xmlns:a="http://schemas.openxmlformats.org/drawingml/2006/main">
        <a:xfrm xmlns:a="http://schemas.openxmlformats.org/drawingml/2006/main">
          <a:off x="253365" y="2458495"/>
          <a:ext cx="1074420" cy="24616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p>
          <a:r>
            <a:rPr lang="zh-CN" altLang="en-US"/>
            <a:t>单位：万元</a:t>
          </a:r>
          <a:endParaRPr lang="zh-CN" altLang="en-US"/>
        </a:p>
      </cdr:txBody>
    </cdr:sp>
  </cdr:relSizeAnchor>
</c:userShapes>
</file>

<file path=word/drawings/drawing2.xml><?xml version="1.0" encoding="utf-8"?>
<c:userShapes xmlns:c="http://schemas.openxmlformats.org/drawingml/2006/chart">
  <cdr:relSizeAnchor xmlns:cdr="http://schemas.openxmlformats.org/drawingml/2006/chartDrawing">
    <cdr:from>
      <cdr:x>0.77265</cdr:x>
      <cdr:y>0</cdr:y>
    </cdr:from>
    <cdr:to>
      <cdr:x>1</cdr:x>
      <cdr:y>0.10639</cdr:y>
    </cdr:to>
    <cdr:sp>
      <cdr:nvSpPr>
        <cdr:cNvPr id="2" name="矩形 1"/>
        <cdr:cNvSpPr/>
      </cdr:nvSpPr>
      <cdr:spPr xmlns:a="http://schemas.openxmlformats.org/drawingml/2006/main">
        <a:xfrm xmlns:a="http://schemas.openxmlformats.org/drawingml/2006/main">
          <a:off x="3658148" y="0"/>
          <a:ext cx="1076412" cy="23814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r>
            <a:rPr lang="zh-CN" altLang="en-US"/>
            <a:t>单位：万元</a:t>
          </a:r>
          <a:endParaRPr lang="zh-CN" alt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0F6BF4-1220-4ECB-A022-DFBF7C0C29E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6224</Words>
  <Characters>6637</Characters>
  <Lines>227</Lines>
  <Paragraphs>193</Paragraphs>
  <TotalTime>3</TotalTime>
  <ScaleCrop>false</ScaleCrop>
  <LinksUpToDate>false</LinksUpToDate>
  <CharactersWithSpaces>6720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2024-12-02T02:47:00Z</cp:lastPrinted>
  <dcterms:modified xsi:type="dcterms:W3CDTF">2025-12-04T00:12:55Z</dcterms:modified>
  <dc:title>四川省***</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eyJoZGlkIjoiNjY1ZjhmYjM0MDVlMmI3Y2E4YmJmMDI4MGI0MjllMWUifQ==</vt:lpwstr>
  </property>
  <property fmtid="{D5CDD505-2E9C-101B-9397-08002B2CF9AE}" pid="4" name="ICV">
    <vt:lpwstr>CD8C947D0546451C9579FBEE26B5D9E8_12</vt:lpwstr>
  </property>
</Properties>
</file>