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445A">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8441"/>
      <w:bookmarkStart w:id="3" w:name="_Toc15306267"/>
      <w:bookmarkStart w:id="4" w:name="_Toc15377193"/>
      <w:bookmarkStart w:id="5" w:name="_Toc15396597"/>
    </w:p>
    <w:p w14:paraId="6A1AC779">
      <w:pPr>
        <w:pStyle w:val="8"/>
        <w:rPr>
          <w:rFonts w:hint="eastAsia" w:ascii="Times New Roman" w:hAnsi="Times New Roman" w:eastAsia="方正小标宋简体" w:cs="Times New Roman"/>
          <w:color w:val="auto"/>
          <w:kern w:val="2"/>
          <w:sz w:val="72"/>
          <w:szCs w:val="72"/>
          <w:highlight w:val="none"/>
          <w:lang w:val="en-US" w:eastAsia="zh-CN" w:bidi="ar-SA"/>
        </w:rPr>
      </w:pPr>
    </w:p>
    <w:p w14:paraId="0C4F5D32">
      <w:pPr>
        <w:pStyle w:val="8"/>
        <w:rPr>
          <w:rFonts w:hint="eastAsia" w:ascii="Times New Roman" w:hAnsi="Times New Roman" w:eastAsia="方正小标宋简体" w:cs="Times New Roman"/>
          <w:color w:val="auto"/>
          <w:kern w:val="2"/>
          <w:sz w:val="72"/>
          <w:szCs w:val="72"/>
          <w:highlight w:val="none"/>
          <w:lang w:val="en-US" w:eastAsia="zh-CN" w:bidi="ar-SA"/>
        </w:rPr>
      </w:pPr>
    </w:p>
    <w:p w14:paraId="6256CC9B">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w:t>
      </w:r>
    </w:p>
    <w:p w14:paraId="1E91AD4A">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四川省峨眉山市</w:t>
      </w:r>
      <w:r>
        <w:rPr>
          <w:rFonts w:hint="eastAsia" w:ascii="方正小标宋简体" w:hAnsi="宋体" w:eastAsia="方正小标宋简体"/>
          <w:color w:val="000000"/>
          <w:sz w:val="44"/>
          <w:szCs w:val="44"/>
          <w:lang w:eastAsia="zh-CN"/>
        </w:rPr>
        <w:t>公墓</w:t>
      </w:r>
      <w:r>
        <w:rPr>
          <w:rFonts w:hint="eastAsia" w:ascii="方正小标宋简体" w:hAnsi="宋体" w:eastAsia="方正小标宋简体"/>
          <w:color w:val="000000"/>
          <w:sz w:val="44"/>
          <w:szCs w:val="44"/>
        </w:rPr>
        <w:t>服务中心</w:t>
      </w:r>
    </w:p>
    <w:p w14:paraId="15CCBB43">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决算公开编制说明</w:t>
      </w:r>
    </w:p>
    <w:p w14:paraId="7E22615A">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4D9175AC">
      <w:pPr>
        <w:rPr>
          <w:rFonts w:ascii="Times New Roman" w:hAnsi="Times New Roman"/>
        </w:rPr>
      </w:pPr>
    </w:p>
    <w:p w14:paraId="6589B3AC">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2EDF3D7">
      <w:pPr>
        <w:widowControl/>
        <w:jc w:val="center"/>
        <w:rPr>
          <w:rFonts w:ascii="Times New Roman" w:hAnsi="Times New Roman" w:eastAsia="黑体" w:cstheme="minorBidi"/>
          <w:color w:val="auto"/>
          <w:sz w:val="28"/>
          <w:szCs w:val="28"/>
          <w:highlight w:val="none"/>
        </w:rPr>
      </w:pPr>
    </w:p>
    <w:p w14:paraId="5FAF5E41">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bookmarkStart w:id="63" w:name="_GoBack"/>
      <w:bookmarkEnd w:id="63"/>
      <w:r>
        <w:rPr>
          <w:rFonts w:hint="eastAsia" w:ascii="Times New Roman" w:hAnsi="Times New Roman" w:eastAsia="仿宋_GB2312" w:cs="仿宋_GB2312"/>
          <w:color w:val="auto"/>
          <w:sz w:val="32"/>
          <w:szCs w:val="32"/>
          <w:highlight w:val="none"/>
        </w:rPr>
        <w:t>日</w:t>
      </w:r>
    </w:p>
    <w:p w14:paraId="2B20D5B2">
      <w:pPr>
        <w:rPr>
          <w:rFonts w:ascii="Times New Roman" w:hAnsi="Times New Roman"/>
          <w:color w:val="auto"/>
          <w:highlight w:val="none"/>
        </w:rPr>
      </w:pPr>
    </w:p>
    <w:p w14:paraId="2324BE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w:t>
      </w:r>
    </w:p>
    <w:p w14:paraId="438B1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rPr>
        <w:t>一、主要职责</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p>
    <w:p w14:paraId="5BD740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..................................1</w:t>
      </w:r>
    </w:p>
    <w:p w14:paraId="75D98D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rPr>
          <w:rFonts w:hint="eastAsia" w:ascii="仿宋" w:hAnsi="仿宋" w:eastAsia="仿宋" w:cs="仿宋"/>
          <w:sz w:val="32"/>
          <w:szCs w:val="32"/>
          <w:lang w:val="en-US" w:eastAsia="zh-CN"/>
        </w:rPr>
        <w:t>............1</w:t>
      </w:r>
    </w:p>
    <w:p w14:paraId="4A8BD0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w:t>
      </w:r>
    </w:p>
    <w:p w14:paraId="5F62F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..........................2</w:t>
      </w:r>
    </w:p>
    <w:p w14:paraId="3C40A3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..........................3</w:t>
      </w:r>
    </w:p>
    <w:p w14:paraId="13723E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..........3</w:t>
      </w:r>
    </w:p>
    <w:p w14:paraId="04D5B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......4</w:t>
      </w:r>
    </w:p>
    <w:p w14:paraId="6860FF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..5</w:t>
      </w:r>
    </w:p>
    <w:p w14:paraId="2D1EF9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......5</w:t>
      </w:r>
    </w:p>
    <w:p w14:paraId="1DEB0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............7</w:t>
      </w:r>
    </w:p>
    <w:p w14:paraId="767DFB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..........7</w:t>
      </w:r>
    </w:p>
    <w:p w14:paraId="05F9FD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....................7</w:t>
      </w:r>
    </w:p>
    <w:p w14:paraId="07EEC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.............................9</w:t>
      </w:r>
    </w:p>
    <w:p w14:paraId="346BC3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.11</w:t>
      </w:r>
    </w:p>
    <w:p w14:paraId="7ED838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w:t>
      </w:r>
      <w:r>
        <w:rPr>
          <w:rFonts w:hint="eastAsia" w:ascii="仿宋" w:hAnsi="仿宋" w:eastAsia="仿宋" w:cs="仿宋"/>
          <w:sz w:val="32"/>
          <w:szCs w:val="32"/>
          <w:lang w:val="en-US" w:eastAsia="zh-CN"/>
        </w:rPr>
        <w:t>.14</w:t>
      </w:r>
    </w:p>
    <w:p w14:paraId="69791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.........................14</w:t>
      </w:r>
    </w:p>
    <w:p w14:paraId="3FA7A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...............................14</w:t>
      </w:r>
    </w:p>
    <w:p w14:paraId="150F48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...............................14</w:t>
      </w:r>
    </w:p>
    <w:p w14:paraId="362E5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.................14</w:t>
      </w:r>
    </w:p>
    <w:p w14:paraId="743DDD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...................14</w:t>
      </w:r>
    </w:p>
    <w:p w14:paraId="1D75B2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...........14</w:t>
      </w:r>
    </w:p>
    <w:p w14:paraId="1CD958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.......14</w:t>
      </w:r>
    </w:p>
    <w:p w14:paraId="48D222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val="en-US" w:eastAsia="zh-CN"/>
        </w:rPr>
        <w:t>...14</w:t>
      </w:r>
    </w:p>
    <w:p w14:paraId="4E2271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.......14</w:t>
      </w:r>
    </w:p>
    <w:p w14:paraId="13382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val="en-US" w:eastAsia="zh-CN"/>
        </w:rPr>
        <w:t>.....14</w:t>
      </w:r>
    </w:p>
    <w:p w14:paraId="60C7D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val="en-US" w:eastAsia="zh-CN"/>
        </w:rPr>
        <w:t>.14</w:t>
      </w:r>
    </w:p>
    <w:p w14:paraId="179898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val="en-US" w:eastAsia="zh-CN"/>
        </w:rPr>
        <w:t>.....14</w:t>
      </w:r>
    </w:p>
    <w:p w14:paraId="6E21A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小标宋简体" w:hAnsi="方正小标宋简体" w:eastAsia="方正小标宋简体" w:cs="方正小标宋简体"/>
          <w:b w:val="0"/>
          <w:lang w:val="en-US" w:eastAsia="zh-CN"/>
        </w:rPr>
        <w:sectPr>
          <w:headerReference r:id="rId7" w:type="first"/>
          <w:footerReference r:id="rId9" w:type="first"/>
          <w:headerReference r:id="rId6" w:type="default"/>
          <w:footerReference r:id="rId8" w:type="default"/>
          <w:pgSz w:w="11906" w:h="16838"/>
          <w:pgMar w:top="1547" w:right="1800" w:bottom="1538"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val="en-US" w:eastAsia="zh-CN"/>
        </w:rPr>
        <w:t>.........14</w:t>
      </w:r>
    </w:p>
    <w:bookmarkEnd w:id="0"/>
    <w:bookmarkEnd w:id="1"/>
    <w:bookmarkEnd w:id="2"/>
    <w:bookmarkEnd w:id="3"/>
    <w:bookmarkEnd w:id="4"/>
    <w:bookmarkEnd w:id="5"/>
    <w:p w14:paraId="40D3BFCA">
      <w:pPr>
        <w:keepNext w:val="0"/>
        <w:keepLines w:val="0"/>
        <w:pageBreakBefore w:val="0"/>
        <w:widowControl/>
        <w:kinsoku/>
        <w:wordWrap/>
        <w:overflowPunct/>
        <w:topLinePunct w:val="0"/>
        <w:autoSpaceDE/>
        <w:autoSpaceDN/>
        <w:bidi w:val="0"/>
        <w:spacing w:line="560" w:lineRule="exact"/>
        <w:jc w:val="center"/>
        <w:textAlignment w:val="auto"/>
        <w:rPr>
          <w:rStyle w:val="28"/>
          <w:rFonts w:hint="eastAsia" w:ascii="Times New Roman" w:hAnsi="Times New Roman" w:eastAsia="方正小标宋简体" w:cs="方正小标宋简体"/>
          <w:b/>
          <w:bCs w:val="0"/>
          <w:color w:val="auto"/>
          <w:highlight w:val="none"/>
        </w:rPr>
      </w:pPr>
      <w:bookmarkStart w:id="6" w:name="_Toc15396599"/>
      <w:bookmarkStart w:id="7" w:name="_Toc15377196"/>
      <w:r>
        <w:rPr>
          <w:rFonts w:hint="eastAsia" w:ascii="Times New Roman" w:hAnsi="Times New Roman" w:eastAsia="方正小标宋简体" w:cs="方正小标宋简体"/>
          <w:b w:val="0"/>
          <w:color w:val="auto"/>
          <w:sz w:val="44"/>
          <w:szCs w:val="44"/>
          <w:highlight w:val="none"/>
        </w:rPr>
        <w:t>第一部分</w:t>
      </w:r>
      <w:r>
        <w:rPr>
          <w:rFonts w:hint="eastAsia" w:ascii="Times New Roman" w:hAnsi="Times New Roman" w:eastAsia="方正小标宋简体" w:cs="方正小标宋简体"/>
          <w:b w:val="0"/>
          <w:color w:val="auto"/>
          <w:sz w:val="44"/>
          <w:szCs w:val="44"/>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6EF2922D">
      <w:pPr>
        <w:widowControl/>
        <w:jc w:val="left"/>
        <w:rPr>
          <w:rFonts w:ascii="Times New Roman" w:hAnsi="Times New Roman" w:eastAsia="黑体"/>
          <w:color w:val="auto"/>
          <w:sz w:val="32"/>
          <w:szCs w:val="32"/>
          <w:highlight w:val="none"/>
        </w:rPr>
      </w:pPr>
    </w:p>
    <w:p w14:paraId="01798F45">
      <w:pPr>
        <w:pStyle w:val="6"/>
        <w:ind w:firstLine="640" w:firstLineChars="200"/>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02782BA4">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Cs/>
          <w:sz w:val="32"/>
          <w:szCs w:val="32"/>
        </w:rPr>
        <w:t>峨眉山市</w:t>
      </w:r>
      <w:r>
        <w:rPr>
          <w:rFonts w:hint="eastAsia" w:ascii="仿宋_GB2312" w:hAnsi="仿宋" w:eastAsia="仿宋_GB2312"/>
          <w:bCs/>
          <w:sz w:val="32"/>
          <w:szCs w:val="32"/>
          <w:lang w:eastAsia="zh-CN"/>
        </w:rPr>
        <w:t>公墓</w:t>
      </w:r>
      <w:r>
        <w:rPr>
          <w:rFonts w:hint="eastAsia" w:ascii="仿宋_GB2312" w:hAnsi="仿宋" w:eastAsia="仿宋_GB2312"/>
          <w:bCs/>
          <w:sz w:val="32"/>
          <w:szCs w:val="32"/>
        </w:rPr>
        <w:t>服务中心隶属于民政局下属</w:t>
      </w:r>
      <w:r>
        <w:rPr>
          <w:rFonts w:hint="eastAsia" w:ascii="仿宋_GB2312" w:hAnsi="仿宋" w:eastAsia="仿宋_GB2312"/>
          <w:bCs/>
          <w:sz w:val="32"/>
          <w:szCs w:val="32"/>
          <w:lang w:eastAsia="zh-CN"/>
        </w:rPr>
        <w:t>自收自支</w:t>
      </w:r>
      <w:r>
        <w:rPr>
          <w:rFonts w:hint="eastAsia" w:ascii="仿宋_GB2312" w:hAnsi="仿宋" w:eastAsia="仿宋_GB2312"/>
          <w:bCs/>
          <w:sz w:val="32"/>
          <w:szCs w:val="32"/>
        </w:rPr>
        <w:t>事业单位，</w:t>
      </w:r>
      <w:r>
        <w:rPr>
          <w:rFonts w:hint="eastAsia" w:ascii="仿宋_GB2312" w:hAnsi="仿宋" w:eastAsia="仿宋_GB2312"/>
          <w:bCs/>
          <w:sz w:val="32"/>
          <w:szCs w:val="32"/>
          <w:lang w:eastAsia="zh-CN"/>
        </w:rPr>
        <w:t>提供骨灰安葬服务。</w:t>
      </w:r>
    </w:p>
    <w:p w14:paraId="20E88456">
      <w:pPr>
        <w:snapToGrid w:val="0"/>
        <w:spacing w:line="520" w:lineRule="exact"/>
        <w:ind w:firstLine="640" w:firstLineChars="200"/>
        <w:rPr>
          <w:rFonts w:hint="eastAsia"/>
          <w:lang w:eastAsia="zh-CN"/>
        </w:rPr>
      </w:pPr>
      <w:r>
        <w:rPr>
          <w:rFonts w:hint="eastAsia" w:ascii="仿宋_GB2312" w:hAnsi="仿宋" w:eastAsia="仿宋_GB2312"/>
          <w:sz w:val="32"/>
          <w:szCs w:val="32"/>
        </w:rPr>
        <w:t>峨眉山市公墓服务中心位于峨眉山市绥山镇大南村一组，主要职能是办理骨灰安葬、墓碑雕刻、金属像制作等服务</w:t>
      </w:r>
      <w:r>
        <w:rPr>
          <w:rFonts w:hint="eastAsia" w:ascii="仿宋_GB2312" w:hAnsi="仿宋" w:eastAsia="仿宋_GB2312"/>
          <w:sz w:val="32"/>
          <w:szCs w:val="32"/>
          <w:lang w:eastAsia="zh-CN"/>
        </w:rPr>
        <w:t>。</w:t>
      </w:r>
    </w:p>
    <w:p w14:paraId="655EE772">
      <w:pPr>
        <w:pStyle w:val="6"/>
        <w:ind w:firstLine="640" w:firstLineChars="200"/>
        <w:rPr>
          <w:rStyle w:val="29"/>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58B80E2E">
      <w:pPr>
        <w:ind w:firstLine="640" w:firstLineChars="200"/>
        <w:rPr>
          <w:rFonts w:hint="default" w:ascii="Times New Roman" w:hAnsi="Times New Roman" w:eastAsia="仿宋"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峨眉山市公墓服务中心</w:t>
      </w:r>
      <w:r>
        <w:rPr>
          <w:rFonts w:hint="eastAsia" w:ascii="仿宋" w:hAnsi="仿宋" w:eastAsia="仿宋"/>
          <w:sz w:val="32"/>
          <w:szCs w:val="32"/>
        </w:rPr>
        <w:t>属于峨眉山市民政局部门下属的二级预算单位，下设独立编制机构1个，其中行政机构0个，参照公务员法管理的事业机构0个，其他事业机构1个。</w:t>
      </w:r>
      <w:r>
        <w:rPr>
          <w:rFonts w:hint="eastAsia" w:ascii="仿宋" w:hAnsi="仿宋" w:eastAsia="仿宋"/>
          <w:sz w:val="32"/>
          <w:szCs w:val="32"/>
          <w:lang w:eastAsia="zh-CN"/>
        </w:rPr>
        <w:t>有临聘人员</w:t>
      </w:r>
      <w:r>
        <w:rPr>
          <w:rFonts w:hint="eastAsia" w:ascii="仿宋" w:hAnsi="仿宋" w:eastAsia="仿宋"/>
          <w:sz w:val="32"/>
          <w:szCs w:val="32"/>
          <w:lang w:val="en-US" w:eastAsia="zh-CN"/>
        </w:rPr>
        <w:t>4人。</w:t>
      </w:r>
    </w:p>
    <w:p w14:paraId="601DA7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年度单位决算编制范围的独立编制机构</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w:t>
      </w:r>
    </w:p>
    <w:p w14:paraId="30C7CC15">
      <w:pPr>
        <w:widowControl/>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峨眉山市公墓服务中心。</w:t>
      </w:r>
      <w:bookmarkStart w:id="12" w:name="_Toc15396602"/>
      <w:bookmarkStart w:id="13" w:name="_Toc15377204"/>
    </w:p>
    <w:p w14:paraId="646AC598">
      <w:pPr>
        <w:widowControl/>
        <w:jc w:val="left"/>
        <w:rPr>
          <w:rFonts w:hint="eastAsia" w:ascii="方正小标宋简体" w:hAnsi="方正小标宋简体" w:eastAsia="方正小标宋简体" w:cs="方正小标宋简体"/>
          <w:b w:val="0"/>
          <w:color w:val="auto"/>
          <w:sz w:val="44"/>
          <w:szCs w:val="44"/>
          <w:highlight w:val="none"/>
        </w:rPr>
      </w:pPr>
    </w:p>
    <w:p w14:paraId="20E25DA7">
      <w:pPr>
        <w:widowControl/>
        <w:jc w:val="center"/>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第二部分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 xml:space="preserve"> </w:t>
      </w:r>
      <w:r>
        <w:rPr>
          <w:rFonts w:hint="eastAsia" w:ascii="方正小标宋简体" w:hAnsi="方正小标宋简体" w:eastAsia="方正小标宋简体" w:cs="方正小标宋简体"/>
          <w:b w:val="0"/>
          <w:color w:val="auto"/>
          <w:sz w:val="44"/>
          <w:szCs w:val="44"/>
          <w:highlight w:val="none"/>
          <w:lang w:val="en-US" w:eastAsia="zh-CN"/>
        </w:rPr>
        <w:t>2024年度</w:t>
      </w:r>
      <w:r>
        <w:rPr>
          <w:rFonts w:hint="eastAsia" w:ascii="方正小标宋简体" w:hAnsi="方正小标宋简体" w:eastAsia="方正小标宋简体" w:cs="方正小标宋简体"/>
          <w:b w:val="0"/>
          <w:color w:val="auto"/>
          <w:sz w:val="44"/>
          <w:szCs w:val="44"/>
          <w:highlight w:val="none"/>
        </w:rPr>
        <w:t>部门决算情况说明</w:t>
      </w:r>
      <w:bookmarkEnd w:id="12"/>
      <w:bookmarkEnd w:id="13"/>
    </w:p>
    <w:p w14:paraId="44977ABB">
      <w:pPr>
        <w:rPr>
          <w:rFonts w:ascii="Times New Roman" w:hAnsi="Times New Roman"/>
          <w:color w:val="auto"/>
          <w:highlight w:val="none"/>
        </w:rPr>
      </w:pPr>
    </w:p>
    <w:p w14:paraId="669EE21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7A12ED83">
      <w:pPr>
        <w:snapToGrid w:val="0"/>
        <w:spacing w:line="520" w:lineRule="exact"/>
        <w:ind w:firstLine="640" w:firstLineChars="200"/>
        <w:rPr>
          <w:rFonts w:hint="eastAsia" w:ascii="仿宋_GB2312" w:hAnsi="仿宋" w:eastAsia="仿宋_GB2312"/>
          <w:sz w:val="32"/>
          <w:szCs w:val="32"/>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149.33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89.03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147.65</w:t>
      </w:r>
      <w:r>
        <w:rPr>
          <w:rFonts w:hint="eastAsia" w:ascii="Times New Roman" w:hAnsi="Times New Roman" w:eastAsia="仿宋_GB2312" w:cs="仿宋_GB2312"/>
          <w:color w:val="auto"/>
          <w:sz w:val="32"/>
          <w:szCs w:val="32"/>
          <w:highlight w:val="none"/>
        </w:rPr>
        <w:t>%。主要变动原因是</w:t>
      </w:r>
      <w:r>
        <w:rPr>
          <w:rFonts w:hint="eastAsia" w:ascii="仿宋_GB2312" w:hAnsi="仿宋" w:eastAsia="仿宋_GB2312"/>
          <w:sz w:val="32"/>
          <w:szCs w:val="32"/>
          <w:lang w:val="en-US" w:eastAsia="zh-CN"/>
        </w:rPr>
        <w:t>支付以前年度陵园挡土墙加固大型修缮项目</w:t>
      </w:r>
      <w:r>
        <w:rPr>
          <w:rFonts w:hint="eastAsia" w:ascii="仿宋" w:hAnsi="仿宋" w:eastAsia="仿宋" w:cs="仿宋"/>
          <w:bCs/>
          <w:sz w:val="32"/>
          <w:szCs w:val="32"/>
          <w:lang w:val="en-US" w:eastAsia="zh-CN"/>
        </w:rPr>
        <w:t>100.95万元</w:t>
      </w:r>
      <w:r>
        <w:rPr>
          <w:rFonts w:hint="eastAsia" w:ascii="仿宋_GB2312" w:hAnsi="仿宋" w:eastAsia="仿宋_GB2312"/>
          <w:sz w:val="32"/>
          <w:szCs w:val="32"/>
          <w:lang w:val="en-US" w:eastAsia="zh-CN"/>
        </w:rPr>
        <w:t>。</w:t>
      </w:r>
    </w:p>
    <w:p w14:paraId="614E075F">
      <w:pPr>
        <w:pStyle w:val="3"/>
        <w:rPr>
          <w:rFonts w:hint="eastAsia"/>
          <w:lang w:val="en-US" w:eastAsia="zh-CN"/>
        </w:rPr>
      </w:pPr>
    </w:p>
    <w:p w14:paraId="42D25842">
      <w:pPr>
        <w:pStyle w:val="2"/>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drawing>
          <wp:inline distT="0" distB="0" distL="114300" distR="114300">
            <wp:extent cx="4029075" cy="2781300"/>
            <wp:effectExtent l="0" t="0" r="9525" b="0"/>
            <wp:docPr id="1" name="图片 1" descr="{fc968954-f7eb-49b5-b694-fbdd8a8f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c968954-f7eb-49b5-b694-fbdd8a8f1150}"/>
                    <pic:cNvPicPr>
                      <a:picLocks noChangeAspect="1"/>
                    </pic:cNvPicPr>
                  </pic:nvPicPr>
                  <pic:blipFill>
                    <a:blip r:embed="rId13"/>
                    <a:stretch>
                      <a:fillRect/>
                    </a:stretch>
                  </pic:blipFill>
                  <pic:spPr>
                    <a:xfrm>
                      <a:off x="0" y="0"/>
                      <a:ext cx="4029075" cy="2781300"/>
                    </a:xfrm>
                    <a:prstGeom prst="rect">
                      <a:avLst/>
                    </a:prstGeom>
                  </pic:spPr>
                </pic:pic>
              </a:graphicData>
            </a:graphic>
          </wp:inline>
        </w:drawing>
      </w:r>
    </w:p>
    <w:p w14:paraId="6222D88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2BFA9A3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144.22万元，其中：一般公共预算财政拨款收入144.22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2FB42CB">
      <w:pPr>
        <w:rPr>
          <w:rFonts w:hint="eastAsia" w:ascii="Times New Roman" w:hAnsi="Times New Roman" w:eastAsia="仿宋_GB2312" w:cs="仿宋_GB2312"/>
          <w:color w:val="auto"/>
          <w:sz w:val="32"/>
          <w:szCs w:val="32"/>
          <w:highlight w:val="none"/>
          <w:lang w:eastAsia="zh-CN"/>
        </w:rPr>
      </w:pPr>
    </w:p>
    <w:p w14:paraId="071D99B7">
      <w:pPr>
        <w:ind w:firstLine="960" w:firstLineChars="3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48125" cy="2771775"/>
            <wp:effectExtent l="0" t="0" r="9525" b="9525"/>
            <wp:docPr id="2" name="图片 2" descr="{b2af3b8c-3d7f-4b01-befa-8ea8d42acc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af3b8c-3d7f-4b01-befa-8ea8d42acc2a}"/>
                    <pic:cNvPicPr>
                      <a:picLocks noChangeAspect="1"/>
                    </pic:cNvPicPr>
                  </pic:nvPicPr>
                  <pic:blipFill>
                    <a:blip r:embed="rId14"/>
                    <a:stretch>
                      <a:fillRect/>
                    </a:stretch>
                  </pic:blipFill>
                  <pic:spPr>
                    <a:xfrm>
                      <a:off x="0" y="0"/>
                      <a:ext cx="4048125" cy="2771775"/>
                    </a:xfrm>
                    <a:prstGeom prst="rect">
                      <a:avLst/>
                    </a:prstGeom>
                  </pic:spPr>
                </pic:pic>
              </a:graphicData>
            </a:graphic>
          </wp:inline>
        </w:drawing>
      </w:r>
    </w:p>
    <w:p w14:paraId="602ECCB2">
      <w:pPr>
        <w:ind w:firstLine="800" w:firstLineChars="250"/>
        <w:rPr>
          <w:rFonts w:hint="eastAsia" w:ascii="Times New Roman" w:hAnsi="Times New Roman" w:eastAsia="仿宋_GB2312" w:cs="仿宋_GB2312"/>
          <w:color w:val="auto"/>
          <w:sz w:val="32"/>
          <w:szCs w:val="32"/>
          <w:highlight w:val="none"/>
          <w:lang w:eastAsia="zh-CN"/>
        </w:rPr>
      </w:pPr>
    </w:p>
    <w:p w14:paraId="2309439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3EE725B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144.26</w:t>
      </w:r>
      <w:r>
        <w:rPr>
          <w:rFonts w:hint="eastAsia" w:ascii="仿宋_GB2312" w:hAnsi="仿宋_GB2312" w:eastAsia="仿宋_GB2312" w:cs="仿宋_GB2312"/>
          <w:color w:val="auto"/>
          <w:sz w:val="32"/>
          <w:szCs w:val="32"/>
          <w:highlight w:val="none"/>
          <w:lang w:eastAsia="zh-CN"/>
        </w:rPr>
        <w:t>万元，其中：项目支出</w:t>
      </w:r>
      <w:r>
        <w:rPr>
          <w:rFonts w:hint="eastAsia" w:ascii="仿宋_GB2312" w:hAnsi="仿宋_GB2312" w:eastAsia="仿宋_GB2312" w:cs="仿宋_GB2312"/>
          <w:sz w:val="32"/>
          <w:szCs w:val="32"/>
        </w:rPr>
        <w:t>144.26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35CF9E1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9B433D9">
      <w:pPr>
        <w:ind w:firstLine="960" w:firstLineChars="3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38600" cy="2800350"/>
            <wp:effectExtent l="0" t="0" r="0" b="0"/>
            <wp:docPr id="3" name="图片 3" descr="{9399f168-0d1c-425f-a32c-efb917abbf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99f168-0d1c-425f-a32c-efb917abbfb9}"/>
                    <pic:cNvPicPr>
                      <a:picLocks noChangeAspect="1"/>
                    </pic:cNvPicPr>
                  </pic:nvPicPr>
                  <pic:blipFill>
                    <a:blip r:embed="rId15"/>
                    <a:stretch>
                      <a:fillRect/>
                    </a:stretch>
                  </pic:blipFill>
                  <pic:spPr>
                    <a:xfrm>
                      <a:off x="0" y="0"/>
                      <a:ext cx="4038600" cy="2800350"/>
                    </a:xfrm>
                    <a:prstGeom prst="rect">
                      <a:avLst/>
                    </a:prstGeom>
                  </pic:spPr>
                </pic:pic>
              </a:graphicData>
            </a:graphic>
          </wp:inline>
        </w:drawing>
      </w:r>
    </w:p>
    <w:p w14:paraId="75A982F5">
      <w:pPr>
        <w:spacing w:line="600" w:lineRule="exact"/>
        <w:ind w:firstLine="640" w:firstLineChars="200"/>
        <w:outlineLvl w:val="1"/>
        <w:rPr>
          <w:rFonts w:hint="eastAsia" w:ascii="Times New Roman" w:hAnsi="Times New Roman" w:eastAsia="黑体"/>
          <w:color w:val="auto"/>
          <w:sz w:val="32"/>
          <w:szCs w:val="32"/>
          <w:highlight w:val="none"/>
        </w:rPr>
      </w:pPr>
      <w:bookmarkStart w:id="20" w:name="_Toc15377208"/>
      <w:bookmarkStart w:id="21" w:name="_Toc15396606"/>
    </w:p>
    <w:p w14:paraId="3B4CC25B">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763558A4">
      <w:pPr>
        <w:snapToGrid w:val="0"/>
        <w:spacing w:line="520" w:lineRule="exact"/>
        <w:ind w:firstLine="64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144.22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83.92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139.17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 w:eastAsia="仿宋_GB2312"/>
          <w:sz w:val="32"/>
          <w:szCs w:val="32"/>
          <w:lang w:val="en-US" w:eastAsia="zh-CN"/>
        </w:rPr>
        <w:t>支付以前年度陵园挡土墙加固大型修缮项目</w:t>
      </w:r>
      <w:r>
        <w:rPr>
          <w:rFonts w:hint="eastAsia" w:ascii="仿宋" w:hAnsi="仿宋" w:eastAsia="仿宋" w:cs="仿宋"/>
          <w:bCs/>
          <w:sz w:val="32"/>
          <w:szCs w:val="32"/>
          <w:lang w:val="en-US" w:eastAsia="zh-CN"/>
        </w:rPr>
        <w:t>100.95万元</w:t>
      </w:r>
      <w:r>
        <w:rPr>
          <w:rFonts w:hint="eastAsia" w:ascii="仿宋_GB2312" w:hAnsi="仿宋" w:eastAsia="仿宋_GB2312"/>
          <w:sz w:val="32"/>
          <w:szCs w:val="32"/>
          <w:lang w:val="en-US" w:eastAsia="zh-CN"/>
        </w:rPr>
        <w:t>。</w:t>
      </w:r>
    </w:p>
    <w:p w14:paraId="60E3266E">
      <w:pPr>
        <w:spacing w:line="600" w:lineRule="exact"/>
        <w:rPr>
          <w:rStyle w:val="29"/>
          <w:rFonts w:ascii="Times New Roman" w:hAnsi="Times New Roman" w:eastAsia="黑体"/>
          <w:b w:val="0"/>
          <w:color w:val="auto"/>
          <w:highlight w:val="none"/>
        </w:rPr>
      </w:pPr>
      <w:r>
        <w:rPr>
          <w:rFonts w:hint="eastAsia" w:eastAsia="仿宋_GB2312" w:cs="仿宋_GB2312"/>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570865</wp:posOffset>
            </wp:positionH>
            <wp:positionV relativeFrom="paragraph">
              <wp:posOffset>269875</wp:posOffset>
            </wp:positionV>
            <wp:extent cx="4210050" cy="2886075"/>
            <wp:effectExtent l="0" t="0" r="0" b="9525"/>
            <wp:wrapTopAndBottom/>
            <wp:docPr id="12" name="图片 12" descr="{1bd36ab9-71f1-4cc7-a459-73b44bf98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bd36ab9-71f1-4cc7-a459-73b44bf98c75}"/>
                    <pic:cNvPicPr>
                      <a:picLocks noChangeAspect="1"/>
                    </pic:cNvPicPr>
                  </pic:nvPicPr>
                  <pic:blipFill>
                    <a:blip r:embed="rId16"/>
                    <a:stretch>
                      <a:fillRect/>
                    </a:stretch>
                  </pic:blipFill>
                  <pic:spPr>
                    <a:xfrm>
                      <a:off x="0" y="0"/>
                      <a:ext cx="4210050" cy="2886075"/>
                    </a:xfrm>
                    <a:prstGeom prst="rect">
                      <a:avLst/>
                    </a:prstGeom>
                  </pic:spPr>
                </pic:pic>
              </a:graphicData>
            </a:graphic>
          </wp:anchor>
        </w:drawing>
      </w:r>
      <w:bookmarkStart w:id="22" w:name="_Toc15377209"/>
      <w:bookmarkStart w:id="23" w:name="_Toc15396607"/>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3D250B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2AD2FEC8">
      <w:pPr>
        <w:snapToGrid w:val="0"/>
        <w:spacing w:line="52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144.22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83.92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139.17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 w:eastAsia="仿宋_GB2312"/>
          <w:sz w:val="32"/>
          <w:szCs w:val="32"/>
          <w:lang w:val="en-US" w:eastAsia="zh-CN"/>
        </w:rPr>
        <w:t>支付以前年度陵园挡土墙加固大型修缮项目</w:t>
      </w:r>
      <w:r>
        <w:rPr>
          <w:rFonts w:hint="eastAsia" w:ascii="仿宋" w:hAnsi="仿宋" w:eastAsia="仿宋" w:cs="仿宋"/>
          <w:bCs/>
          <w:sz w:val="32"/>
          <w:szCs w:val="32"/>
          <w:lang w:val="en-US" w:eastAsia="zh-CN"/>
        </w:rPr>
        <w:t>100.95万元</w:t>
      </w:r>
      <w:r>
        <w:rPr>
          <w:rFonts w:hint="eastAsia" w:ascii="仿宋_GB2312" w:hAnsi="仿宋" w:eastAsia="仿宋_GB2312"/>
          <w:sz w:val="32"/>
          <w:szCs w:val="32"/>
          <w:lang w:val="en-US" w:eastAsia="zh-CN"/>
        </w:rPr>
        <w:t>。</w:t>
      </w:r>
    </w:p>
    <w:p w14:paraId="2D8970BB">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362585</wp:posOffset>
            </wp:positionH>
            <wp:positionV relativeFrom="paragraph">
              <wp:posOffset>429895</wp:posOffset>
            </wp:positionV>
            <wp:extent cx="4610100" cy="2800350"/>
            <wp:effectExtent l="0" t="0" r="0" b="0"/>
            <wp:wrapTopAndBottom/>
            <wp:docPr id="13" name="图片 13" descr="{1a324245-c2e1-467c-ba72-1feeb5ee1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a324245-c2e1-467c-ba72-1feeb5ee113d}"/>
                    <pic:cNvPicPr>
                      <a:picLocks noChangeAspect="1"/>
                    </pic:cNvPicPr>
                  </pic:nvPicPr>
                  <pic:blipFill>
                    <a:blip r:embed="rId17"/>
                    <a:stretch>
                      <a:fillRect/>
                    </a:stretch>
                  </pic:blipFill>
                  <pic:spPr>
                    <a:xfrm>
                      <a:off x="0" y="0"/>
                      <a:ext cx="4610100" cy="2800350"/>
                    </a:xfrm>
                    <a:prstGeom prst="rect">
                      <a:avLst/>
                    </a:prstGeom>
                  </pic:spPr>
                </pic:pic>
              </a:graphicData>
            </a:graphic>
          </wp:anchor>
        </w:drawing>
      </w:r>
    </w:p>
    <w:p w14:paraId="53F88E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706A2AA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144.22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144.22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5E406A3">
      <w:pPr>
        <w:pStyle w:val="2"/>
        <w:rPr>
          <w:rFonts w:hint="eastAsia" w:eastAsia="仿宋_GB2312" w:cs="仿宋_GB2312"/>
          <w:color w:val="auto"/>
          <w:kern w:val="2"/>
          <w:sz w:val="32"/>
          <w:szCs w:val="32"/>
          <w:highlight w:val="none"/>
          <w:lang w:val="en-US" w:eastAsia="zh-CN" w:bidi="ar-SA"/>
        </w:rPr>
      </w:pPr>
    </w:p>
    <w:p w14:paraId="478132A3">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320040</wp:posOffset>
            </wp:positionH>
            <wp:positionV relativeFrom="paragraph">
              <wp:posOffset>190500</wp:posOffset>
            </wp:positionV>
            <wp:extent cx="4772025" cy="3019425"/>
            <wp:effectExtent l="0" t="0" r="9525" b="9525"/>
            <wp:wrapTopAndBottom/>
            <wp:docPr id="14" name="图片 14" descr="{dfbaed87-ecfd-49ba-86c4-81cd36fc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fbaed87-ecfd-49ba-86c4-81cd36fc4796}"/>
                    <pic:cNvPicPr>
                      <a:picLocks noChangeAspect="1"/>
                    </pic:cNvPicPr>
                  </pic:nvPicPr>
                  <pic:blipFill>
                    <a:blip r:embed="rId18"/>
                    <a:stretch>
                      <a:fillRect/>
                    </a:stretch>
                  </pic:blipFill>
                  <pic:spPr>
                    <a:xfrm>
                      <a:off x="0" y="0"/>
                      <a:ext cx="4772025" cy="3019425"/>
                    </a:xfrm>
                    <a:prstGeom prst="rect">
                      <a:avLst/>
                    </a:prstGeom>
                  </pic:spPr>
                </pic:pic>
              </a:graphicData>
            </a:graphic>
          </wp:anchor>
        </w:drawing>
      </w:r>
    </w:p>
    <w:p w14:paraId="27F8626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6B502A02">
      <w:pPr>
        <w:spacing w:line="600" w:lineRule="exact"/>
        <w:ind w:firstLine="640"/>
        <w:rPr>
          <w:rStyle w:val="17"/>
          <w:rFonts w:ascii="仿宋" w:hAnsi="仿宋" w:eastAsia="仿宋"/>
          <w:b w:val="0"/>
          <w:bCs/>
          <w:color w:val="000000"/>
          <w:sz w:val="32"/>
          <w:szCs w:val="32"/>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144.22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bookmarkEnd w:id="27"/>
      <w:bookmarkEnd w:id="28"/>
      <w:bookmarkEnd w:id="29"/>
      <w:r>
        <w:rPr>
          <w:rFonts w:hint="eastAsia" w:eastAsia="仿宋_GB2312" w:cs="仿宋_GB2312"/>
          <w:color w:val="auto"/>
          <w:kern w:val="2"/>
          <w:sz w:val="32"/>
          <w:szCs w:val="32"/>
          <w:highlight w:val="none"/>
          <w:lang w:val="en-US" w:eastAsia="zh-CN" w:bidi="ar-SA"/>
        </w:rPr>
        <w:t>主要是</w:t>
      </w:r>
      <w:r>
        <w:rPr>
          <w:rStyle w:val="17"/>
          <w:rFonts w:hint="eastAsia" w:ascii="仿宋" w:hAnsi="仿宋" w:eastAsia="仿宋"/>
          <w:b w:val="0"/>
          <w:bCs w:val="0"/>
          <w:color w:val="000000"/>
          <w:sz w:val="32"/>
          <w:szCs w:val="32"/>
        </w:rPr>
        <w:t>社会保障和就业支出情况</w:t>
      </w:r>
      <w:r>
        <w:rPr>
          <w:rStyle w:val="17"/>
          <w:rFonts w:ascii="仿宋" w:hAnsi="仿宋" w:eastAsia="仿宋"/>
          <w:b w:val="0"/>
          <w:bCs w:val="0"/>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144.22</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62E055E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17"/>
          <w:rFonts w:hint="eastAsia" w:ascii="仿宋" w:hAnsi="仿宋" w:eastAsia="仿宋"/>
          <w:b w:val="0"/>
          <w:bCs/>
          <w:color w:val="000000"/>
          <w:sz w:val="32"/>
          <w:szCs w:val="32"/>
        </w:rPr>
        <w:t>2081004殡葬支出决算数为</w:t>
      </w:r>
      <w:r>
        <w:rPr>
          <w:rStyle w:val="17"/>
          <w:rFonts w:hint="eastAsia" w:ascii="仿宋" w:hAnsi="仿宋" w:eastAsia="仿宋"/>
          <w:b w:val="0"/>
          <w:bCs/>
          <w:color w:val="000000"/>
          <w:sz w:val="32"/>
          <w:szCs w:val="32"/>
          <w:lang w:val="en-US" w:eastAsia="zh-CN"/>
        </w:rPr>
        <w:t>144.22</w:t>
      </w:r>
      <w:r>
        <w:rPr>
          <w:rStyle w:val="17"/>
          <w:rFonts w:hint="eastAsia" w:ascii="仿宋" w:hAnsi="仿宋" w:eastAsia="仿宋"/>
          <w:b w:val="0"/>
          <w:bCs/>
          <w:color w:val="000000"/>
          <w:sz w:val="32"/>
          <w:szCs w:val="32"/>
        </w:rPr>
        <w:t>万元，完成预算100%。</w:t>
      </w:r>
    </w:p>
    <w:p w14:paraId="5AB3DB24">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128BB9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p>
    <w:p w14:paraId="10A452EF">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6E47DA5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273B050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26.83</w:t>
      </w:r>
      <w:r>
        <w:rPr>
          <w:rFonts w:hint="eastAsia" w:ascii="Times New Roman" w:hAnsi="Times New Roman" w:eastAsia="仿宋_GB2312" w:cs="仿宋_GB2312"/>
          <w:color w:val="auto"/>
          <w:kern w:val="2"/>
          <w:sz w:val="32"/>
          <w:szCs w:val="32"/>
          <w:highlight w:val="none"/>
          <w:lang w:val="en-US" w:eastAsia="zh-CN" w:bidi="ar-SA"/>
        </w:rPr>
        <w:t>%。</w:t>
      </w:r>
    </w:p>
    <w:p w14:paraId="5576A83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3D6BE3B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0.6</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66BB5A2">
      <w:pPr>
        <w:pStyle w:val="2"/>
        <w:rPr>
          <w:rFonts w:hint="eastAsia" w:ascii="仿宋_GB2312" w:hAnsi="仿宋_GB2312" w:eastAsia="仿宋_GB2312" w:cs="仿宋_GB2312"/>
          <w:color w:val="auto"/>
          <w:kern w:val="2"/>
          <w:sz w:val="32"/>
          <w:szCs w:val="32"/>
          <w:highlight w:val="none"/>
          <w:lang w:val="en-US" w:eastAsia="zh-CN" w:bidi="ar-SA"/>
        </w:rPr>
      </w:pPr>
    </w:p>
    <w:p w14:paraId="66A1E9EE">
      <w:pPr>
        <w:pStyle w:val="3"/>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544195</wp:posOffset>
            </wp:positionH>
            <wp:positionV relativeFrom="paragraph">
              <wp:posOffset>143510</wp:posOffset>
            </wp:positionV>
            <wp:extent cx="4448175" cy="2790825"/>
            <wp:effectExtent l="0" t="0" r="9525" b="9525"/>
            <wp:wrapTopAndBottom/>
            <wp:docPr id="15" name="图片 15" descr="{3aafd42c-e069-4347-8ab5-0786fbfc0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aafd42c-e069-4347-8ab5-0786fbfc09de}"/>
                    <pic:cNvPicPr>
                      <a:picLocks noChangeAspect="1"/>
                    </pic:cNvPicPr>
                  </pic:nvPicPr>
                  <pic:blipFill>
                    <a:blip r:embed="rId19"/>
                    <a:stretch>
                      <a:fillRect/>
                    </a:stretch>
                  </pic:blipFill>
                  <pic:spPr>
                    <a:xfrm>
                      <a:off x="0" y="0"/>
                      <a:ext cx="4448175" cy="2790825"/>
                    </a:xfrm>
                    <a:prstGeom prst="rect">
                      <a:avLst/>
                    </a:prstGeom>
                  </pic:spPr>
                </pic:pic>
              </a:graphicData>
            </a:graphic>
          </wp:anchor>
        </w:drawing>
      </w:r>
    </w:p>
    <w:p w14:paraId="4132E30D">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19153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0.22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26.83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一台公务车等待报废。</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皮卡车1</w:t>
      </w:r>
      <w:r>
        <w:rPr>
          <w:rFonts w:hint="eastAsia" w:ascii="Times New Roman" w:hAnsi="Times New Roman" w:eastAsia="仿宋_GB2312" w:cs="仿宋_GB2312"/>
          <w:color w:val="auto"/>
          <w:kern w:val="2"/>
          <w:sz w:val="32"/>
          <w:szCs w:val="32"/>
          <w:highlight w:val="none"/>
          <w:lang w:val="en-US" w:eastAsia="zh-CN" w:bidi="ar-SA"/>
        </w:rPr>
        <w:t>辆。</w:t>
      </w:r>
    </w:p>
    <w:p w14:paraId="4A7B70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0.6</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开会、办事</w:t>
      </w:r>
      <w:r>
        <w:rPr>
          <w:rFonts w:hint="eastAsia" w:ascii="Times New Roman" w:hAnsi="Times New Roman" w:eastAsia="仿宋_GB2312" w:cs="仿宋_GB2312"/>
          <w:color w:val="auto"/>
          <w:kern w:val="2"/>
          <w:sz w:val="32"/>
          <w:szCs w:val="32"/>
          <w:highlight w:val="none"/>
          <w:lang w:val="en-US" w:eastAsia="zh-CN" w:bidi="ar-SA"/>
        </w:rPr>
        <w:t>所需的公务用车燃料费、过路过桥费、保险费等支出。</w:t>
      </w:r>
    </w:p>
    <w:p w14:paraId="2FABB6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6F2C9B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2CCC2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77218"/>
      <w:bookmarkStart w:id="37" w:name="_Toc15396610"/>
    </w:p>
    <w:p w14:paraId="6D805A42">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76EC70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CBAF963">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1B2C56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63A6827">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1692967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23AECE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峨眉山市公墓服务中心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225D6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6550B0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峨眉山市公墓服务中心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DAF6A6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27268D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峨眉山市公墓服务中心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辆，其他用车主要是用于开会办事和载运立碑用材料等。单价100万元（含）以上设备（不含车辆）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A71DD1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120D3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w:t>
      </w:r>
      <w:r>
        <w:rPr>
          <w:rFonts w:hint="eastAsia" w:eastAsia="仿宋_GB2312" w:cs="仿宋_GB2312"/>
          <w:color w:val="auto"/>
          <w:kern w:val="2"/>
          <w:sz w:val="32"/>
          <w:szCs w:val="32"/>
          <w:highlight w:val="none"/>
          <w:lang w:val="en-US" w:eastAsia="zh-CN" w:bidi="ar-SA"/>
        </w:rPr>
        <w:t>对</w:t>
      </w:r>
      <w:r>
        <w:rPr>
          <w:rFonts w:hint="eastAsia" w:ascii="仿宋_GB2312" w:hAnsi="仿宋" w:eastAsia="仿宋_GB2312"/>
          <w:sz w:val="32"/>
          <w:szCs w:val="32"/>
          <w:lang w:val="en-US" w:eastAsia="zh-CN"/>
        </w:rPr>
        <w:t>殡葬运转经费、峨眉山陵园挡土墙加固两个项目</w:t>
      </w:r>
      <w:r>
        <w:rPr>
          <w:rFonts w:hint="eastAsia" w:ascii="Times New Roman" w:hAnsi="Times New Roman" w:eastAsia="仿宋_GB2312" w:cs="仿宋_GB2312"/>
          <w:color w:val="auto"/>
          <w:kern w:val="2"/>
          <w:sz w:val="32"/>
          <w:szCs w:val="32"/>
          <w:highlight w:val="none"/>
          <w:lang w:val="en-US" w:eastAsia="zh-CN" w:bidi="ar-SA"/>
        </w:rPr>
        <w:t>开展了预算事前绩效评估，对</w:t>
      </w:r>
      <w:r>
        <w:rPr>
          <w:rFonts w:hint="eastAsia" w:eastAsia="仿宋_GB2312" w:cs="仿宋_GB2312"/>
          <w:color w:val="auto"/>
          <w:kern w:val="2"/>
          <w:sz w:val="32"/>
          <w:szCs w:val="32"/>
          <w:highlight w:val="none"/>
          <w:lang w:val="en-US" w:eastAsia="zh-CN" w:bidi="ar-SA"/>
        </w:rPr>
        <w:t>两</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两</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255C1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4D8EE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14:paraId="3894BAB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A395068">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45"/>
      <w:bookmarkEnd w:id="46"/>
    </w:p>
    <w:p w14:paraId="78E4E7EF">
      <w:pPr>
        <w:spacing w:line="600" w:lineRule="exact"/>
        <w:jc w:val="left"/>
        <w:rPr>
          <w:rFonts w:ascii="Times New Roman" w:hAnsi="Times New Roman"/>
          <w:b/>
          <w:color w:val="auto"/>
          <w:sz w:val="44"/>
          <w:szCs w:val="44"/>
          <w:highlight w:val="none"/>
        </w:rPr>
      </w:pPr>
    </w:p>
    <w:p w14:paraId="0B7C77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CEB20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1AC170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4767F5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2920F2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2B66B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29267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AD8EC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611C43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_GB2312" w:eastAsia="仿宋_GB2312"/>
          <w:b w:val="0"/>
          <w:bCs w:val="0"/>
          <w:color w:val="000000"/>
          <w:sz w:val="32"/>
          <w:szCs w:val="32"/>
        </w:rPr>
        <w:t>社会保障和就业支出</w:t>
      </w:r>
      <w:r>
        <w:rPr>
          <w:rFonts w:hint="eastAsia" w:ascii="仿宋_GB2312" w:eastAsia="仿宋_GB2312"/>
          <w:b w:val="0"/>
          <w:bCs w:val="0"/>
          <w:color w:val="000000"/>
          <w:sz w:val="32"/>
          <w:szCs w:val="32"/>
          <w:lang w:eastAsia="zh-CN"/>
        </w:rPr>
        <w:t>，</w:t>
      </w:r>
      <w:r>
        <w:rPr>
          <w:rStyle w:val="17"/>
          <w:rFonts w:hint="eastAsia" w:ascii="仿宋" w:hAnsi="仿宋" w:eastAsia="仿宋"/>
          <w:b w:val="0"/>
          <w:bCs/>
          <w:color w:val="000000"/>
          <w:sz w:val="32"/>
          <w:szCs w:val="32"/>
        </w:rPr>
        <w:t>2081004殡葬支出：用于</w:t>
      </w:r>
      <w:r>
        <w:rPr>
          <w:rStyle w:val="17"/>
          <w:rFonts w:hint="eastAsia" w:ascii="仿宋" w:hAnsi="仿宋" w:eastAsia="仿宋"/>
          <w:b w:val="0"/>
          <w:bCs/>
          <w:color w:val="000000"/>
          <w:sz w:val="32"/>
          <w:szCs w:val="32"/>
          <w:lang w:eastAsia="zh-CN"/>
        </w:rPr>
        <w:t>临聘人员工资保险费、挡土墙维修工程费、日常维护、办公费和劳务费支出。</w:t>
      </w:r>
    </w:p>
    <w:p w14:paraId="1D46EB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CC6D3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3C70F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43D232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2EFA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60371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0D88DE12">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tbl>
      <w:tblPr>
        <w:tblStyle w:val="15"/>
        <w:tblpPr w:leftFromText="180" w:rightFromText="180" w:vertAnchor="text" w:horzAnchor="page" w:tblpX="1233" w:tblpY="473"/>
        <w:tblOverlap w:val="never"/>
        <w:tblW w:w="9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986"/>
        <w:gridCol w:w="1186"/>
        <w:gridCol w:w="1456"/>
        <w:gridCol w:w="511"/>
        <w:gridCol w:w="756"/>
        <w:gridCol w:w="511"/>
        <w:gridCol w:w="846"/>
        <w:gridCol w:w="633"/>
        <w:gridCol w:w="630"/>
        <w:gridCol w:w="1561"/>
      </w:tblGrid>
      <w:tr w14:paraId="1C8D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696D4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3859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2A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B03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51118122T000000358524-殡葬运转经费</w:t>
            </w:r>
          </w:p>
        </w:tc>
      </w:tr>
      <w:tr w14:paraId="7CFD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6A3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D6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46" w:type="dxa"/>
            <w:tcBorders>
              <w:top w:val="nil"/>
              <w:left w:val="nil"/>
              <w:bottom w:val="nil"/>
              <w:right w:val="nil"/>
            </w:tcBorders>
            <w:shd w:val="clear" w:color="auto" w:fill="auto"/>
            <w:vAlign w:val="center"/>
          </w:tcPr>
          <w:p w14:paraId="32B8315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BB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峨眉山市公墓服务中心</w:t>
            </w:r>
          </w:p>
        </w:tc>
      </w:tr>
      <w:tr w14:paraId="0043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0F9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41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49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3AB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D8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FC75">
            <w:pP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CC02">
            <w:pPr>
              <w:rPr>
                <w:rFonts w:hint="eastAsia" w:ascii="宋体" w:hAnsi="宋体" w:eastAsia="宋体" w:cs="宋体"/>
                <w:i w:val="0"/>
                <w:iCs w:val="0"/>
                <w:color w:val="000000"/>
                <w:sz w:val="18"/>
                <w:szCs w:val="18"/>
                <w:u w:val="none"/>
              </w:rPr>
            </w:pP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732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支付人员基本工资、各种保险、公用经费、维修费、材料费</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178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严格执行相关政策，足额发放支付，预算执行率为100%，全面完成预期目标。</w:t>
            </w:r>
          </w:p>
        </w:tc>
      </w:tr>
      <w:tr w14:paraId="73E1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FCE2">
            <w:pP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3A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C0B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按财政预算要求，按月发放缴纳4个编外人员工资、保险，保障单位日常运转水电费、电话费、维修费和材料费等。</w:t>
            </w:r>
          </w:p>
        </w:tc>
      </w:tr>
      <w:tr w14:paraId="4C1F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DB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1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B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0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B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A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5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D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54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B507">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C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E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5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B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0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7145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03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3D4C">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6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5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B6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3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4EB1">
            <w:pPr>
              <w:rPr>
                <w:rFonts w:hint="eastAsia" w:ascii="黑体" w:hAnsi="黑体" w:eastAsia="黑体" w:cs="黑体"/>
                <w:i/>
                <w:iCs/>
                <w:color w:val="000000"/>
                <w:sz w:val="18"/>
                <w:szCs w:val="18"/>
                <w:u w:val="none"/>
              </w:rPr>
            </w:pPr>
          </w:p>
        </w:tc>
      </w:tr>
      <w:tr w14:paraId="6D57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667F">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D4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5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D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6B0F">
            <w:pPr>
              <w:rPr>
                <w:rFonts w:hint="eastAsia" w:ascii="黑体" w:hAnsi="黑体" w:eastAsia="黑体" w:cs="黑体"/>
                <w:i/>
                <w:iCs/>
                <w:color w:val="000000"/>
                <w:sz w:val="18"/>
                <w:szCs w:val="18"/>
                <w:u w:val="none"/>
              </w:rPr>
            </w:pPr>
          </w:p>
        </w:tc>
      </w:tr>
      <w:tr w14:paraId="390F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E6ACE">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C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9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75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5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E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83E3">
            <w:pPr>
              <w:rPr>
                <w:rFonts w:hint="eastAsia" w:ascii="黑体" w:hAnsi="黑体" w:eastAsia="黑体" w:cs="黑体"/>
                <w:i/>
                <w:iCs/>
                <w:color w:val="000000"/>
                <w:sz w:val="18"/>
                <w:szCs w:val="18"/>
                <w:u w:val="none"/>
              </w:rPr>
            </w:pPr>
          </w:p>
        </w:tc>
      </w:tr>
      <w:tr w14:paraId="5B46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C1ED">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8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634">
            <w:pPr>
              <w:jc w:val="center"/>
              <w:rPr>
                <w:rFonts w:hint="eastAsia" w:ascii="微软雅黑" w:hAnsi="微软雅黑" w:eastAsia="微软雅黑" w:cs="微软雅黑"/>
                <w:i/>
                <w:iCs/>
                <w:color w:val="000000"/>
                <w:sz w:val="16"/>
                <w:szCs w:val="16"/>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F5D2">
            <w:pPr>
              <w:jc w:val="center"/>
              <w:rPr>
                <w:rFonts w:hint="eastAsia" w:ascii="微软雅黑" w:hAnsi="微软雅黑" w:eastAsia="微软雅黑" w:cs="微软雅黑"/>
                <w:i/>
                <w:iCs/>
                <w:color w:val="000000"/>
                <w:sz w:val="16"/>
                <w:szCs w:val="16"/>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E895C">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D948">
            <w:pPr>
              <w:jc w:val="center"/>
              <w:rPr>
                <w:rFonts w:hint="eastAsia" w:ascii="微软雅黑" w:hAnsi="微软雅黑" w:eastAsia="微软雅黑" w:cs="微软雅黑"/>
                <w:i/>
                <w:iCs/>
                <w:color w:val="000000"/>
                <w:sz w:val="16"/>
                <w:szCs w:val="16"/>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7EC1">
            <w:pPr>
              <w:rPr>
                <w:rFonts w:hint="eastAsia" w:ascii="黑体" w:hAnsi="黑体" w:eastAsia="黑体" w:cs="黑体"/>
                <w:i/>
                <w:iCs/>
                <w:color w:val="000000"/>
                <w:sz w:val="18"/>
                <w:szCs w:val="18"/>
                <w:u w:val="none"/>
              </w:rPr>
            </w:pPr>
          </w:p>
        </w:tc>
      </w:tr>
      <w:tr w14:paraId="4E64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01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2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4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0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9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9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8E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59CD4">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A3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墓区绿化、墓区大扫除、墓区维修</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4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6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A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1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CCB">
            <w:pPr>
              <w:jc w:val="center"/>
              <w:rPr>
                <w:rFonts w:hint="eastAsia" w:ascii="微软雅黑" w:hAnsi="微软雅黑" w:eastAsia="微软雅黑" w:cs="微软雅黑"/>
                <w:i/>
                <w:iCs/>
                <w:color w:val="000000"/>
                <w:sz w:val="16"/>
                <w:szCs w:val="16"/>
                <w:u w:val="none"/>
              </w:rPr>
            </w:pPr>
          </w:p>
        </w:tc>
      </w:tr>
      <w:tr w14:paraId="5886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E7EC">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6CFA">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6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D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环境优美，整洁卫生，保证墓区完好度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E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F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E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AAE2">
            <w:pPr>
              <w:jc w:val="center"/>
              <w:rPr>
                <w:rFonts w:hint="eastAsia" w:ascii="微软雅黑" w:hAnsi="微软雅黑" w:eastAsia="微软雅黑" w:cs="微软雅黑"/>
                <w:i/>
                <w:iCs/>
                <w:color w:val="000000"/>
                <w:sz w:val="16"/>
                <w:szCs w:val="16"/>
                <w:u w:val="none"/>
              </w:rPr>
            </w:pPr>
          </w:p>
        </w:tc>
      </w:tr>
      <w:tr w14:paraId="379B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3CF7">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A605">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7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持续稳定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F206">
            <w:pPr>
              <w:jc w:val="center"/>
              <w:rPr>
                <w:rFonts w:hint="eastAsia" w:ascii="微软雅黑" w:hAnsi="微软雅黑" w:eastAsia="微软雅黑" w:cs="微软雅黑"/>
                <w:i/>
                <w:iCs/>
                <w:color w:val="000000"/>
                <w:sz w:val="16"/>
                <w:szCs w:val="16"/>
                <w:u w:val="none"/>
              </w:rPr>
            </w:pPr>
          </w:p>
        </w:tc>
      </w:tr>
      <w:tr w14:paraId="0EE4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5AC7">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6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节约，合理安排，不浪费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F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B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B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3DD">
            <w:pPr>
              <w:jc w:val="center"/>
              <w:rPr>
                <w:rFonts w:hint="eastAsia" w:ascii="微软雅黑" w:hAnsi="微软雅黑" w:eastAsia="微软雅黑" w:cs="微软雅黑"/>
                <w:i/>
                <w:iCs/>
                <w:color w:val="000000"/>
                <w:sz w:val="16"/>
                <w:szCs w:val="16"/>
                <w:u w:val="none"/>
              </w:rPr>
            </w:pPr>
          </w:p>
        </w:tc>
      </w:tr>
      <w:tr w14:paraId="5593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3E24">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2217">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E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清明和春节提供鲜花、毛巾、水桶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C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8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9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60E3">
            <w:pPr>
              <w:jc w:val="center"/>
              <w:rPr>
                <w:rFonts w:hint="eastAsia" w:ascii="微软雅黑" w:hAnsi="微软雅黑" w:eastAsia="微软雅黑" w:cs="微软雅黑"/>
                <w:i/>
                <w:iCs/>
                <w:color w:val="000000"/>
                <w:sz w:val="16"/>
                <w:szCs w:val="16"/>
                <w:u w:val="none"/>
              </w:rPr>
            </w:pPr>
          </w:p>
        </w:tc>
      </w:tr>
      <w:tr w14:paraId="0989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8883">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63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B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D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让服务对象满意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6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4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7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4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2C26">
            <w:pPr>
              <w:jc w:val="center"/>
              <w:rPr>
                <w:rFonts w:hint="eastAsia" w:ascii="微软雅黑" w:hAnsi="微软雅黑" w:eastAsia="微软雅黑" w:cs="微软雅黑"/>
                <w:i/>
                <w:iCs/>
                <w:color w:val="000000"/>
                <w:sz w:val="16"/>
                <w:szCs w:val="16"/>
                <w:u w:val="none"/>
              </w:rPr>
            </w:pPr>
          </w:p>
        </w:tc>
      </w:tr>
      <w:tr w14:paraId="247B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5105">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DE37">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F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让帮扶对象满意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6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0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D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7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C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6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21C0">
            <w:pPr>
              <w:jc w:val="center"/>
              <w:rPr>
                <w:rFonts w:hint="eastAsia" w:ascii="微软雅黑" w:hAnsi="微软雅黑" w:eastAsia="微软雅黑" w:cs="微软雅黑"/>
                <w:i/>
                <w:iCs/>
                <w:color w:val="000000"/>
                <w:sz w:val="16"/>
                <w:szCs w:val="16"/>
                <w:u w:val="none"/>
              </w:rPr>
            </w:pPr>
          </w:p>
        </w:tc>
      </w:tr>
      <w:tr w14:paraId="65E8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E03C">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D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员工工资、保险、维修运转</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5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C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F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4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B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D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9ECE">
            <w:pPr>
              <w:jc w:val="center"/>
              <w:rPr>
                <w:rFonts w:hint="eastAsia" w:ascii="微软雅黑" w:hAnsi="微软雅黑" w:eastAsia="微软雅黑" w:cs="微软雅黑"/>
                <w:i/>
                <w:iCs/>
                <w:color w:val="000000"/>
                <w:sz w:val="16"/>
                <w:szCs w:val="16"/>
                <w:u w:val="none"/>
              </w:rPr>
            </w:pPr>
          </w:p>
        </w:tc>
      </w:tr>
      <w:tr w14:paraId="0866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A44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3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5A01">
            <w:pPr>
              <w:rPr>
                <w:rFonts w:hint="eastAsia" w:ascii="宋体" w:hAnsi="宋体" w:eastAsia="宋体" w:cs="宋体"/>
                <w:i w:val="0"/>
                <w:iCs w:val="0"/>
                <w:color w:val="000000"/>
                <w:sz w:val="18"/>
                <w:szCs w:val="18"/>
                <w:u w:val="none"/>
              </w:rPr>
            </w:pPr>
          </w:p>
        </w:tc>
      </w:tr>
      <w:tr w14:paraId="2F37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1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E0A2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46D8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D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BFCA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9F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0FDB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FA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520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项目负责人：王海英</w:t>
            </w:r>
          </w:p>
        </w:tc>
        <w:tc>
          <w:tcPr>
            <w:tcW w:w="4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3CEA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财务负责人：夏勇华</w:t>
            </w:r>
          </w:p>
        </w:tc>
      </w:tr>
      <w:tr w14:paraId="0959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758DB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103C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132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C385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51118122T000000430207-峨眉山陵园挡土墙加固项目</w:t>
            </w:r>
          </w:p>
        </w:tc>
      </w:tr>
      <w:tr w14:paraId="1F60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03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93B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46" w:type="dxa"/>
            <w:tcBorders>
              <w:top w:val="nil"/>
              <w:left w:val="nil"/>
              <w:bottom w:val="nil"/>
              <w:right w:val="nil"/>
            </w:tcBorders>
            <w:shd w:val="clear" w:color="auto" w:fill="auto"/>
            <w:vAlign w:val="center"/>
          </w:tcPr>
          <w:p w14:paraId="4D540E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32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峨眉山市公墓服务中心</w:t>
            </w:r>
          </w:p>
        </w:tc>
      </w:tr>
      <w:tr w14:paraId="5B66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E3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E8B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56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135A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AE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239A">
            <w:pP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8FA4">
            <w:pPr>
              <w:rPr>
                <w:rFonts w:hint="eastAsia" w:ascii="宋体" w:hAnsi="宋体" w:eastAsia="宋体" w:cs="宋体"/>
                <w:i w:val="0"/>
                <w:iCs w:val="0"/>
                <w:color w:val="000000"/>
                <w:sz w:val="18"/>
                <w:szCs w:val="18"/>
                <w:u w:val="none"/>
              </w:rPr>
            </w:pP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D3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完成峨眉山陵园挡土墙加固项目，解除峨眉山市公墓服务中心（川主墓区）墓地安全隐患。</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37B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严格执行相关政策，足额支付，预算执行率为100%，全面完成预期目标。</w:t>
            </w:r>
          </w:p>
        </w:tc>
      </w:tr>
      <w:tr w14:paraId="4C02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D638">
            <w:pP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BC32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峨眉山陵园挡土墙加固项目维修费、材料费、人工费等。</w:t>
            </w:r>
          </w:p>
        </w:tc>
      </w:tr>
      <w:tr w14:paraId="7A6E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76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C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7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2F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D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7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D3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BBAA">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48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2F9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4B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ADCD">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E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5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3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C3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D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4E00">
            <w:pPr>
              <w:rPr>
                <w:rFonts w:hint="eastAsia" w:ascii="黑体" w:hAnsi="黑体" w:eastAsia="黑体" w:cs="黑体"/>
                <w:i/>
                <w:iCs/>
                <w:color w:val="000000"/>
                <w:sz w:val="18"/>
                <w:szCs w:val="18"/>
                <w:u w:val="none"/>
              </w:rPr>
            </w:pPr>
          </w:p>
        </w:tc>
      </w:tr>
      <w:tr w14:paraId="0A14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E957">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4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97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6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B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7789">
            <w:pPr>
              <w:rPr>
                <w:rFonts w:hint="eastAsia" w:ascii="黑体" w:hAnsi="黑体" w:eastAsia="黑体" w:cs="黑体"/>
                <w:i/>
                <w:iCs/>
                <w:color w:val="000000"/>
                <w:sz w:val="18"/>
                <w:szCs w:val="18"/>
                <w:u w:val="none"/>
              </w:rPr>
            </w:pPr>
          </w:p>
        </w:tc>
      </w:tr>
      <w:tr w14:paraId="7F8C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6A0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D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7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82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7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7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A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B648">
            <w:pPr>
              <w:rPr>
                <w:rFonts w:hint="eastAsia" w:ascii="黑体" w:hAnsi="黑体" w:eastAsia="黑体" w:cs="黑体"/>
                <w:i/>
                <w:iCs/>
                <w:color w:val="000000"/>
                <w:sz w:val="18"/>
                <w:szCs w:val="18"/>
                <w:u w:val="none"/>
              </w:rPr>
            </w:pPr>
          </w:p>
        </w:tc>
      </w:tr>
      <w:tr w14:paraId="2F66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B74B">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6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F766">
            <w:pPr>
              <w:jc w:val="center"/>
              <w:rPr>
                <w:rFonts w:hint="eastAsia" w:ascii="微软雅黑" w:hAnsi="微软雅黑" w:eastAsia="微软雅黑" w:cs="微软雅黑"/>
                <w:i/>
                <w:iCs/>
                <w:color w:val="000000"/>
                <w:sz w:val="16"/>
                <w:szCs w:val="16"/>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47BD">
            <w:pPr>
              <w:jc w:val="center"/>
              <w:rPr>
                <w:rFonts w:hint="eastAsia" w:ascii="微软雅黑" w:hAnsi="微软雅黑" w:eastAsia="微软雅黑" w:cs="微软雅黑"/>
                <w:i/>
                <w:iCs/>
                <w:color w:val="000000"/>
                <w:sz w:val="16"/>
                <w:szCs w:val="16"/>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878C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A42">
            <w:pPr>
              <w:jc w:val="center"/>
              <w:rPr>
                <w:rFonts w:hint="eastAsia" w:ascii="微软雅黑" w:hAnsi="微软雅黑" w:eastAsia="微软雅黑" w:cs="微软雅黑"/>
                <w:i/>
                <w:iCs/>
                <w:color w:val="000000"/>
                <w:sz w:val="16"/>
                <w:szCs w:val="16"/>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0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371A">
            <w:pPr>
              <w:rPr>
                <w:rFonts w:hint="eastAsia" w:ascii="黑体" w:hAnsi="黑体" w:eastAsia="黑体" w:cs="黑体"/>
                <w:i/>
                <w:iCs/>
                <w:color w:val="000000"/>
                <w:sz w:val="18"/>
                <w:szCs w:val="18"/>
                <w:u w:val="none"/>
              </w:rPr>
            </w:pPr>
          </w:p>
        </w:tc>
      </w:tr>
      <w:tr w14:paraId="167E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B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2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5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A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6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D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9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E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6B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2D6D">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2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3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挡土墙加固质量达标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6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7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8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D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6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3BC3">
            <w:pPr>
              <w:jc w:val="center"/>
              <w:rPr>
                <w:rFonts w:hint="eastAsia" w:ascii="微软雅黑" w:hAnsi="微软雅黑" w:eastAsia="微软雅黑" w:cs="微软雅黑"/>
                <w:i/>
                <w:iCs/>
                <w:color w:val="000000"/>
                <w:sz w:val="16"/>
                <w:szCs w:val="16"/>
                <w:u w:val="none"/>
              </w:rPr>
            </w:pPr>
          </w:p>
        </w:tc>
      </w:tr>
      <w:tr w14:paraId="4EE2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748A">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7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D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维护陵园生态安全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A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5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E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0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3888">
            <w:pPr>
              <w:jc w:val="center"/>
              <w:rPr>
                <w:rFonts w:hint="eastAsia" w:ascii="微软雅黑" w:hAnsi="微软雅黑" w:eastAsia="微软雅黑" w:cs="微软雅黑"/>
                <w:i/>
                <w:iCs/>
                <w:color w:val="000000"/>
                <w:sz w:val="16"/>
                <w:szCs w:val="16"/>
                <w:u w:val="none"/>
              </w:rPr>
            </w:pPr>
          </w:p>
        </w:tc>
      </w:tr>
      <w:tr w14:paraId="32FB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3A1D">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4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D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丧家满意度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F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1069">
            <w:pPr>
              <w:jc w:val="center"/>
              <w:rPr>
                <w:rFonts w:hint="eastAsia" w:ascii="微软雅黑" w:hAnsi="微软雅黑" w:eastAsia="微软雅黑" w:cs="微软雅黑"/>
                <w:i/>
                <w:iCs/>
                <w:color w:val="000000"/>
                <w:sz w:val="16"/>
                <w:szCs w:val="16"/>
                <w:u w:val="none"/>
              </w:rPr>
            </w:pPr>
          </w:p>
        </w:tc>
      </w:tr>
      <w:tr w14:paraId="1536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B63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E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8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B99">
            <w:pPr>
              <w:rPr>
                <w:rFonts w:hint="eastAsia" w:ascii="宋体" w:hAnsi="宋体" w:eastAsia="宋体" w:cs="宋体"/>
                <w:i w:val="0"/>
                <w:iCs w:val="0"/>
                <w:color w:val="000000"/>
                <w:sz w:val="18"/>
                <w:szCs w:val="18"/>
                <w:u w:val="none"/>
              </w:rPr>
            </w:pPr>
          </w:p>
        </w:tc>
      </w:tr>
      <w:tr w14:paraId="7BAB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1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270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331A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A6ED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A4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D25B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5F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9E9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项目负责人：王海英</w:t>
            </w:r>
          </w:p>
        </w:tc>
        <w:tc>
          <w:tcPr>
            <w:tcW w:w="4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C59F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财务负责人：夏勇华</w:t>
            </w:r>
          </w:p>
        </w:tc>
      </w:tr>
    </w:tbl>
    <w:p w14:paraId="76E1F30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B3ABB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EDCBE3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E3930C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341EE4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14:paraId="6CA2B5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4636DD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518A203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6F8788B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74B89C7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732381D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C0237F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505C4E2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522E909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1D2162C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4297629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4E13AED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6C6F4C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314FA5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3EF80F39">
      <w:pPr>
        <w:rPr>
          <w:rFonts w:hint="eastAsia" w:ascii="Times New Roman" w:hAnsi="Times New Roman"/>
          <w:lang w:eastAsia="zh-CN"/>
        </w:rPr>
      </w:pPr>
    </w:p>
    <w:sectPr>
      <w:footerReference r:id="rId11" w:type="first"/>
      <w:footerReference r:id="rId10"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3BE9E">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7533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275334">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5E27024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522F">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2B8BA">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E2B8BA">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640F">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16388">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316388">
                    <w:pPr>
                      <w:pStyle w:val="11"/>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4BE85">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14BE85">
                    <w:pPr>
                      <w:pStyle w:val="11"/>
                    </w:pPr>
                  </w:p>
                </w:txbxContent>
              </v:textbox>
            </v:shape>
          </w:pict>
        </mc:Fallback>
      </mc:AlternateContent>
    </w:r>
  </w:p>
  <w:p w14:paraId="6D9CF6BB">
    <w:pPr>
      <w:pStyle w:val="11"/>
      <w:ind w:firstLine="3780" w:firstLineChars="2100"/>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A36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A1CA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4A1CA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3BCC">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E958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F3E9585">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26D8E28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25AD">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D062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8D062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61C9">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AEE7">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F957">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0E6483"/>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9D17A4E"/>
    <w:rsid w:val="1BE8440E"/>
    <w:rsid w:val="1D155CEE"/>
    <w:rsid w:val="1D1638FE"/>
    <w:rsid w:val="1E312DEB"/>
    <w:rsid w:val="1E740ACF"/>
    <w:rsid w:val="1FF35744"/>
    <w:rsid w:val="1FF6BC77"/>
    <w:rsid w:val="206532C0"/>
    <w:rsid w:val="2186353C"/>
    <w:rsid w:val="23860B96"/>
    <w:rsid w:val="240371BF"/>
    <w:rsid w:val="244F3473"/>
    <w:rsid w:val="24C97D99"/>
    <w:rsid w:val="25A718F0"/>
    <w:rsid w:val="25BB59F6"/>
    <w:rsid w:val="260F557C"/>
    <w:rsid w:val="26970054"/>
    <w:rsid w:val="281408E2"/>
    <w:rsid w:val="28955827"/>
    <w:rsid w:val="29FD04D3"/>
    <w:rsid w:val="2BFF7BC6"/>
    <w:rsid w:val="2C8A61B5"/>
    <w:rsid w:val="2DD8487A"/>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766539"/>
    <w:rsid w:val="423912D4"/>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A12CE4"/>
    <w:rsid w:val="4FE9BD67"/>
    <w:rsid w:val="4FFB052F"/>
    <w:rsid w:val="532A6F77"/>
    <w:rsid w:val="537E6D0A"/>
    <w:rsid w:val="53F74C96"/>
    <w:rsid w:val="55170BA8"/>
    <w:rsid w:val="553218C9"/>
    <w:rsid w:val="567E1AA5"/>
    <w:rsid w:val="56E47B74"/>
    <w:rsid w:val="57175D52"/>
    <w:rsid w:val="57BD3DD4"/>
    <w:rsid w:val="59524463"/>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7F523A1"/>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1053A4"/>
    <w:rsid w:val="783E271A"/>
    <w:rsid w:val="78616DE9"/>
    <w:rsid w:val="78E875D7"/>
    <w:rsid w:val="79086DAD"/>
    <w:rsid w:val="79D7FD79"/>
    <w:rsid w:val="79EE5BA4"/>
    <w:rsid w:val="7A661833"/>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4026</Words>
  <Characters>4992</Characters>
  <Lines>61</Lines>
  <Paragraphs>17</Paragraphs>
  <TotalTime>32</TotalTime>
  <ScaleCrop>false</ScaleCrop>
  <LinksUpToDate>false</LinksUpToDate>
  <CharactersWithSpaces>5027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WPS_1723540421</cp:lastModifiedBy>
  <cp:lastPrinted>2025-11-21T01:52:00Z</cp:lastPrinted>
  <dcterms:modified xsi:type="dcterms:W3CDTF">2025-12-02T07:57:41Z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A7DA2B88E4834FE5AF17764A2BAD54D4</vt:lpwstr>
  </property>
  <property fmtid="{D5CDD505-2E9C-101B-9397-08002B2CF9AE}" pid="4" name="KSOTemplateDocerSaveRecord">
    <vt:lpwstr>eyJoZGlkIjoiZDA0NzIyNGE4ZTQ4YjlkZjFhMTg2YjFkMDBkMTg3ZDUiLCJ1c2VySWQiOiIxNjIyMjc1OTQzIn0=</vt:lpwstr>
  </property>
</Properties>
</file>