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935E4">
      <w:pPr>
        <w:spacing w:line="600" w:lineRule="exact"/>
        <w:jc w:val="both"/>
        <w:outlineLvl w:val="9"/>
        <w:rPr>
          <w:rFonts w:ascii="Times New Roman" w:hAnsi="Times New Roman" w:eastAsia="方正小标宋简体"/>
          <w:color w:val="auto"/>
          <w:sz w:val="72"/>
          <w:szCs w:val="72"/>
          <w:highlight w:val="none"/>
        </w:rPr>
      </w:pPr>
      <w:bookmarkStart w:id="0" w:name="_Toc15377425"/>
      <w:bookmarkStart w:id="1" w:name="_Toc15396597"/>
      <w:bookmarkStart w:id="2" w:name="_Toc15377193"/>
      <w:bookmarkStart w:id="3" w:name="_Toc15396475"/>
      <w:bookmarkStart w:id="4" w:name="_Toc15378441"/>
      <w:bookmarkStart w:id="5" w:name="_Toc15306267"/>
    </w:p>
    <w:p w14:paraId="0F096800">
      <w:pPr>
        <w:rPr>
          <w:rFonts w:ascii="Times New Roman" w:hAnsi="Times New Roman"/>
        </w:rPr>
      </w:pPr>
    </w:p>
    <w:p w14:paraId="37883285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5F79D8F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752F5674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C4B7A3E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bookmarkEnd w:id="0"/>
    <w:bookmarkEnd w:id="1"/>
    <w:bookmarkEnd w:id="2"/>
    <w:bookmarkEnd w:id="3"/>
    <w:bookmarkEnd w:id="4"/>
    <w:p w14:paraId="7358714A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6" w:name="_Toc15396598"/>
      <w:bookmarkStart w:id="7" w:name="_Toc15378442"/>
      <w:bookmarkStart w:id="8" w:name="_Toc15377426"/>
      <w:bookmarkStart w:id="9" w:name="_Toc15396476"/>
      <w:bookmarkStart w:id="10" w:name="_Toc15377194"/>
      <w:bookmarkStart w:id="106" w:name="_GoBack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2024年度四川省</w:t>
      </w:r>
      <w:bookmarkEnd w:id="5"/>
      <w:bookmarkStart w:id="11" w:name="_Toc15306268"/>
      <w:r>
        <w:rPr>
          <w:rFonts w:hint="eastAsia" w:asci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峨眉山市民政福利院单位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决算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情况说明</w:t>
      </w:r>
    </w:p>
    <w:bookmarkEnd w:id="106"/>
    <w:p w14:paraId="7175F40D">
      <w:pPr>
        <w:widowControl/>
        <w:jc w:val="center"/>
        <w:rPr>
          <w:rFonts w:ascii="Times New Roman" w:hAnsi="Times New Roman" w:eastAsia="黑体"/>
          <w:color w:val="auto"/>
          <w:sz w:val="48"/>
          <w:szCs w:val="48"/>
          <w:highlight w:val="none"/>
        </w:rPr>
      </w:pPr>
      <w:r>
        <w:rPr>
          <w:rFonts w:ascii="Times New Roman" w:hAnsi="Times New Roman" w:eastAsia="方正小标宋简体"/>
          <w:color w:val="auto"/>
          <w:sz w:val="36"/>
          <w:szCs w:val="36"/>
          <w:highlight w:val="none"/>
        </w:rPr>
        <w:br w:type="page"/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60340"/>
        <w15:color w:val="DBDBDB"/>
        <w:docPartObj>
          <w:docPartGallery w:val="Table of Contents"/>
          <w:docPartUnique/>
        </w:docPartObj>
      </w:sdtPr>
      <w:sdtEndPr>
        <w:rPr>
          <w:rFonts w:hint="eastAsia" w:ascii="Arial" w:hAnsi="Arial" w:eastAsia="黑体" w:cs="Times New Roman"/>
          <w:b/>
          <w:kern w:val="2"/>
          <w:sz w:val="24"/>
          <w:szCs w:val="28"/>
          <w:lang w:val="en-US" w:eastAsia="zh-CN" w:bidi="ar-SA"/>
        </w:rPr>
      </w:sdtEndPr>
      <w:sdtContent>
        <w:p w14:paraId="1213895B">
          <w:pPr>
            <w:pStyle w:val="33"/>
            <w:jc w:val="center"/>
            <w:rPr>
              <w:b/>
              <w:bCs/>
              <w:color w:val="auto"/>
              <w:lang w:val="zh-CN"/>
            </w:rPr>
          </w:pPr>
          <w:bookmarkStart w:id="12" w:name="_Toc15377196"/>
          <w:bookmarkStart w:id="13" w:name="_Toc15396599"/>
          <w:r>
            <w:rPr>
              <w:b/>
              <w:bCs/>
              <w:color w:val="auto"/>
              <w:lang w:val="zh-CN"/>
            </w:rPr>
            <w:t>目录</w:t>
          </w:r>
        </w:p>
        <w:p w14:paraId="538C8927">
          <w:pPr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公开时间：202</w:t>
          </w:r>
          <w:r>
            <w:rPr>
              <w:rFonts w:hint="eastAsia"/>
              <w:sz w:val="28"/>
              <w:szCs w:val="28"/>
              <w:lang w:val="en-US" w:eastAsia="zh-CN"/>
            </w:rPr>
            <w:t>5</w:t>
          </w:r>
          <w:r>
            <w:rPr>
              <w:rFonts w:hint="eastAsia"/>
              <w:sz w:val="28"/>
              <w:szCs w:val="28"/>
            </w:rPr>
            <w:t>年</w:t>
          </w:r>
          <w:r>
            <w:rPr>
              <w:rFonts w:hint="eastAsia"/>
              <w:sz w:val="28"/>
              <w:szCs w:val="28"/>
              <w:lang w:val="en-US" w:eastAsia="zh-CN"/>
            </w:rPr>
            <w:t>12</w:t>
          </w:r>
          <w:r>
            <w:rPr>
              <w:rFonts w:hint="eastAsia"/>
              <w:sz w:val="28"/>
              <w:szCs w:val="28"/>
            </w:rPr>
            <w:t>月</w:t>
          </w:r>
          <w:r>
            <w:rPr>
              <w:rFonts w:hint="eastAsia"/>
              <w:sz w:val="28"/>
              <w:szCs w:val="28"/>
              <w:lang w:val="en-US" w:eastAsia="zh-CN"/>
            </w:rPr>
            <w:t>3</w:t>
          </w:r>
          <w:r>
            <w:rPr>
              <w:rFonts w:hint="eastAsia"/>
              <w:sz w:val="28"/>
              <w:szCs w:val="28"/>
            </w:rPr>
            <w:t>日</w:t>
          </w:r>
        </w:p>
        <w:p w14:paraId="6532174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5A1EA11D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_Toc12222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>第一部分</w:t>
          </w:r>
          <w:r>
            <w:rPr>
              <w:rFonts w:hint="eastAsia" w:ascii="Times New Roman" w:hAnsi="Times New Roman" w:eastAsia="方正小标宋简体" w:cs="方正小标宋简体"/>
              <w:highlight w:val="none"/>
              <w:lang w:val="en-US" w:eastAsia="zh-CN"/>
            </w:rPr>
            <w:t xml:space="preserve"> </w:t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 xml:space="preserve"> </w:t>
          </w:r>
          <w:r>
            <w:rPr>
              <w:rFonts w:hint="eastAsia" w:ascii="Times New Roman" w:hAnsi="Times New Roman" w:eastAsia="方正小标宋简体" w:cs="方正小标宋简体"/>
              <w:bCs w:val="0"/>
              <w:highlight w:val="none"/>
            </w:rPr>
            <w:t>部门概况</w:t>
          </w:r>
          <w:r>
            <w:tab/>
          </w:r>
          <w:r>
            <w:fldChar w:fldCharType="begin"/>
          </w:r>
          <w:r>
            <w:instrText xml:space="preserve"> PAGEREF _Toc12222 \h </w:instrText>
          </w:r>
          <w:r>
            <w:fldChar w:fldCharType="separate"/>
          </w:r>
          <w:r>
            <w:t>- 3 -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EE0C52B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_Toc20726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lang w:eastAsia="zh-CN"/>
            </w:rPr>
            <w:t>一、</w:t>
          </w:r>
          <w:r>
            <w:rPr>
              <w:rFonts w:hint="eastAsia" w:ascii="Times New Roman" w:hAnsi="Times New Roman" w:eastAsia="黑体"/>
              <w:highlight w:val="none"/>
              <w:lang w:eastAsia="zh-CN"/>
            </w:rPr>
            <w:t>部门职责</w:t>
          </w:r>
          <w:r>
            <w:tab/>
          </w:r>
          <w:r>
            <w:fldChar w:fldCharType="begin"/>
          </w:r>
          <w:r>
            <w:instrText xml:space="preserve"> PAGEREF _Toc20726 \h </w:instrText>
          </w:r>
          <w:r>
            <w:fldChar w:fldCharType="separate"/>
          </w:r>
          <w:r>
            <w:t>- 3 -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7F30344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_Toc8536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highlight w:val="none"/>
            </w:rPr>
            <w:t>二、机</w:t>
          </w:r>
          <w:r>
            <w:rPr>
              <w:rFonts w:hint="eastAsia" w:ascii="Times New Roman" w:hAnsi="Times New Roman" w:eastAsia="黑体"/>
              <w:bCs w:val="0"/>
              <w:highlight w:val="none"/>
            </w:rPr>
            <w:t>构设置</w:t>
          </w:r>
          <w:r>
            <w:tab/>
          </w:r>
          <w:r>
            <w:fldChar w:fldCharType="begin"/>
          </w:r>
          <w:r>
            <w:instrText xml:space="preserve"> PAGEREF _Toc8536 \h </w:instrText>
          </w:r>
          <w:r>
            <w:fldChar w:fldCharType="separate"/>
          </w:r>
          <w:r>
            <w:t>- 3 -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4E2A02C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_Toc10050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>第二部分</w:t>
          </w:r>
          <w:r>
            <w:rPr>
              <w:rFonts w:hint="eastAsia" w:ascii="Times New Roman" w:hAnsi="Times New Roman" w:eastAsia="方正小标宋简体" w:cs="方正小标宋简体"/>
              <w:highlight w:val="none"/>
              <w:lang w:val="en-US" w:eastAsia="zh-CN"/>
            </w:rPr>
            <w:t xml:space="preserve"> </w:t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 xml:space="preserve"> </w:t>
          </w:r>
          <w:r>
            <w:rPr>
              <w:rFonts w:hint="eastAsia" w:ascii="Times New Roman" w:hAnsi="Times New Roman" w:eastAsia="方正小标宋简体" w:cs="方正小标宋简体"/>
              <w:highlight w:val="none"/>
              <w:lang w:val="en-US" w:eastAsia="zh-CN"/>
            </w:rPr>
            <w:t>2024年度</w:t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>部门决算情况说明</w:t>
          </w:r>
          <w:r>
            <w:tab/>
          </w:r>
          <w:r>
            <w:fldChar w:fldCharType="begin"/>
          </w:r>
          <w:r>
            <w:instrText xml:space="preserve"> PAGEREF _Toc10050 \h </w:instrText>
          </w:r>
          <w:r>
            <w:fldChar w:fldCharType="separate"/>
          </w:r>
          <w:r>
            <w:t>- 3 -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499F64A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_Toc14021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  <w:lang w:eastAsia="zh-CN"/>
            </w:rPr>
            <w:t>一、</w:t>
          </w:r>
          <w:r>
            <w:rPr>
              <w:rFonts w:hint="eastAsia" w:ascii="Times New Roman" w:hAnsi="Times New Roman" w:eastAsia="黑体"/>
              <w:szCs w:val="32"/>
              <w:highlight w:val="none"/>
            </w:rPr>
            <w:t>收</w:t>
          </w:r>
          <w:r>
            <w:rPr>
              <w:rFonts w:hint="eastAsia" w:ascii="Times New Roman" w:hAnsi="Times New Roman" w:eastAsia="黑体"/>
              <w:highlight w:val="none"/>
            </w:rPr>
            <w:t>入支出决算总体情况说明</w:t>
          </w:r>
          <w:r>
            <w:tab/>
          </w:r>
          <w:r>
            <w:fldChar w:fldCharType="begin"/>
          </w:r>
          <w:r>
            <w:instrText xml:space="preserve"> PAGEREF _Toc14021 \h </w:instrText>
          </w:r>
          <w:r>
            <w:fldChar w:fldCharType="separate"/>
          </w:r>
          <w:r>
            <w:t>- 4 -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1C588E7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_Toc20770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  <w:lang w:eastAsia="zh-CN"/>
            </w:rPr>
            <w:t>二、收入决算情况说明</w:t>
          </w:r>
          <w:r>
            <w:tab/>
          </w:r>
          <w:r>
            <w:fldChar w:fldCharType="begin"/>
          </w:r>
          <w:r>
            <w:instrText xml:space="preserve"> PAGEREF _Toc20770 \h </w:instrText>
          </w:r>
          <w:r>
            <w:fldChar w:fldCharType="separate"/>
          </w:r>
          <w:r>
            <w:t>- 4 -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FD1CF84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_Toc24908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  <w:lang w:eastAsia="zh-CN"/>
            </w:rPr>
            <w:t>三、</w:t>
          </w:r>
          <w:r>
            <w:rPr>
              <w:rFonts w:hint="eastAsia" w:ascii="Times New Roman" w:hAnsi="Times New Roman" w:eastAsia="黑体"/>
              <w:szCs w:val="32"/>
              <w:highlight w:val="none"/>
            </w:rPr>
            <w:t>支</w:t>
          </w:r>
          <w:r>
            <w:rPr>
              <w:rFonts w:hint="eastAsia" w:ascii="Times New Roman" w:hAnsi="Times New Roman" w:eastAsia="黑体"/>
              <w:highlight w:val="none"/>
            </w:rPr>
            <w:t>出决算情况说明</w:t>
          </w:r>
          <w:r>
            <w:tab/>
          </w:r>
          <w:r>
            <w:fldChar w:fldCharType="begin"/>
          </w:r>
          <w:r>
            <w:instrText xml:space="preserve"> PAGEREF _Toc24908 \h </w:instrText>
          </w:r>
          <w:r>
            <w:fldChar w:fldCharType="separate"/>
          </w:r>
          <w:r>
            <w:t>- 5 -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DD0087E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_Toc9537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</w:rPr>
            <w:t>四、财</w:t>
          </w:r>
          <w:r>
            <w:rPr>
              <w:rFonts w:hint="eastAsia" w:ascii="Times New Roman" w:hAnsi="Times New Roman" w:eastAsia="黑体"/>
              <w:highlight w:val="none"/>
            </w:rPr>
            <w:t>政拨款收入支出决算总体情况说明</w:t>
          </w:r>
          <w:r>
            <w:tab/>
          </w:r>
          <w:r>
            <w:fldChar w:fldCharType="begin"/>
          </w:r>
          <w:r>
            <w:instrText xml:space="preserve"> PAGEREF _Toc9537 \h </w:instrText>
          </w:r>
          <w:r>
            <w:fldChar w:fldCharType="separate"/>
          </w:r>
          <w:r>
            <w:t>- 5 -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5331633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_Toc1397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</w:rPr>
            <w:t>五、一</w:t>
          </w:r>
          <w:r>
            <w:rPr>
              <w:rFonts w:hint="eastAsia" w:ascii="Times New Roman" w:hAnsi="Times New Roman" w:eastAsia="黑体"/>
              <w:highlight w:val="none"/>
            </w:rPr>
            <w:t>般公共预算财政拨款支出决算情况说明</w:t>
          </w:r>
          <w:r>
            <w:tab/>
          </w:r>
          <w:r>
            <w:fldChar w:fldCharType="begin"/>
          </w:r>
          <w:r>
            <w:instrText xml:space="preserve"> PAGEREF _Toc1397 \h </w:instrText>
          </w:r>
          <w:r>
            <w:fldChar w:fldCharType="separate"/>
          </w:r>
          <w:r>
            <w:t>- 6 -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4EEEF09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_Toc1098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（一）一般公共预算财政拨款支出决算总体情况</w:t>
          </w:r>
          <w:r>
            <w:tab/>
          </w:r>
          <w:r>
            <w:fldChar w:fldCharType="begin"/>
          </w:r>
          <w:r>
            <w:instrText xml:space="preserve"> PAGEREF _Toc1098 \h </w:instrText>
          </w:r>
          <w:r>
            <w:fldChar w:fldCharType="separate"/>
          </w:r>
          <w:r>
            <w:t>- 6 -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B47E482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_Toc32362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（二）一般公共预算财政拨款支出决算结构情况</w:t>
          </w:r>
          <w:r>
            <w:tab/>
          </w:r>
          <w:r>
            <w:fldChar w:fldCharType="begin"/>
          </w:r>
          <w:r>
            <w:instrText xml:space="preserve"> PAGEREF _Toc32362 \h </w:instrText>
          </w:r>
          <w:r>
            <w:fldChar w:fldCharType="separate"/>
          </w:r>
          <w:r>
            <w:t>- 7 -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8044C62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_Toc28000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（三）一般公共预算财政拨款支出决算具体情况</w:t>
          </w:r>
          <w:r>
            <w:tab/>
          </w:r>
          <w:r>
            <w:fldChar w:fldCharType="begin"/>
          </w:r>
          <w:r>
            <w:instrText xml:space="preserve"> PAGEREF _Toc28000 \h </w:instrText>
          </w:r>
          <w:r>
            <w:fldChar w:fldCharType="separate"/>
          </w:r>
          <w:r>
            <w:t>- 7 -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A07A55A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_Toc1263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</w:rPr>
            <w:t>六、一</w:t>
          </w:r>
          <w:r>
            <w:rPr>
              <w:rFonts w:hint="eastAsia" w:ascii="Times New Roman" w:hAnsi="Times New Roman" w:eastAsia="黑体"/>
              <w:highlight w:val="none"/>
            </w:rPr>
            <w:t>般公共预算财政拨款基本支出决算情况说明</w:t>
          </w:r>
          <w:r>
            <w:tab/>
          </w:r>
          <w:r>
            <w:fldChar w:fldCharType="begin"/>
          </w:r>
          <w:r>
            <w:instrText xml:space="preserve"> PAGEREF _Toc1263 \h </w:instrText>
          </w:r>
          <w:r>
            <w:fldChar w:fldCharType="separate"/>
          </w:r>
          <w:r>
            <w:t>- 8 -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672DDC3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_Toc23450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</w:rPr>
            <w:t>七、</w:t>
          </w:r>
          <w:r>
            <w:rPr>
              <w:rFonts w:hint="eastAsia" w:ascii="Times New Roman" w:hAnsi="Times New Roman" w:eastAsia="黑体"/>
              <w:highlight w:val="none"/>
            </w:rPr>
            <w:t>财政拨款“三公”经费支出决算情况说明</w:t>
          </w:r>
          <w:r>
            <w:tab/>
          </w:r>
          <w:r>
            <w:fldChar w:fldCharType="begin"/>
          </w:r>
          <w:r>
            <w:instrText xml:space="preserve"> PAGEREF _Toc23450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4DABFC6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_Toc24450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（一）“三公”经费财政拨款支出决算总体情况说明</w:t>
          </w:r>
          <w:r>
            <w:tab/>
          </w:r>
          <w:r>
            <w:fldChar w:fldCharType="begin"/>
          </w:r>
          <w:r>
            <w:instrText xml:space="preserve"> PAGEREF _Toc24450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445DD4A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_Toc23612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（二）“三公”经费财政拨款支出决算具体情况说明</w:t>
          </w:r>
          <w:r>
            <w:tab/>
          </w:r>
          <w:r>
            <w:fldChar w:fldCharType="begin"/>
          </w:r>
          <w:r>
            <w:instrText xml:space="preserve"> PAGEREF _Toc23612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EB8D8C7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_Toc11308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szCs w:val="32"/>
              <w:highlight w:val="none"/>
            </w:rPr>
            <w:t>八、</w:t>
          </w:r>
          <w:r>
            <w:rPr>
              <w:rFonts w:hint="eastAsia" w:ascii="Times New Roman" w:hAnsi="Times New Roman" w:eastAsia="黑体"/>
              <w:highlight w:val="none"/>
            </w:rPr>
            <w:t>政府性基金预算支出决算情况说明</w:t>
          </w:r>
          <w:r>
            <w:tab/>
          </w:r>
          <w:r>
            <w:fldChar w:fldCharType="begin"/>
          </w:r>
          <w:r>
            <w:instrText xml:space="preserve"> PAGEREF _Toc11308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4D51FF5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_Toc2998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highlight w:val="none"/>
              <w:lang w:eastAsia="zh-CN"/>
            </w:rPr>
            <w:t>九、</w:t>
          </w:r>
          <w:r>
            <w:rPr>
              <w:rFonts w:hint="eastAsia" w:ascii="Times New Roman" w:hAnsi="Times New Roman" w:eastAsia="黑体"/>
              <w:highlight w:val="none"/>
            </w:rPr>
            <w:t>国有资本经营预算支出决算情况说明</w:t>
          </w:r>
          <w:r>
            <w:tab/>
          </w:r>
          <w:r>
            <w:fldChar w:fldCharType="begin"/>
          </w:r>
          <w:r>
            <w:instrText xml:space="preserve"> PAGEREF _Toc2998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4686748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_Toc23032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黑体"/>
              <w:highlight w:val="none"/>
              <w:lang w:eastAsia="zh-CN"/>
            </w:rPr>
            <w:t>十、</w:t>
          </w:r>
          <w:r>
            <w:rPr>
              <w:rFonts w:hint="eastAsia" w:ascii="Times New Roman" w:hAnsi="Times New Roman" w:eastAsia="黑体"/>
              <w:highlight w:val="none"/>
            </w:rPr>
            <w:t>其他重要事项的情况说明</w:t>
          </w:r>
          <w:r>
            <w:tab/>
          </w:r>
          <w:r>
            <w:fldChar w:fldCharType="begin"/>
          </w:r>
          <w:r>
            <w:instrText xml:space="preserve"> PAGEREF _Toc23032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A656ECD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_Toc22461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（一）机关运行经费支出情况</w:t>
          </w:r>
          <w:r>
            <w:tab/>
          </w:r>
          <w:r>
            <w:fldChar w:fldCharType="begin"/>
          </w:r>
          <w:r>
            <w:instrText xml:space="preserve"> PAGEREF _Toc22461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5FC92F5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_Toc22336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（二）政府采购支出情况</w:t>
          </w:r>
          <w:r>
            <w:tab/>
          </w:r>
          <w:r>
            <w:fldChar w:fldCharType="begin"/>
          </w:r>
          <w:r>
            <w:instrText xml:space="preserve"> PAGEREF _Toc22336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151D0D7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_Toc5873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（三）国有资产占有使用情况</w:t>
          </w:r>
          <w:r>
            <w:tab/>
          </w:r>
          <w:r>
            <w:fldChar w:fldCharType="begin"/>
          </w:r>
          <w:r>
            <w:instrText xml:space="preserve"> PAGEREF _Toc5873 \h </w:instrText>
          </w:r>
          <w:r>
            <w:fldChar w:fldCharType="separate"/>
          </w:r>
          <w:r>
            <w:t>- 10 -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73DA566">
          <w:pPr>
            <w:pStyle w:val="9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_Toc25378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楷体_GB2312" w:cs="楷体_GB2312"/>
              <w:szCs w:val="32"/>
              <w:highlight w:val="none"/>
            </w:rPr>
            <w:t>（四）预算绩效管理情况</w:t>
          </w:r>
          <w:r>
            <w:tab/>
          </w:r>
          <w:r>
            <w:fldChar w:fldCharType="begin"/>
          </w:r>
          <w:r>
            <w:instrText xml:space="preserve"> PAGEREF _Toc25378 \h </w:instrText>
          </w:r>
          <w:r>
            <w:fldChar w:fldCharType="separate"/>
          </w:r>
          <w:r>
            <w:t>- 10 -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6809EDD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_Toc19182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>第</w:t>
          </w:r>
          <w:r>
            <w:rPr>
              <w:rFonts w:hint="eastAsia" w:ascii="Times New Roman" w:hAnsi="Times New Roman" w:eastAsia="方正小标宋简体" w:cs="方正小标宋简体"/>
              <w:highlight w:val="none"/>
              <w:lang w:eastAsia="zh-CN"/>
            </w:rPr>
            <w:t>三</w:t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>部分</w:t>
          </w:r>
          <w:r>
            <w:rPr>
              <w:rFonts w:hint="eastAsia" w:ascii="Times New Roman" w:hAnsi="Times New Roman" w:eastAsia="方正小标宋简体" w:cs="方正小标宋简体"/>
              <w:highlight w:val="none"/>
              <w:lang w:val="en-US" w:eastAsia="zh-CN"/>
            </w:rPr>
            <w:t xml:space="preserve">  </w:t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>名词解释</w:t>
          </w:r>
          <w:r>
            <w:tab/>
          </w:r>
          <w:r>
            <w:fldChar w:fldCharType="begin"/>
          </w:r>
          <w:r>
            <w:instrText xml:space="preserve"> PAGEREF _Toc19182 \h </w:instrText>
          </w:r>
          <w:r>
            <w:fldChar w:fldCharType="separate"/>
          </w:r>
          <w:r>
            <w:t>- 10 -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1321911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_Toc9183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方正小标宋简体" w:cs="方正小标宋简体"/>
              <w:bCs/>
              <w:kern w:val="44"/>
              <w:szCs w:val="44"/>
              <w:highlight w:val="none"/>
              <w:lang w:val="en-US" w:eastAsia="zh-CN" w:bidi="ar-SA"/>
            </w:rPr>
            <w:t>第四部分  附件</w:t>
          </w:r>
          <w:r>
            <w:tab/>
          </w:r>
          <w:r>
            <w:fldChar w:fldCharType="begin"/>
          </w:r>
          <w:r>
            <w:instrText xml:space="preserve"> PAGEREF _Toc9183 \h </w:instrText>
          </w:r>
          <w:r>
            <w:fldChar w:fldCharType="separate"/>
          </w:r>
          <w:r>
            <w:t>- 12 -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AA0B3C0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_Toc18368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方正小标宋简体" w:cs="方正小标宋简体"/>
              <w:highlight w:val="none"/>
            </w:rPr>
            <w:t>第五部分 附表</w:t>
          </w:r>
          <w:r>
            <w:tab/>
          </w:r>
          <w:r>
            <w:fldChar w:fldCharType="begin"/>
          </w:r>
          <w:r>
            <w:instrText xml:space="preserve"> PAGEREF _Toc18368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CE43B66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_Toc28914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一、收入支出决算总表</w:t>
          </w:r>
          <w:r>
            <w:tab/>
          </w:r>
          <w:r>
            <w:fldChar w:fldCharType="begin"/>
          </w:r>
          <w:r>
            <w:instrText xml:space="preserve"> PAGEREF _Toc28914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F269A0A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_Toc5132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二、收入决算表</w:t>
          </w:r>
          <w:r>
            <w:tab/>
          </w:r>
          <w:r>
            <w:fldChar w:fldCharType="begin"/>
          </w:r>
          <w:r>
            <w:instrText xml:space="preserve"> PAGEREF _Toc5132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0E058DC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_Toc30496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三、支出决算表</w:t>
          </w:r>
          <w:r>
            <w:tab/>
          </w:r>
          <w:r>
            <w:fldChar w:fldCharType="begin"/>
          </w:r>
          <w:r>
            <w:instrText xml:space="preserve"> PAGEREF _Toc30496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D922CBA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_Toc12142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四、财政拨款收入支出决算总表</w:t>
          </w:r>
          <w:r>
            <w:tab/>
          </w:r>
          <w:r>
            <w:fldChar w:fldCharType="begin"/>
          </w:r>
          <w:r>
            <w:instrText xml:space="preserve"> PAGEREF _Toc12142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6B777EF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_Toc19925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五、财政拨款支出决算明细表</w:t>
          </w:r>
          <w:r>
            <w:tab/>
          </w:r>
          <w:r>
            <w:fldChar w:fldCharType="begin"/>
          </w:r>
          <w:r>
            <w:instrText xml:space="preserve"> PAGEREF _Toc19925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1FED91F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_Toc6365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六、一般公共预算财政拨款支出决算表</w:t>
          </w:r>
          <w:r>
            <w:tab/>
          </w:r>
          <w:r>
            <w:fldChar w:fldCharType="begin"/>
          </w:r>
          <w:r>
            <w:instrText xml:space="preserve"> PAGEREF _Toc6365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8761A90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_Toc4225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七、一般公共预算财政拨款支出决算明细表</w:t>
          </w:r>
          <w:r>
            <w:tab/>
          </w:r>
          <w:r>
            <w:fldChar w:fldCharType="begin"/>
          </w:r>
          <w:r>
            <w:instrText xml:space="preserve"> PAGEREF _Toc4225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E7B7740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_Toc32017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八、一般公共预算财政拨款基本支出决算表</w:t>
          </w:r>
          <w:r>
            <w:tab/>
          </w:r>
          <w:r>
            <w:fldChar w:fldCharType="begin"/>
          </w:r>
          <w:r>
            <w:instrText xml:space="preserve"> PAGEREF _Toc32017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877C827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_Toc25562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九、一般公共预算财政拨款项目支出决算表</w:t>
          </w:r>
          <w:r>
            <w:tab/>
          </w:r>
          <w:r>
            <w:fldChar w:fldCharType="begin"/>
          </w:r>
          <w:r>
            <w:instrText xml:space="preserve"> PAGEREF _Toc25562 \h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ECB3EDD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_Toc30018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十、政府性基金预算财政拨款收入支出决算表</w:t>
          </w:r>
          <w:r>
            <w:tab/>
          </w:r>
          <w:r>
            <w:fldChar w:fldCharType="begin"/>
          </w:r>
          <w:r>
            <w:instrText xml:space="preserve"> PAGEREF _Toc30018 \h </w:instrText>
          </w:r>
          <w:r>
            <w:fldChar w:fldCharType="separate"/>
          </w:r>
          <w:r>
            <w:t>- 17 -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5167B85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_Toc20011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十一、国有资本经营预算</w:t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  <w:lang w:eastAsia="zh-CN"/>
            </w:rPr>
            <w:t>财政拨款收入</w:t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支出决算表</w:t>
          </w:r>
          <w:r>
            <w:tab/>
          </w:r>
          <w:r>
            <w:fldChar w:fldCharType="begin"/>
          </w:r>
          <w:r>
            <w:instrText xml:space="preserve"> PAGEREF _Toc20011 \h </w:instrText>
          </w:r>
          <w:r>
            <w:fldChar w:fldCharType="separate"/>
          </w:r>
          <w:r>
            <w:t>- 17 -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4C0C82F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_Toc16572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十二、</w:t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  <w:lang w:eastAsia="zh-CN"/>
            </w:rPr>
            <w:t>国有资本经营预算财政拨款支出决算表</w:t>
          </w:r>
          <w:r>
            <w:tab/>
          </w:r>
          <w:r>
            <w:fldChar w:fldCharType="begin"/>
          </w:r>
          <w:r>
            <w:instrText xml:space="preserve"> PAGEREF _Toc16572 \h </w:instrText>
          </w:r>
          <w:r>
            <w:fldChar w:fldCharType="separate"/>
          </w:r>
          <w:r>
            <w:t>- 17 -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FF7960F">
          <w:pPr>
            <w:pStyle w:val="15"/>
            <w:tabs>
              <w:tab w:val="right" w:leader="dot" w:pos="8306"/>
              <w:tab w:val="clear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_Toc17175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</w:rPr>
            <w:t>十三、</w:t>
          </w:r>
          <w:r>
            <w:rPr>
              <w:rFonts w:hint="eastAsia" w:ascii="Times New Roman" w:hAnsi="Times New Roman" w:eastAsia="仿宋_GB2312" w:cs="仿宋_GB2312"/>
              <w:szCs w:val="32"/>
              <w:highlight w:val="none"/>
              <w:lang w:eastAsia="zh-CN"/>
            </w:rPr>
            <w:t>财政拨款“三公”经费支出决算表</w:t>
          </w:r>
          <w:r>
            <w:tab/>
          </w:r>
          <w:r>
            <w:fldChar w:fldCharType="begin"/>
          </w:r>
          <w:r>
            <w:instrText xml:space="preserve"> PAGEREF _Toc17175 \h </w:instrText>
          </w:r>
          <w:r>
            <w:fldChar w:fldCharType="separate"/>
          </w:r>
          <w:r>
            <w:t>- 17 -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3342AC2">
          <w:pPr>
            <w:pStyle w:val="2"/>
            <w:spacing w:before="0" w:after="0" w:line="240" w:lineRule="auto"/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 w14:paraId="59DF761A">
      <w:pPr>
        <w:pStyle w:val="3"/>
        <w:jc w:val="center"/>
        <w:outlineLvl w:val="0"/>
        <w:rPr>
          <w:rStyle w:val="28"/>
          <w:rFonts w:hint="eastAsia" w:ascii="Times New Roman" w:hAnsi="Times New Roman" w:eastAsia="方正小标宋简体" w:cs="方正小标宋简体"/>
          <w:b/>
          <w:bCs w:val="0"/>
          <w:color w:val="auto"/>
          <w:highlight w:val="none"/>
        </w:rPr>
      </w:pPr>
      <w:bookmarkStart w:id="14" w:name="_Toc12222"/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第一部分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 xml:space="preserve"> </w:t>
      </w:r>
      <w:r>
        <w:rPr>
          <w:rStyle w:val="28"/>
          <w:rFonts w:hint="eastAsia" w:ascii="Times New Roman" w:hAnsi="Times New Roman" w:eastAsia="方正小标宋简体" w:cs="方正小标宋简体"/>
          <w:b w:val="0"/>
          <w:bCs w:val="0"/>
          <w:color w:val="auto"/>
          <w:highlight w:val="none"/>
        </w:rPr>
        <w:t>部门概况</w:t>
      </w:r>
      <w:bookmarkEnd w:id="12"/>
      <w:bookmarkEnd w:id="13"/>
      <w:bookmarkEnd w:id="14"/>
    </w:p>
    <w:p w14:paraId="5F6D658E">
      <w:pPr>
        <w:widowControl/>
        <w:jc w:val="lef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 w14:paraId="6D95506B"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15" w:name="_Toc20726"/>
      <w:r>
        <w:rPr>
          <w:rFonts w:hint="eastAsia" w:ascii="Times New Roman" w:hAnsi="Times New Roman" w:eastAsia="黑体"/>
          <w:b w:val="0"/>
          <w:color w:val="auto"/>
          <w:highlight w:val="none"/>
          <w:lang w:eastAsia="zh-CN"/>
        </w:rPr>
        <w:t>部门职责</w:t>
      </w:r>
      <w:bookmarkEnd w:id="15"/>
    </w:p>
    <w:p w14:paraId="144EBDCC">
      <w:pPr>
        <w:ind w:firstLine="640" w:firstLineChars="200"/>
        <w:outlineLvl w:val="9"/>
        <w:rPr>
          <w:rFonts w:hint="eastAsia" w:ascii="仿宋" w:hAnsi="仿宋" w:eastAsia="仿宋"/>
          <w:sz w:val="32"/>
          <w:szCs w:val="32"/>
        </w:rPr>
      </w:pPr>
      <w:bookmarkStart w:id="16" w:name="_Toc15396601"/>
      <w:bookmarkStart w:id="17" w:name="_Toc15377200"/>
      <w:r>
        <w:rPr>
          <w:rFonts w:hint="eastAsia" w:ascii="仿宋" w:hAnsi="仿宋" w:eastAsia="仿宋"/>
          <w:sz w:val="32"/>
          <w:szCs w:val="32"/>
        </w:rPr>
        <w:t>峨眉山市民政福利院的主要职能包括：收养城镇三无人员、农村五保户、优抚对象；提供社会老人有偿</w:t>
      </w:r>
      <w:r>
        <w:rPr>
          <w:rFonts w:hint="eastAsia" w:ascii="仿宋" w:hAnsi="仿宋" w:eastAsia="仿宋"/>
          <w:sz w:val="32"/>
          <w:szCs w:val="32"/>
          <w:lang w:eastAsia="zh-CN"/>
        </w:rPr>
        <w:t>代养</w:t>
      </w:r>
      <w:r>
        <w:rPr>
          <w:rFonts w:hint="eastAsia" w:ascii="仿宋" w:hAnsi="仿宋" w:eastAsia="仿宋"/>
          <w:sz w:val="32"/>
          <w:szCs w:val="32"/>
        </w:rPr>
        <w:t>服务。根据</w:t>
      </w:r>
      <w:r>
        <w:rPr>
          <w:rFonts w:hint="eastAsia" w:ascii="仿宋" w:hAnsi="仿宋" w:eastAsia="仿宋"/>
          <w:sz w:val="32"/>
          <w:szCs w:val="32"/>
          <w:lang w:eastAsia="zh-CN"/>
        </w:rPr>
        <w:t>不同收养</w:t>
      </w:r>
      <w:r>
        <w:rPr>
          <w:rFonts w:hint="eastAsia" w:ascii="仿宋" w:hAnsi="仿宋" w:eastAsia="仿宋"/>
          <w:sz w:val="32"/>
          <w:szCs w:val="32"/>
        </w:rPr>
        <w:t>对象，实行分类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分区管理。</w:t>
      </w:r>
    </w:p>
    <w:p w14:paraId="45FB28C5">
      <w:pPr>
        <w:pStyle w:val="4"/>
        <w:rPr>
          <w:rStyle w:val="29"/>
          <w:rFonts w:ascii="Times New Roman" w:hAnsi="Times New Roman"/>
          <w:b w:val="0"/>
          <w:bCs w:val="0"/>
          <w:color w:val="auto"/>
          <w:highlight w:val="none"/>
        </w:rPr>
      </w:pPr>
      <w:bookmarkStart w:id="18" w:name="_Toc8536"/>
      <w:r>
        <w:rPr>
          <w:rFonts w:hint="eastAsia" w:ascii="Times New Roman" w:hAnsi="Times New Roman" w:eastAsia="黑体"/>
          <w:b w:val="0"/>
          <w:color w:val="auto"/>
          <w:highlight w:val="none"/>
        </w:rPr>
        <w:t>二、机</w:t>
      </w:r>
      <w:r>
        <w:rPr>
          <w:rStyle w:val="29"/>
          <w:rFonts w:hint="eastAsia" w:ascii="Times New Roman" w:hAnsi="Times New Roman" w:eastAsia="黑体"/>
          <w:b w:val="0"/>
          <w:bCs w:val="0"/>
          <w:color w:val="auto"/>
          <w:highlight w:val="none"/>
        </w:rPr>
        <w:t>构设置</w:t>
      </w:r>
      <w:bookmarkEnd w:id="16"/>
      <w:bookmarkEnd w:id="17"/>
      <w:bookmarkEnd w:id="18"/>
    </w:p>
    <w:p w14:paraId="2C3D8AE5">
      <w:pPr>
        <w:ind w:firstLine="640" w:firstLineChars="200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19" w:name="_Toc15377204"/>
      <w:bookmarkStart w:id="20" w:name="_Toc15396602"/>
      <w:r>
        <w:rPr>
          <w:rFonts w:hint="eastAsia" w:ascii="仿宋" w:hAnsi="仿宋" w:eastAsia="仿宋"/>
          <w:sz w:val="32"/>
          <w:szCs w:val="32"/>
        </w:rPr>
        <w:t>峨眉山市民政福利院成立于2000年5月，系民政局所属财政差额补助社会福利事业单位（与敬老院、光荣院、儿童福利服务指导中心四位一体），无下属单位。福利院围绕服务宗旨和业务范围开展工作，甘河园区和双福园区均设立护理办、社工班、后勤办以及综合办四大部门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/>
          <w:sz w:val="32"/>
          <w:szCs w:val="32"/>
          <w:lang w:eastAsia="zh-CN"/>
        </w:rPr>
        <w:t>两院共计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231人，其中在编职工3人，长聘人员12人，聘用人员216人。</w:t>
      </w:r>
    </w:p>
    <w:p w14:paraId="6592FB94">
      <w:pPr>
        <w:pStyle w:val="3"/>
        <w:jc w:val="center"/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</w:pPr>
      <w:bookmarkStart w:id="21" w:name="_Toc10050"/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第二部分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部门决算情况说明</w:t>
      </w:r>
      <w:bookmarkEnd w:id="19"/>
      <w:bookmarkEnd w:id="20"/>
      <w:bookmarkEnd w:id="21"/>
    </w:p>
    <w:p w14:paraId="22E2F7DC">
      <w:pPr>
        <w:rPr>
          <w:rFonts w:ascii="Times New Roman" w:hAnsi="Times New Roman"/>
          <w:color w:val="auto"/>
          <w:highlight w:val="none"/>
        </w:rPr>
      </w:pPr>
    </w:p>
    <w:p w14:paraId="33016FED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</w:pPr>
      <w:bookmarkStart w:id="22" w:name="_Toc15377205"/>
      <w:bookmarkStart w:id="23" w:name="_Toc14021"/>
      <w:bookmarkStart w:id="24" w:name="_Toc15396603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收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入支出决算总体情况说明</w:t>
      </w:r>
      <w:bookmarkEnd w:id="22"/>
      <w:bookmarkEnd w:id="23"/>
      <w:bookmarkEnd w:id="24"/>
    </w:p>
    <w:p w14:paraId="5F177ABF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2024年度收入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总计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2326.96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万元。与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相比，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总计各减少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33.74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万元，下降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1.43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%。主要变动原因是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eastAsia="zh-CN"/>
        </w:rPr>
        <w:t>在建项目已于上年完工，当年财政拨款收入减少。</w:t>
      </w:r>
    </w:p>
    <w:p w14:paraId="33F7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BAB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图1：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决算总计变动情况图</w:t>
      </w:r>
    </w:p>
    <w:p w14:paraId="06C09B6C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bookmarkStart w:id="25" w:name="_Toc20770"/>
      <w:bookmarkStart w:id="26" w:name="_Toc15377206"/>
      <w:bookmarkStart w:id="27" w:name="_Toc15396604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  <w:t>二、收入决算情况说明</w:t>
      </w:r>
      <w:bookmarkEnd w:id="25"/>
      <w:bookmarkEnd w:id="26"/>
      <w:bookmarkEnd w:id="27"/>
    </w:p>
    <w:p w14:paraId="56B97980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2024年度本年收入合计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2259.41万元，其中：一般公共预算财政拨款收入309.65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13.7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84.29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3.73%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1865.47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82.5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</w:t>
      </w:r>
    </w:p>
    <w:p w14:paraId="52B616ED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6CADD9">
      <w:pPr>
        <w:ind w:firstLine="800" w:firstLineChars="250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图2：收入决算结构图</w:t>
      </w:r>
    </w:p>
    <w:p w14:paraId="69CAA1DC">
      <w:pPr>
        <w:ind w:firstLine="800" w:firstLineChars="25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569DDC1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</w:pPr>
      <w:bookmarkStart w:id="28" w:name="_Toc15396605"/>
      <w:bookmarkStart w:id="29" w:name="_Toc24908"/>
      <w:bookmarkStart w:id="30" w:name="_Toc15377207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支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出决算情况说明</w:t>
      </w:r>
      <w:bookmarkEnd w:id="28"/>
      <w:bookmarkEnd w:id="29"/>
      <w:bookmarkEnd w:id="30"/>
    </w:p>
    <w:p w14:paraId="311309D6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2024年度本年支出合计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2094.95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72.09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3.44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2022.86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96.5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</w:t>
      </w:r>
    </w:p>
    <w:p w14:paraId="2E98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5" w:firstLineChars="25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9AA1A4">
      <w:pPr>
        <w:ind w:firstLine="800" w:firstLineChars="250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图3：支出决算结构图</w:t>
      </w:r>
    </w:p>
    <w:p w14:paraId="330B3101">
      <w:pPr>
        <w:spacing w:line="600" w:lineRule="exact"/>
        <w:ind w:firstLine="640" w:firstLineChars="200"/>
        <w:outlineLvl w:val="1"/>
        <w:rPr>
          <w:rStyle w:val="29"/>
          <w:rFonts w:ascii="Times New Roman" w:hAnsi="Times New Roman" w:eastAsia="黑体"/>
          <w:b w:val="0"/>
          <w:color w:val="auto"/>
          <w:highlight w:val="none"/>
        </w:rPr>
      </w:pPr>
      <w:bookmarkStart w:id="31" w:name="_Toc9537"/>
      <w:bookmarkStart w:id="32" w:name="_Toc15377208"/>
      <w:bookmarkStart w:id="33" w:name="_Toc15396606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四、财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政拨款收入支出决算总体情况说明</w:t>
      </w:r>
      <w:bookmarkEnd w:id="31"/>
      <w:bookmarkEnd w:id="32"/>
      <w:bookmarkEnd w:id="33"/>
    </w:p>
    <w:p w14:paraId="4B27696A">
      <w:pPr>
        <w:spacing w:line="600" w:lineRule="exact"/>
        <w:ind w:firstLine="640"/>
        <w:outlineLvl w:val="9"/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2024年度财政拨款收入、支出总计均为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393.94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万元。与2023年度相比，财政拨款收入总计、支出总计各减少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187.9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万元，下降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47.69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%。主要变动原因是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上年度消防隐患整治项目完结，项目财政拨款收入减少。</w:t>
      </w:r>
    </w:p>
    <w:p w14:paraId="108887D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43EE65">
      <w:pPr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图4：财政拨款收、支决算总计变动情况</w:t>
      </w:r>
    </w:p>
    <w:p w14:paraId="316754C4">
      <w:pPr>
        <w:spacing w:line="600" w:lineRule="exact"/>
        <w:ind w:firstLine="640" w:firstLineChars="200"/>
        <w:outlineLvl w:val="1"/>
        <w:rPr>
          <w:rStyle w:val="29"/>
          <w:rFonts w:ascii="Times New Roman" w:hAnsi="Times New Roman" w:eastAsia="黑体"/>
          <w:b w:val="0"/>
          <w:color w:val="auto"/>
          <w:highlight w:val="none"/>
        </w:rPr>
      </w:pPr>
      <w:bookmarkStart w:id="34" w:name="_Toc1397"/>
      <w:bookmarkStart w:id="35" w:name="_Toc15396607"/>
      <w:bookmarkStart w:id="36" w:name="_Toc15377209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五、</w:t>
      </w:r>
      <w:r>
        <w:rPr>
          <w:rFonts w:hint="eastAsia" w:ascii="Times New Roman" w:hAnsi="Times New Roman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般公共预算财政拨款支出决算情况说明</w:t>
      </w:r>
      <w:bookmarkEnd w:id="34"/>
      <w:bookmarkEnd w:id="35"/>
      <w:bookmarkEnd w:id="36"/>
    </w:p>
    <w:p w14:paraId="7491F693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37" w:name="_Toc15377210"/>
      <w:bookmarkStart w:id="38" w:name="_Toc1098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（一）一般公共预算财政拨款支出决算总体情况</w:t>
      </w:r>
      <w:bookmarkEnd w:id="37"/>
      <w:bookmarkEnd w:id="38"/>
    </w:p>
    <w:p w14:paraId="491FC165">
      <w:pPr>
        <w:spacing w:line="600" w:lineRule="exact"/>
        <w:ind w:firstLine="640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309.65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</w:rPr>
        <w:t>14.78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%。与2023年度相比，一般公共预算财政拨款支出减少13.94万元，下降4.3%。主要变动原因是取消了儿童福利服务指导中心工作经费财政拨款。</w:t>
      </w:r>
    </w:p>
    <w:p w14:paraId="63A9B42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7" w:lineRule="auto"/>
        <w:jc w:val="center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902005">
      <w:pPr>
        <w:spacing w:line="600" w:lineRule="exact"/>
        <w:ind w:firstLine="640"/>
        <w:jc w:val="center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图5：一般公共预算财政拨款支出决算变动情况</w:t>
      </w:r>
    </w:p>
    <w:p w14:paraId="3E180FC9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39" w:name="_Toc15377211"/>
      <w:bookmarkStart w:id="40" w:name="_Toc32362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（二）一般公共预算财政拨款支出决算结构情况</w:t>
      </w:r>
      <w:bookmarkEnd w:id="39"/>
      <w:bookmarkEnd w:id="40"/>
    </w:p>
    <w:p w14:paraId="77C91EFD">
      <w:pPr>
        <w:spacing w:line="600" w:lineRule="exact"/>
        <w:ind w:firstLine="640"/>
        <w:outlineLvl w:val="9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309.65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，主要用于以下方面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社会保障和就业支出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307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99.14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%；卫生健康支出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0.85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0.27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%；住房保障支出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1.79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0.58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%；</w:t>
      </w:r>
    </w:p>
    <w:p w14:paraId="32385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062C4B5">
      <w:pPr>
        <w:spacing w:line="600" w:lineRule="exact"/>
        <w:ind w:firstLine="640"/>
        <w:jc w:val="center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图6：一般公共预算财政拨款支出决算结构</w:t>
      </w:r>
    </w:p>
    <w:p w14:paraId="3D1C0E23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41" w:name="_Toc28000"/>
      <w:bookmarkStart w:id="42" w:name="_Toc15377212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（三）一般公共预算财政拨款支出决算具体情况</w:t>
      </w:r>
      <w:bookmarkEnd w:id="41"/>
      <w:bookmarkEnd w:id="42"/>
    </w:p>
    <w:p w14:paraId="5BEED78D">
      <w:pPr>
        <w:spacing w:line="600" w:lineRule="exact"/>
        <w:ind w:firstLine="640"/>
        <w:outlineLvl w:val="9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43" w:name="_Toc15378460"/>
      <w:bookmarkStart w:id="44" w:name="_Toc15377213"/>
      <w:bookmarkStart w:id="45" w:name="_Toc15377444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2024年度一般公共预算财政拨款支出决算数为</w:t>
      </w:r>
      <w:r>
        <w:rPr>
          <w:rFonts w:hint="eastAsia" w:ascii="仿宋_GB2312" w:hAnsi="仿宋_GB2312" w:eastAsia="仿宋_GB2312" w:cs="仿宋_GB2312"/>
          <w:sz w:val="32"/>
          <w:szCs w:val="32"/>
        </w:rPr>
        <w:t>309.65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完成预算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%。其中：</w:t>
      </w:r>
      <w:bookmarkEnd w:id="43"/>
      <w:bookmarkEnd w:id="44"/>
      <w:bookmarkEnd w:id="45"/>
    </w:p>
    <w:p w14:paraId="12650FC2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1</w:t>
      </w:r>
      <w:r>
        <w:rPr>
          <w:rStyle w:val="18"/>
          <w:rFonts w:ascii="仿宋" w:hAnsi="仿宋" w:eastAsia="仿宋"/>
          <w:bCs/>
          <w:sz w:val="32"/>
          <w:szCs w:val="32"/>
        </w:rPr>
        <w:t>.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社会保障和就业类</w:t>
      </w:r>
    </w:p>
    <w:p w14:paraId="304F4399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（1）2080505-机关事业基本养老保险缴费支出：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1AE5AADB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（2）2080506-机关事业单位职业年金缴费支出：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6AC4D9D1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（3）2081005-社会福利事业单位：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285.48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731BD76C">
      <w:pPr>
        <w:spacing w:line="60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（4）2081006-养老服务：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18.45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713FE117">
      <w:pPr>
        <w:spacing w:line="60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（5）2089999-其他社会保障和就业支出：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0.08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20670834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2</w:t>
      </w:r>
      <w:r>
        <w:rPr>
          <w:rStyle w:val="18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类</w:t>
      </w:r>
    </w:p>
    <w:p w14:paraId="24A17E5D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（1）2101102-事业单位医疗：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支出决算为0.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85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5DC7BC25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3</w:t>
      </w:r>
      <w:r>
        <w:rPr>
          <w:rStyle w:val="18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类</w:t>
      </w:r>
    </w:p>
    <w:p w14:paraId="0E578C33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t>（1）2210201-住房公积金：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1.79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4797DC43">
      <w:pPr>
        <w:tabs>
          <w:tab w:val="right" w:pos="8306"/>
        </w:tabs>
        <w:spacing w:line="600" w:lineRule="exact"/>
        <w:ind w:firstLine="640"/>
        <w:outlineLvl w:val="1"/>
        <w:rPr>
          <w:rStyle w:val="29"/>
          <w:rFonts w:ascii="Times New Roman" w:hAnsi="Times New Roman"/>
          <w:color w:val="auto"/>
          <w:highlight w:val="none"/>
        </w:rPr>
      </w:pPr>
      <w:bookmarkStart w:id="46" w:name="_Toc15396608"/>
      <w:bookmarkStart w:id="47" w:name="_Toc15377214"/>
      <w:bookmarkStart w:id="48" w:name="_Toc1263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六</w:t>
      </w:r>
      <w:r>
        <w:rPr>
          <w:rFonts w:hint="eastAsia" w:ascii="Times New Roman" w:hAnsi="Times New Roman" w:eastAsia="黑体"/>
          <w:b/>
          <w:color w:val="auto"/>
          <w:sz w:val="32"/>
          <w:szCs w:val="32"/>
          <w:highlight w:val="none"/>
        </w:rPr>
        <w:t>、一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般公共预算财政拨款基本支出决算情况说明</w:t>
      </w:r>
      <w:bookmarkEnd w:id="46"/>
      <w:bookmarkEnd w:id="47"/>
      <w:bookmarkEnd w:id="48"/>
      <w:r>
        <w:rPr>
          <w:rStyle w:val="29"/>
          <w:rFonts w:ascii="Times New Roman" w:hAnsi="Times New Roman" w:eastAsia="黑体"/>
          <w:b w:val="0"/>
          <w:color w:val="auto"/>
          <w:highlight w:val="none"/>
        </w:rPr>
        <w:tab/>
      </w:r>
    </w:p>
    <w:p w14:paraId="593C69BA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2024年度一般公共预算财政拨款基本支出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72.09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元，其中：</w:t>
      </w:r>
    </w:p>
    <w:p w14:paraId="4A06D267">
      <w:pPr>
        <w:spacing w:line="600" w:lineRule="exact"/>
        <w:ind w:firstLine="640"/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72.09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元，主要包括：基本工资、津贴补贴、绩效工资、机关事业单位基本养老保险缴费、职业年金缴费、其他社会保障缴费、其他工资福利支出、住房公积金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EFC04FE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本年无公用经费支出。</w:t>
      </w:r>
    </w:p>
    <w:p w14:paraId="416AA449">
      <w:pPr>
        <w:spacing w:line="600" w:lineRule="exact"/>
        <w:ind w:firstLine="640"/>
        <w:outlineLvl w:val="1"/>
        <w:rPr>
          <w:rStyle w:val="29"/>
          <w:rFonts w:ascii="Times New Roman" w:hAnsi="Times New Roman" w:eastAsia="黑体"/>
          <w:b w:val="0"/>
          <w:color w:val="auto"/>
          <w:highlight w:val="none"/>
        </w:rPr>
      </w:pPr>
      <w:bookmarkStart w:id="49" w:name="_Toc15377215"/>
      <w:bookmarkStart w:id="50" w:name="_Toc23450"/>
      <w:bookmarkStart w:id="51" w:name="_Toc15396609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七、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财政拨款</w:t>
      </w:r>
      <w:r>
        <w:rPr>
          <w:rStyle w:val="29"/>
          <w:rFonts w:hint="eastAsia" w:ascii="Times New Roman" w:hAnsi="Times New Roman" w:eastAsia="黑体"/>
          <w:color w:val="auto"/>
          <w:highlight w:val="none"/>
        </w:rPr>
        <w:t>“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三公”经费支出决算情况说明</w:t>
      </w:r>
      <w:bookmarkEnd w:id="49"/>
      <w:bookmarkEnd w:id="50"/>
      <w:bookmarkEnd w:id="51"/>
    </w:p>
    <w:p w14:paraId="706EF2A7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52" w:name="_Toc15377216"/>
      <w:bookmarkStart w:id="53" w:name="_Toc24450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（一）“三公”经费财政拨款支出决算总体情况说明</w:t>
      </w:r>
      <w:bookmarkEnd w:id="52"/>
      <w:bookmarkEnd w:id="53"/>
    </w:p>
    <w:p w14:paraId="6CE20BBD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年度单位无“三公”经费财政拨款支出</w:t>
      </w:r>
    </w:p>
    <w:p w14:paraId="7AF2A841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54" w:name="_Toc15377217"/>
      <w:bookmarkStart w:id="55" w:name="_Toc23612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（二）“三公”经费财政拨款支出决算具体情况说明</w:t>
      </w:r>
      <w:bookmarkEnd w:id="54"/>
      <w:bookmarkEnd w:id="55"/>
    </w:p>
    <w:p w14:paraId="3E67B8C9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年度单位无“三公”经费财政拨款支出</w:t>
      </w:r>
    </w:p>
    <w:p w14:paraId="728F1DFA">
      <w:pPr>
        <w:spacing w:line="600" w:lineRule="exact"/>
        <w:ind w:firstLine="640"/>
        <w:outlineLvl w:val="1"/>
        <w:rPr>
          <w:rStyle w:val="29"/>
          <w:rFonts w:ascii="Times New Roman" w:hAnsi="Times New Roman" w:eastAsia="黑体"/>
          <w:color w:val="auto"/>
          <w:highlight w:val="none"/>
        </w:rPr>
      </w:pPr>
      <w:bookmarkStart w:id="56" w:name="_Toc15377218"/>
      <w:bookmarkStart w:id="57" w:name="_Toc15396610"/>
      <w:bookmarkStart w:id="58" w:name="_Toc11308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八、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政府性基金预算支出决算情况说明</w:t>
      </w:r>
      <w:bookmarkEnd w:id="56"/>
      <w:bookmarkEnd w:id="57"/>
      <w:bookmarkEnd w:id="58"/>
    </w:p>
    <w:p w14:paraId="5917C07A">
      <w:pPr>
        <w:spacing w:line="600" w:lineRule="exact"/>
        <w:ind w:firstLine="640"/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2024年度政府性基金预算财政拨款支出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84.29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</w:rPr>
        <w:t>4.02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。与2023年度相比，政府性基金预算财政拨款支出减少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173.95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万元，下降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67.36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%。主要变动原因是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双福院区护理能力提档升级项目完结，支出减少。</w:t>
      </w:r>
    </w:p>
    <w:p w14:paraId="1675B9BC">
      <w:pPr>
        <w:numPr>
          <w:ilvl w:val="0"/>
          <w:numId w:val="0"/>
        </w:numPr>
        <w:spacing w:line="600" w:lineRule="exact"/>
        <w:ind w:left="630" w:leftChars="0"/>
        <w:outlineLvl w:val="1"/>
        <w:rPr>
          <w:rStyle w:val="29"/>
          <w:rFonts w:ascii="Times New Roman" w:hAnsi="Times New Roman" w:eastAsia="黑体"/>
          <w:b w:val="0"/>
          <w:color w:val="auto"/>
          <w:highlight w:val="none"/>
        </w:rPr>
      </w:pPr>
      <w:bookmarkStart w:id="59" w:name="_Toc15396611"/>
      <w:bookmarkStart w:id="60" w:name="_Toc15377219"/>
      <w:bookmarkStart w:id="61" w:name="_Toc2998"/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  <w:lang w:eastAsia="zh-CN"/>
        </w:rPr>
        <w:t>九、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国有资本经营预算支出决算情况说明</w:t>
      </w:r>
      <w:bookmarkEnd w:id="59"/>
      <w:bookmarkEnd w:id="60"/>
      <w:bookmarkEnd w:id="61"/>
    </w:p>
    <w:p w14:paraId="7FAB74C3"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年度单位无国有资本经营预算财政拨款支出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D7F83F8">
      <w:pPr>
        <w:numPr>
          <w:ilvl w:val="0"/>
          <w:numId w:val="0"/>
        </w:numPr>
        <w:spacing w:line="600" w:lineRule="exact"/>
        <w:ind w:left="630" w:leftChars="0"/>
        <w:outlineLvl w:val="1"/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</w:pPr>
      <w:bookmarkStart w:id="62" w:name="_Toc15377221"/>
      <w:bookmarkStart w:id="63" w:name="_Toc15396612"/>
      <w:bookmarkStart w:id="64" w:name="_Toc23032"/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  <w:lang w:eastAsia="zh-CN"/>
        </w:rPr>
        <w:t>十、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其他重要事项的情况说明</w:t>
      </w:r>
      <w:bookmarkEnd w:id="62"/>
      <w:bookmarkEnd w:id="63"/>
      <w:bookmarkEnd w:id="64"/>
    </w:p>
    <w:p w14:paraId="6F48A7FB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65" w:name="_Toc22461"/>
      <w:bookmarkStart w:id="66" w:name="_Toc15377222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（一）机关运行经费支出情况</w:t>
      </w:r>
      <w:bookmarkEnd w:id="65"/>
      <w:bookmarkEnd w:id="66"/>
    </w:p>
    <w:p w14:paraId="1ED11F60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峨眉山市民政福利院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机关运行经费</w:t>
      </w:r>
    </w:p>
    <w:p w14:paraId="406F655E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67" w:name="_Toc15377223"/>
      <w:bookmarkStart w:id="68" w:name="_Toc22336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（二）政府采购支出情况</w:t>
      </w:r>
      <w:bookmarkEnd w:id="67"/>
      <w:bookmarkEnd w:id="68"/>
    </w:p>
    <w:p w14:paraId="590ABC7F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峨眉山市民政福利院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政府采购支出总额</w:t>
      </w:r>
      <w:r>
        <w:rPr>
          <w:rFonts w:hint="eastAsia" w:ascii="仿宋_GB2312" w:hAnsi="仿宋_GB2312" w:eastAsia="仿宋_GB2312" w:cs="仿宋_GB2312"/>
          <w:sz w:val="32"/>
          <w:szCs w:val="32"/>
        </w:rPr>
        <w:t>2.59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0.39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万元。主要用于公务车的保险及运行维护。</w:t>
      </w:r>
    </w:p>
    <w:p w14:paraId="50F91F05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69" w:name="_Toc15377224"/>
      <w:bookmarkStart w:id="70" w:name="_Toc5873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（三）国有资产占有使用情况</w:t>
      </w:r>
      <w:bookmarkEnd w:id="69"/>
      <w:bookmarkEnd w:id="70"/>
    </w:p>
    <w:p w14:paraId="780D3C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截至2024年12月31日，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峨眉山市民政福利院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共有车辆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辆，其中：主要负责人用车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辆、机要通信用车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辆、应急保障用车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辆、其他用车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辆，双福院区一辆，甘河院区一辆，主要是用于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办理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日常业务出行。</w:t>
      </w:r>
    </w:p>
    <w:p w14:paraId="5E6A1423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71" w:name="_Toc25378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（四）预算绩效管理情况</w:t>
      </w:r>
      <w:bookmarkEnd w:id="71"/>
    </w:p>
    <w:p w14:paraId="19491CC0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根据预算绩效管理要求，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本单位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在2024年度预算编制阶段，组织对51118124T000011413864-福利院单位自有资金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个项目开展了预算事前绩效评估，对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个项目编制了绩效目标，预算执行过程中，选取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个项目开展绩效监控。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组织对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3个项目开展绩效自评，绩效自评表详见第四部分附件。</w:t>
      </w:r>
    </w:p>
    <w:p w14:paraId="11B7905A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FAD037">
      <w:pPr>
        <w:pStyle w:val="3"/>
        <w:jc w:val="center"/>
        <w:outlineLvl w:val="0"/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</w:pPr>
      <w:bookmarkStart w:id="72" w:name="_Toc15396613"/>
      <w:bookmarkStart w:id="73" w:name="_Toc19182"/>
      <w:bookmarkStart w:id="74" w:name="_Toc15377225"/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第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eastAsia="zh-CN"/>
        </w:rPr>
        <w:t>三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部分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名词解释</w:t>
      </w:r>
      <w:bookmarkEnd w:id="72"/>
      <w:bookmarkEnd w:id="73"/>
      <w:bookmarkEnd w:id="74"/>
    </w:p>
    <w:p w14:paraId="3A6584B6">
      <w:pPr>
        <w:spacing w:line="600" w:lineRule="exact"/>
        <w:jc w:val="left"/>
        <w:rPr>
          <w:rFonts w:ascii="Times New Roman" w:hAnsi="Times New Roman"/>
          <w:b/>
          <w:color w:val="auto"/>
          <w:sz w:val="44"/>
          <w:szCs w:val="44"/>
          <w:highlight w:val="none"/>
        </w:rPr>
      </w:pPr>
    </w:p>
    <w:p w14:paraId="0C49C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1.财政拨款收入：指单位从同级财政部门取得的财政预算资金。</w:t>
      </w:r>
    </w:p>
    <w:p w14:paraId="3181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2.事业收入：指事业单位开展专业业务活动及辅助活动取得的收入。如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社会代养老人收费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573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3.年初结转和结余：指以前年度尚未完成、结转到本 </w:t>
      </w:r>
    </w:p>
    <w:p w14:paraId="0565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年按有关规定继续使用的资金。</w:t>
      </w:r>
    </w:p>
    <w:p w14:paraId="7B635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4.年末结转和结余：指单位按有关规定结转到下年或 </w:t>
      </w:r>
    </w:p>
    <w:p w14:paraId="0CC3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以后年度继续使用的资金。</w:t>
      </w:r>
    </w:p>
    <w:p w14:paraId="21C03DAA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5.社会保障和就业类 </w:t>
      </w:r>
    </w:p>
    <w:p w14:paraId="5C528F5E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（1）2080505-机关事业基本养老保险缴费支出：指在职 </w:t>
      </w:r>
    </w:p>
    <w:p w14:paraId="6FFFC0E7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人员养老保险缴费支出 </w:t>
      </w:r>
    </w:p>
    <w:p w14:paraId="6CBD61BF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（2）2080506-机关事业单位职业年金缴费支出：指指在 </w:t>
      </w:r>
    </w:p>
    <w:p w14:paraId="1FCCCDE4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职人员职业年金缴费支出 </w:t>
      </w:r>
    </w:p>
    <w:p w14:paraId="6835833A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（3）2081005-社会福利事业单位：指民政福利院工资、 </w:t>
      </w:r>
    </w:p>
    <w:p w14:paraId="5A14D808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福利院保险及运行经费，养老服务生活支出。 </w:t>
      </w:r>
    </w:p>
    <w:p w14:paraId="475B6283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（4）2081006-养老服务：指福利院大型修缮费用 </w:t>
      </w:r>
    </w:p>
    <w:p w14:paraId="3C997ABE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（5）2089999-其他社会保障和就业支出：指其他社会保 </w:t>
      </w:r>
    </w:p>
    <w:p w14:paraId="4AC39CD6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障缴费 </w:t>
      </w:r>
    </w:p>
    <w:p w14:paraId="43607D69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7.卫生健康类</w:t>
      </w:r>
    </w:p>
    <w:p w14:paraId="754F1C82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（1）2101102-事业单位医疗：指在职人员医疗保险缴费 </w:t>
      </w:r>
    </w:p>
    <w:p w14:paraId="2AEA8772">
      <w:pPr>
        <w:spacing w:line="600" w:lineRule="exact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支出。 </w:t>
      </w:r>
    </w:p>
    <w:p w14:paraId="72846B88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8.住房保障类 </w:t>
      </w:r>
    </w:p>
    <w:p w14:paraId="7273A84B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（1）2210201-住房公积金：指在职人员住房公积金缴费 支出。 </w:t>
      </w:r>
    </w:p>
    <w:p w14:paraId="2A2B7EF1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9.基本支出：指为保障机构正常运转、完成日常工作任 务而发生的人员支出和公用支出。 </w:t>
      </w:r>
    </w:p>
    <w:p w14:paraId="3AFD8E5F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10.项目支出：指在基本支出之外为完成特定行政任务 </w:t>
      </w:r>
    </w:p>
    <w:p w14:paraId="01F74771">
      <w:pPr>
        <w:spacing w:line="600" w:lineRule="exact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和事业发展目标所发生的支出。 </w:t>
      </w:r>
    </w:p>
    <w:p w14:paraId="43190C62">
      <w:pPr>
        <w:spacing w:line="600" w:lineRule="exact"/>
        <w:jc w:val="center"/>
        <w:outlineLvl w:val="0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75" w:name="_Toc15377226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  <w:bookmarkStart w:id="76" w:name="_Toc15396614"/>
      <w:bookmarkStart w:id="77" w:name="_Toc9183"/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第四部分  附件</w:t>
      </w:r>
      <w:bookmarkEnd w:id="76"/>
      <w:bookmarkEnd w:id="77"/>
    </w:p>
    <w:tbl>
      <w:tblPr>
        <w:tblStyle w:val="16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84"/>
        <w:gridCol w:w="886"/>
        <w:gridCol w:w="1291"/>
        <w:gridCol w:w="396"/>
        <w:gridCol w:w="492"/>
        <w:gridCol w:w="396"/>
        <w:gridCol w:w="854"/>
        <w:gridCol w:w="576"/>
        <w:gridCol w:w="577"/>
        <w:gridCol w:w="1781"/>
      </w:tblGrid>
      <w:tr w14:paraId="475D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9C4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0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51118124R000010931880-聘用人员经费</w:t>
            </w:r>
          </w:p>
        </w:tc>
      </w:tr>
      <w:tr w14:paraId="422C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1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峨眉山市民政福利院</w:t>
            </w:r>
          </w:p>
        </w:tc>
      </w:tr>
      <w:tr w14:paraId="18A0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03F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F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F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工资及时发放、足额发放.。资金即时申请并支付。完成率100%。</w:t>
            </w:r>
          </w:p>
        </w:tc>
      </w:tr>
      <w:tr w14:paraId="4FD5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A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2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12名人员工资、保险正常保障，机构基本正常运行，基础工作正常开展。按月申报并支付。</w:t>
            </w:r>
          </w:p>
        </w:tc>
      </w:tr>
      <w:tr w14:paraId="6313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F30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C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51.73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B50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B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51.73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81E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A23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E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8095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220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B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A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672A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C8E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0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1C2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B4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5D0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F71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98F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D81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E31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B4E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875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9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1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950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D3B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5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2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按时发放率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51A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60D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1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结余率（计算方法为：结余数/预算数）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A89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F5C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9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C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C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70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2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0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工资及时发放、足额发放.。资金即时申请并支付。完成率100%。</w:t>
            </w:r>
          </w:p>
        </w:tc>
      </w:tr>
      <w:tr w14:paraId="5C20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2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0B9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2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D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8AF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项目负责人：夏勇华</w:t>
            </w:r>
          </w:p>
        </w:tc>
        <w:tc>
          <w:tcPr>
            <w:tcW w:w="4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财务负责人：夏勇华</w:t>
            </w:r>
          </w:p>
        </w:tc>
      </w:tr>
    </w:tbl>
    <w:p w14:paraId="6A81C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2" w:lineRule="exact"/>
        <w:jc w:val="left"/>
        <w:textAlignment w:val="auto"/>
        <w:outlineLvl w:val="9"/>
        <w:rPr>
          <w:rFonts w:hint="eastAsia" w:ascii="Times New Roman" w:hAnsi="Times New Roman" w:eastAsia="黑体" w:cs="黑体"/>
          <w:color w:val="FF0000"/>
          <w:sz w:val="32"/>
          <w:szCs w:val="32"/>
          <w:highlight w:val="none"/>
        </w:rPr>
      </w:pPr>
    </w:p>
    <w:tbl>
      <w:tblPr>
        <w:tblStyle w:val="16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24"/>
        <w:gridCol w:w="912"/>
        <w:gridCol w:w="1358"/>
        <w:gridCol w:w="396"/>
        <w:gridCol w:w="484"/>
        <w:gridCol w:w="396"/>
        <w:gridCol w:w="851"/>
        <w:gridCol w:w="396"/>
        <w:gridCol w:w="418"/>
        <w:gridCol w:w="1874"/>
      </w:tblGrid>
      <w:tr w14:paraId="59B9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74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3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D0C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57063">
            <w:pPr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712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4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51118124T000011444764-管护人员工资、保险及机构运转经费</w:t>
            </w:r>
          </w:p>
        </w:tc>
      </w:tr>
      <w:tr w14:paraId="57F4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18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峨眉山市民政福利院</w:t>
            </w:r>
          </w:p>
        </w:tc>
      </w:tr>
      <w:tr w14:paraId="5C37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0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E25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E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4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严格执行相关政策，保障工资及时发放、足额发放，预算编制科学合理，减少结余资金人员工资、保险、福利按月申报。即时申请并发放缴纳。单位即时维护，保障运营正常，老人居住无忧。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工资及时发放、足额发放.。资金即时申请并支付。完成率100%。。单位即时维护，保障运营正常，老人居住无忧。</w:t>
            </w:r>
          </w:p>
        </w:tc>
      </w:tr>
      <w:tr w14:paraId="6548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2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0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人员工资、保险、福利按月申报。即时申请并发放缴纳。单位即时维护，保障运营正常，老人居住无忧。</w:t>
            </w:r>
          </w:p>
        </w:tc>
      </w:tr>
      <w:tr w14:paraId="5876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7E5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05B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F871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B8D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1B1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A2D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4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A401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5CE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6FF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11A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A8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42D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0019">
            <w:pPr>
              <w:rPr>
                <w:rFonts w:hint="default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22E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C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B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1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0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F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5B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29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3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58F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7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工资、福利发放及时。设备及时检查正常更新运转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C3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D97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31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老人满意、家属满意度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494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678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2E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为特困、五保老人提供基本生活保障所需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AEF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02F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6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促进文明和谐生态城市建设，减少孤寡老人流浪及困境指数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优良中的差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C5B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711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86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人员工资、保险等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E36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E41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BD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帮扶对象满意度指标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员工满意度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704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D3D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0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8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F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1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71位员工的待遇发放，单位正常运行，保证入住老人的生活质量，提高老人的幸福指数，使入住老人满意度达到90%以上。</w:t>
            </w:r>
          </w:p>
        </w:tc>
      </w:tr>
      <w:tr w14:paraId="7A14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1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26B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1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069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项目负责人：夏勇华</w:t>
            </w:r>
          </w:p>
        </w:tc>
        <w:tc>
          <w:tcPr>
            <w:tcW w:w="44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财务负责人：夏勇华</w:t>
            </w:r>
          </w:p>
        </w:tc>
      </w:tr>
    </w:tbl>
    <w:p w14:paraId="38CBC6A2">
      <w:pP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</w:p>
    <w:tbl>
      <w:tblPr>
        <w:tblStyle w:val="16"/>
        <w:tblW w:w="8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32"/>
        <w:gridCol w:w="936"/>
        <w:gridCol w:w="1264"/>
        <w:gridCol w:w="396"/>
        <w:gridCol w:w="486"/>
        <w:gridCol w:w="396"/>
        <w:gridCol w:w="794"/>
        <w:gridCol w:w="396"/>
        <w:gridCol w:w="396"/>
        <w:gridCol w:w="1650"/>
      </w:tblGrid>
      <w:tr w14:paraId="585C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24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50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78" w:name="_Toc15396618"/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343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2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28B33">
            <w:pPr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A31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51118124T000011413864-福利院单位自有资金</w:t>
            </w:r>
          </w:p>
        </w:tc>
      </w:tr>
      <w:tr w14:paraId="5606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2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峨眉山市民政福利院</w:t>
            </w:r>
          </w:p>
        </w:tc>
      </w:tr>
      <w:tr w14:paraId="0E5B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701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0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支付水费，电费，燃气费，生活费，各项维护费及210余名员工的待遇发放，在保证单位能够正常运行的前提下，保证入住老人的生活质量，提高老人的幸福指数，使入住老人满意度达到90%以上。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机构正常运转，员工待遇及时发放，老人满意度达到90%以上。</w:t>
            </w:r>
          </w:p>
        </w:tc>
      </w:tr>
      <w:tr w14:paraId="5A1A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B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7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每月按时支付水费，电费，燃气费，生活费，各项维护费及210余名员工的待遇，保证单位正常运转，保证入住老人的生活质量，提高老人的幸福指数，使入住老人满意度达到90%以上。</w:t>
            </w:r>
          </w:p>
        </w:tc>
      </w:tr>
      <w:tr w14:paraId="0848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450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1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1,507.44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75.37%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双福院区支出走往来科目，未列入事业支出，因此预算执行率较低</w:t>
            </w:r>
          </w:p>
        </w:tc>
      </w:tr>
      <w:tr w14:paraId="5772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F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1,507.44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75.37%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E0F5">
            <w:pP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7A5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8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2FC">
            <w:pP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DFC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0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C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6A47">
            <w:pP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601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339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C33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CFB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D9C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5FD9">
            <w:pP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BE5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623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9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210名员工待遇发放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380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D71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6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D9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入住老人生活质量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C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2DA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AE2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B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30A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职工工资发放及时率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572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5EC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C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入住老人幸福指数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1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561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BFC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0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入住老人的认可和赞同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6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4D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6FF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6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入住老人满意度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FFB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610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AC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8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每月水电气等日常支出按时支付，员工工资及时发放，机构正常运转，老人生活质量有所保证，入住老人满意度达到95%。</w:t>
            </w:r>
          </w:p>
        </w:tc>
      </w:tr>
      <w:tr w14:paraId="47CC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61B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无 </w:t>
            </w:r>
          </w:p>
        </w:tc>
      </w:tr>
      <w:tr w14:paraId="7335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项目负责人：夏勇华</w:t>
            </w:r>
          </w:p>
        </w:tc>
        <w:tc>
          <w:tcPr>
            <w:tcW w:w="4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F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财务负责人：夏勇华</w:t>
            </w:r>
          </w:p>
        </w:tc>
      </w:tr>
    </w:tbl>
    <w:p w14:paraId="2048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657DCBB6">
      <w:pPr>
        <w:pStyle w:val="3"/>
        <w:jc w:val="center"/>
        <w:outlineLvl w:val="0"/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</w:pPr>
      <w:bookmarkStart w:id="79" w:name="_Toc18368"/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第五部分 附表</w:t>
      </w:r>
      <w:bookmarkEnd w:id="75"/>
      <w:bookmarkEnd w:id="78"/>
      <w:bookmarkEnd w:id="79"/>
      <w:bookmarkStart w:id="80" w:name="_Toc15396619"/>
    </w:p>
    <w:p w14:paraId="2641C0D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5BC134F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1" w:name="_Toc28914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一、收入支出决算总表</w:t>
      </w:r>
      <w:bookmarkEnd w:id="80"/>
      <w:bookmarkEnd w:id="81"/>
    </w:p>
    <w:p w14:paraId="3C8AA56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2" w:name="_Toc5132"/>
      <w:bookmarkStart w:id="83" w:name="_Toc1539662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二、收入决算表</w:t>
      </w:r>
      <w:bookmarkEnd w:id="82"/>
      <w:bookmarkEnd w:id="83"/>
    </w:p>
    <w:p w14:paraId="1323C1C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4" w:name="_Toc30496"/>
      <w:bookmarkStart w:id="85" w:name="_Toc1539662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三、支出决算表</w:t>
      </w:r>
      <w:bookmarkEnd w:id="84"/>
      <w:bookmarkEnd w:id="85"/>
    </w:p>
    <w:p w14:paraId="0881764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6" w:name="_Toc15396622"/>
      <w:bookmarkStart w:id="87" w:name="_Toc1214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四、财政拨款收入支出决算总表</w:t>
      </w:r>
      <w:bookmarkEnd w:id="86"/>
      <w:bookmarkEnd w:id="87"/>
    </w:p>
    <w:p w14:paraId="127765A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8" w:name="_Toc15396623"/>
      <w:bookmarkStart w:id="89" w:name="_Toc19925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五、财政拨款支出决算明细表</w:t>
      </w:r>
      <w:bookmarkEnd w:id="88"/>
      <w:bookmarkEnd w:id="89"/>
      <w:bookmarkStart w:id="90" w:name="_Toc15396624"/>
    </w:p>
    <w:p w14:paraId="198FBA1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1" w:name="_Toc6365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六、一般公共预算财政拨款支出决算表</w:t>
      </w:r>
      <w:bookmarkEnd w:id="90"/>
      <w:bookmarkEnd w:id="91"/>
    </w:p>
    <w:p w14:paraId="4EA0F92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2" w:name="_Toc4225"/>
      <w:bookmarkStart w:id="93" w:name="_Toc15396625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七、一般公共预算财政拨款支出决算明细表</w:t>
      </w:r>
      <w:bookmarkEnd w:id="92"/>
      <w:bookmarkEnd w:id="93"/>
    </w:p>
    <w:p w14:paraId="210009F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4" w:name="_Toc15396626"/>
      <w:bookmarkStart w:id="95" w:name="_Toc32017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八、一般公共预算财政拨款基本支出决算表</w:t>
      </w:r>
      <w:bookmarkEnd w:id="94"/>
      <w:bookmarkEnd w:id="95"/>
    </w:p>
    <w:p w14:paraId="7E861E8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6" w:name="_Toc15396627"/>
      <w:bookmarkStart w:id="97" w:name="_Toc2556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九、一般公共预算财政拨款项目支出决算表</w:t>
      </w:r>
      <w:bookmarkEnd w:id="96"/>
      <w:bookmarkEnd w:id="97"/>
    </w:p>
    <w:p w14:paraId="38B728E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8" w:name="_Toc15396628"/>
      <w:bookmarkStart w:id="99" w:name="_Toc30018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十、</w:t>
      </w:r>
      <w:bookmarkEnd w:id="98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政府性基金预算财政拨款收入支出决算表</w:t>
      </w:r>
      <w:bookmarkEnd w:id="99"/>
    </w:p>
    <w:p w14:paraId="566222A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100" w:name="_Toc15396629"/>
      <w:bookmarkStart w:id="101" w:name="_Toc2001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十一、</w:t>
      </w:r>
      <w:bookmarkEnd w:id="10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国有资本经营预算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财政拨款收入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支出决算表</w:t>
      </w:r>
      <w:bookmarkEnd w:id="101"/>
    </w:p>
    <w:p w14:paraId="7BD2D56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102" w:name="_Toc15396630"/>
      <w:bookmarkStart w:id="103" w:name="_Toc1657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十二、</w:t>
      </w:r>
      <w:bookmarkEnd w:id="10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国有资本经营预算财政拨款支出决算表</w:t>
      </w:r>
      <w:bookmarkEnd w:id="103"/>
    </w:p>
    <w:p w14:paraId="30CC662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104" w:name="_Toc15396631"/>
      <w:bookmarkStart w:id="105" w:name="_Toc17175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十三、</w:t>
      </w:r>
      <w:bookmarkEnd w:id="104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财政拨款“三公”经费支出决算表</w:t>
      </w:r>
      <w:bookmarkEnd w:id="105"/>
    </w:p>
    <w:p w14:paraId="57BC931A">
      <w:pPr>
        <w:rPr>
          <w:rFonts w:hint="eastAsia" w:ascii="Times New Roman" w:hAnsi="Times New Roman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43E6856-50A8-4782-B353-973FA99861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CD732A-FDBD-4B46-AF6B-17846C061B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A54AC8-B9A7-43A6-A065-D99F11E050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8AF642-E45D-44ED-B004-83833E95E83D}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2C973E4-74C9-48BF-A0B5-0A5A698CD7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F55C99D-5C06-4127-B280-F4F9E4FCB3F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C05152E1-A8BF-4C58-B230-36A08A9AE7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B1F8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6123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6123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A09DC2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5B9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645B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645B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65A0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F0F6F"/>
    <w:multiLevelType w:val="singleLevel"/>
    <w:tmpl w:val="664F0F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GI3YTJlNTk5YjQ5N2FhNTQ1MGQ1OGJhMTUxMWYifQ=="/>
  </w:docVars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4633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2A5EC2"/>
    <w:rsid w:val="015975B8"/>
    <w:rsid w:val="02FEBE30"/>
    <w:rsid w:val="04386A2E"/>
    <w:rsid w:val="04916F1E"/>
    <w:rsid w:val="05FE23E4"/>
    <w:rsid w:val="061E35DE"/>
    <w:rsid w:val="066E0107"/>
    <w:rsid w:val="07996F6E"/>
    <w:rsid w:val="07DFD8BA"/>
    <w:rsid w:val="09867E8F"/>
    <w:rsid w:val="0A2032A3"/>
    <w:rsid w:val="0AD57BB7"/>
    <w:rsid w:val="0CA8290A"/>
    <w:rsid w:val="0CE614D8"/>
    <w:rsid w:val="0D35B1ED"/>
    <w:rsid w:val="0E254B6B"/>
    <w:rsid w:val="0F98263C"/>
    <w:rsid w:val="101860EC"/>
    <w:rsid w:val="101F47CC"/>
    <w:rsid w:val="10C055FF"/>
    <w:rsid w:val="11694EBD"/>
    <w:rsid w:val="11772AA4"/>
    <w:rsid w:val="118107EC"/>
    <w:rsid w:val="12E24EE2"/>
    <w:rsid w:val="13D50BC4"/>
    <w:rsid w:val="14B17F78"/>
    <w:rsid w:val="165E0673"/>
    <w:rsid w:val="16A677CD"/>
    <w:rsid w:val="16B831D5"/>
    <w:rsid w:val="16BB723D"/>
    <w:rsid w:val="16E573D4"/>
    <w:rsid w:val="17513220"/>
    <w:rsid w:val="17E50567"/>
    <w:rsid w:val="186504BB"/>
    <w:rsid w:val="19592A21"/>
    <w:rsid w:val="19A445FC"/>
    <w:rsid w:val="1B6405C9"/>
    <w:rsid w:val="1BE8440E"/>
    <w:rsid w:val="1D155CEE"/>
    <w:rsid w:val="1D1638FE"/>
    <w:rsid w:val="1E312DEB"/>
    <w:rsid w:val="1E740ACF"/>
    <w:rsid w:val="1E967206"/>
    <w:rsid w:val="1FF35744"/>
    <w:rsid w:val="1FF6BC77"/>
    <w:rsid w:val="204841D2"/>
    <w:rsid w:val="2186353C"/>
    <w:rsid w:val="228E5D7F"/>
    <w:rsid w:val="23860B96"/>
    <w:rsid w:val="240371BF"/>
    <w:rsid w:val="244F3473"/>
    <w:rsid w:val="24C97D99"/>
    <w:rsid w:val="2513335E"/>
    <w:rsid w:val="25A718F0"/>
    <w:rsid w:val="25BB59F6"/>
    <w:rsid w:val="260F557C"/>
    <w:rsid w:val="26970054"/>
    <w:rsid w:val="26BB3CAD"/>
    <w:rsid w:val="281408E2"/>
    <w:rsid w:val="286914E7"/>
    <w:rsid w:val="29FD04D3"/>
    <w:rsid w:val="2BFF7BC6"/>
    <w:rsid w:val="2C8A61B5"/>
    <w:rsid w:val="2CC92C0B"/>
    <w:rsid w:val="2DF04E50"/>
    <w:rsid w:val="2E586DFA"/>
    <w:rsid w:val="2F040D46"/>
    <w:rsid w:val="2F6B035B"/>
    <w:rsid w:val="2FAE5751"/>
    <w:rsid w:val="2FB1A395"/>
    <w:rsid w:val="2FD9A7D8"/>
    <w:rsid w:val="2FDBF714"/>
    <w:rsid w:val="2FF20121"/>
    <w:rsid w:val="30534DD6"/>
    <w:rsid w:val="30562C99"/>
    <w:rsid w:val="30AB6865"/>
    <w:rsid w:val="319F7F4E"/>
    <w:rsid w:val="32BD1EF1"/>
    <w:rsid w:val="3304709D"/>
    <w:rsid w:val="33883169"/>
    <w:rsid w:val="33A773CB"/>
    <w:rsid w:val="349D6851"/>
    <w:rsid w:val="34BD4BA2"/>
    <w:rsid w:val="36AA5135"/>
    <w:rsid w:val="36BE0DA7"/>
    <w:rsid w:val="376B6AA6"/>
    <w:rsid w:val="376D39B2"/>
    <w:rsid w:val="37E16F03"/>
    <w:rsid w:val="37F53A3B"/>
    <w:rsid w:val="389B6C89"/>
    <w:rsid w:val="38D469F0"/>
    <w:rsid w:val="39627CCD"/>
    <w:rsid w:val="397BAF1F"/>
    <w:rsid w:val="3AB79AF3"/>
    <w:rsid w:val="3AE834C0"/>
    <w:rsid w:val="3B516536"/>
    <w:rsid w:val="3B7EF35A"/>
    <w:rsid w:val="3B9FDB6C"/>
    <w:rsid w:val="3BF5BC2F"/>
    <w:rsid w:val="3C76026C"/>
    <w:rsid w:val="3CEBA265"/>
    <w:rsid w:val="3D98207C"/>
    <w:rsid w:val="3DEE7CF3"/>
    <w:rsid w:val="3E740A63"/>
    <w:rsid w:val="3E78745D"/>
    <w:rsid w:val="3EE17838"/>
    <w:rsid w:val="3F55381A"/>
    <w:rsid w:val="3F7F7599"/>
    <w:rsid w:val="3FF4CAE0"/>
    <w:rsid w:val="3FF7B227"/>
    <w:rsid w:val="44E268DA"/>
    <w:rsid w:val="450D13D7"/>
    <w:rsid w:val="451A1858"/>
    <w:rsid w:val="45506656"/>
    <w:rsid w:val="464C6278"/>
    <w:rsid w:val="47226FD9"/>
    <w:rsid w:val="486A6C7A"/>
    <w:rsid w:val="4A627F82"/>
    <w:rsid w:val="4B0E749A"/>
    <w:rsid w:val="4B2477C4"/>
    <w:rsid w:val="4B4F25DA"/>
    <w:rsid w:val="4BE068DB"/>
    <w:rsid w:val="4D577224"/>
    <w:rsid w:val="4DBF1CEB"/>
    <w:rsid w:val="4DF0007C"/>
    <w:rsid w:val="4EAB630A"/>
    <w:rsid w:val="4ECE2238"/>
    <w:rsid w:val="4F833267"/>
    <w:rsid w:val="4FDE2637"/>
    <w:rsid w:val="4FE9BD67"/>
    <w:rsid w:val="4FFB052F"/>
    <w:rsid w:val="537E6D0A"/>
    <w:rsid w:val="53F74C96"/>
    <w:rsid w:val="54AE00FE"/>
    <w:rsid w:val="55170BA8"/>
    <w:rsid w:val="553218C9"/>
    <w:rsid w:val="55E7633C"/>
    <w:rsid w:val="567E1AA5"/>
    <w:rsid w:val="56E47B74"/>
    <w:rsid w:val="57175D52"/>
    <w:rsid w:val="579F6F19"/>
    <w:rsid w:val="57BD3DD4"/>
    <w:rsid w:val="5A405C9C"/>
    <w:rsid w:val="5AF92295"/>
    <w:rsid w:val="5B250254"/>
    <w:rsid w:val="5B721E85"/>
    <w:rsid w:val="5BD00039"/>
    <w:rsid w:val="5BDD79E6"/>
    <w:rsid w:val="5BF561CA"/>
    <w:rsid w:val="5BFF5DFC"/>
    <w:rsid w:val="5CD71FC4"/>
    <w:rsid w:val="5D1F11B5"/>
    <w:rsid w:val="5D695134"/>
    <w:rsid w:val="5DAE1B18"/>
    <w:rsid w:val="5DBC32BC"/>
    <w:rsid w:val="5DE7D9E5"/>
    <w:rsid w:val="5ECEC941"/>
    <w:rsid w:val="5F57386C"/>
    <w:rsid w:val="5FBF9FF3"/>
    <w:rsid w:val="5FCD4E2C"/>
    <w:rsid w:val="5FEF394A"/>
    <w:rsid w:val="5FF67715"/>
    <w:rsid w:val="60E05AE3"/>
    <w:rsid w:val="62BF3928"/>
    <w:rsid w:val="63B3701E"/>
    <w:rsid w:val="647F5392"/>
    <w:rsid w:val="65E66580"/>
    <w:rsid w:val="664B1D71"/>
    <w:rsid w:val="664B4E8E"/>
    <w:rsid w:val="67277B67"/>
    <w:rsid w:val="67AA3209"/>
    <w:rsid w:val="689B545D"/>
    <w:rsid w:val="698D0931"/>
    <w:rsid w:val="6A7FE5F3"/>
    <w:rsid w:val="6B053271"/>
    <w:rsid w:val="6BDD78B3"/>
    <w:rsid w:val="6C4A05C8"/>
    <w:rsid w:val="6C8742B8"/>
    <w:rsid w:val="6DB83F4A"/>
    <w:rsid w:val="6DBF5E93"/>
    <w:rsid w:val="6DFF077E"/>
    <w:rsid w:val="6E714EF0"/>
    <w:rsid w:val="6E7E3605"/>
    <w:rsid w:val="6E7FDCC7"/>
    <w:rsid w:val="6ED6A62E"/>
    <w:rsid w:val="6EE00B15"/>
    <w:rsid w:val="6F6FB3EB"/>
    <w:rsid w:val="6F8731EA"/>
    <w:rsid w:val="6FCE6052"/>
    <w:rsid w:val="6FD57C00"/>
    <w:rsid w:val="6FEFFFD8"/>
    <w:rsid w:val="6FF5CC65"/>
    <w:rsid w:val="6FFB47EC"/>
    <w:rsid w:val="6FFF034A"/>
    <w:rsid w:val="70484440"/>
    <w:rsid w:val="712A28F1"/>
    <w:rsid w:val="715C0E4B"/>
    <w:rsid w:val="71992E7C"/>
    <w:rsid w:val="72233669"/>
    <w:rsid w:val="722C0B88"/>
    <w:rsid w:val="72734D90"/>
    <w:rsid w:val="73160E6D"/>
    <w:rsid w:val="7332FE48"/>
    <w:rsid w:val="737F2F3A"/>
    <w:rsid w:val="73AB61DA"/>
    <w:rsid w:val="73AD73D5"/>
    <w:rsid w:val="73B6EB34"/>
    <w:rsid w:val="73FA497D"/>
    <w:rsid w:val="744731E5"/>
    <w:rsid w:val="74BBD01D"/>
    <w:rsid w:val="74ED5379"/>
    <w:rsid w:val="751F49D4"/>
    <w:rsid w:val="75DEEEC2"/>
    <w:rsid w:val="75E32345"/>
    <w:rsid w:val="76E3355F"/>
    <w:rsid w:val="76FF5125"/>
    <w:rsid w:val="776F6FFA"/>
    <w:rsid w:val="778769C8"/>
    <w:rsid w:val="77A75DCA"/>
    <w:rsid w:val="77DC22F5"/>
    <w:rsid w:val="783E271A"/>
    <w:rsid w:val="78616DE9"/>
    <w:rsid w:val="78E875D7"/>
    <w:rsid w:val="79086DAD"/>
    <w:rsid w:val="79D7FD79"/>
    <w:rsid w:val="79EE5BA4"/>
    <w:rsid w:val="7A894339"/>
    <w:rsid w:val="7AD284E8"/>
    <w:rsid w:val="7AFF7572"/>
    <w:rsid w:val="7B6C7DFB"/>
    <w:rsid w:val="7BBFBED0"/>
    <w:rsid w:val="7BC3E394"/>
    <w:rsid w:val="7C1F3737"/>
    <w:rsid w:val="7C5E5077"/>
    <w:rsid w:val="7CBFC87B"/>
    <w:rsid w:val="7CFE0F48"/>
    <w:rsid w:val="7D272ABC"/>
    <w:rsid w:val="7D7EC23E"/>
    <w:rsid w:val="7DC65E3E"/>
    <w:rsid w:val="7E8ADEBF"/>
    <w:rsid w:val="7EEF11D3"/>
    <w:rsid w:val="7EFE4840"/>
    <w:rsid w:val="7F0971A6"/>
    <w:rsid w:val="7F1D62E7"/>
    <w:rsid w:val="7F3F679B"/>
    <w:rsid w:val="7F4FC4EF"/>
    <w:rsid w:val="7F5E4D54"/>
    <w:rsid w:val="7F6A7194"/>
    <w:rsid w:val="7F6E0135"/>
    <w:rsid w:val="7F79F205"/>
    <w:rsid w:val="7FA30C79"/>
    <w:rsid w:val="7FA79C44"/>
    <w:rsid w:val="7FAF8ABF"/>
    <w:rsid w:val="7FB7269E"/>
    <w:rsid w:val="7FC96657"/>
    <w:rsid w:val="7FDA9588"/>
    <w:rsid w:val="7FDF220F"/>
    <w:rsid w:val="7FEDC5F7"/>
    <w:rsid w:val="7FEDD9DE"/>
    <w:rsid w:val="7FF5890D"/>
    <w:rsid w:val="7FF93490"/>
    <w:rsid w:val="7FF939B6"/>
    <w:rsid w:val="99FF2014"/>
    <w:rsid w:val="A6DD0D7F"/>
    <w:rsid w:val="ACFF4FBB"/>
    <w:rsid w:val="ADC6F725"/>
    <w:rsid w:val="B7CF06AB"/>
    <w:rsid w:val="B7CFA926"/>
    <w:rsid w:val="B7F8786B"/>
    <w:rsid w:val="BABB6AA1"/>
    <w:rsid w:val="BB2F4199"/>
    <w:rsid w:val="BCFFB442"/>
    <w:rsid w:val="BD079C78"/>
    <w:rsid w:val="BD733540"/>
    <w:rsid w:val="BF3735D5"/>
    <w:rsid w:val="BF7F09AC"/>
    <w:rsid w:val="BFD475C3"/>
    <w:rsid w:val="BFDE5EA6"/>
    <w:rsid w:val="CF6FC6F3"/>
    <w:rsid w:val="CFD3D3D7"/>
    <w:rsid w:val="CFDF1009"/>
    <w:rsid w:val="D7D7B16A"/>
    <w:rsid w:val="D8D6DB89"/>
    <w:rsid w:val="DB6F4CAB"/>
    <w:rsid w:val="DB777682"/>
    <w:rsid w:val="DD1FB521"/>
    <w:rsid w:val="DEFBFEAE"/>
    <w:rsid w:val="DF1F3B80"/>
    <w:rsid w:val="DF6F9789"/>
    <w:rsid w:val="DFE9BE81"/>
    <w:rsid w:val="DFFFA9E8"/>
    <w:rsid w:val="E5F4E9DC"/>
    <w:rsid w:val="E70FE695"/>
    <w:rsid w:val="EB2E368B"/>
    <w:rsid w:val="ECFED1BC"/>
    <w:rsid w:val="ED1D69BB"/>
    <w:rsid w:val="ED7FD312"/>
    <w:rsid w:val="EF2E1AC6"/>
    <w:rsid w:val="EF53993F"/>
    <w:rsid w:val="EF6FD633"/>
    <w:rsid w:val="EFBFB2F4"/>
    <w:rsid w:val="EFBFFA21"/>
    <w:rsid w:val="F2BEBCB8"/>
    <w:rsid w:val="F36FB518"/>
    <w:rsid w:val="F3DE1A04"/>
    <w:rsid w:val="F3F722E5"/>
    <w:rsid w:val="F4FBCD07"/>
    <w:rsid w:val="FA5F1E70"/>
    <w:rsid w:val="FA5FDB97"/>
    <w:rsid w:val="FB7F486A"/>
    <w:rsid w:val="FBFF5B2E"/>
    <w:rsid w:val="FD7FFE2B"/>
    <w:rsid w:val="FDEE196B"/>
    <w:rsid w:val="FDFE6575"/>
    <w:rsid w:val="FEDFDDC2"/>
    <w:rsid w:val="FEED32F6"/>
    <w:rsid w:val="FEF781DD"/>
    <w:rsid w:val="FF3F7E3F"/>
    <w:rsid w:val="FFBA12D7"/>
    <w:rsid w:val="FFCBD314"/>
    <w:rsid w:val="FFDFF91C"/>
    <w:rsid w:val="FFDFFAEE"/>
    <w:rsid w:val="FFEF6777"/>
    <w:rsid w:val="FFF9B57B"/>
    <w:rsid w:val="FFFD61D9"/>
    <w:rsid w:val="FFFD8F59"/>
    <w:rsid w:val="FFFF2BB1"/>
    <w:rsid w:val="FFFFB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6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7">
    <w:name w:val="Body Text Indent"/>
    <w:basedOn w:val="1"/>
    <w:next w:val="8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8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0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2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4">
    <w:name w:val="footnote text"/>
    <w:basedOn w:val="1"/>
    <w:next w:val="8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8">
    <w:name w:val="Strong"/>
    <w:basedOn w:val="17"/>
    <w:qFormat/>
    <w:uiPriority w:val="99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Head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眉 Char"/>
    <w:link w:val="12"/>
    <w:semiHidden/>
    <w:qFormat/>
    <w:locked/>
    <w:uiPriority w:val="99"/>
    <w:rPr>
      <w:sz w:val="18"/>
    </w:rPr>
  </w:style>
  <w:style w:type="character" w:customStyle="1" w:styleId="22">
    <w:name w:val="Foot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Char"/>
    <w:link w:val="11"/>
    <w:qFormat/>
    <w:locked/>
    <w:uiPriority w:val="99"/>
    <w:rPr>
      <w:sz w:val="18"/>
    </w:rPr>
  </w:style>
  <w:style w:type="character" w:customStyle="1" w:styleId="24">
    <w:name w:val="Body Text Char"/>
    <w:basedOn w:val="17"/>
    <w:semiHidden/>
    <w:qFormat/>
    <w:uiPriority w:val="99"/>
    <w:rPr>
      <w:rFonts w:ascii="Times New Roman" w:hAnsi="Times New Roman"/>
      <w:szCs w:val="24"/>
    </w:rPr>
  </w:style>
  <w:style w:type="character" w:customStyle="1" w:styleId="25">
    <w:name w:val="正文文本 Char"/>
    <w:link w:val="6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Char"/>
    <w:basedOn w:val="17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9">
    <w:name w:val="标题 2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批注框文本 Char"/>
    <w:basedOn w:val="17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3 Char"/>
    <w:basedOn w:val="17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3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4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  <w:style w:type="paragraph" w:customStyle="1" w:styleId="3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&#28216;&#32654;&#23047;\2025\2024&#24180;&#20915;&#31639;&#20844;&#24320;\&#20915;&#31639;&#30456;&#20851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&#28216;&#32654;&#23047;\2025\2024&#24180;&#20915;&#31639;&#20844;&#24320;\&#20915;&#31639;&#30456;&#20851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&#28216;&#32654;&#23047;\2025\2024&#24180;&#20915;&#31639;&#20844;&#24320;\&#20915;&#31639;&#30456;&#20851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&#28216;&#32654;&#23047;\2025\2024&#24180;&#20915;&#31639;&#20844;&#24320;\&#20915;&#31639;&#30456;&#20851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&#28216;&#32654;&#23047;\2025\2024&#24180;&#20915;&#31639;&#20844;&#24320;\&#20915;&#31639;&#30456;&#20851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8216;&#32654;&#23047;\2025\2024&#24180;&#20915;&#31639;&#20844;&#24320;\&#20915;&#31639;&#30456;&#20851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收、支总计变动情况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[决算相关图表.xlsx]Sheet1!$A$3</c:f>
              <c:strCache>
                <c:ptCount val="1"/>
                <c:pt idx="0">
                  <c:v>总收入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[决算相关图表.xlsx]Sheet1!$B$2:$C$2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[决算相关图表.xlsx]Sheet1!$B$3:$C$3</c:f>
              <c:numCache>
                <c:formatCode>General</c:formatCode>
                <c:ptCount val="2"/>
                <c:pt idx="0">
                  <c:v>2360.7</c:v>
                </c:pt>
                <c:pt idx="1">
                  <c:v>2326.96</c:v>
                </c:pt>
              </c:numCache>
            </c:numRef>
          </c:val>
        </c:ser>
        <c:ser>
          <c:idx val="1"/>
          <c:order val="1"/>
          <c:tx>
            <c:strRef>
              <c:f>[决算相关图表.xlsx]Sheet1!$A$4</c:f>
              <c:strCache>
                <c:ptCount val="1"/>
                <c:pt idx="0">
                  <c:v>总支出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[决算相关图表.xlsx]Sheet1!$B$2:$C$2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[决算相关图表.xlsx]Sheet1!$B$4:$C$4</c:f>
              <c:numCache>
                <c:formatCode>General</c:formatCode>
                <c:ptCount val="2"/>
                <c:pt idx="0">
                  <c:v>2360.7</c:v>
                </c:pt>
                <c:pt idx="1">
                  <c:v>2326.96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08556366"/>
        <c:axId val="74637561"/>
      </c:barChart>
      <c:catAx>
        <c:axId val="7085563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637561"/>
        <c:crosses val="autoZero"/>
        <c:auto val="1"/>
        <c:lblAlgn val="ctr"/>
        <c:lblOffset val="100"/>
        <c:noMultiLvlLbl val="0"/>
      </c:catAx>
      <c:valAx>
        <c:axId val="7463756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0855636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94b62dc-290d-45e1-9ef6-0e4c9fbdcc9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收入决算结构图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[决算相关图表.xlsx]Sheet1!$B$26</c:f>
              <c:strCache>
                <c:ptCount val="1"/>
                <c:pt idx="0">
                  <c:v>金额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[决算相关图表.xlsx]Sheet1!$A$27:$A$29</c:f>
              <c:strCache>
                <c:ptCount val="3"/>
                <c:pt idx="0">
                  <c:v>一般公共预算财政拨款收入</c:v>
                </c:pt>
                <c:pt idx="1">
                  <c:v>政府性基金预算财政拨款收入</c:v>
                </c:pt>
                <c:pt idx="2">
                  <c:v>事业收入</c:v>
                </c:pt>
              </c:strCache>
            </c:strRef>
          </c:cat>
          <c:val>
            <c:numRef>
              <c:f>[决算相关图表.xlsx]Sheet1!$B$27:$B$29</c:f>
              <c:numCache>
                <c:formatCode>General</c:formatCode>
                <c:ptCount val="3"/>
                <c:pt idx="0">
                  <c:v>309.65</c:v>
                </c:pt>
                <c:pt idx="1">
                  <c:v>84.29</c:v>
                </c:pt>
                <c:pt idx="2">
                  <c:v>1865.47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144388c-b611-4ea5-a3a2-ab6ffa345a7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支出决算结构图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[决算相关图表.xlsx]Sheet1!$A$34:$A$35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[决算相关图表.xlsx]Sheet1!$B$34:$B$35</c:f>
              <c:numCache>
                <c:formatCode>General</c:formatCode>
                <c:ptCount val="2"/>
                <c:pt idx="0">
                  <c:v>72.09</c:v>
                </c:pt>
                <c:pt idx="1">
                  <c:v>2022.86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febb84c-0e7c-4adb-936b-9f640f9df40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财政拨款收、支决算总计变动情况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[决算相关图表.xlsx]Sheet1!$A$40</c:f>
              <c:strCache>
                <c:ptCount val="1"/>
                <c:pt idx="0">
                  <c:v>财政拨款收入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[决算相关图表.xlsx]Sheet1!$B$39:$C$39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[决算相关图表.xlsx]Sheet1!$B$40:$C$40</c:f>
              <c:numCache>
                <c:formatCode>General</c:formatCode>
                <c:ptCount val="2"/>
                <c:pt idx="0">
                  <c:v>581.84</c:v>
                </c:pt>
                <c:pt idx="1">
                  <c:v>393.94</c:v>
                </c:pt>
              </c:numCache>
            </c:numRef>
          </c:val>
        </c:ser>
        <c:ser>
          <c:idx val="1"/>
          <c:order val="1"/>
          <c:tx>
            <c:strRef>
              <c:f>[决算相关图表.xlsx]Sheet1!$A$41</c:f>
              <c:strCache>
                <c:ptCount val="1"/>
                <c:pt idx="0">
                  <c:v>财政拨款支出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[决算相关图表.xlsx]Sheet1!$B$39:$C$39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[决算相关图表.xlsx]Sheet1!$B$41:$C$41</c:f>
              <c:numCache>
                <c:formatCode>General</c:formatCode>
                <c:ptCount val="2"/>
                <c:pt idx="0">
                  <c:v>581.84</c:v>
                </c:pt>
                <c:pt idx="1">
                  <c:v>393.94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9097597"/>
        <c:axId val="619526168"/>
      </c:barChart>
      <c:catAx>
        <c:axId val="91909759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9526168"/>
        <c:crosses val="autoZero"/>
        <c:auto val="1"/>
        <c:lblAlgn val="ctr"/>
        <c:lblOffset val="100"/>
        <c:noMultiLvlLbl val="0"/>
      </c:catAx>
      <c:valAx>
        <c:axId val="619526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1909759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aba992f-6c81-4d2e-b4bc-613867cb712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一般公共预算财政拨款收入支出决算变动情况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[决算相关图表.xlsx]Sheet1!$A$45</c:f>
              <c:strCache>
                <c:ptCount val="1"/>
                <c:pt idx="0">
                  <c:v>一般公共预算财政拨款收入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[决算相关图表.xlsx]Sheet1!$B$44:$C$44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[决算相关图表.xlsx]Sheet1!$B$45:$C$45</c:f>
              <c:numCache>
                <c:formatCode>General</c:formatCode>
                <c:ptCount val="2"/>
                <c:pt idx="0">
                  <c:v>323.59</c:v>
                </c:pt>
                <c:pt idx="1">
                  <c:v>309.65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2211511"/>
        <c:axId val="950688989"/>
      </c:barChart>
      <c:catAx>
        <c:axId val="62221151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0688989"/>
        <c:crosses val="autoZero"/>
        <c:auto val="1"/>
        <c:lblAlgn val="ctr"/>
        <c:lblOffset val="100"/>
        <c:noMultiLvlLbl val="0"/>
      </c:catAx>
      <c:valAx>
        <c:axId val="95068898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2211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a6a2082-3e83-496c-a7eb-f58767687b5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一般公共预算财政拨款支出决算结构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0.0552408866772834"/>
                  <c:y val="0.0014722674143001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800927684159651"/>
                  <c:y val="0.011891075208350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[决算相关图表.xlsx]Sheet1!$A$68:$A$70</c:f>
              <c:strCache>
                <c:ptCount val="3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</c:strCache>
            </c:strRef>
          </c:cat>
          <c:val>
            <c:numRef>
              <c:f>[决算相关图表.xlsx]Sheet1!$B$68:$B$70</c:f>
              <c:numCache>
                <c:formatCode>General</c:formatCode>
                <c:ptCount val="3"/>
                <c:pt idx="0">
                  <c:v>307</c:v>
                </c:pt>
                <c:pt idx="1">
                  <c:v>0.85</c:v>
                </c:pt>
                <c:pt idx="2">
                  <c:v>1.79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01ef75a-44a4-40ba-b489-24f3cadb551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16</Pages>
  <Words>3111</Words>
  <Characters>3583</Characters>
  <Lines>61</Lines>
  <Paragraphs>17</Paragraphs>
  <TotalTime>26</TotalTime>
  <ScaleCrop>false</ScaleCrop>
  <LinksUpToDate>false</LinksUpToDate>
  <CharactersWithSpaces>3819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2020-08-09T09:49:00Z</dcterms:created>
  <dc:creator>曹颖</dc:creator>
  <cp:lastModifiedBy>文春艳</cp:lastModifiedBy>
  <cp:lastPrinted>2025-08-06T17:34:00Z</cp:lastPrinted>
  <dcterms:modified xsi:type="dcterms:W3CDTF">2025-12-03T08:13:03Z</dcterms:modified>
  <dc:title>四川省***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6AAD045546E54BA1830EFF2B9F8B7E50_13</vt:lpwstr>
  </property>
  <property fmtid="{D5CDD505-2E9C-101B-9397-08002B2CF9AE}" pid="4" name="KSOTemplateDocerSaveRecord">
    <vt:lpwstr>eyJoZGlkIjoiYWVmYTY0YjZlZDQzNDk3Y2YxZmZmYmRiM2ZmNzliZDMiLCJ1c2VySWQiOiIxNzI4MjMyNzAyIn0=</vt:lpwstr>
  </property>
</Properties>
</file>