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关于峨眉山市粮食和物资储备中心2025年部门预算编制的说明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（一）主要职能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（二）2025年重点工作任务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3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（一）一般公共预算当年拨款规模及变化情况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（二）一般公共预算当年拨款结构情况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（三）一般公共预算当年拨款具体使用情况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6八、其他重要事项的情况说明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ind w:left="559" w:leftChars="266" w:firstLine="0" w:firstLineChars="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（一）机关运行经费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（二）政府采购情况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（三）国有资产占有使用情况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（四）绩效目标设置情况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峨眉山市粮食和物资储备中心2025年预算公开表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pStyle w:val="2"/>
        <w:ind w:left="0" w:leftChars="0" w:firstLine="0" w:firstLineChars="0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GE0YThlNGJjMGE5OWUyMTc1ZTVhMGY3ZWQ2NTUifQ=="/>
  </w:docVars>
  <w:rsids>
    <w:rsidRoot w:val="00000000"/>
    <w:rsid w:val="00281D29"/>
    <w:rsid w:val="04434A26"/>
    <w:rsid w:val="0CC92991"/>
    <w:rsid w:val="17394A28"/>
    <w:rsid w:val="319F176C"/>
    <w:rsid w:val="49991691"/>
    <w:rsid w:val="54081938"/>
    <w:rsid w:val="5BD47828"/>
    <w:rsid w:val="60715BC8"/>
    <w:rsid w:val="695B7A7A"/>
    <w:rsid w:val="69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2025-06-12T01:45:43Z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75BA3DC5CFAC4ED7AD49EEE84401077D_13</vt:lpwstr>
  </property>
</Properties>
</file>