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2D3D">
      <w:pPr>
        <w:widowControl/>
        <w:jc w:val="center"/>
        <w:rPr>
          <w:rFonts w:ascii="方正小标宋简体" w:hAnsi="方正小标宋简体" w:eastAsia="方正小标宋简体" w:cs="方正小标宋简体"/>
          <w:color w:val="000000"/>
          <w:kern w:val="0"/>
          <w:sz w:val="72"/>
          <w:szCs w:val="72"/>
          <w:lang w:bidi="ar"/>
        </w:rPr>
      </w:pPr>
    </w:p>
    <w:p w14:paraId="34BCCED7">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202</w:t>
      </w:r>
      <w:r>
        <w:rPr>
          <w:rFonts w:hint="eastAsia" w:ascii="方正小标宋简体" w:hAnsi="方正小标宋简体" w:eastAsia="方正小标宋简体" w:cs="方正小标宋简体"/>
          <w:color w:val="000000"/>
          <w:kern w:val="0"/>
          <w:sz w:val="72"/>
          <w:szCs w:val="72"/>
          <w:lang w:bidi="ar"/>
        </w:rPr>
        <w:t>5</w:t>
      </w:r>
      <w:r>
        <w:rPr>
          <w:rFonts w:ascii="方正小标宋简体" w:hAnsi="方正小标宋简体" w:eastAsia="方正小标宋简体" w:cs="方正小标宋简体"/>
          <w:color w:val="000000"/>
          <w:kern w:val="0"/>
          <w:sz w:val="72"/>
          <w:szCs w:val="72"/>
          <w:lang w:bidi="ar"/>
        </w:rPr>
        <w:t>年</w:t>
      </w:r>
    </w:p>
    <w:p w14:paraId="1D62557B">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峨眉山市应急管理局</w:t>
      </w:r>
    </w:p>
    <w:p w14:paraId="05A2A77C">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单位</w:t>
      </w:r>
      <w:r>
        <w:rPr>
          <w:rFonts w:ascii="方正小标宋简体" w:hAnsi="方正小标宋简体" w:eastAsia="方正小标宋简体" w:cs="方正小标宋简体"/>
          <w:color w:val="000000"/>
          <w:kern w:val="0"/>
          <w:sz w:val="72"/>
          <w:szCs w:val="72"/>
          <w:lang w:bidi="ar"/>
        </w:rPr>
        <w:t>预算</w:t>
      </w:r>
    </w:p>
    <w:p w14:paraId="28EA5310">
      <w:pPr>
        <w:widowControl/>
        <w:jc w:val="center"/>
        <w:rPr>
          <w:rFonts w:ascii="方正小标宋简体" w:hAnsi="方正小标宋简体" w:eastAsia="方正小标宋简体" w:cs="方正小标宋简体"/>
          <w:color w:val="000000"/>
          <w:kern w:val="0"/>
          <w:sz w:val="43"/>
          <w:szCs w:val="43"/>
          <w:lang w:bidi="ar"/>
        </w:rPr>
      </w:pPr>
    </w:p>
    <w:p w14:paraId="424533DB">
      <w:pPr>
        <w:widowControl/>
        <w:jc w:val="center"/>
        <w:rPr>
          <w:rFonts w:ascii="方正小标宋简体" w:hAnsi="方正小标宋简体" w:eastAsia="方正小标宋简体" w:cs="方正小标宋简体"/>
          <w:color w:val="000000"/>
          <w:kern w:val="0"/>
          <w:sz w:val="43"/>
          <w:szCs w:val="43"/>
          <w:lang w:bidi="ar"/>
        </w:rPr>
      </w:pPr>
    </w:p>
    <w:p w14:paraId="1AC1882C">
      <w:pPr>
        <w:widowControl/>
        <w:jc w:val="center"/>
        <w:rPr>
          <w:rFonts w:ascii="方正小标宋简体" w:hAnsi="方正小标宋简体" w:eastAsia="方正小标宋简体" w:cs="方正小标宋简体"/>
          <w:color w:val="000000"/>
          <w:kern w:val="0"/>
          <w:sz w:val="43"/>
          <w:szCs w:val="43"/>
          <w:lang w:bidi="ar"/>
        </w:rPr>
      </w:pPr>
    </w:p>
    <w:p w14:paraId="1103C31D">
      <w:pPr>
        <w:widowControl/>
        <w:jc w:val="center"/>
        <w:rPr>
          <w:rFonts w:ascii="方正小标宋简体" w:hAnsi="方正小标宋简体" w:eastAsia="方正小标宋简体" w:cs="方正小标宋简体"/>
          <w:color w:val="000000"/>
          <w:kern w:val="0"/>
          <w:sz w:val="43"/>
          <w:szCs w:val="43"/>
          <w:lang w:bidi="ar"/>
        </w:rPr>
      </w:pPr>
    </w:p>
    <w:p w14:paraId="01E1C84F">
      <w:pPr>
        <w:widowControl/>
        <w:jc w:val="center"/>
        <w:rPr>
          <w:rFonts w:ascii="方正小标宋简体" w:hAnsi="方正小标宋简体" w:eastAsia="方正小标宋简体" w:cs="方正小标宋简体"/>
          <w:color w:val="000000"/>
          <w:kern w:val="0"/>
          <w:sz w:val="43"/>
          <w:szCs w:val="43"/>
          <w:lang w:bidi="ar"/>
        </w:rPr>
      </w:pPr>
    </w:p>
    <w:p w14:paraId="5F3BD60E">
      <w:pPr>
        <w:widowControl/>
        <w:jc w:val="center"/>
        <w:rPr>
          <w:rFonts w:ascii="方正小标宋简体" w:hAnsi="方正小标宋简体" w:eastAsia="方正小标宋简体" w:cs="方正小标宋简体"/>
          <w:color w:val="000000"/>
          <w:kern w:val="0"/>
          <w:sz w:val="43"/>
          <w:szCs w:val="43"/>
          <w:lang w:bidi="ar"/>
        </w:rPr>
      </w:pPr>
    </w:p>
    <w:p w14:paraId="63B89368">
      <w:pPr>
        <w:widowControl/>
        <w:jc w:val="center"/>
        <w:rPr>
          <w:rFonts w:ascii="方正小标宋简体" w:hAnsi="方正小标宋简体" w:eastAsia="方正小标宋简体" w:cs="方正小标宋简体"/>
          <w:color w:val="000000"/>
          <w:kern w:val="0"/>
          <w:sz w:val="43"/>
          <w:szCs w:val="43"/>
          <w:lang w:bidi="ar"/>
        </w:rPr>
      </w:pPr>
    </w:p>
    <w:p w14:paraId="7B75E13A">
      <w:pPr>
        <w:widowControl/>
        <w:tabs>
          <w:tab w:val="right" w:leader="dot" w:pos="8400"/>
        </w:tabs>
        <w:jc w:val="center"/>
        <w:rPr>
          <w:rFonts w:ascii="方正小标宋简体" w:hAnsi="方正小标宋简体" w:eastAsia="方正小标宋简体" w:cs="方正小标宋简体"/>
          <w:color w:val="000000"/>
          <w:kern w:val="0"/>
          <w:sz w:val="43"/>
          <w:szCs w:val="43"/>
          <w:lang w:bidi="ar"/>
        </w:rPr>
      </w:pPr>
    </w:p>
    <w:p w14:paraId="3396CBFB">
      <w:pPr>
        <w:widowControl/>
        <w:tabs>
          <w:tab w:val="right" w:leader="dot" w:pos="8400"/>
        </w:tabs>
        <w:jc w:val="center"/>
        <w:rPr>
          <w:rFonts w:ascii="方正小标宋简体" w:hAnsi="方正小标宋简体" w:eastAsia="方正小标宋简体" w:cs="方正小标宋简体"/>
          <w:color w:val="000000"/>
          <w:kern w:val="0"/>
          <w:sz w:val="43"/>
          <w:szCs w:val="43"/>
          <w:lang w:bidi="ar"/>
        </w:rPr>
      </w:pPr>
    </w:p>
    <w:p w14:paraId="3B1C270A">
      <w:pPr>
        <w:widowControl/>
        <w:tabs>
          <w:tab w:val="right" w:leader="dot" w:pos="8400"/>
        </w:tabs>
        <w:jc w:val="center"/>
        <w:rPr>
          <w:rFonts w:ascii="方正小标宋简体" w:hAnsi="方正小标宋简体" w:eastAsia="方正小标宋简体" w:cs="方正小标宋简体"/>
          <w:color w:val="000000"/>
          <w:kern w:val="0"/>
          <w:sz w:val="43"/>
          <w:szCs w:val="43"/>
          <w:lang w:bidi="ar"/>
        </w:rPr>
      </w:pPr>
    </w:p>
    <w:p w14:paraId="42126FB8">
      <w:pPr>
        <w:widowControl/>
        <w:tabs>
          <w:tab w:val="right" w:leader="dot" w:pos="8400"/>
        </w:tabs>
        <w:jc w:val="center"/>
        <w:rPr>
          <w:rFonts w:ascii="方正小标宋简体" w:hAnsi="方正小标宋简体" w:eastAsia="方正小标宋简体" w:cs="方正小标宋简体"/>
          <w:color w:val="000000"/>
          <w:kern w:val="0"/>
          <w:sz w:val="43"/>
          <w:szCs w:val="43"/>
          <w:lang w:bidi="ar"/>
        </w:rPr>
      </w:pPr>
    </w:p>
    <w:p w14:paraId="5854AB73">
      <w:pPr>
        <w:widowControl/>
        <w:tabs>
          <w:tab w:val="right" w:leader="dot" w:pos="8400"/>
        </w:tabs>
        <w:jc w:val="center"/>
        <w:rPr>
          <w:rFonts w:ascii="方正小标宋简体" w:hAnsi="方正小标宋简体" w:eastAsia="方正小标宋简体" w:cs="方正小标宋简体"/>
          <w:color w:val="000000"/>
          <w:kern w:val="0"/>
          <w:sz w:val="43"/>
          <w:szCs w:val="43"/>
          <w:lang w:bidi="ar"/>
        </w:rPr>
      </w:pPr>
    </w:p>
    <w:p w14:paraId="127E237D">
      <w:pPr>
        <w:widowControl/>
        <w:tabs>
          <w:tab w:val="right" w:leader="dot" w:pos="8400"/>
        </w:tabs>
        <w:jc w:val="center"/>
      </w:pPr>
      <w:r>
        <w:rPr>
          <w:rFonts w:ascii="方正小标宋简体" w:hAnsi="方正小标宋简体" w:eastAsia="方正小标宋简体" w:cs="方正小标宋简体"/>
          <w:color w:val="000000"/>
          <w:kern w:val="0"/>
          <w:sz w:val="43"/>
          <w:szCs w:val="43"/>
          <w:lang w:bidi="ar"/>
        </w:rPr>
        <w:t>目 录</w:t>
      </w:r>
    </w:p>
    <w:p w14:paraId="68BB146E">
      <w:pPr>
        <w:tabs>
          <w:tab w:val="right" w:leader="dot" w:pos="8400"/>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关于峨眉山市应急管理局2025年预算编制的说明</w:t>
      </w:r>
    </w:p>
    <w:p w14:paraId="4A075878">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 xml:space="preserve">4 </w:t>
      </w:r>
    </w:p>
    <w:p w14:paraId="64381BFB">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二、收支预算总体情况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6</w:t>
      </w:r>
    </w:p>
    <w:p w14:paraId="3D6A2F51">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三、财政拨款支出预算安排情况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7</w:t>
      </w:r>
    </w:p>
    <w:p w14:paraId="1E061E60">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四、一般公共预算当年拨款情况说明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7</w:t>
      </w:r>
    </w:p>
    <w:p w14:paraId="5A1F6AE7">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五、一般公共预算基本支出情况说明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10</w:t>
      </w:r>
    </w:p>
    <w:p w14:paraId="0454DD7E">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六、政府性基金预算支出规模及变化情况说明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11</w:t>
      </w:r>
    </w:p>
    <w:p w14:paraId="7912DC3A">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七、“三公”经费预算安排情况说明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11</w:t>
      </w:r>
    </w:p>
    <w:p w14:paraId="19B2E28E">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八、其他重要事项的情况说明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12</w:t>
      </w:r>
    </w:p>
    <w:p w14:paraId="317E56ED">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九、名词解释</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13</w:t>
      </w:r>
    </w:p>
    <w:p w14:paraId="29B41ACA">
      <w:pPr>
        <w:widowControl/>
        <w:jc w:val="left"/>
      </w:pPr>
      <w:r>
        <w:rPr>
          <w:rFonts w:hint="eastAsia" w:ascii="黑体" w:hAnsi="宋体" w:eastAsia="黑体" w:cs="黑体"/>
          <w:color w:val="333333"/>
          <w:kern w:val="0"/>
          <w:sz w:val="31"/>
          <w:szCs w:val="31"/>
          <w:lang w:bidi="ar"/>
        </w:rPr>
        <w:t xml:space="preserve">第二部分 2025年峨眉山市应急管理局预算表 </w:t>
      </w:r>
    </w:p>
    <w:p w14:paraId="67A67328">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14:paraId="0DC63BE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14:paraId="0DD53951">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14:paraId="4B169C79">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14:paraId="77705105">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14:paraId="74D4939C">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14:paraId="631698E1">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14:paraId="5B044C07">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14:paraId="16360CEF">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14:paraId="5229AEDF">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14:paraId="76B659E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14:paraId="4423B51A">
      <w:pPr>
        <w:pStyle w:val="2"/>
        <w:ind w:firstLine="310" w:firstLineChars="100"/>
      </w:pPr>
      <w:r>
        <w:rPr>
          <w:rFonts w:hint="eastAsia" w:ascii="仿宋_GB2312" w:cs="仿宋_GB2312"/>
          <w:color w:val="333333"/>
          <w:kern w:val="0"/>
          <w:sz w:val="31"/>
          <w:szCs w:val="31"/>
          <w:lang w:val="en-US" w:bidi="ar"/>
        </w:rPr>
        <w:t>十二、上级资金安排情况表</w:t>
      </w:r>
    </w:p>
    <w:p w14:paraId="5A8D2F0F">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14:paraId="2B9E3491">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14:paraId="33404F49">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14:paraId="416A63D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14:paraId="0E5970C6">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14:paraId="659AC057">
      <w:pPr>
        <w:pStyle w:val="2"/>
        <w:ind w:firstLine="310" w:firstLineChars="100"/>
        <w:rPr>
          <w:lang w:val="en-US"/>
        </w:rPr>
      </w:pPr>
      <w:r>
        <w:rPr>
          <w:rFonts w:hint="eastAsia" w:ascii="仿宋_GB2312" w:cs="仿宋_GB2312"/>
          <w:color w:val="333333"/>
          <w:kern w:val="0"/>
          <w:sz w:val="31"/>
          <w:szCs w:val="31"/>
          <w:lang w:val="en-US" w:bidi="ar"/>
        </w:rPr>
        <w:t>十八、部门预算项目绩效目标表</w:t>
      </w:r>
    </w:p>
    <w:p w14:paraId="187A84BF">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14:paraId="5F072CCD">
      <w:pPr>
        <w:spacing w:line="600" w:lineRule="exact"/>
        <w:outlineLvl w:val="0"/>
        <w:rPr>
          <w:rFonts w:ascii="黑体" w:eastAsia="黑体"/>
          <w:sz w:val="32"/>
          <w:szCs w:val="32"/>
        </w:rPr>
      </w:pPr>
    </w:p>
    <w:p w14:paraId="4D9CF52D">
      <w:pPr>
        <w:spacing w:line="600" w:lineRule="exact"/>
        <w:outlineLvl w:val="0"/>
        <w:rPr>
          <w:rFonts w:ascii="黑体" w:eastAsia="黑体"/>
          <w:sz w:val="32"/>
          <w:szCs w:val="32"/>
        </w:rPr>
      </w:pPr>
    </w:p>
    <w:p w14:paraId="00337780">
      <w:pPr>
        <w:spacing w:line="600" w:lineRule="exact"/>
        <w:outlineLvl w:val="0"/>
        <w:rPr>
          <w:rFonts w:ascii="黑体" w:eastAsia="黑体"/>
          <w:sz w:val="32"/>
          <w:szCs w:val="32"/>
        </w:rPr>
      </w:pPr>
    </w:p>
    <w:p w14:paraId="56FF7257">
      <w:pPr>
        <w:spacing w:line="600" w:lineRule="exact"/>
        <w:outlineLvl w:val="0"/>
        <w:rPr>
          <w:rFonts w:ascii="黑体" w:eastAsia="黑体"/>
          <w:sz w:val="32"/>
          <w:szCs w:val="32"/>
        </w:rPr>
      </w:pPr>
    </w:p>
    <w:p w14:paraId="1E5B41AB">
      <w:pPr>
        <w:spacing w:line="600" w:lineRule="exact"/>
        <w:outlineLvl w:val="0"/>
        <w:rPr>
          <w:rFonts w:ascii="黑体" w:eastAsia="黑体"/>
          <w:sz w:val="32"/>
          <w:szCs w:val="32"/>
        </w:rPr>
      </w:pPr>
    </w:p>
    <w:p w14:paraId="679B4D26">
      <w:pPr>
        <w:spacing w:line="600" w:lineRule="exact"/>
        <w:outlineLvl w:val="0"/>
        <w:rPr>
          <w:rFonts w:ascii="黑体" w:eastAsia="黑体"/>
          <w:sz w:val="32"/>
          <w:szCs w:val="32"/>
        </w:rPr>
      </w:pPr>
    </w:p>
    <w:p w14:paraId="6744D5C8">
      <w:pPr>
        <w:spacing w:line="600" w:lineRule="exact"/>
        <w:outlineLvl w:val="0"/>
        <w:rPr>
          <w:rFonts w:ascii="黑体" w:eastAsia="黑体"/>
          <w:sz w:val="32"/>
          <w:szCs w:val="32"/>
        </w:rPr>
      </w:pPr>
    </w:p>
    <w:p w14:paraId="1042EF62">
      <w:pPr>
        <w:spacing w:line="600" w:lineRule="exact"/>
        <w:outlineLvl w:val="0"/>
        <w:rPr>
          <w:rFonts w:ascii="黑体" w:eastAsia="黑体"/>
          <w:sz w:val="32"/>
          <w:szCs w:val="32"/>
        </w:rPr>
      </w:pPr>
    </w:p>
    <w:p w14:paraId="0B75BD64">
      <w:pPr>
        <w:spacing w:line="600" w:lineRule="exact"/>
        <w:outlineLvl w:val="0"/>
        <w:rPr>
          <w:rFonts w:ascii="黑体" w:eastAsia="黑体"/>
          <w:sz w:val="32"/>
          <w:szCs w:val="32"/>
        </w:rPr>
      </w:pPr>
    </w:p>
    <w:p w14:paraId="2C64A3FB">
      <w:pPr>
        <w:spacing w:line="600" w:lineRule="exact"/>
        <w:outlineLvl w:val="0"/>
        <w:rPr>
          <w:rFonts w:ascii="黑体" w:eastAsia="黑体"/>
          <w:sz w:val="32"/>
          <w:szCs w:val="32"/>
        </w:rPr>
      </w:pPr>
      <w:r>
        <w:rPr>
          <w:rFonts w:hint="eastAsia" w:ascii="黑体" w:eastAsia="黑体"/>
          <w:sz w:val="32"/>
          <w:szCs w:val="32"/>
        </w:rPr>
        <w:t>附件1</w:t>
      </w:r>
    </w:p>
    <w:p w14:paraId="02FE07F8">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关于峨眉山市应急管理局</w:t>
      </w:r>
      <w:r>
        <w:rPr>
          <w:rFonts w:ascii="方正小标宋简体" w:eastAsia="方正小标宋简体"/>
          <w:sz w:val="44"/>
          <w:szCs w:val="44"/>
        </w:rPr>
        <w:br w:type="textWrapping"/>
      </w:r>
      <w:r>
        <w:rPr>
          <w:rFonts w:hint="eastAsia" w:ascii="方正小标宋简体" w:eastAsia="方正小标宋简体"/>
          <w:sz w:val="44"/>
          <w:szCs w:val="44"/>
        </w:rPr>
        <w:t>2025年预算编制的说明</w:t>
      </w:r>
    </w:p>
    <w:p w14:paraId="6372283F">
      <w:pPr>
        <w:spacing w:line="600" w:lineRule="exact"/>
        <w:ind w:firstLine="640" w:firstLineChars="200"/>
        <w:rPr>
          <w:rFonts w:ascii="仿宋_GB2312" w:eastAsia="仿宋_GB2312"/>
          <w:sz w:val="32"/>
          <w:szCs w:val="32"/>
        </w:rPr>
      </w:pPr>
    </w:p>
    <w:p w14:paraId="70D3E339">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0BE8BB3B">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0FE17B0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4AA5DF55">
      <w:pPr>
        <w:snapToGrid w:val="0"/>
        <w:spacing w:line="52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依法行使综合监督管理职责，指导协调、监督检查各</w:t>
      </w:r>
      <w:r>
        <w:rPr>
          <w:rFonts w:hint="eastAsia" w:ascii="仿宋_GB2312" w:hAnsi="宋体" w:eastAsia="仿宋_GB2312" w:cs="宋体"/>
          <w:kern w:val="0"/>
          <w:sz w:val="32"/>
          <w:szCs w:val="32"/>
          <w:lang w:eastAsia="zh-CN"/>
        </w:rPr>
        <w:t>乡镇</w:t>
      </w:r>
      <w:r>
        <w:rPr>
          <w:rFonts w:hint="eastAsia" w:ascii="仿宋_GB2312" w:hAnsi="宋体" w:eastAsia="仿宋_GB2312" w:cs="宋体"/>
          <w:kern w:val="0"/>
          <w:sz w:val="32"/>
          <w:szCs w:val="32"/>
        </w:rPr>
        <w:t>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w:t>
      </w:r>
      <w:r>
        <w:rPr>
          <w:rFonts w:hint="eastAsia" w:ascii="仿宋_GB2312" w:hAnsi="宋体" w:eastAsia="仿宋_GB2312" w:cs="宋体"/>
          <w:kern w:val="0"/>
          <w:sz w:val="32"/>
          <w:szCs w:val="32"/>
          <w:lang w:eastAsia="zh-CN"/>
        </w:rPr>
        <w:t>物资</w:t>
      </w:r>
      <w:r>
        <w:rPr>
          <w:rFonts w:hint="eastAsia" w:ascii="仿宋_GB2312" w:hAnsi="宋体" w:eastAsia="仿宋_GB2312" w:cs="宋体"/>
          <w:kern w:val="0"/>
          <w:sz w:val="32"/>
          <w:szCs w:val="32"/>
        </w:rPr>
        <w:t>储备和应急救援装备规划并组织实施，会同有关部门建立健全应急</w:t>
      </w:r>
      <w:r>
        <w:rPr>
          <w:rFonts w:hint="eastAsia" w:ascii="仿宋_GB2312" w:hAnsi="宋体" w:eastAsia="仿宋_GB2312" w:cs="宋体"/>
          <w:kern w:val="0"/>
          <w:sz w:val="32"/>
          <w:szCs w:val="32"/>
          <w:lang w:eastAsia="zh-CN"/>
        </w:rPr>
        <w:t>物资</w:t>
      </w:r>
      <w:r>
        <w:rPr>
          <w:rFonts w:hint="eastAsia" w:ascii="仿宋_GB2312" w:hAnsi="宋体" w:eastAsia="仿宋_GB2312" w:cs="宋体"/>
          <w:kern w:val="0"/>
          <w:sz w:val="32"/>
          <w:szCs w:val="32"/>
        </w:rPr>
        <w:t>信息平台和调拨制度，在救灾时统一调度；负责应急管理、安全生产宣传教育和培训共同工作，组织和指导应急管理、安全生产的科学技术研究、推广应用和信息化建设工作，</w:t>
      </w:r>
      <w:r>
        <w:rPr>
          <w:rFonts w:hint="eastAsia" w:ascii="仿宋_GB2312" w:eastAsia="仿宋_GB2312"/>
          <w:color w:val="000000" w:themeColor="text1"/>
          <w:sz w:val="32"/>
          <w:szCs w:val="32"/>
          <w14:textFill>
            <w14:solidFill>
              <w14:schemeClr w14:val="tx1"/>
            </w14:solidFill>
          </w14:textFill>
        </w:rPr>
        <w:t>防震减灾工作，</w:t>
      </w:r>
      <w:r>
        <w:rPr>
          <w:rFonts w:hint="eastAsia" w:ascii="仿宋_GB2312" w:hAnsi="宋体" w:eastAsia="仿宋_GB2312" w:cs="宋体"/>
          <w:kern w:val="0"/>
          <w:sz w:val="32"/>
          <w:szCs w:val="32"/>
        </w:rPr>
        <w:t>完成市委、市政府交办的</w:t>
      </w:r>
      <w:r>
        <w:rPr>
          <w:rFonts w:hint="eastAsia" w:ascii="仿宋_GB2312" w:hAnsi="宋体" w:eastAsia="仿宋_GB2312" w:cs="宋体"/>
          <w:kern w:val="0"/>
          <w:sz w:val="32"/>
          <w:szCs w:val="32"/>
          <w:lang w:eastAsia="zh-CN"/>
        </w:rPr>
        <w:t>其他</w:t>
      </w:r>
      <w:r>
        <w:rPr>
          <w:rFonts w:hint="eastAsia" w:ascii="仿宋_GB2312" w:hAnsi="宋体" w:eastAsia="仿宋_GB2312" w:cs="宋体"/>
          <w:kern w:val="0"/>
          <w:sz w:val="32"/>
          <w:szCs w:val="32"/>
        </w:rPr>
        <w:t>工作。</w:t>
      </w:r>
    </w:p>
    <w:p w14:paraId="0CF4B581">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highlight w:val="none"/>
        </w:rPr>
        <w:t>2025年重点工作任务</w:t>
      </w:r>
    </w:p>
    <w:p w14:paraId="5500618B">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全面压紧压实各方责任</w:t>
      </w:r>
    </w:p>
    <w:p w14:paraId="0AAAEBCA">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巩固提升主题教育安全领域突出问题整治成效，对安全领域突出问题和作风不实、欺上瞒下等问题严抓、狠抓，防止反弹；二是加强责任落实，持续压实企业、行业部门和属地的管理责任，注重在监管中提升服务效能，汇聚安全生产监管合力；三是完善工作机制，严格落实安全生产“全链条”闭环管理，把安全生产理念贯穿企业生产全链条，深入开展检查督查，切实消除监管盲点。</w:t>
      </w:r>
    </w:p>
    <w:p w14:paraId="5A245323">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深化安全隐患排查整治</w:t>
      </w:r>
    </w:p>
    <w:p w14:paraId="3E964CBE">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充分发挥安办专班“周研判月总结机制”和“督导检查考核机制”作用，注重从检查发现和超前研判两方面，定期组织行业部门和街镇，结合本行业领域和本街镇特点，会商研判不同季节、关键时段、关键环节、关键岗位的安全风险，确保把风险精准找得出，管得住；二是强化部门协调联动，进一步运用安办实战化专班综合协调、督导调度作用，真正压实行业部门监管和乡镇（街道）属地责任，推动各行业领域部门“一体化”管理研判调度落实，督促企业落实主体责任，严格落实安全生产风险排查化解“全链条”闭环管理，强化过程管理，切实消除各类安全风险。</w:t>
      </w:r>
    </w:p>
    <w:p w14:paraId="270AE580">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持续强化安全宣传教育</w:t>
      </w:r>
    </w:p>
    <w:p w14:paraId="6813161F">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一是将宣传教育培训工作纳入年度工作要点，学习关于安全生产的重要论述以及安全生产法律法规，结合</w:t>
      </w:r>
      <w:r>
        <w:rPr>
          <w:rFonts w:hint="eastAsia" w:ascii="仿宋_GB2312" w:eastAsia="仿宋_GB2312"/>
          <w:sz w:val="32"/>
          <w:szCs w:val="32"/>
          <w:lang w:eastAsia="zh-CN"/>
        </w:rPr>
        <w:t>“5·12”</w:t>
      </w:r>
      <w:r>
        <w:rPr>
          <w:rFonts w:hint="eastAsia" w:ascii="仿宋_GB2312" w:eastAsia="仿宋_GB2312"/>
          <w:sz w:val="32"/>
          <w:szCs w:val="32"/>
        </w:rPr>
        <w:t>防灾减灾日、“安全生产月”“119消防安全宣传月”，大力开展安全生产、防灾减灾、森林防火等主题宣传活动，扎实推进安全生产宣传教育“五进”活动，广泛开展安全知识竞赛、主题宣传和咨询服务等活动，提升群众参与度；二是组织开展重大事故隐患判定标准、重点行业领域安全管理等各类培训班，督促企业组织员工进行安全教育培训和应急救援演练，全力提升企业人员本质安全水平。</w:t>
      </w:r>
    </w:p>
    <w:p w14:paraId="3F448D10">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扎实做好安全监管工作</w:t>
      </w:r>
    </w:p>
    <w:p w14:paraId="396AA39D">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严格贯彻落实安全生产十五条硬措施规定，充分运用警示约谈、通报、视频曝光、挂牌督办、综合督查、考核问责等方式强化各单位安全生产责任落实，坚持和完善控制考核指标体系，层层分解考核指标，严格运用考核结果；二是推动企业全面构建安全风险分级管控和隐患排查治理双重预防机制，突出重点企业、重点环节和重点时段，按照“全覆盖、零容忍、严执法、重实效”的总体要求，持续抓好危化、工贸、消防、城镇燃气、非煤矿山等重点行业领域安全监管工作，抓好安全生产宣传培训，开展重点行业领域安全专项治理；三是持续深入开展治本攻坚三年行动、重大事故隐患排查整治行动、安全风险隐患大排查大整治行动等系列整治行动，全力消除安全隐患，坚决守牢安全生产底线。</w:t>
      </w:r>
    </w:p>
    <w:p w14:paraId="2D8A616B">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14:paraId="2B8B308B">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按照综合预算的原则，峨眉山市应急管理局所有收入和支出均纳入预算管理。2025年峨眉山市应急管理局收入预算总额为1133.87万元，较上年预算数减少1115.6万元。其中：当年财政拨款收入1133.87万元，事业收入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万元。相应安排支出预算1133.87万元，其中：人员支出</w:t>
      </w:r>
      <w:r>
        <w:rPr>
          <w:rFonts w:ascii="仿宋_GB2312" w:eastAsia="仿宋_GB2312"/>
          <w:sz w:val="32"/>
          <w:szCs w:val="32"/>
        </w:rPr>
        <w:t>708.34</w:t>
      </w:r>
      <w:r>
        <w:rPr>
          <w:rFonts w:hint="eastAsia" w:ascii="仿宋_GB2312" w:eastAsia="仿宋_GB2312"/>
          <w:sz w:val="32"/>
          <w:szCs w:val="32"/>
        </w:rPr>
        <w:t>万元，日常公用支出228.49万元，对个人和家庭的补助支出8.0</w:t>
      </w:r>
      <w:r>
        <w:rPr>
          <w:rFonts w:ascii="仿宋_GB2312" w:eastAsia="仿宋_GB2312"/>
          <w:sz w:val="32"/>
          <w:szCs w:val="32"/>
        </w:rPr>
        <w:t>4</w:t>
      </w:r>
      <w:r>
        <w:rPr>
          <w:rFonts w:hint="eastAsia" w:ascii="仿宋_GB2312" w:eastAsia="仿宋_GB2312"/>
          <w:sz w:val="32"/>
          <w:szCs w:val="32"/>
        </w:rPr>
        <w:t>万元，专项支出189万元。</w:t>
      </w:r>
    </w:p>
    <w:p w14:paraId="1DF1B354">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14:paraId="13D4A5BB">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2025年财政拨款收支总预算1133.87万元，主要用于保障峨眉山市应急管理局机构正常运转、完成日常工作任务以及承担全市安全生产监督管理、应急管理、自然灾害防灾减灾救灾及防震减灾事业发展相关工作。其中：</w:t>
      </w:r>
    </w:p>
    <w:p w14:paraId="06EBED9F">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基本支出944.87万元，是用于保障峨眉山市应急管理局正常运转的日常支出，包括基本工资、津贴补贴等人员经费以及办公费、印刷费、水电费、办公设备购置等日常公用经费。</w:t>
      </w:r>
    </w:p>
    <w:p w14:paraId="20CF799B">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项目支出189万元，是用于保障峨眉山市应急管理局为完成特定的行政工作任务或事业发展目标，用于专项业务工作的经费支出。</w:t>
      </w:r>
    </w:p>
    <w:p w14:paraId="16FA0572">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14:paraId="76C75323">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0BBF1474">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峨眉山市应急管理局2025年一般公共预算当年拨款1113.87万元，较上年预算数减少135.6万元。主要原因是项目经费的减少。</w:t>
      </w:r>
    </w:p>
    <w:p w14:paraId="78665382">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0718700F">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社会保障和就业支出106.5</w:t>
      </w:r>
      <w:r>
        <w:rPr>
          <w:rFonts w:ascii="仿宋_GB2312" w:eastAsia="仿宋_GB2312"/>
          <w:sz w:val="32"/>
          <w:szCs w:val="32"/>
        </w:rPr>
        <w:t>6</w:t>
      </w:r>
      <w:r>
        <w:rPr>
          <w:rFonts w:hint="eastAsia" w:ascii="仿宋_GB2312" w:eastAsia="仿宋_GB2312"/>
          <w:sz w:val="32"/>
          <w:szCs w:val="32"/>
        </w:rPr>
        <w:t>万元，占9.57%；卫生健康支出30.96万元，占2.78%；住房保障支出57.03万元，占5.12%；灾害防治及应急管理支出919.32万</w:t>
      </w:r>
      <w:r>
        <w:rPr>
          <w:rFonts w:ascii="仿宋_GB2312" w:eastAsia="仿宋_GB2312"/>
          <w:sz w:val="32"/>
          <w:szCs w:val="32"/>
        </w:rPr>
        <w:t>元,</w:t>
      </w:r>
      <w:r>
        <w:rPr>
          <w:rFonts w:hint="eastAsia" w:ascii="仿宋_GB2312" w:eastAsia="仿宋_GB2312"/>
          <w:sz w:val="32"/>
          <w:szCs w:val="32"/>
        </w:rPr>
        <w:t>占82.53%。</w:t>
      </w:r>
    </w:p>
    <w:p w14:paraId="061B9826">
      <w:pPr>
        <w:pStyle w:val="6"/>
        <w:shd w:val="clear" w:color="auto" w:fill="FFFFFF"/>
        <w:spacing w:before="0" w:beforeAutospacing="0" w:after="0" w:afterAutospacing="0" w:line="315"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727F69F">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202</w:t>
      </w:r>
      <w:r>
        <w:rPr>
          <w:rFonts w:hint="eastAsia" w:ascii="仿宋_GB2312" w:eastAsia="仿宋_GB2312"/>
          <w:sz w:val="32"/>
          <w:szCs w:val="32"/>
        </w:rPr>
        <w:t>5年预算数为68.69万元，主要用于：机关事业单位实施养老保险制度由单位缴纳的基本养老保险支出。</w:t>
      </w:r>
    </w:p>
    <w:p w14:paraId="43F40060">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202</w:t>
      </w:r>
      <w:r>
        <w:rPr>
          <w:rFonts w:hint="eastAsia" w:ascii="仿宋_GB2312" w:eastAsia="仿宋_GB2312"/>
          <w:sz w:val="32"/>
          <w:szCs w:val="32"/>
        </w:rPr>
        <w:t>5年预算数为34.3</w:t>
      </w:r>
      <w:r>
        <w:rPr>
          <w:rFonts w:ascii="仿宋_GB2312" w:eastAsia="仿宋_GB2312"/>
          <w:sz w:val="32"/>
          <w:szCs w:val="32"/>
        </w:rPr>
        <w:t>4</w:t>
      </w:r>
      <w:r>
        <w:rPr>
          <w:rFonts w:hint="eastAsia" w:ascii="仿宋_GB2312" w:eastAsia="仿宋_GB2312"/>
          <w:sz w:val="32"/>
          <w:szCs w:val="32"/>
        </w:rPr>
        <w:t>万元，主要用于：机关事业单位实施养老保险制度由单位实际缴纳的职业年金支出。</w:t>
      </w:r>
    </w:p>
    <w:p w14:paraId="40584C11">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.社会保障和就业支出（类）抚恤（款）其他优抚支出（项），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2.1</w:t>
      </w:r>
      <w:r>
        <w:rPr>
          <w:rFonts w:hint="eastAsia" w:ascii="仿宋_GB2312" w:eastAsia="仿宋_GB2312"/>
          <w:sz w:val="32"/>
          <w:szCs w:val="32"/>
        </w:rPr>
        <w:t>万元，主要用于：优抚方面的支出，包括向优抚对象发放的价格临时补贴等。</w:t>
      </w:r>
    </w:p>
    <w:p w14:paraId="135A8BBE">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202</w:t>
      </w:r>
      <w:r>
        <w:rPr>
          <w:rFonts w:hint="eastAsia" w:ascii="仿宋_GB2312" w:eastAsia="仿宋_GB2312"/>
          <w:sz w:val="32"/>
          <w:szCs w:val="32"/>
        </w:rPr>
        <w:t>5年预算数为1.43万元，主要用于：机关及下属单位在职人员工伤保险。</w:t>
      </w:r>
    </w:p>
    <w:p w14:paraId="058C8647">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.卫生健康支出（类）行政事业单位医疗（款）行政单位医疗（项），</w:t>
      </w:r>
      <w:r>
        <w:rPr>
          <w:rFonts w:ascii="仿宋_GB2312" w:eastAsia="仿宋_GB2312"/>
          <w:sz w:val="32"/>
          <w:szCs w:val="32"/>
        </w:rPr>
        <w:t>202</w:t>
      </w:r>
      <w:r>
        <w:rPr>
          <w:rFonts w:hint="eastAsia" w:ascii="仿宋_GB2312" w:eastAsia="仿宋_GB2312"/>
          <w:sz w:val="32"/>
          <w:szCs w:val="32"/>
        </w:rPr>
        <w:t>5年预算数为18.63万元，主要用于：财政部集中安排的行政单位基本医疗保险缴费经费，未参加医疗保险的行政单位的公费医疗经费，按国家规定享受离休人员、红军老战士待遇人员的医疗经费。</w:t>
      </w:r>
    </w:p>
    <w:p w14:paraId="5A305834">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.卫生健康支出（类）行政事业单位医疗（款）事业单位医疗（项），</w:t>
      </w:r>
      <w:r>
        <w:rPr>
          <w:rFonts w:ascii="仿宋_GB2312" w:eastAsia="仿宋_GB2312"/>
          <w:sz w:val="32"/>
          <w:szCs w:val="32"/>
        </w:rPr>
        <w:t>202</w:t>
      </w:r>
      <w:r>
        <w:rPr>
          <w:rFonts w:hint="eastAsia" w:ascii="仿宋_GB2312" w:eastAsia="仿宋_GB2312"/>
          <w:sz w:val="32"/>
          <w:szCs w:val="32"/>
        </w:rPr>
        <w:t>5年预算数为7.56万元，主要用于：财政部集中安排的事业单位基本医疗保险缴费经费，未参加医疗保险的行政单位的公费医疗经费，按国家规定享受离休人员的医疗经费。</w:t>
      </w:r>
    </w:p>
    <w:p w14:paraId="61B89A32">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卫生健康支出（类）行政事业单位医疗（款）公务员医疗补助（项），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4.77</w:t>
      </w:r>
      <w:r>
        <w:rPr>
          <w:rFonts w:hint="eastAsia" w:ascii="仿宋_GB2312" w:eastAsia="仿宋_GB2312"/>
          <w:sz w:val="32"/>
          <w:szCs w:val="32"/>
        </w:rPr>
        <w:t>万元，主要用于：公务员医疗补助缴费支出。</w:t>
      </w:r>
    </w:p>
    <w:p w14:paraId="32B60D4B">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住房保障支出（类）住房改革支出（款）住房公积金（项），</w:t>
      </w:r>
      <w:r>
        <w:rPr>
          <w:rFonts w:ascii="仿宋_GB2312" w:eastAsia="仿宋_GB2312"/>
          <w:sz w:val="32"/>
          <w:szCs w:val="32"/>
        </w:rPr>
        <w:t>202</w:t>
      </w:r>
      <w:r>
        <w:rPr>
          <w:rFonts w:hint="eastAsia" w:ascii="仿宋_GB2312" w:eastAsia="仿宋_GB2312"/>
          <w:sz w:val="32"/>
          <w:szCs w:val="32"/>
        </w:rPr>
        <w:t>5年预算数为57.03万元，主要用于：按人力资源和社会保障部、财政部规定的基本工资和津贴补贴以及规定比例为职工缴纳的住房公积金支出。</w:t>
      </w:r>
    </w:p>
    <w:p w14:paraId="038996A7">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灾害防治及应急管理支出（类）应急管理事务（款）行政运行（项），</w:t>
      </w:r>
      <w:r>
        <w:rPr>
          <w:rFonts w:ascii="仿宋_GB2312" w:eastAsia="仿宋_GB2312"/>
          <w:sz w:val="32"/>
          <w:szCs w:val="32"/>
        </w:rPr>
        <w:t>202</w:t>
      </w:r>
      <w:r>
        <w:rPr>
          <w:rFonts w:hint="eastAsia" w:ascii="仿宋_GB2312" w:eastAsia="仿宋_GB2312"/>
          <w:sz w:val="32"/>
          <w:szCs w:val="32"/>
        </w:rPr>
        <w:t>5年预算数为601.73万元，主要用于：机关及参公人员正常运转的基本支出，包括基本工资、津贴补贴、绩效工资等人员经费。</w:t>
      </w:r>
    </w:p>
    <w:p w14:paraId="7DD73080">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灾害防治及应急管理支出（类）应急管理事务（款）安全监管（项），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27</w:t>
      </w:r>
      <w:r>
        <w:rPr>
          <w:rFonts w:hint="eastAsia" w:ascii="仿宋_GB2312" w:eastAsia="仿宋_GB2312"/>
          <w:sz w:val="32"/>
          <w:szCs w:val="32"/>
        </w:rPr>
        <w:t xml:space="preserve">万元，主要用于：安全生产综合监督管理和工贸行业安全生产监督管理等方面的支出。 </w:t>
      </w:r>
    </w:p>
    <w:p w14:paraId="4CEA7DB0">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.灾害防治及应急管理支出（类）应急管理事务（款）事业运行（项），</w:t>
      </w:r>
      <w:r>
        <w:rPr>
          <w:rFonts w:ascii="仿宋_GB2312" w:eastAsia="仿宋_GB2312"/>
          <w:sz w:val="32"/>
          <w:szCs w:val="32"/>
        </w:rPr>
        <w:t>202</w:t>
      </w:r>
      <w:r>
        <w:rPr>
          <w:rFonts w:hint="eastAsia" w:ascii="仿宋_GB2312" w:eastAsia="仿宋_GB2312"/>
          <w:sz w:val="32"/>
          <w:szCs w:val="32"/>
        </w:rPr>
        <w:t>5年预算数为148.59万元，主要用于：事业编制人员正常运转的基本支出，包括基本工资、津贴补贴、绩效工资等人员经费。</w:t>
      </w:r>
    </w:p>
    <w:p w14:paraId="187E9A2A">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.灾害防治及应急管理支出（类）自然灾害救灾及恢复重建支出（款）自然灾害救灾补助（项），</w:t>
      </w:r>
      <w:r>
        <w:rPr>
          <w:rFonts w:ascii="仿宋_GB2312" w:eastAsia="仿宋_GB2312"/>
          <w:sz w:val="32"/>
          <w:szCs w:val="32"/>
        </w:rPr>
        <w:t>202</w:t>
      </w:r>
      <w:r>
        <w:rPr>
          <w:rFonts w:hint="eastAsia" w:ascii="仿宋_GB2312" w:eastAsia="仿宋_GB2312"/>
          <w:sz w:val="32"/>
          <w:szCs w:val="32"/>
        </w:rPr>
        <w:t>5年预算数为142万元，主要用于：</w:t>
      </w:r>
      <w:r>
        <w:rPr>
          <w:rFonts w:hint="eastAsia" w:ascii="仿宋" w:hAnsi="仿宋" w:eastAsia="仿宋"/>
          <w:sz w:val="32"/>
          <w:szCs w:val="32"/>
        </w:rPr>
        <w:t>应对重大自然灾害应急救援和受灾群众救助</w:t>
      </w:r>
      <w:r>
        <w:rPr>
          <w:rFonts w:ascii="仿宋" w:hAnsi="仿宋" w:eastAsia="仿宋"/>
          <w:sz w:val="32"/>
          <w:szCs w:val="32"/>
        </w:rPr>
        <w:t>的支出</w:t>
      </w:r>
      <w:r>
        <w:rPr>
          <w:rFonts w:hint="eastAsia" w:ascii="仿宋_GB2312" w:eastAsia="仿宋_GB2312"/>
          <w:sz w:val="32"/>
          <w:szCs w:val="32"/>
        </w:rPr>
        <w:t>。</w:t>
      </w:r>
    </w:p>
    <w:p w14:paraId="5B27C65C">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14:paraId="067A018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峨眉山市应急管理局2025年一般公共预算基本支出944.87万元，其中：</w:t>
      </w:r>
    </w:p>
    <w:p w14:paraId="34741EE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716.38万元，主要包括：基本工资、津贴补贴、绩效工资、奖金、机关事业单位基本养老保险缴费、职业年金缴费、职工基本医疗保险缴费、公务员医疗补助缴费、其他社会保障缴费、住房公积金、其他工资福利支出、生活补助、奖励金、其他对个人和家庭的补助。</w:t>
      </w:r>
    </w:p>
    <w:p w14:paraId="4005AEB2">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公用经费228.49万元，主要包括：办公费、水</w:t>
      </w:r>
      <w:r>
        <w:rPr>
          <w:rFonts w:ascii="仿宋_GB2312" w:eastAsia="仿宋_GB2312"/>
          <w:sz w:val="32"/>
          <w:szCs w:val="32"/>
        </w:rPr>
        <w:t>费</w:t>
      </w:r>
      <w:r>
        <w:rPr>
          <w:rFonts w:hint="eastAsia" w:ascii="仿宋_GB2312" w:eastAsia="仿宋_GB2312"/>
          <w:sz w:val="32"/>
          <w:szCs w:val="32"/>
        </w:rPr>
        <w:t>、邮电费、差旅费、公务接待费、劳务</w:t>
      </w:r>
      <w:r>
        <w:rPr>
          <w:rFonts w:ascii="仿宋_GB2312" w:eastAsia="仿宋_GB2312"/>
          <w:sz w:val="32"/>
          <w:szCs w:val="32"/>
        </w:rPr>
        <w:t>费、</w:t>
      </w:r>
      <w:r>
        <w:rPr>
          <w:rFonts w:hint="eastAsia" w:ascii="仿宋_GB2312" w:eastAsia="仿宋_GB2312"/>
          <w:sz w:val="32"/>
          <w:szCs w:val="32"/>
        </w:rPr>
        <w:t>工会经费、公务用车运行维护费、其他交通费用、其他商品和服务支出。</w:t>
      </w:r>
    </w:p>
    <w:p w14:paraId="7732B5E8">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14:paraId="7D88541D">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峨眉山市应急管理局2024年政府性基金预算当年拨款</w:t>
      </w:r>
      <w:r>
        <w:rPr>
          <w:rFonts w:ascii="仿宋_GB2312" w:eastAsia="仿宋_GB2312"/>
          <w:sz w:val="32"/>
          <w:szCs w:val="32"/>
        </w:rPr>
        <w:t>20</w:t>
      </w:r>
      <w:r>
        <w:rPr>
          <w:rFonts w:hint="eastAsia" w:ascii="仿宋_GB2312" w:eastAsia="仿宋_GB2312"/>
          <w:sz w:val="32"/>
          <w:szCs w:val="32"/>
        </w:rPr>
        <w:t>万元，较上年预算数减少</w:t>
      </w:r>
      <w:r>
        <w:rPr>
          <w:rFonts w:ascii="仿宋_GB2312" w:eastAsia="仿宋_GB2312"/>
          <w:sz w:val="32"/>
          <w:szCs w:val="32"/>
        </w:rPr>
        <w:t>980</w:t>
      </w:r>
      <w:r>
        <w:rPr>
          <w:rFonts w:hint="eastAsia" w:ascii="仿宋_GB2312" w:eastAsia="仿宋_GB2312"/>
          <w:sz w:val="32"/>
          <w:szCs w:val="32"/>
        </w:rPr>
        <w:t>万元。主要原因是：煤矿关闭奖补资金项目经费减少。</w:t>
      </w:r>
    </w:p>
    <w:p w14:paraId="6287065E">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14:paraId="6E673D4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峨眉山市应急管理局2025年“三公”经费预算数</w:t>
      </w:r>
      <w:r>
        <w:rPr>
          <w:rFonts w:ascii="仿宋_GB2312" w:eastAsia="仿宋_GB2312"/>
          <w:sz w:val="32"/>
          <w:szCs w:val="32"/>
        </w:rPr>
        <w:t>16.</w:t>
      </w:r>
      <w:r>
        <w:rPr>
          <w:rFonts w:hint="eastAsia" w:ascii="仿宋_GB2312" w:eastAsia="仿宋_GB2312"/>
          <w:sz w:val="32"/>
          <w:szCs w:val="32"/>
        </w:rPr>
        <w:t>4</w:t>
      </w:r>
      <w:r>
        <w:rPr>
          <w:rFonts w:ascii="仿宋_GB2312" w:eastAsia="仿宋_GB2312"/>
          <w:sz w:val="32"/>
          <w:szCs w:val="32"/>
        </w:rPr>
        <w:t>0</w:t>
      </w:r>
      <w:r>
        <w:rPr>
          <w:rFonts w:hint="eastAsia" w:ascii="仿宋_GB2312" w:eastAsia="仿宋_GB2312"/>
          <w:sz w:val="32"/>
          <w:szCs w:val="32"/>
        </w:rPr>
        <w:t>万元（其中财政拨款安排“三公”经费</w:t>
      </w:r>
      <w:r>
        <w:rPr>
          <w:rFonts w:ascii="仿宋_GB2312" w:eastAsia="仿宋_GB2312"/>
          <w:sz w:val="32"/>
          <w:szCs w:val="32"/>
        </w:rPr>
        <w:t>16.</w:t>
      </w:r>
      <w:r>
        <w:rPr>
          <w:rFonts w:hint="eastAsia" w:ascii="仿宋_GB2312" w:eastAsia="仿宋_GB2312"/>
          <w:sz w:val="32"/>
          <w:szCs w:val="32"/>
        </w:rPr>
        <w:t>4</w:t>
      </w:r>
      <w:r>
        <w:rPr>
          <w:rFonts w:ascii="仿宋_GB2312" w:eastAsia="仿宋_GB2312"/>
          <w:sz w:val="32"/>
          <w:szCs w:val="32"/>
        </w:rPr>
        <w:t>0</w:t>
      </w:r>
      <w:r>
        <w:rPr>
          <w:rFonts w:hint="eastAsia" w:ascii="仿宋_GB2312" w:eastAsia="仿宋_GB2312"/>
          <w:sz w:val="32"/>
          <w:szCs w:val="32"/>
        </w:rPr>
        <w:t>万元），较上年“三公”经费预算数增加0</w:t>
      </w:r>
      <w:r>
        <w:rPr>
          <w:rFonts w:ascii="仿宋_GB2312" w:eastAsia="仿宋_GB2312"/>
          <w:sz w:val="32"/>
          <w:szCs w:val="32"/>
        </w:rPr>
        <w:t>.</w:t>
      </w:r>
      <w:r>
        <w:rPr>
          <w:rFonts w:hint="eastAsia" w:ascii="仿宋_GB2312" w:eastAsia="仿宋_GB2312"/>
          <w:sz w:val="32"/>
          <w:szCs w:val="32"/>
        </w:rPr>
        <w:t>2万元，</w:t>
      </w:r>
      <w:r>
        <w:rPr>
          <w:rFonts w:hint="eastAsia" w:ascii="仿宋_GB2312" w:eastAsia="仿宋_GB2312"/>
          <w:sz w:val="32"/>
          <w:szCs w:val="32"/>
          <w:highlight w:val="none"/>
        </w:rPr>
        <w:t>主要原因是</w:t>
      </w:r>
      <w:r>
        <w:rPr>
          <w:rFonts w:hint="eastAsia" w:ascii="仿宋_GB2312" w:eastAsia="仿宋_GB2312"/>
          <w:sz w:val="32"/>
          <w:szCs w:val="32"/>
        </w:rPr>
        <w:t>随着职能的扩展和社会交往的增多预计更多的来访团组到我局考察调研、学习交流、联系工作，接待费用将会有所增长。因公出国（境）经费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1.</w:t>
      </w:r>
      <w:r>
        <w:rPr>
          <w:rFonts w:hint="eastAsia" w:ascii="仿宋_GB2312" w:eastAsia="仿宋_GB2312"/>
          <w:sz w:val="32"/>
          <w:szCs w:val="32"/>
        </w:rPr>
        <w:t>4万元，公务用车购置及运行维护费</w:t>
      </w:r>
      <w:r>
        <w:rPr>
          <w:rFonts w:ascii="仿宋_GB2312" w:eastAsia="仿宋_GB2312"/>
          <w:sz w:val="32"/>
          <w:szCs w:val="32"/>
        </w:rPr>
        <w:t>15</w:t>
      </w:r>
      <w:r>
        <w:rPr>
          <w:rFonts w:hint="eastAsia" w:ascii="仿宋_GB2312" w:eastAsia="仿宋_GB2312"/>
          <w:sz w:val="32"/>
          <w:szCs w:val="32"/>
        </w:rPr>
        <w:t>万元。</w:t>
      </w:r>
    </w:p>
    <w:p w14:paraId="7D51893B">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14:paraId="19B5C04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无因公出国（境）预算。2025年因公临时出国（境）未安排人次。</w:t>
      </w:r>
    </w:p>
    <w:p w14:paraId="3A763B20">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2AED3D9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较上年预算增加0</w:t>
      </w:r>
      <w:r>
        <w:rPr>
          <w:rFonts w:ascii="仿宋_GB2312" w:eastAsia="仿宋_GB2312"/>
          <w:sz w:val="32"/>
          <w:szCs w:val="32"/>
        </w:rPr>
        <w:t>.</w:t>
      </w:r>
      <w:r>
        <w:rPr>
          <w:rFonts w:hint="eastAsia" w:ascii="仿宋_GB2312" w:eastAsia="仿宋_GB2312"/>
          <w:sz w:val="32"/>
          <w:szCs w:val="32"/>
        </w:rPr>
        <w:t>2万元，增长1</w:t>
      </w:r>
      <w:r>
        <w:rPr>
          <w:rFonts w:ascii="仿宋_GB2312" w:eastAsia="仿宋_GB2312"/>
          <w:sz w:val="32"/>
          <w:szCs w:val="32"/>
        </w:rPr>
        <w:t>6.67</w:t>
      </w:r>
      <w:r>
        <w:rPr>
          <w:rFonts w:hint="eastAsia" w:ascii="仿宋_GB2312" w:eastAsia="仿宋_GB2312"/>
          <w:sz w:val="32"/>
          <w:szCs w:val="32"/>
        </w:rPr>
        <w:t>%。</w:t>
      </w:r>
      <w:r>
        <w:rPr>
          <w:rFonts w:hint="eastAsia" w:ascii="仿宋_GB2312" w:eastAsia="仿宋_GB2312"/>
          <w:sz w:val="32"/>
          <w:szCs w:val="32"/>
          <w:highlight w:val="none"/>
        </w:rPr>
        <w:t>增加原因是</w:t>
      </w:r>
      <w:r>
        <w:rPr>
          <w:rFonts w:hint="eastAsia" w:ascii="仿宋_GB2312" w:eastAsia="仿宋_GB2312"/>
          <w:sz w:val="32"/>
          <w:szCs w:val="32"/>
        </w:rPr>
        <w:t>随着职能的扩展和社会交往的增多预计更多的来访团组到我局考察调研、学习交流、联系工作，接待费用将会有所增长。</w:t>
      </w:r>
    </w:p>
    <w:p w14:paraId="25FBF689">
      <w:pPr>
        <w:spacing w:line="600" w:lineRule="exact"/>
        <w:ind w:firstLine="960" w:firstLineChars="300"/>
        <w:outlineLvl w:val="1"/>
        <w:rPr>
          <w:rFonts w:ascii="楷体_GB2312" w:hAnsi="楷体_GB2312" w:eastAsia="楷体_GB2312" w:cs="楷体_GB2312"/>
          <w:sz w:val="32"/>
          <w:szCs w:val="32"/>
        </w:rPr>
      </w:pPr>
      <w:r>
        <w:rPr>
          <w:rFonts w:hint="eastAsia" w:ascii="仿宋_GB2312" w:eastAsia="仿宋_GB2312"/>
          <w:sz w:val="32"/>
          <w:szCs w:val="32"/>
        </w:rPr>
        <w:t>2025年</w:t>
      </w:r>
      <w:r>
        <w:rPr>
          <w:rFonts w:hint="eastAsia" w:ascii="仿宋_GB2312" w:eastAsia="仿宋_GB2312"/>
          <w:sz w:val="32"/>
          <w:szCs w:val="32"/>
          <w:highlight w:val="none"/>
        </w:rPr>
        <w:t>公务接待费计划用于</w:t>
      </w:r>
      <w:r>
        <w:rPr>
          <w:rFonts w:hint="eastAsia" w:ascii="仿宋_GB2312" w:eastAsia="仿宋_GB2312"/>
          <w:color w:val="000000"/>
          <w:sz w:val="32"/>
          <w:szCs w:val="32"/>
          <w:shd w:val="clear" w:color="auto" w:fill="FFFFFF"/>
        </w:rPr>
        <w:t>接待上级部门检查及市上临时安排任务。</w:t>
      </w:r>
    </w:p>
    <w:p w14:paraId="60DE6D4E">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53B426D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较上年预算数持平。</w:t>
      </w:r>
    </w:p>
    <w:p w14:paraId="532834C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6</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3</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辆、其他车型</w:t>
      </w:r>
      <w:r>
        <w:rPr>
          <w:rFonts w:ascii="仿宋_GB2312" w:eastAsia="仿宋_GB2312"/>
          <w:sz w:val="32"/>
          <w:szCs w:val="32"/>
        </w:rPr>
        <w:t>3</w:t>
      </w:r>
      <w:r>
        <w:rPr>
          <w:rFonts w:hint="eastAsia" w:ascii="仿宋_GB2312" w:eastAsia="仿宋_GB2312"/>
          <w:sz w:val="32"/>
          <w:szCs w:val="32"/>
        </w:rPr>
        <w:t>辆。</w:t>
      </w:r>
    </w:p>
    <w:p w14:paraId="7F8A046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14:paraId="6FBCD5A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2025年安排公务用车运行维护费</w:t>
      </w:r>
      <w:r>
        <w:rPr>
          <w:rFonts w:ascii="仿宋_GB2312" w:eastAsia="仿宋_GB2312"/>
          <w:sz w:val="32"/>
          <w:szCs w:val="32"/>
        </w:rPr>
        <w:t>15</w:t>
      </w:r>
      <w:r>
        <w:rPr>
          <w:rFonts w:hint="eastAsia" w:ascii="仿宋_GB2312" w:eastAsia="仿宋_GB2312"/>
          <w:sz w:val="32"/>
          <w:szCs w:val="32"/>
        </w:rPr>
        <w:t>万元，与202</w:t>
      </w:r>
      <w:r>
        <w:rPr>
          <w:rFonts w:ascii="仿宋_GB2312" w:eastAsia="仿宋_GB2312"/>
          <w:sz w:val="32"/>
          <w:szCs w:val="32"/>
        </w:rPr>
        <w:t>4</w:t>
      </w:r>
      <w:r>
        <w:rPr>
          <w:rFonts w:hint="eastAsia" w:ascii="仿宋_GB2312" w:eastAsia="仿宋_GB2312"/>
          <w:sz w:val="32"/>
          <w:szCs w:val="32"/>
        </w:rPr>
        <w:t>年预算数</w:t>
      </w:r>
      <w:r>
        <w:rPr>
          <w:rFonts w:ascii="仿宋_GB2312" w:eastAsia="仿宋_GB2312"/>
          <w:sz w:val="32"/>
          <w:szCs w:val="32"/>
        </w:rPr>
        <w:t>持平</w:t>
      </w:r>
      <w:r>
        <w:rPr>
          <w:rFonts w:hint="eastAsia" w:ascii="仿宋_GB2312" w:eastAsia="仿宋_GB2312"/>
          <w:sz w:val="32"/>
          <w:szCs w:val="32"/>
        </w:rPr>
        <w:t>，主要用于指导协调、监督检查各</w:t>
      </w:r>
      <w:r>
        <w:rPr>
          <w:rFonts w:hint="eastAsia" w:ascii="仿宋_GB2312" w:eastAsia="仿宋_GB2312"/>
          <w:sz w:val="32"/>
          <w:szCs w:val="32"/>
          <w:lang w:eastAsia="zh-CN"/>
        </w:rPr>
        <w:t>乡镇</w:t>
      </w:r>
      <w:r>
        <w:rPr>
          <w:rFonts w:hint="eastAsia" w:ascii="仿宋_GB2312" w:eastAsia="仿宋_GB2312"/>
          <w:sz w:val="32"/>
          <w:szCs w:val="32"/>
        </w:rPr>
        <w:t>人民政府和市级有关部门安全生产工作、煤矿、非煤矿山、工矿商贸、危险化学品和烟花爆竹行业安全生产监管和煤炭行业管理</w:t>
      </w:r>
      <w:r>
        <w:rPr>
          <w:rFonts w:hint="eastAsia" w:ascii="仿宋_GB2312" w:eastAsia="仿宋_GB2312"/>
          <w:color w:val="000000"/>
          <w:sz w:val="32"/>
          <w:szCs w:val="32"/>
          <w:shd w:val="clear" w:color="auto" w:fill="FFFFFF"/>
        </w:rPr>
        <w:t>、防灾减灾救灾、应急救援、事故调查、防灾救灾综合演练等工作所需的公务用车燃料费、维修费、过路过桥费、保险费支出</w:t>
      </w:r>
      <w:r>
        <w:rPr>
          <w:rFonts w:hint="eastAsia" w:ascii="仿宋_GB2312" w:eastAsia="仿宋_GB2312"/>
          <w:sz w:val="32"/>
          <w:szCs w:val="32"/>
        </w:rPr>
        <w:t>。</w:t>
      </w:r>
    </w:p>
    <w:p w14:paraId="6C4CFFB4">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14:paraId="0893759F">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45A1C3F8">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应急管理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228.49万元，较上年预算增加112.23万元，增长</w:t>
      </w:r>
      <w:r>
        <w:rPr>
          <w:rFonts w:ascii="仿宋_GB2312" w:eastAsia="仿宋_GB2312"/>
          <w:sz w:val="32"/>
          <w:szCs w:val="32"/>
        </w:rPr>
        <w:t>96.53</w:t>
      </w:r>
      <w:r>
        <w:rPr>
          <w:rFonts w:hint="eastAsia" w:ascii="仿宋_GB2312" w:eastAsia="仿宋_GB2312"/>
          <w:sz w:val="32"/>
          <w:szCs w:val="32"/>
        </w:rPr>
        <w:t>%。</w:t>
      </w:r>
    </w:p>
    <w:p w14:paraId="3C6D7EBE">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411495F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2025年，峨眉山市应急管理局未安排政府采购预算。</w:t>
      </w:r>
    </w:p>
    <w:p w14:paraId="6B14102E">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119802F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截至去年底，峨眉山市应急管理局实际共有车辆</w:t>
      </w:r>
      <w:r>
        <w:rPr>
          <w:rFonts w:ascii="仿宋_GB2312" w:eastAsia="仿宋_GB2312"/>
          <w:sz w:val="32"/>
          <w:szCs w:val="32"/>
        </w:rPr>
        <w:t>6</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ascii="仿宋_GB2312" w:eastAsia="仿宋_GB2312"/>
          <w:sz w:val="32"/>
          <w:szCs w:val="32"/>
        </w:rPr>
        <w:t>5</w:t>
      </w:r>
      <w:r>
        <w:rPr>
          <w:rFonts w:hint="eastAsia" w:ascii="仿宋_GB2312" w:eastAsia="仿宋_GB2312"/>
          <w:sz w:val="32"/>
          <w:szCs w:val="32"/>
        </w:rPr>
        <w:t>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14:paraId="7F7CED2C">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5A51872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应急管理局按要求实行绩效目标管理，单位整体绩效目标涉及预算安排1133.87万元，其中基本支出944.87万元，项目支出189万元。其中编制了项目绩效目标的预算189万元，主要为排危除险应急资金、煤矿关闭奖补资金、自然灾害救灾资金、安全生产综合监管信息平台运行维护经费项目。</w:t>
      </w:r>
    </w:p>
    <w:p w14:paraId="4EE2A3A6">
      <w:pPr>
        <w:spacing w:line="600" w:lineRule="exact"/>
        <w:ind w:firstLine="640" w:firstLineChars="200"/>
        <w:outlineLvl w:val="1"/>
        <w:rPr>
          <w:rFonts w:ascii="黑体" w:eastAsia="黑体"/>
          <w:sz w:val="32"/>
          <w:szCs w:val="32"/>
        </w:rPr>
      </w:pPr>
      <w:r>
        <w:rPr>
          <w:rFonts w:hint="eastAsia" w:ascii="黑体" w:eastAsia="黑体"/>
          <w:sz w:val="32"/>
          <w:szCs w:val="32"/>
        </w:rPr>
        <w:t>九、名词解释</w:t>
      </w:r>
    </w:p>
    <w:p w14:paraId="3A983C86">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1.财政拨款收支情况：指一般公共预算、政府性基金预算、</w:t>
      </w:r>
      <w:bookmarkStart w:id="0" w:name="_GoBack"/>
      <w:r>
        <w:rPr>
          <w:rFonts w:hint="eastAsia" w:ascii="仿宋_GB2312" w:eastAsia="仿宋_GB2312"/>
          <w:sz w:val="32"/>
          <w:szCs w:val="32"/>
        </w:rPr>
        <w:t>国有资产经营预算</w:t>
      </w:r>
      <w:bookmarkEnd w:id="0"/>
      <w:r>
        <w:rPr>
          <w:rFonts w:hint="eastAsia" w:ascii="仿宋_GB2312" w:eastAsia="仿宋_GB2312"/>
          <w:sz w:val="32"/>
          <w:szCs w:val="32"/>
        </w:rPr>
        <w:t xml:space="preserve">拨款收支情况。 </w:t>
      </w:r>
    </w:p>
    <w:p w14:paraId="787A54B2">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6AA85F4B">
      <w:pPr>
        <w:pStyle w:val="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其他收入：指除上述“财政拨款收入”、“事业收入”、“经营收入”等以外的收入。 </w:t>
      </w:r>
    </w:p>
    <w:p w14:paraId="579C2E3B">
      <w:pPr>
        <w:pStyle w:val="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社会保障和就业支出（类）行政事业单位养老支出（款）机关事业单位基本养老保险缴费支出（项）：指机关事业单位实施养老保险制度由单位缴纳的基本养老保险支出。</w:t>
      </w:r>
    </w:p>
    <w:p w14:paraId="359404F7">
      <w:pPr>
        <w:pStyle w:val="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社会保障和就业支出（类）行政事业单位养老支出（款）机关事业单位职业年金缴费支出（项）：指机关事业单位实施养老保险制度由单位缴纳的职业年金支出。</w:t>
      </w:r>
    </w:p>
    <w:p w14:paraId="2B117B60">
      <w:pPr>
        <w:pStyle w:val="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社会保障和就业支出（类）抚恤（款）其他优抚支出（项）：指其他用于优抚方面的支出，包括向优抚对象发放的价格临时补贴等支出。</w:t>
      </w:r>
    </w:p>
    <w:p w14:paraId="78EAE8CD">
      <w:pPr>
        <w:pStyle w:val="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社会保障和就业支出（类）其他社会保障和就业支出（款）其他社会保障和就业支出（项）：指其他用于社会保障和就业方面的支出。</w:t>
      </w:r>
    </w:p>
    <w:p w14:paraId="354754DC">
      <w:pPr>
        <w:pStyle w:val="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卫生健康支出（类）行政事业单位医疗（款）行政单位医疗（项）:指财政部门集中安排的行政单位基本医疗保险缴费经费，未参加医疗保险的行政单位的公费医疗经费，按国家规定享受离退休人员、红军老战士待遇人员的医疗经费。</w:t>
      </w:r>
    </w:p>
    <w:p w14:paraId="77C19EA9">
      <w:pPr>
        <w:pStyle w:val="9"/>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卫生健康支出（类）行政事业单位医疗（款）事业单位医疗（项）：指</w:t>
      </w:r>
      <w:r>
        <w:rPr>
          <w:rFonts w:ascii="仿宋_GB2312" w:eastAsia="仿宋_GB2312"/>
          <w:sz w:val="32"/>
          <w:szCs w:val="32"/>
        </w:rPr>
        <w:t>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14:paraId="6086D529">
      <w:pPr>
        <w:pStyle w:val="9"/>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卫生健康支出（类）行政事业单位医疗（款）公务员医疗补助（项）：指用于公务员医疗补助缴费支出。</w:t>
      </w:r>
    </w:p>
    <w:p w14:paraId="6966ADA1">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城乡社区（类）国有土地使用权出让收入安排的支出（款）土地开发支出（项）:</w:t>
      </w:r>
      <w:r>
        <w:rPr>
          <w:rFonts w:ascii="仿宋_GB2312" w:eastAsia="仿宋_GB2312"/>
          <w:sz w:val="32"/>
          <w:szCs w:val="32"/>
        </w:rPr>
        <w:t xml:space="preserve"> </w:t>
      </w:r>
      <w:r>
        <w:rPr>
          <w:rFonts w:hint="eastAsia" w:ascii="仿宋_GB2312" w:eastAsia="仿宋_GB2312"/>
          <w:sz w:val="32"/>
          <w:szCs w:val="32"/>
        </w:rPr>
        <w:t>指新疆生产建设兵团和地方政府用于前期土地开发性支出以及与前期土地开发相关的费用等支出。</w:t>
      </w:r>
    </w:p>
    <w:p w14:paraId="767CA22E">
      <w:pPr>
        <w:pStyle w:val="9"/>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住房保障支出（类）住房改革支出（款）住房公积金（项）：指按人力资源和社会保障部、财政部规定的基本工资和津贴补贴以及规定比例为职工缴纳的住房公积金支出。</w:t>
      </w:r>
    </w:p>
    <w:p w14:paraId="517537C1">
      <w:pPr>
        <w:pStyle w:val="9"/>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灾害防治及应急管理支出（类）应急管理事务（款）行政运行（项）：指机关及参公人员正常运转的基本支出，包括基本工资、津贴补贴、绩效工资等人员经费。</w:t>
      </w:r>
    </w:p>
    <w:p w14:paraId="5547B7B9">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.灾害防治及应急管理支出（类）应急管理事务（款）安全监管（项）：指安全生产综合监督管理和工贸行业安全生产监督管理等方面的支出。</w:t>
      </w:r>
    </w:p>
    <w:p w14:paraId="0EE93D8B">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.灾害防治及应急管理支出（类）应急管理事务（款）事业运行（项）：指事业编制人员正常运转的基本支出，包括基本工资、津贴补贴、绩效工资等人员经费。</w:t>
      </w:r>
    </w:p>
    <w:p w14:paraId="19FA0B28">
      <w:pPr>
        <w:pStyle w:val="9"/>
        <w:spacing w:line="560" w:lineRule="exact"/>
        <w:ind w:firstLine="640" w:firstLineChars="200"/>
        <w:rPr>
          <w:rFonts w:hint="eastAsia"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灾害防治及应急管理支出（类）自然灾害救灾及恢复重建支出（款）自然灾害救灾补助（项）：指用于应对重大自然灾害应急救援和受灾群众救助的支出。</w:t>
      </w:r>
    </w:p>
    <w:p w14:paraId="1A70367A">
      <w:pPr>
        <w:pStyle w:val="9"/>
        <w:spacing w:line="56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.基本支出：指为保障机构正常运转、完成日常工作任务而发生的人员支出和公用支出。</w:t>
      </w:r>
    </w:p>
    <w:p w14:paraId="0B22CD60">
      <w:pPr>
        <w:pStyle w:val="9"/>
        <w:spacing w:line="56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 xml:space="preserve">项目支出：指在基本支出之外为完成特定行政任务和事业发展目标所发生的支出。 </w:t>
      </w:r>
    </w:p>
    <w:p w14:paraId="7A5438BD">
      <w:pPr>
        <w:pStyle w:val="9"/>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lang w:eastAsia="zh-CN"/>
        </w:rPr>
        <w:t>“三公”经费</w:t>
      </w:r>
      <w:r>
        <w:rPr>
          <w:rFonts w:hint="eastAsia" w:ascii="仿宋_GB2312" w:eastAsia="仿宋_GB2312"/>
          <w:sz w:val="32"/>
          <w:szCs w:val="32"/>
        </w:rPr>
        <w:t>：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DAB017C">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26CD">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9D9C">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WQ3NDU3NTUxMDU1OGViYWZlYjc0NDQwNTIxODIifQ=="/>
  </w:docVars>
  <w:rsids>
    <w:rsidRoot w:val="00F429C0"/>
    <w:rsid w:val="00050092"/>
    <w:rsid w:val="00091317"/>
    <w:rsid w:val="000E2DA2"/>
    <w:rsid w:val="000F0A83"/>
    <w:rsid w:val="000F755E"/>
    <w:rsid w:val="001A0437"/>
    <w:rsid w:val="001A2108"/>
    <w:rsid w:val="001B446C"/>
    <w:rsid w:val="001B4F0C"/>
    <w:rsid w:val="001E623F"/>
    <w:rsid w:val="002730CD"/>
    <w:rsid w:val="002D3F9B"/>
    <w:rsid w:val="002E5903"/>
    <w:rsid w:val="00300904"/>
    <w:rsid w:val="003336C6"/>
    <w:rsid w:val="0034509F"/>
    <w:rsid w:val="00350338"/>
    <w:rsid w:val="003713C2"/>
    <w:rsid w:val="003812F6"/>
    <w:rsid w:val="003968EA"/>
    <w:rsid w:val="003A1AA6"/>
    <w:rsid w:val="003A561B"/>
    <w:rsid w:val="00425810"/>
    <w:rsid w:val="004A1A00"/>
    <w:rsid w:val="005268EB"/>
    <w:rsid w:val="0053746F"/>
    <w:rsid w:val="0056016B"/>
    <w:rsid w:val="00564603"/>
    <w:rsid w:val="005C6136"/>
    <w:rsid w:val="005E688F"/>
    <w:rsid w:val="00701349"/>
    <w:rsid w:val="00777E08"/>
    <w:rsid w:val="007934F3"/>
    <w:rsid w:val="008431D6"/>
    <w:rsid w:val="00861D72"/>
    <w:rsid w:val="00880340"/>
    <w:rsid w:val="008C72F8"/>
    <w:rsid w:val="009340F3"/>
    <w:rsid w:val="00940B0B"/>
    <w:rsid w:val="00A527E0"/>
    <w:rsid w:val="00AA0AD7"/>
    <w:rsid w:val="00AE4401"/>
    <w:rsid w:val="00AF6F0A"/>
    <w:rsid w:val="00B3548B"/>
    <w:rsid w:val="00B90DC1"/>
    <w:rsid w:val="00BB666B"/>
    <w:rsid w:val="00BF3079"/>
    <w:rsid w:val="00C044B7"/>
    <w:rsid w:val="00C5515C"/>
    <w:rsid w:val="00C7276C"/>
    <w:rsid w:val="00CC5FF3"/>
    <w:rsid w:val="00D36FE8"/>
    <w:rsid w:val="00D445DA"/>
    <w:rsid w:val="00D82494"/>
    <w:rsid w:val="00DC0739"/>
    <w:rsid w:val="00DE1A43"/>
    <w:rsid w:val="00DF5F1E"/>
    <w:rsid w:val="00DF77CF"/>
    <w:rsid w:val="00EA6295"/>
    <w:rsid w:val="00ED0152"/>
    <w:rsid w:val="00F32C93"/>
    <w:rsid w:val="00F429C0"/>
    <w:rsid w:val="00F76BD7"/>
    <w:rsid w:val="00FB45E1"/>
    <w:rsid w:val="066D6077"/>
    <w:rsid w:val="093759E0"/>
    <w:rsid w:val="15D35DF5"/>
    <w:rsid w:val="20C63485"/>
    <w:rsid w:val="21D6157A"/>
    <w:rsid w:val="270B2E60"/>
    <w:rsid w:val="276557C3"/>
    <w:rsid w:val="2ED21556"/>
    <w:rsid w:val="36DD628E"/>
    <w:rsid w:val="383C3E88"/>
    <w:rsid w:val="3C21458C"/>
    <w:rsid w:val="3C6F5A34"/>
    <w:rsid w:val="3EE741B8"/>
    <w:rsid w:val="40C8289D"/>
    <w:rsid w:val="46C53364"/>
    <w:rsid w:val="472A5D26"/>
    <w:rsid w:val="493C20A5"/>
    <w:rsid w:val="49A26605"/>
    <w:rsid w:val="49DF285C"/>
    <w:rsid w:val="4C7D5FBC"/>
    <w:rsid w:val="4DEE5E92"/>
    <w:rsid w:val="4FA67491"/>
    <w:rsid w:val="50041FB8"/>
    <w:rsid w:val="5CD52621"/>
    <w:rsid w:val="620A7FA1"/>
    <w:rsid w:val="65763C45"/>
    <w:rsid w:val="67D2734F"/>
    <w:rsid w:val="6FD95933"/>
    <w:rsid w:val="745F682E"/>
    <w:rsid w:val="7697339E"/>
    <w:rsid w:val="7D307BB8"/>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rPr>
      <w:rFonts w:ascii="宋体" w:hAnsi="宋体" w:eastAsia="仿宋_GB2312" w:cs="宋体"/>
      <w:sz w:val="32"/>
      <w:szCs w:val="28"/>
      <w:lang w:val="zh-CN" w:bidi="zh-CN"/>
    </w:rPr>
  </w:style>
  <w:style w:type="paragraph" w:styleId="3">
    <w:name w:val="Date"/>
    <w:basedOn w:val="1"/>
    <w:next w:val="1"/>
    <w:link w:val="1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szCs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2"/>
    <w:qFormat/>
    <w:uiPriority w:val="0"/>
    <w:rPr>
      <w:rFonts w:ascii="宋体" w:hAnsi="宋体" w:eastAsia="仿宋_GB2312" w:cs="宋体"/>
      <w:kern w:val="2"/>
      <w:sz w:val="32"/>
      <w:szCs w:val="28"/>
      <w:lang w:val="zh-CN" w:bidi="zh-CN"/>
    </w:rPr>
  </w:style>
  <w:style w:type="character" w:customStyle="1" w:styleId="11">
    <w:name w:val="日期 Char"/>
    <w:basedOn w:val="8"/>
    <w:link w:val="3"/>
    <w:qFormat/>
    <w:uiPriority w:val="0"/>
    <w:rPr>
      <w:rFonts w:ascii="Calibri" w:hAnsi="Calibri"/>
      <w:kern w:val="2"/>
      <w:sz w:val="21"/>
      <w:szCs w:val="22"/>
    </w:rPr>
  </w:style>
  <w:style w:type="paragraph" w:customStyle="1" w:styleId="12">
    <w:name w:val="公文主体"/>
    <w:basedOn w:val="1"/>
    <w:link w:val="13"/>
    <w:qFormat/>
    <w:uiPriority w:val="0"/>
    <w:pPr>
      <w:spacing w:line="580" w:lineRule="exact"/>
      <w:ind w:firstLine="200" w:firstLineChars="200"/>
    </w:pPr>
    <w:rPr>
      <w:rFonts w:eastAsia="仿宋_GB2312"/>
      <w:sz w:val="32"/>
      <w:szCs w:val="24"/>
    </w:rPr>
  </w:style>
  <w:style w:type="character" w:customStyle="1" w:styleId="13">
    <w:name w:val="公文主体 Char"/>
    <w:link w:val="12"/>
    <w:qFormat/>
    <w:uiPriority w:val="0"/>
    <w:rPr>
      <w:rFonts w:ascii="Calibri" w:hAnsi="Calibri"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41</Words>
  <Characters>47</Characters>
  <Lines>46</Lines>
  <Paragraphs>13</Paragraphs>
  <TotalTime>105</TotalTime>
  <ScaleCrop>false</ScaleCrop>
  <LinksUpToDate>false</LinksUpToDate>
  <CharactersWithSpaces>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王茜</cp:lastModifiedBy>
  <dcterms:modified xsi:type="dcterms:W3CDTF">2025-06-04T03:39:06Z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AF652CF9A916496DB329046CB2D83C3B_12</vt:lpwstr>
  </property>
  <property fmtid="{D5CDD505-2E9C-101B-9397-08002B2CF9AE}" pid="4" name="KSOTemplateDocerSaveRecord">
    <vt:lpwstr>eyJoZGlkIjoiZGMzOTUxNTdlNzAwZjNjNzBiZjhjMDg1ODc4YTUwOTciLCJ1c2VySWQiOiIzNzc0MjU0NTQifQ==</vt:lpwstr>
  </property>
</Properties>
</file>