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5BC6">
      <w:pPr>
        <w:keepNext w:val="0"/>
        <w:keepLines w:val="0"/>
        <w:pageBreakBefore w:val="0"/>
        <w:widowControl w:val="0"/>
        <w:tabs>
          <w:tab w:val="left" w:pos="420"/>
        </w:tabs>
        <w:kinsoku/>
        <w:wordWrap/>
        <w:overflowPunct/>
        <w:topLinePunct w:val="0"/>
        <w:autoSpaceDE/>
        <w:autoSpaceDN/>
        <w:bidi w:val="0"/>
        <w:adjustRightInd/>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绥山镇人民政府</w:t>
      </w:r>
      <w:r>
        <w:rPr>
          <w:rFonts w:ascii="方正小标宋简体" w:eastAsia="方正小标宋简体"/>
          <w:sz w:val="44"/>
          <w:szCs w:val="44"/>
        </w:rPr>
        <w:br w:type="textWrapping"/>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14:paraId="1239B6E2">
      <w:pPr>
        <w:spacing w:line="600" w:lineRule="exact"/>
        <w:ind w:firstLine="640" w:firstLineChars="200"/>
        <w:rPr>
          <w:rFonts w:ascii="仿宋_GB2312" w:eastAsia="仿宋_GB2312"/>
          <w:sz w:val="32"/>
          <w:szCs w:val="32"/>
        </w:rPr>
      </w:pPr>
    </w:p>
    <w:p w14:paraId="149582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585AF1D2">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7BC49116">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1916AA52">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镇政府的主要职责：</w:t>
      </w:r>
    </w:p>
    <w:p w14:paraId="2BAAC9C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1.贯彻落实党的路线方针政策和国家法律法规以及上级的决定和命令，加强农村基层政权建设，巩固党在农村的执政基础。</w:t>
      </w:r>
    </w:p>
    <w:p w14:paraId="00D43C3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2.组织编制本行政区域经济社会发展规划和镇国土空间规划、村（社区）等相关规划。组织农村基础设施和各项公益事业建设，实施乡村振兴战略，加快经济社会发展，改善群众生产生活环境。</w:t>
      </w:r>
    </w:p>
    <w:p w14:paraId="2B2F36F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3.指导农村经济发展，推进农业经济结构调整，促进经济增长方式转变，促进农业增效、农民增收。</w:t>
      </w:r>
    </w:p>
    <w:p w14:paraId="76E3887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4.加强农村公共服务体系建设，抓好基础教育、统计、科技、文化、体育、卫生健康、食品安全等工作，做好民政事务、就业培训、社会保障、劳动关系协调、民族宗教等工作，促进农村社会事业健康发展。</w:t>
      </w:r>
    </w:p>
    <w:p w14:paraId="48E0FBE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5.推进基层民主法治建设，加强普法依法治理，指导村（居）民委员会工作，维护群众合法权益。</w:t>
      </w:r>
    </w:p>
    <w:p w14:paraId="4119912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6.承担辖区平安建设、社会治安综合治理、公共安全、安全生产及应急管理等有关工作，处理群众来信来访，反映社情民意，化解矛盾纠纷，维护社会安全稳定。</w:t>
      </w:r>
    </w:p>
    <w:p w14:paraId="4E59E0E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7.做好国防教育和兵役等工作。</w:t>
      </w:r>
    </w:p>
    <w:p w14:paraId="40592A7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8.做好生态环境保护、人居环境整治相关工作。</w:t>
      </w:r>
    </w:p>
    <w:p w14:paraId="34592B2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9.负责建立和 完善权力清单、责任清单、公共服务清单动态调整和公示机制，推进政务公开，接受群众监督，增强政府公信力。</w:t>
      </w:r>
    </w:p>
    <w:p w14:paraId="4339147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10.承担法律、法规、规章规定的其他职能，完成市委、市政府交办的其他工作。</w:t>
      </w:r>
    </w:p>
    <w:p w14:paraId="6170A245">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14:paraId="028D4E3D">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进一步推动社会发展。一是定期开展防止返贫动态监测排查。持续抓好产业发展、政策兜底和稳岗就业等方面帮扶工作，动态消除“零就业”家庭，认真落实社会保障政策，落实困难人群兜底保障措施，坚决守牢不发生规模性返贫底线。二是在增强民生福祉上持续加力。做好低保帮扶、社会救助、社会福利、优抚安置等工作，切实保障群众权益。三是丰富群众文化生活。加强文化基础设施建设，完善公共文化服务体系。开展形式多样的文化活动，满足群众精神文化需求。加强文化遗产保护，传承和弘扬优秀传统文化。</w:t>
      </w:r>
    </w:p>
    <w:p w14:paraId="0979FB46">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进一步推进乡村振兴。一是加快农业发展。依托绥山镇资源优势，进一步推进新平片区高标准农田发展、特色水果产业发展、特色牛肉干产业发展，创新“新农品”，提高农产品附加值。二是加强基础设施建设。加大农村道路、水利、电力等基础设施改进力度，进一步提高农村生产生活条件。推进农村信息化建设，提升农村公共服务水平。三是促进农民增收。依托川主康养片区发展乡村旅游、扩大民宿产业，开拓农村电商等新兴产业，拓宽农民增收渠道。四是推动强村公司发展。继续推进农村集体经济发展，完善农村基本经营制度。加强“天街·李子坪”强村公司管理，着力提升公司经营效益。</w:t>
      </w:r>
    </w:p>
    <w:p w14:paraId="1CF5256E">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14:paraId="3078656D">
      <w:pPr>
        <w:spacing w:line="600" w:lineRule="exact"/>
        <w:ind w:firstLine="640" w:firstLineChars="200"/>
        <w:rPr>
          <w:rFonts w:ascii="仿宋_GB2312" w:eastAsia="仿宋_GB2312"/>
          <w:color w:val="0000FF"/>
          <w:sz w:val="32"/>
          <w:szCs w:val="32"/>
        </w:rPr>
      </w:pPr>
      <w:r>
        <w:rPr>
          <w:rFonts w:hint="eastAsia" w:ascii="仿宋_GB2312" w:eastAsia="仿宋_GB2312"/>
          <w:sz w:val="32"/>
          <w:szCs w:val="32"/>
        </w:rPr>
        <w:t>峨眉山市绥山镇人民政府为一级预算单位，有下属二级</w:t>
      </w:r>
      <w:r>
        <w:rPr>
          <w:rFonts w:hint="eastAsia" w:ascii="仿宋_GB2312" w:eastAsia="仿宋_GB2312"/>
          <w:sz w:val="32"/>
          <w:szCs w:val="32"/>
          <w:lang w:val="en-US" w:eastAsia="zh-CN"/>
        </w:rPr>
        <w:t>预算</w:t>
      </w:r>
      <w:r>
        <w:rPr>
          <w:rFonts w:hint="eastAsia" w:ascii="仿宋_GB2312" w:eastAsia="仿宋_GB2312"/>
          <w:sz w:val="32"/>
          <w:szCs w:val="32"/>
        </w:rPr>
        <w:t>单位</w:t>
      </w:r>
      <w:r>
        <w:rPr>
          <w:rFonts w:hint="eastAsia" w:ascii="仿宋_GB2312" w:eastAsia="仿宋_GB2312"/>
          <w:sz w:val="32"/>
          <w:szCs w:val="32"/>
          <w:lang w:val="en-US" w:eastAsia="zh-CN"/>
        </w:rPr>
        <w:t>0</w:t>
      </w:r>
      <w:r>
        <w:rPr>
          <w:rFonts w:hint="eastAsia" w:ascii="仿宋_GB2312" w:eastAsia="仿宋_GB2312"/>
          <w:sz w:val="32"/>
          <w:szCs w:val="32"/>
        </w:rPr>
        <w:t>个，其中行政单位0个，参照公务员法管理的事业单位0个，其他事业单位</w:t>
      </w:r>
      <w:r>
        <w:rPr>
          <w:rFonts w:hint="eastAsia" w:ascii="仿宋_GB2312" w:eastAsia="仿宋_GB2312"/>
          <w:sz w:val="32"/>
          <w:szCs w:val="32"/>
          <w:lang w:val="en-US" w:eastAsia="zh-CN"/>
        </w:rPr>
        <w:t>2</w:t>
      </w:r>
      <w:r>
        <w:rPr>
          <w:rFonts w:hint="eastAsia" w:ascii="仿宋_GB2312" w:eastAsia="仿宋_GB2312"/>
          <w:sz w:val="32"/>
          <w:szCs w:val="32"/>
        </w:rPr>
        <w:t>个，</w:t>
      </w:r>
      <w:r>
        <w:rPr>
          <w:rFonts w:hint="eastAsia" w:ascii="仿宋_GB2312" w:eastAsia="仿宋_GB2312"/>
          <w:sz w:val="32"/>
          <w:szCs w:val="32"/>
          <w:lang w:val="en-US" w:eastAsia="zh-CN"/>
        </w:rPr>
        <w:t>主要包括</w:t>
      </w:r>
      <w:r>
        <w:rPr>
          <w:rFonts w:hint="eastAsia" w:ascii="仿宋_GB2312" w:eastAsia="仿宋_GB2312"/>
          <w:sz w:val="32"/>
          <w:szCs w:val="32"/>
        </w:rPr>
        <w:t>便民服务中心、农业综合服务中心。</w:t>
      </w:r>
    </w:p>
    <w:p w14:paraId="6F1208B4">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53CE1536">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按照综合预算的原则，峨眉山市绥山镇人民政府所有收入和支出均纳入预算管理。</w:t>
      </w:r>
      <w:r>
        <w:rPr>
          <w:rFonts w:hint="eastAsia" w:ascii="仿宋_GB2312" w:eastAsia="仿宋_GB2312"/>
          <w:sz w:val="32"/>
          <w:szCs w:val="32"/>
          <w:lang w:val="en-US" w:eastAsia="zh-CN"/>
        </w:rPr>
        <w:t>2025</w:t>
      </w:r>
      <w:r>
        <w:rPr>
          <w:rFonts w:hint="eastAsia" w:ascii="仿宋_GB2312" w:eastAsia="仿宋_GB2312"/>
          <w:sz w:val="32"/>
          <w:szCs w:val="32"/>
        </w:rPr>
        <w:t>年峨眉山市绥山镇人民政府收入预算总额为</w:t>
      </w:r>
      <w:r>
        <w:rPr>
          <w:rFonts w:hint="eastAsia" w:ascii="仿宋_GB2312" w:eastAsia="仿宋_GB2312"/>
          <w:sz w:val="32"/>
          <w:szCs w:val="32"/>
          <w:lang w:val="en-US" w:eastAsia="zh-CN"/>
        </w:rPr>
        <w:t>2745.55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326.52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2745.55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2745.55</w:t>
      </w:r>
      <w:r>
        <w:rPr>
          <w:rFonts w:hint="eastAsia" w:ascii="仿宋_GB2312" w:eastAsia="仿宋_GB2312"/>
          <w:sz w:val="32"/>
          <w:szCs w:val="32"/>
        </w:rPr>
        <w:t>万元，其中：人员支出</w:t>
      </w:r>
      <w:r>
        <w:rPr>
          <w:rFonts w:hint="eastAsia" w:ascii="仿宋_GB2312" w:eastAsia="仿宋_GB2312"/>
          <w:sz w:val="32"/>
          <w:szCs w:val="32"/>
          <w:lang w:val="en-US" w:eastAsia="zh-CN"/>
        </w:rPr>
        <w:t>1997.37</w:t>
      </w:r>
      <w:r>
        <w:rPr>
          <w:rFonts w:hint="eastAsia" w:ascii="仿宋_GB2312" w:eastAsia="仿宋_GB2312"/>
          <w:sz w:val="32"/>
          <w:szCs w:val="32"/>
        </w:rPr>
        <w:t>万元，日常公用支出</w:t>
      </w:r>
      <w:r>
        <w:rPr>
          <w:rFonts w:hint="eastAsia" w:ascii="仿宋_GB2312" w:eastAsia="仿宋_GB2312"/>
          <w:sz w:val="32"/>
          <w:szCs w:val="32"/>
          <w:lang w:val="en-US" w:eastAsia="zh-CN"/>
        </w:rPr>
        <w:t>225.93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522.25</w:t>
      </w:r>
      <w:r>
        <w:rPr>
          <w:rFonts w:hint="eastAsia" w:ascii="仿宋_GB2312" w:eastAsia="仿宋_GB2312"/>
          <w:sz w:val="32"/>
          <w:szCs w:val="32"/>
        </w:rPr>
        <w:t>万元。</w:t>
      </w:r>
    </w:p>
    <w:p w14:paraId="632CEA6E">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4C33692B">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w:t>
      </w:r>
      <w:r>
        <w:rPr>
          <w:rFonts w:hint="eastAsia" w:ascii="仿宋_GB2312" w:eastAsia="仿宋_GB2312"/>
          <w:sz w:val="32"/>
          <w:szCs w:val="32"/>
          <w:lang w:val="en-US" w:eastAsia="zh-CN"/>
        </w:rPr>
        <w:t>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2745.55</w:t>
      </w:r>
      <w:r>
        <w:rPr>
          <w:rFonts w:hint="eastAsia" w:ascii="仿宋_GB2312" w:eastAsia="仿宋_GB2312"/>
          <w:sz w:val="32"/>
          <w:szCs w:val="32"/>
        </w:rPr>
        <w:t>万元，主要用于保障峨眉山市绥山镇人民政府机构正常运转、完成日常工作任务以及承担社会事业发展相关工作。其中：</w:t>
      </w:r>
    </w:p>
    <w:p w14:paraId="56A8034D">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2223.3</w:t>
      </w:r>
      <w:r>
        <w:rPr>
          <w:rFonts w:hint="eastAsia" w:ascii="仿宋_GB2312" w:eastAsia="仿宋_GB2312"/>
          <w:sz w:val="32"/>
          <w:szCs w:val="32"/>
        </w:rPr>
        <w:t>万元，是用于保障峨眉山市绥山镇人民政府正常运转的日常支出，包括基本工资、津贴补贴等人员经费以及办公费、印刷费、水电费、办公设备购置等日常公用经费。</w:t>
      </w:r>
    </w:p>
    <w:p w14:paraId="00E854F8">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522.25</w:t>
      </w:r>
      <w:r>
        <w:rPr>
          <w:rFonts w:hint="eastAsia" w:ascii="仿宋_GB2312" w:eastAsia="仿宋_GB2312"/>
          <w:sz w:val="32"/>
          <w:szCs w:val="32"/>
        </w:rPr>
        <w:t>万元，是用于保障峨眉山市绥山镇人民政府为完成特定的行政工作任务或事业发展目标，用于专项业务工作的经费支出。</w:t>
      </w:r>
    </w:p>
    <w:p w14:paraId="407EE6F2">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5FB3BBDC">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163B03D5">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w:t>
      </w:r>
      <w:r>
        <w:rPr>
          <w:rFonts w:hint="eastAsia" w:ascii="仿宋_GB2312" w:eastAsia="仿宋_GB2312"/>
          <w:sz w:val="32"/>
          <w:szCs w:val="32"/>
          <w:lang w:val="en-US" w:eastAsia="zh-CN"/>
        </w:rPr>
        <w:t>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2714.77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357.3</w:t>
      </w:r>
      <w:r>
        <w:rPr>
          <w:rFonts w:hint="eastAsia" w:ascii="仿宋_GB2312" w:eastAsia="仿宋_GB2312"/>
          <w:sz w:val="32"/>
          <w:szCs w:val="32"/>
        </w:rPr>
        <w:t>万元。主要原因是</w:t>
      </w:r>
      <w:r>
        <w:rPr>
          <w:rFonts w:hint="eastAsia" w:ascii="仿宋_GB2312" w:eastAsia="仿宋_GB2312"/>
          <w:sz w:val="32"/>
          <w:szCs w:val="32"/>
          <w:lang w:val="en-US" w:eastAsia="zh-CN"/>
        </w:rPr>
        <w:t>征地拆迁等项目减少</w:t>
      </w:r>
      <w:r>
        <w:rPr>
          <w:rFonts w:hint="eastAsia" w:ascii="仿宋_GB2312" w:eastAsia="仿宋_GB2312"/>
          <w:sz w:val="32"/>
          <w:szCs w:val="32"/>
        </w:rPr>
        <w:t>。</w:t>
      </w:r>
    </w:p>
    <w:p w14:paraId="772B6FD5">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5FFF797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994.74</w:t>
      </w:r>
      <w:r>
        <w:rPr>
          <w:rFonts w:hint="eastAsia" w:ascii="仿宋_GB2312" w:eastAsia="仿宋_GB2312"/>
          <w:sz w:val="32"/>
          <w:szCs w:val="32"/>
        </w:rPr>
        <w:t>万元，占</w:t>
      </w:r>
      <w:r>
        <w:rPr>
          <w:rFonts w:hint="eastAsia" w:ascii="仿宋_GB2312" w:eastAsia="仿宋_GB2312"/>
          <w:sz w:val="32"/>
          <w:szCs w:val="32"/>
          <w:lang w:val="en-US" w:eastAsia="zh-CN"/>
        </w:rPr>
        <w:t>36.64</w:t>
      </w:r>
      <w:r>
        <w:rPr>
          <w:rFonts w:hint="eastAsia" w:ascii="仿宋_GB2312" w:eastAsia="仿宋_GB2312"/>
          <w:sz w:val="32"/>
          <w:szCs w:val="32"/>
        </w:rPr>
        <w:t>%；社会保障和就业支出</w:t>
      </w:r>
      <w:r>
        <w:rPr>
          <w:rFonts w:hint="eastAsia" w:ascii="仿宋_GB2312" w:eastAsia="仿宋_GB2312"/>
          <w:sz w:val="32"/>
          <w:szCs w:val="32"/>
          <w:lang w:val="en-US" w:eastAsia="zh-CN"/>
        </w:rPr>
        <w:t>165.33</w:t>
      </w:r>
      <w:r>
        <w:rPr>
          <w:rFonts w:hint="eastAsia" w:ascii="仿宋_GB2312" w:eastAsia="仿宋_GB2312"/>
          <w:sz w:val="32"/>
          <w:szCs w:val="32"/>
        </w:rPr>
        <w:t>万元，占</w:t>
      </w:r>
      <w:r>
        <w:rPr>
          <w:rFonts w:hint="eastAsia" w:ascii="仿宋_GB2312" w:eastAsia="仿宋_GB2312"/>
          <w:sz w:val="32"/>
          <w:szCs w:val="32"/>
          <w:lang w:val="en-US" w:eastAsia="zh-CN"/>
        </w:rPr>
        <w:t>6.09</w:t>
      </w:r>
      <w:r>
        <w:rPr>
          <w:rFonts w:hint="eastAsia" w:ascii="仿宋_GB2312" w:eastAsia="仿宋_GB2312"/>
          <w:sz w:val="32"/>
          <w:szCs w:val="32"/>
        </w:rPr>
        <w:t>%；卫生健康支出</w:t>
      </w:r>
      <w:r>
        <w:rPr>
          <w:rFonts w:hint="eastAsia" w:ascii="仿宋_GB2312" w:eastAsia="仿宋_GB2312"/>
          <w:sz w:val="32"/>
          <w:szCs w:val="32"/>
          <w:lang w:val="en-US" w:eastAsia="zh-CN"/>
        </w:rPr>
        <w:t>54.08</w:t>
      </w:r>
      <w:r>
        <w:rPr>
          <w:rFonts w:hint="eastAsia" w:ascii="仿宋_GB2312" w:eastAsia="仿宋_GB2312"/>
          <w:sz w:val="32"/>
          <w:szCs w:val="32"/>
        </w:rPr>
        <w:t>万元，占1.</w:t>
      </w:r>
      <w:r>
        <w:rPr>
          <w:rFonts w:hint="eastAsia" w:ascii="仿宋_GB2312" w:eastAsia="仿宋_GB2312"/>
          <w:sz w:val="32"/>
          <w:szCs w:val="32"/>
          <w:lang w:val="en-US" w:eastAsia="zh-CN"/>
        </w:rPr>
        <w:t>99</w:t>
      </w:r>
      <w:r>
        <w:rPr>
          <w:rFonts w:hint="eastAsia" w:ascii="仿宋_GB2312" w:eastAsia="仿宋_GB2312"/>
          <w:sz w:val="32"/>
          <w:szCs w:val="32"/>
        </w:rPr>
        <w:t>%；城乡社区支出40.26万元，占1.31%；农林水支出938.82万元，占30.56%；住房和保障支出94.58万元，占3.08%。</w:t>
      </w:r>
    </w:p>
    <w:p w14:paraId="1A8FE121">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04B7BA65">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1.一般公共服务（类）政府办公厅（室）及相关机构事务（款）行政运行（项）: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575.67</w:t>
      </w:r>
      <w:r>
        <w:rPr>
          <w:rFonts w:hint="eastAsia" w:ascii="仿宋_GB2312" w:eastAsia="仿宋_GB2312"/>
          <w:sz w:val="32"/>
          <w:szCs w:val="32"/>
        </w:rPr>
        <w:t>万元，主要用于：行政单位正常运转的基本支出，包括基本工资、津贴补贴等人员经费以及办公费、印刷费、水电费等日常公用经费。</w:t>
      </w:r>
      <w:r>
        <w:rPr>
          <w:rFonts w:ascii="仿宋_GB2312" w:eastAsia="仿宋_GB2312"/>
          <w:sz w:val="32"/>
          <w:szCs w:val="32"/>
        </w:rPr>
        <w:t xml:space="preserve"> </w:t>
      </w:r>
    </w:p>
    <w:p w14:paraId="4C30F896">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一般公共服务（类）政府办公厅（室）及相关机构事务（款）其他政府办公厅（室）及相关机构事务支出（项）: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8.1</w:t>
      </w:r>
      <w:r>
        <w:rPr>
          <w:rFonts w:hint="eastAsia" w:ascii="仿宋_GB2312" w:eastAsia="仿宋_GB2312"/>
          <w:sz w:val="32"/>
          <w:szCs w:val="32"/>
        </w:rPr>
        <w:t>万元，主要用于：行政单位正常运转的基本支出，包括基本工资、津贴补贴等人员经费以及办公费、印刷费、水电费等日常公用经费。</w:t>
      </w:r>
    </w:p>
    <w:p w14:paraId="62D53582">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一般公共服务（类）</w:t>
      </w:r>
      <w:r>
        <w:rPr>
          <w:rFonts w:hint="eastAsia" w:ascii="仿宋_GB2312" w:eastAsia="仿宋_GB2312"/>
          <w:sz w:val="32"/>
          <w:szCs w:val="32"/>
          <w:lang w:val="en-US" w:eastAsia="zh-CN"/>
        </w:rPr>
        <w:t>社会工作事务</w:t>
      </w:r>
      <w:r>
        <w:rPr>
          <w:rFonts w:hint="eastAsia" w:ascii="仿宋_GB2312" w:eastAsia="仿宋_GB2312"/>
          <w:sz w:val="32"/>
          <w:szCs w:val="32"/>
        </w:rPr>
        <w:t>（款）</w:t>
      </w:r>
      <w:r>
        <w:rPr>
          <w:rFonts w:hint="eastAsia" w:ascii="仿宋_GB2312" w:eastAsia="仿宋_GB2312"/>
          <w:sz w:val="32"/>
          <w:szCs w:val="32"/>
          <w:lang w:val="en-US" w:eastAsia="zh-CN"/>
        </w:rPr>
        <w:t>专项业务</w:t>
      </w:r>
      <w:r>
        <w:rPr>
          <w:rFonts w:hint="eastAsia" w:ascii="仿宋_GB2312" w:eastAsia="仿宋_GB2312"/>
          <w:sz w:val="32"/>
          <w:szCs w:val="32"/>
        </w:rPr>
        <w:t>（项）: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410.98</w:t>
      </w:r>
      <w:r>
        <w:rPr>
          <w:rFonts w:hint="eastAsia" w:ascii="仿宋_GB2312" w:eastAsia="仿宋_GB2312"/>
          <w:sz w:val="32"/>
          <w:szCs w:val="32"/>
        </w:rPr>
        <w:t>万元，主要用于：</w:t>
      </w:r>
      <w:r>
        <w:rPr>
          <w:rFonts w:hint="eastAsia" w:ascii="仿宋_GB2312" w:eastAsia="仿宋_GB2312"/>
          <w:sz w:val="32"/>
          <w:szCs w:val="32"/>
          <w:lang w:val="en-US" w:eastAsia="zh-CN"/>
        </w:rPr>
        <w:t>社区正常运转的基本支出，包括社区干部、网格员、社工的人员经费。</w:t>
      </w:r>
    </w:p>
    <w:p w14:paraId="5366E74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社会保障和就业支出（类）行政事业单位养老支出（款）机关事业单位基本养老保险缴费支出（项）:202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107.94</w:t>
      </w:r>
      <w:r>
        <w:rPr>
          <w:rFonts w:hint="eastAsia" w:ascii="仿宋_GB2312" w:eastAsia="仿宋_GB2312"/>
          <w:sz w:val="32"/>
          <w:szCs w:val="32"/>
        </w:rPr>
        <w:t>万元，主要用于：机关事业单位实施养老保险制度由单位实际缴纳的基本养老保险。</w:t>
      </w:r>
    </w:p>
    <w:p w14:paraId="563F8B9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w:t>
      </w:r>
      <w:r>
        <w:rPr>
          <w:rFonts w:hint="eastAsia" w:ascii="仿宋_GB2312" w:eastAsia="仿宋_GB2312"/>
          <w:sz w:val="32"/>
          <w:szCs w:val="32"/>
          <w:lang w:val="en-US" w:eastAsia="zh-CN"/>
        </w:rPr>
        <w:t>职业年金</w:t>
      </w:r>
      <w:r>
        <w:rPr>
          <w:rFonts w:hint="eastAsia" w:ascii="仿宋_GB2312" w:eastAsia="仿宋_GB2312"/>
          <w:sz w:val="32"/>
          <w:szCs w:val="32"/>
        </w:rPr>
        <w:t>缴费支出（项）:202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53.97</w:t>
      </w:r>
      <w:r>
        <w:rPr>
          <w:rFonts w:hint="eastAsia" w:ascii="仿宋_GB2312" w:eastAsia="仿宋_GB2312"/>
          <w:sz w:val="32"/>
          <w:szCs w:val="32"/>
        </w:rPr>
        <w:t>万元，主要用于：机关事业单位实施养老保险制度由单位实际缴纳的职业年金。</w:t>
      </w:r>
    </w:p>
    <w:p w14:paraId="4B6114D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社会保障和就业支出（类）抚恤（款）其他优抚支出（项）: 202</w:t>
      </w:r>
      <w:r>
        <w:rPr>
          <w:rFonts w:hint="eastAsia" w:ascii="仿宋_GB2312" w:eastAsia="仿宋_GB2312"/>
          <w:sz w:val="32"/>
          <w:szCs w:val="32"/>
          <w:lang w:val="en-US" w:eastAsia="zh-CN"/>
        </w:rPr>
        <w:t>5</w:t>
      </w:r>
      <w:r>
        <w:rPr>
          <w:rFonts w:hint="eastAsia" w:ascii="仿宋_GB2312" w:eastAsia="仿宋_GB2312"/>
          <w:sz w:val="32"/>
          <w:szCs w:val="32"/>
        </w:rPr>
        <w:t>年预算数为0.</w:t>
      </w:r>
      <w:r>
        <w:rPr>
          <w:rFonts w:hint="eastAsia" w:ascii="仿宋_GB2312" w:eastAsia="仿宋_GB2312"/>
          <w:sz w:val="32"/>
          <w:szCs w:val="32"/>
          <w:lang w:val="en-US" w:eastAsia="zh-CN"/>
        </w:rPr>
        <w:t>66</w:t>
      </w:r>
      <w:r>
        <w:rPr>
          <w:rFonts w:hint="eastAsia" w:ascii="仿宋_GB2312" w:eastAsia="仿宋_GB2312"/>
          <w:sz w:val="32"/>
          <w:szCs w:val="32"/>
        </w:rPr>
        <w:t>万元，主要用于：遗属补助等其他优抚方面。</w:t>
      </w:r>
    </w:p>
    <w:p w14:paraId="4922AB4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社会保障和就业支出（类）其他社会保障和就业支出（款）其他社会保障和就业支出（项）: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2.76</w:t>
      </w:r>
      <w:r>
        <w:rPr>
          <w:rFonts w:hint="eastAsia" w:ascii="仿宋_GB2312" w:eastAsia="仿宋_GB2312"/>
          <w:sz w:val="32"/>
          <w:szCs w:val="32"/>
        </w:rPr>
        <w:t>万元，主要用于：机关事业单位人员的工伤保险和失业保险。</w:t>
      </w:r>
    </w:p>
    <w:p w14:paraId="6B57F19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8.卫生健康支出（类）行政事业单位医疗（款）行政单位医疗（项）: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24.07</w:t>
      </w:r>
      <w:r>
        <w:rPr>
          <w:rFonts w:hint="eastAsia" w:ascii="仿宋_GB2312" w:eastAsia="仿宋_GB2312"/>
          <w:sz w:val="32"/>
          <w:szCs w:val="32"/>
        </w:rPr>
        <w:t>万元，主要用于：行政单位人员的医疗保险。</w:t>
      </w:r>
    </w:p>
    <w:p w14:paraId="3E59F5A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9.卫生健康支出（类）行政事业单位医疗（款）行政单位医疗（项）: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17.08</w:t>
      </w:r>
      <w:r>
        <w:rPr>
          <w:rFonts w:hint="eastAsia" w:ascii="仿宋_GB2312" w:eastAsia="仿宋_GB2312"/>
          <w:sz w:val="32"/>
          <w:szCs w:val="32"/>
        </w:rPr>
        <w:t>万元，主要用于：事业单位人员的医疗保险。</w:t>
      </w:r>
    </w:p>
    <w:p w14:paraId="1C5A396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.卫生健康支出（类）行政事业单位医疗（款）</w:t>
      </w:r>
      <w:r>
        <w:rPr>
          <w:rFonts w:hint="eastAsia" w:ascii="仿宋_GB2312" w:eastAsia="仿宋_GB2312"/>
          <w:sz w:val="32"/>
          <w:szCs w:val="32"/>
          <w:lang w:val="en-US" w:eastAsia="zh-CN"/>
        </w:rPr>
        <w:t>公务员医疗补助</w:t>
      </w:r>
      <w:r>
        <w:rPr>
          <w:rFonts w:hint="eastAsia" w:ascii="仿宋_GB2312" w:eastAsia="仿宋_GB2312"/>
          <w:sz w:val="32"/>
          <w:szCs w:val="32"/>
        </w:rPr>
        <w:t>（项）: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12.93</w:t>
      </w:r>
      <w:r>
        <w:rPr>
          <w:rFonts w:hint="eastAsia" w:ascii="仿宋_GB2312" w:eastAsia="仿宋_GB2312"/>
          <w:sz w:val="32"/>
          <w:szCs w:val="32"/>
        </w:rPr>
        <w:t>万元，主要用于：</w:t>
      </w:r>
      <w:r>
        <w:rPr>
          <w:rFonts w:hint="eastAsia" w:ascii="仿宋_GB2312" w:eastAsia="仿宋_GB2312"/>
          <w:sz w:val="32"/>
          <w:szCs w:val="32"/>
          <w:lang w:val="en-US" w:eastAsia="zh-CN"/>
        </w:rPr>
        <w:t>公务员医疗补助经费的支出。</w:t>
      </w:r>
    </w:p>
    <w:p w14:paraId="0F6D1E1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11.农林水支出（类）农业农村（款）事业运行（项）: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353.68</w:t>
      </w:r>
      <w:r>
        <w:rPr>
          <w:rFonts w:hint="eastAsia" w:ascii="仿宋_GB2312" w:eastAsia="仿宋_GB2312"/>
          <w:sz w:val="32"/>
          <w:szCs w:val="32"/>
        </w:rPr>
        <w:t>万元，主要用于：正常运转的基本支出，包括基本工资、津贴补贴、绩效工资等人员经费以及办公费、印刷费、水电费等日常公用经费。</w:t>
      </w:r>
    </w:p>
    <w:p w14:paraId="3C50469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12.农林水支出（类）农业农村（款）其他农业农村支出（项）: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98.24</w:t>
      </w:r>
      <w:r>
        <w:rPr>
          <w:rFonts w:hint="eastAsia" w:ascii="仿宋_GB2312" w:eastAsia="仿宋_GB2312"/>
          <w:sz w:val="32"/>
          <w:szCs w:val="32"/>
        </w:rPr>
        <w:t>万元，主要用于：政府机关开展综治、食品安全监管、群团、文广计等项目工作未单独设置项级科目的专门性项目工作的项目支出以及保障机构正常运行、开展农、林、水等日常工作。</w:t>
      </w:r>
    </w:p>
    <w:p w14:paraId="521C94B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13.农林水支出（类）农村综合改革（款）对村民委员会和村党支部的补助（项）: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951.68</w:t>
      </w:r>
      <w:r>
        <w:rPr>
          <w:rFonts w:hint="eastAsia" w:ascii="仿宋_GB2312" w:eastAsia="仿宋_GB2312"/>
          <w:sz w:val="32"/>
          <w:szCs w:val="32"/>
        </w:rPr>
        <w:t>万元，主要用于：村组干部工资、村办公经费、公共运行维护费的支出。</w:t>
      </w:r>
    </w:p>
    <w:p w14:paraId="3471ECFE">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14.住房保障支出（类）住房改革支出（款）住房公积金（项）: 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97.01</w:t>
      </w:r>
      <w:r>
        <w:rPr>
          <w:rFonts w:hint="eastAsia" w:ascii="仿宋_GB2312" w:eastAsia="仿宋_GB2312"/>
          <w:sz w:val="32"/>
          <w:szCs w:val="32"/>
        </w:rPr>
        <w:t>万元，主要用于：按人力资源和社会保障部、财政部规定的基本工资和津贴补贴以及规定比例为职工缴纳的住房公积金支出</w:t>
      </w:r>
      <w:r>
        <w:rPr>
          <w:rFonts w:hint="eastAsia" w:ascii="仿宋_GB2312" w:eastAsia="仿宋_GB2312"/>
          <w:sz w:val="32"/>
          <w:szCs w:val="32"/>
          <w:lang w:eastAsia="zh-CN"/>
        </w:rPr>
        <w:t>。</w:t>
      </w:r>
    </w:p>
    <w:p w14:paraId="02C6FABA">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14:paraId="0C16E02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峨眉山市绥山镇人民政府2025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2223.3</w:t>
      </w:r>
      <w:r>
        <w:rPr>
          <w:rFonts w:hint="eastAsia" w:ascii="仿宋_GB2312" w:eastAsia="仿宋_GB2312"/>
          <w:sz w:val="32"/>
          <w:szCs w:val="32"/>
        </w:rPr>
        <w:t>万元，其中：</w:t>
      </w:r>
    </w:p>
    <w:p w14:paraId="41318695">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1997.37</w:t>
      </w:r>
      <w:r>
        <w:rPr>
          <w:rFonts w:hint="eastAsia" w:ascii="仿宋_GB2312" w:eastAsia="仿宋_GB2312"/>
          <w:sz w:val="32"/>
          <w:szCs w:val="32"/>
        </w:rPr>
        <w:t>万元，主要包括：基本工资、津贴补贴、绩效工资、奖金、社会保险缴费、住房公积金</w:t>
      </w:r>
      <w:r>
        <w:rPr>
          <w:rFonts w:hint="eastAsia" w:ascii="仿宋_GB2312" w:eastAsia="仿宋_GB2312"/>
          <w:sz w:val="32"/>
          <w:szCs w:val="32"/>
          <w:lang w:eastAsia="zh-CN"/>
        </w:rPr>
        <w:t>、</w:t>
      </w:r>
      <w:r>
        <w:rPr>
          <w:rFonts w:hint="eastAsia" w:ascii="仿宋_GB2312" w:eastAsia="仿宋_GB2312"/>
          <w:sz w:val="32"/>
          <w:szCs w:val="32"/>
        </w:rPr>
        <w:t>独生子女费、</w:t>
      </w:r>
      <w:r>
        <w:rPr>
          <w:rFonts w:hint="eastAsia" w:ascii="仿宋_GB2312" w:eastAsia="仿宋_GB2312"/>
          <w:sz w:val="32"/>
          <w:szCs w:val="32"/>
          <w:lang w:val="en-US" w:eastAsia="zh-CN"/>
        </w:rPr>
        <w:t>村（社）干部待遇</w:t>
      </w:r>
      <w:r>
        <w:rPr>
          <w:rFonts w:hint="eastAsia" w:ascii="仿宋_GB2312" w:eastAsia="仿宋_GB2312"/>
          <w:sz w:val="32"/>
          <w:szCs w:val="32"/>
        </w:rPr>
        <w:t>、</w:t>
      </w:r>
      <w:r>
        <w:rPr>
          <w:rFonts w:hint="eastAsia" w:ascii="仿宋_GB2312" w:eastAsia="仿宋_GB2312"/>
          <w:sz w:val="32"/>
          <w:szCs w:val="32"/>
          <w:lang w:val="en-US" w:eastAsia="zh-CN"/>
        </w:rPr>
        <w:t>网格员、社工待遇、三支一扶待遇、遗属补助、退休人员慰问费、援彝补助、其他对个人和家庭的补助</w:t>
      </w:r>
      <w:r>
        <w:rPr>
          <w:rFonts w:hint="eastAsia" w:ascii="仿宋_GB2312" w:eastAsia="仿宋_GB2312"/>
          <w:sz w:val="32"/>
          <w:szCs w:val="32"/>
        </w:rPr>
        <w:t>。</w:t>
      </w:r>
    </w:p>
    <w:p w14:paraId="7FC5629D">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225.93</w:t>
      </w:r>
      <w:r>
        <w:rPr>
          <w:rFonts w:hint="eastAsia" w:ascii="仿宋_GB2312" w:eastAsia="仿宋_GB2312"/>
          <w:sz w:val="32"/>
          <w:szCs w:val="32"/>
        </w:rPr>
        <w:t>万元，主要包括：办公费、印刷费、手续费、水费、电费、</w:t>
      </w:r>
      <w:r>
        <w:rPr>
          <w:rFonts w:hint="eastAsia" w:ascii="仿宋_GB2312" w:hAnsi="仿宋_GB2312" w:eastAsia="仿宋_GB2312" w:cs="仿宋_GB2312"/>
          <w:sz w:val="32"/>
          <w:szCs w:val="32"/>
          <w:lang w:eastAsia="zh-CN"/>
        </w:rPr>
        <w:t>书报杂志、维修费、邮电费、差旅费、培训费、劳务费、委托业务费、午餐补助费、办公设备购置、公务用车运行维护费、工会经费、公务交通补贴、劳务派遣经费。</w:t>
      </w:r>
    </w:p>
    <w:p w14:paraId="4E10B96F">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744A70F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峨眉山市绥山镇人民政府2025</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30.78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30.78</w:t>
      </w:r>
      <w:r>
        <w:rPr>
          <w:rFonts w:hint="eastAsia" w:ascii="仿宋_GB2312" w:eastAsia="仿宋_GB2312"/>
          <w:sz w:val="32"/>
          <w:szCs w:val="32"/>
        </w:rPr>
        <w:t>万元。主要原因是：</w:t>
      </w:r>
      <w:r>
        <w:rPr>
          <w:rFonts w:hint="eastAsia" w:ascii="仿宋_GB2312" w:eastAsia="仿宋_GB2312"/>
          <w:sz w:val="32"/>
          <w:szCs w:val="32"/>
          <w:lang w:val="en-US" w:eastAsia="zh-CN"/>
        </w:rPr>
        <w:t>增加建设项目土地租金、春节前基础设施建设工程款、保障房物业管理费项目经费</w:t>
      </w:r>
      <w:r>
        <w:rPr>
          <w:rFonts w:hint="eastAsia" w:ascii="仿宋_GB2312" w:eastAsia="仿宋_GB2312"/>
          <w:sz w:val="32"/>
          <w:szCs w:val="32"/>
        </w:rPr>
        <w:t>。</w:t>
      </w:r>
    </w:p>
    <w:p w14:paraId="23EB681A">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38B11BDA">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峨眉山市绥山镇人民政府2025</w:t>
      </w:r>
      <w:r>
        <w:rPr>
          <w:rFonts w:hint="eastAsia" w:ascii="仿宋_GB2312" w:eastAsia="仿宋_GB2312"/>
          <w:sz w:val="32"/>
          <w:szCs w:val="32"/>
        </w:rPr>
        <w:t>年“三公”经费预算数</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较上年“三公”经费预算数增加</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21</w:t>
      </w:r>
      <w:r>
        <w:rPr>
          <w:rFonts w:hint="eastAsia" w:ascii="仿宋_GB2312" w:eastAsia="仿宋_GB2312"/>
          <w:sz w:val="32"/>
          <w:szCs w:val="32"/>
        </w:rPr>
        <w:t>万元。</w:t>
      </w:r>
    </w:p>
    <w:p w14:paraId="33B0B17F">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14:paraId="4A537C90">
      <w:pPr>
        <w:spacing w:line="600" w:lineRule="exact"/>
        <w:ind w:firstLine="640" w:firstLineChars="200"/>
        <w:outlineLvl w:val="1"/>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无因公出国（境）预算。2025年因公临时出国（境）未安排人次。</w:t>
      </w:r>
    </w:p>
    <w:p w14:paraId="54DBE286">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14:paraId="7DA751B5">
      <w:pPr>
        <w:keepNext w:val="0"/>
        <w:keepLines w:val="0"/>
        <w:pageBreakBefore w:val="0"/>
        <w:numPr>
          <w:ilvl w:val="0"/>
          <w:numId w:val="0"/>
        </w:numPr>
        <w:kinsoku/>
        <w:wordWrap/>
        <w:overflowPunct/>
        <w:topLinePunct w:val="0"/>
        <w:bidi w:val="0"/>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无公务接待预算。</w:t>
      </w:r>
    </w:p>
    <w:p w14:paraId="0708BEAC">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14:paraId="04196D51">
      <w:pPr>
        <w:numPr>
          <w:ilvl w:val="0"/>
          <w:numId w:val="0"/>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与上年持平。</w:t>
      </w:r>
    </w:p>
    <w:p w14:paraId="36432DC3">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单位现有公务用车8辆，其中：轿车5辆、越野车0辆、多功能乘用车0辆、其他车型</w:t>
      </w:r>
      <w:r>
        <w:rPr>
          <w:rFonts w:hint="eastAsia" w:ascii="仿宋_GB2312" w:eastAsia="仿宋_GB2312"/>
          <w:sz w:val="32"/>
          <w:szCs w:val="32"/>
          <w:lang w:val="en-US" w:eastAsia="zh-CN"/>
        </w:rPr>
        <w:t>3</w:t>
      </w:r>
      <w:r>
        <w:rPr>
          <w:rFonts w:hint="eastAsia" w:ascii="仿宋_GB2312" w:eastAsia="仿宋_GB2312"/>
          <w:sz w:val="32"/>
          <w:szCs w:val="32"/>
        </w:rPr>
        <w:t>辆</w:t>
      </w:r>
    </w:p>
    <w:p w14:paraId="40359F70">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14D58E1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安排公务用车运行维护费</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val="en-US" w:eastAsia="zh-CN"/>
        </w:rPr>
        <w:t>与上年持平。主要</w:t>
      </w:r>
      <w:r>
        <w:rPr>
          <w:rFonts w:hint="eastAsia" w:ascii="仿宋_GB2312" w:eastAsia="仿宋_GB2312"/>
          <w:sz w:val="32"/>
          <w:szCs w:val="32"/>
        </w:rPr>
        <w:t>用于日常行政工作下村、拆迁等项目工作所需的公务用车公车</w:t>
      </w:r>
      <w:r>
        <w:rPr>
          <w:rFonts w:hint="eastAsia" w:ascii="仿宋_GB2312" w:eastAsia="仿宋_GB2312"/>
          <w:sz w:val="32"/>
          <w:szCs w:val="32"/>
          <w:lang w:val="en-US" w:eastAsia="zh-CN"/>
        </w:rPr>
        <w:t>燃油</w:t>
      </w:r>
      <w:r>
        <w:rPr>
          <w:rFonts w:hint="eastAsia" w:ascii="仿宋_GB2312" w:eastAsia="仿宋_GB2312"/>
          <w:sz w:val="32"/>
          <w:szCs w:val="32"/>
        </w:rPr>
        <w:t>费、</w:t>
      </w:r>
      <w:r>
        <w:rPr>
          <w:rFonts w:hint="eastAsia" w:ascii="仿宋_GB2312" w:eastAsia="仿宋_GB2312"/>
          <w:sz w:val="32"/>
          <w:szCs w:val="32"/>
          <w:lang w:val="en-US" w:eastAsia="zh-CN"/>
        </w:rPr>
        <w:t>维修费、</w:t>
      </w:r>
      <w:r>
        <w:rPr>
          <w:rFonts w:hint="eastAsia" w:ascii="仿宋_GB2312" w:eastAsia="仿宋_GB2312"/>
          <w:sz w:val="32"/>
          <w:szCs w:val="32"/>
        </w:rPr>
        <w:t>保险费等支出。</w:t>
      </w:r>
    </w:p>
    <w:p w14:paraId="184CFE71">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4C4D0989">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61F2819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w:t>
      </w:r>
      <w:r>
        <w:rPr>
          <w:rFonts w:hint="eastAsia" w:ascii="仿宋_GB2312" w:eastAsia="仿宋_GB2312"/>
          <w:sz w:val="32"/>
          <w:szCs w:val="32"/>
          <w:lang w:val="en-US" w:eastAsia="zh-CN"/>
        </w:rPr>
        <w:t>峨眉山市绥山镇人民政府</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运行，安排的包括办公及印刷费、邮电费、差旅费、会议费、福利费、日常维修费、办公设备购置费、办公用房水电费、公务用车运行维护费以及其他费用等机关运行经费预算为</w:t>
      </w:r>
      <w:r>
        <w:rPr>
          <w:rFonts w:hint="eastAsia" w:ascii="仿宋_GB2312" w:eastAsia="仿宋_GB2312"/>
          <w:sz w:val="32"/>
          <w:szCs w:val="32"/>
          <w:lang w:val="en-US" w:eastAsia="zh-CN"/>
        </w:rPr>
        <w:t>225.93</w:t>
      </w:r>
      <w:r>
        <w:rPr>
          <w:rFonts w:hint="eastAsia" w:ascii="仿宋_GB2312" w:eastAsia="仿宋_GB2312"/>
          <w:sz w:val="32"/>
          <w:szCs w:val="32"/>
        </w:rPr>
        <w:t>万元，较上年预算</w:t>
      </w:r>
      <w:r>
        <w:rPr>
          <w:rFonts w:hint="eastAsia" w:ascii="仿宋_GB2312" w:eastAsia="仿宋_GB2312"/>
          <w:sz w:val="32"/>
          <w:szCs w:val="32"/>
          <w:lang w:val="en-US" w:eastAsia="zh-CN"/>
        </w:rPr>
        <w:t>增长23.43</w:t>
      </w:r>
      <w:r>
        <w:rPr>
          <w:rFonts w:hint="eastAsia" w:ascii="仿宋_GB2312" w:eastAsia="仿宋_GB2312"/>
          <w:sz w:val="32"/>
          <w:szCs w:val="32"/>
        </w:rPr>
        <w:t>万元，增长</w:t>
      </w:r>
      <w:r>
        <w:rPr>
          <w:rFonts w:hint="eastAsia" w:ascii="仿宋_GB2312" w:eastAsia="仿宋_GB2312"/>
          <w:sz w:val="32"/>
          <w:szCs w:val="32"/>
          <w:lang w:val="en-US" w:eastAsia="zh-CN"/>
        </w:rPr>
        <w:t>11.57</w:t>
      </w:r>
      <w:r>
        <w:rPr>
          <w:rFonts w:hint="eastAsia" w:ascii="仿宋_GB2312" w:eastAsia="仿宋_GB2312"/>
          <w:sz w:val="32"/>
          <w:szCs w:val="32"/>
        </w:rPr>
        <w:t>%。</w:t>
      </w:r>
      <w:bookmarkStart w:id="0" w:name="_GoBack"/>
      <w:bookmarkEnd w:id="0"/>
    </w:p>
    <w:p w14:paraId="5092D45F">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186D870B">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，峨眉山市绥山镇人民政府安排政府采购预算0万元。</w:t>
      </w:r>
    </w:p>
    <w:p w14:paraId="1EE2DF5D">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1DB0D539">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截至去年底，峨眉山市绥山镇人民政府实际共有车辆8辆。单位价值200万元以上大型设备0台（套）。</w:t>
      </w:r>
    </w:p>
    <w:p w14:paraId="79DA17D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年，峨眉山市绥山镇人民政府预算安排购置车辆0辆及单位价值200万元以上大型设备0台（套）。</w:t>
      </w:r>
    </w:p>
    <w:p w14:paraId="71B2B097">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741B694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，峨眉山市绥山镇人民政府按要求实行绩效目标管理，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2745.55</w:t>
      </w:r>
      <w:r>
        <w:rPr>
          <w:rFonts w:hint="eastAsia" w:ascii="仿宋_GB2312" w:eastAsia="仿宋_GB2312"/>
          <w:sz w:val="32"/>
          <w:szCs w:val="32"/>
        </w:rPr>
        <w:t>万元，其中基本支出</w:t>
      </w:r>
      <w:r>
        <w:rPr>
          <w:rFonts w:hint="eastAsia" w:ascii="仿宋_GB2312" w:eastAsia="仿宋_GB2312"/>
          <w:sz w:val="32"/>
          <w:szCs w:val="32"/>
          <w:lang w:val="en-US" w:eastAsia="zh-CN"/>
        </w:rPr>
        <w:t>2223.3</w:t>
      </w:r>
      <w:r>
        <w:rPr>
          <w:rFonts w:hint="eastAsia" w:ascii="仿宋_GB2312" w:eastAsia="仿宋_GB2312"/>
          <w:sz w:val="32"/>
          <w:szCs w:val="32"/>
        </w:rPr>
        <w:t>万元，项目支出</w:t>
      </w:r>
      <w:r>
        <w:rPr>
          <w:rFonts w:hint="eastAsia" w:ascii="仿宋_GB2312" w:eastAsia="仿宋_GB2312"/>
          <w:sz w:val="32"/>
          <w:szCs w:val="32"/>
          <w:lang w:val="en-US" w:eastAsia="zh-CN"/>
        </w:rPr>
        <w:t>522.25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522.25</w:t>
      </w:r>
      <w:r>
        <w:rPr>
          <w:rFonts w:hint="eastAsia" w:ascii="仿宋_GB2312" w:eastAsia="仿宋_GB2312"/>
          <w:sz w:val="32"/>
          <w:szCs w:val="32"/>
        </w:rPr>
        <w:t>万元，主要为乡镇(街道)专项业务经费</w:t>
      </w:r>
      <w:r>
        <w:rPr>
          <w:rFonts w:hint="eastAsia" w:ascii="仿宋_GB2312" w:eastAsia="仿宋_GB2312"/>
          <w:sz w:val="32"/>
          <w:szCs w:val="32"/>
          <w:lang w:eastAsia="zh-CN"/>
        </w:rPr>
        <w:t>、七路一桥建设项目土地租金、村（社区）顶岗锻炼后备干部经费、关工委经费、村级公共服务经费、人大代表履职经费、人大代表之家活动及建设费、大庙公墓山管理人员经费、村组干部考核奖励</w:t>
      </w:r>
      <w:r>
        <w:rPr>
          <w:rFonts w:hint="eastAsia" w:ascii="仿宋_GB2312" w:eastAsia="仿宋_GB2312"/>
          <w:sz w:val="32"/>
          <w:szCs w:val="32"/>
        </w:rPr>
        <w:t>等项目。</w:t>
      </w:r>
    </w:p>
    <w:p w14:paraId="42449090">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51998D8E">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14:paraId="7DBEFFA7">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14:paraId="42D9C2CE">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其他收入：指除上述“财政拨款收入”、“事业收入”、“经营收入”等以外的收入。主要是机关内非经营性收入等。</w:t>
      </w:r>
    </w:p>
    <w:p w14:paraId="40A9B1A3">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一般公共服务（类）政府办公厅（室）及相关机构事务（款）行政运行（项）：指反映行政单位（包括实行公务员管理的事业单位）的基本支出。</w:t>
      </w:r>
    </w:p>
    <w:p w14:paraId="12745CB9">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一般公共服务（类）政府办公厅（室）及相关机构事务（款）其他政府办公厅（室）及相关机构事务（项）：反映除上述项目以外的其他政府办公厅（室）及相关机构事务支出。</w:t>
      </w:r>
    </w:p>
    <w:p w14:paraId="3A578EEF">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一般公共服务（类）社会工作事务（款）专项业务（项）：反映社会工作部门开展专项业务活动的支出。</w:t>
      </w:r>
    </w:p>
    <w:p w14:paraId="6C431384">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社会保障和就业支出（类）人力资源和社会保障管理事务（款）其他人力资源和社会保障管理事务支出（项）：用于单位三支一扶人员的支出。</w:t>
      </w:r>
    </w:p>
    <w:p w14:paraId="71F93A1C">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社会保障和就业（类）行政事业单位养老支出（款）机关事业单位基本养老保险支出（项）：指主要用于本单位职工基本养老保险缴费。</w:t>
      </w:r>
    </w:p>
    <w:p w14:paraId="7802800E">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社会保障和就业（类）行政事业单位养老支出（款）机关事业单位职业年金缴费支出（项）：指主要用于单位内职工职业年金缴费。</w:t>
      </w:r>
    </w:p>
    <w:p w14:paraId="536D532C">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社会保障和就业（类）抚恤（款）其他优抚支出（项）：指用于单位遗属生活补助的支出。</w:t>
      </w:r>
    </w:p>
    <w:p w14:paraId="30647CC5">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社会保障和就业（类）其他社会保障和就业支出（款）其他社会保障和就业支出（项）：指用于机关职工工伤保险和失业保险的支出。</w:t>
      </w:r>
    </w:p>
    <w:p w14:paraId="0E53B2FA">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卫生健康（类）行政事业单位医疗（款）行政单位医疗（项）：指财政部门安排的行政单位基本医疗保险缴费经费。</w:t>
      </w:r>
    </w:p>
    <w:p w14:paraId="656DABC9">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卫生健康（类）行政事业单位医疗（款）事业单位医疗（项）：指财政部门安排的事业单位基本医疗保险缴费经费。</w:t>
      </w:r>
    </w:p>
    <w:p w14:paraId="644648E6">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卫生健康（类）行政事业单位医疗（款）公务员医疗补助（项）：用于公务员医疗补助经费的支出。</w:t>
      </w:r>
    </w:p>
    <w:p w14:paraId="6A59CE68">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农林水（类）农业农村（款）事业运行（项）：指用于政府为保障正常运行、开展农、林、水日常工作的支出。</w:t>
      </w:r>
    </w:p>
    <w:p w14:paraId="68F51FB3">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农林水（类）农业农村（款）其他农业农村支出（项）：指用于乡镇专项业务、关工委经费、交管办和村级劝导员等项目。</w:t>
      </w:r>
    </w:p>
    <w:p w14:paraId="0D56693B">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农林水（类）农村综合改革（款）对村民委员会和村党支部的补助（项）：指用于对村民委员会和村党支部的补助。</w:t>
      </w:r>
    </w:p>
    <w:p w14:paraId="19C2CAB7">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住房保障（类）住房改革支出（款）住房公积金（项）：指行政事业单位按人力资源和社会保障部、财政部规定的基本工资和津贴补贴以及规定比例为职工缴纳的住房公积金支出。</w:t>
      </w:r>
    </w:p>
    <w:p w14:paraId="714C62A0">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14:paraId="314BD1F0">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14:paraId="2B429741">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6C01032">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DAE6">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80CE">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6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667444"/>
    <w:rsid w:val="02A1499E"/>
    <w:rsid w:val="032233CF"/>
    <w:rsid w:val="04402271"/>
    <w:rsid w:val="04C74740"/>
    <w:rsid w:val="05AF1754"/>
    <w:rsid w:val="05B42F17"/>
    <w:rsid w:val="05EA4B8A"/>
    <w:rsid w:val="066D6077"/>
    <w:rsid w:val="06F34B4B"/>
    <w:rsid w:val="06FC7E32"/>
    <w:rsid w:val="080812F8"/>
    <w:rsid w:val="08F55D20"/>
    <w:rsid w:val="0A0855DF"/>
    <w:rsid w:val="0BBC299A"/>
    <w:rsid w:val="0BE43E2A"/>
    <w:rsid w:val="0D577E04"/>
    <w:rsid w:val="0D5A43A4"/>
    <w:rsid w:val="0F403A6D"/>
    <w:rsid w:val="0F4676E4"/>
    <w:rsid w:val="10466E61"/>
    <w:rsid w:val="109E4EEF"/>
    <w:rsid w:val="10E072B6"/>
    <w:rsid w:val="1157799E"/>
    <w:rsid w:val="1182711D"/>
    <w:rsid w:val="12617F82"/>
    <w:rsid w:val="14222438"/>
    <w:rsid w:val="15D35DF5"/>
    <w:rsid w:val="164756E1"/>
    <w:rsid w:val="1A352420"/>
    <w:rsid w:val="1A8E38DF"/>
    <w:rsid w:val="1A9F3D3E"/>
    <w:rsid w:val="1CE7185E"/>
    <w:rsid w:val="1DF26072"/>
    <w:rsid w:val="1E7468B7"/>
    <w:rsid w:val="1EC75611"/>
    <w:rsid w:val="1FA31BDA"/>
    <w:rsid w:val="1FC70C70"/>
    <w:rsid w:val="20BA7F54"/>
    <w:rsid w:val="21D6157A"/>
    <w:rsid w:val="22504E62"/>
    <w:rsid w:val="22521696"/>
    <w:rsid w:val="228D7391"/>
    <w:rsid w:val="22A2261D"/>
    <w:rsid w:val="23D5257E"/>
    <w:rsid w:val="25D27598"/>
    <w:rsid w:val="270B2E60"/>
    <w:rsid w:val="276557C3"/>
    <w:rsid w:val="27F82CDF"/>
    <w:rsid w:val="287560DE"/>
    <w:rsid w:val="287A4EFB"/>
    <w:rsid w:val="28B46C06"/>
    <w:rsid w:val="290D4568"/>
    <w:rsid w:val="2A4B0A88"/>
    <w:rsid w:val="2A992557"/>
    <w:rsid w:val="2B512E32"/>
    <w:rsid w:val="2BE1296B"/>
    <w:rsid w:val="2C0323FF"/>
    <w:rsid w:val="2D355E3C"/>
    <w:rsid w:val="2D940DB4"/>
    <w:rsid w:val="2ED21556"/>
    <w:rsid w:val="2ED2733D"/>
    <w:rsid w:val="2F4828B7"/>
    <w:rsid w:val="2FC932A5"/>
    <w:rsid w:val="30817D16"/>
    <w:rsid w:val="335E62EA"/>
    <w:rsid w:val="35C12962"/>
    <w:rsid w:val="36321AB2"/>
    <w:rsid w:val="36DD628E"/>
    <w:rsid w:val="378C5FC0"/>
    <w:rsid w:val="3AA1007D"/>
    <w:rsid w:val="3B581673"/>
    <w:rsid w:val="3B6620EF"/>
    <w:rsid w:val="3B8C57C0"/>
    <w:rsid w:val="3BA62AFB"/>
    <w:rsid w:val="3C21458C"/>
    <w:rsid w:val="3C6F5A34"/>
    <w:rsid w:val="3C9D7253"/>
    <w:rsid w:val="3CCD42E3"/>
    <w:rsid w:val="3D5F318D"/>
    <w:rsid w:val="3D606F05"/>
    <w:rsid w:val="3DC01751"/>
    <w:rsid w:val="3EE741B8"/>
    <w:rsid w:val="40C8289D"/>
    <w:rsid w:val="425A1D5A"/>
    <w:rsid w:val="431B5DA8"/>
    <w:rsid w:val="440A7BCA"/>
    <w:rsid w:val="443B60E6"/>
    <w:rsid w:val="448E25A9"/>
    <w:rsid w:val="45823172"/>
    <w:rsid w:val="45EE77A4"/>
    <w:rsid w:val="46C53364"/>
    <w:rsid w:val="472A5D26"/>
    <w:rsid w:val="48117779"/>
    <w:rsid w:val="48EF41B5"/>
    <w:rsid w:val="493C20A5"/>
    <w:rsid w:val="49DF285C"/>
    <w:rsid w:val="4D1E7A00"/>
    <w:rsid w:val="4D4B377D"/>
    <w:rsid w:val="4DEE5E92"/>
    <w:rsid w:val="4F0C7551"/>
    <w:rsid w:val="4F844CD5"/>
    <w:rsid w:val="50041FB8"/>
    <w:rsid w:val="50C3182D"/>
    <w:rsid w:val="51097121"/>
    <w:rsid w:val="52734B8D"/>
    <w:rsid w:val="52BA27BB"/>
    <w:rsid w:val="5393077B"/>
    <w:rsid w:val="53F32429"/>
    <w:rsid w:val="56BA722E"/>
    <w:rsid w:val="56D4209E"/>
    <w:rsid w:val="57030BD5"/>
    <w:rsid w:val="57BF2D4E"/>
    <w:rsid w:val="58492617"/>
    <w:rsid w:val="5AF32D0E"/>
    <w:rsid w:val="5B04316E"/>
    <w:rsid w:val="5B4672E2"/>
    <w:rsid w:val="5BA01558"/>
    <w:rsid w:val="5C076A71"/>
    <w:rsid w:val="5D347D3A"/>
    <w:rsid w:val="5E8E347A"/>
    <w:rsid w:val="5FD51606"/>
    <w:rsid w:val="61CD250B"/>
    <w:rsid w:val="62C74B48"/>
    <w:rsid w:val="637E2D0B"/>
    <w:rsid w:val="65C21C5B"/>
    <w:rsid w:val="65C7791A"/>
    <w:rsid w:val="667C62AE"/>
    <w:rsid w:val="668D3D49"/>
    <w:rsid w:val="66EC51E2"/>
    <w:rsid w:val="6796514D"/>
    <w:rsid w:val="67D2734F"/>
    <w:rsid w:val="68925915"/>
    <w:rsid w:val="68E65C61"/>
    <w:rsid w:val="69603C65"/>
    <w:rsid w:val="6A48101A"/>
    <w:rsid w:val="6D2D20B0"/>
    <w:rsid w:val="6E641AA2"/>
    <w:rsid w:val="6FD95933"/>
    <w:rsid w:val="707D6EAA"/>
    <w:rsid w:val="71ED62B2"/>
    <w:rsid w:val="72E94CCB"/>
    <w:rsid w:val="73E07E7C"/>
    <w:rsid w:val="745F682E"/>
    <w:rsid w:val="755F1275"/>
    <w:rsid w:val="75703482"/>
    <w:rsid w:val="75874327"/>
    <w:rsid w:val="75AB44BA"/>
    <w:rsid w:val="75E36971"/>
    <w:rsid w:val="767D522A"/>
    <w:rsid w:val="7697339E"/>
    <w:rsid w:val="786170B2"/>
    <w:rsid w:val="7AF10BC1"/>
    <w:rsid w:val="7BD52290"/>
    <w:rsid w:val="7CAD4C5D"/>
    <w:rsid w:val="7D3309A6"/>
    <w:rsid w:val="7E1E7F1F"/>
    <w:rsid w:val="7EA770D8"/>
    <w:rsid w:val="7EB50157"/>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2749</Words>
  <Characters>2961</Characters>
  <Lines>20</Lines>
  <Paragraphs>5</Paragraphs>
  <TotalTime>53</TotalTime>
  <ScaleCrop>false</ScaleCrop>
  <LinksUpToDate>false</LinksUpToDate>
  <CharactersWithSpaces>2968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YULE</cp:lastModifiedBy>
  <dcterms:modified xsi:type="dcterms:W3CDTF">2025-05-20T03:00:56Z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eyJoZGlkIjoiNTlhZWQ1MjRlNmY1ZTZmMDE0NWI3MmU3ZWRiOTNlMWUiLCJ1c2VySWQiOiIzMDM1NzgxNiJ9</vt:lpwstr>
  </property>
  <property fmtid="{D5CDD505-2E9C-101B-9397-08002B2CF9AE}" pid="4" name="ICV">
    <vt:lpwstr>2FA54ED78E874A95970255C87616BF27_12</vt:lpwstr>
  </property>
</Properties>
</file>