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3"/>
          <w:szCs w:val="43"/>
        </w:rPr>
      </w:pPr>
      <w:r>
        <w:rPr>
          <w:rFonts w:hint="eastAsia" w:ascii="方正小标宋简体" w:hAnsi="方正小标宋简体" w:eastAsia="方正小标宋简体" w:cs="方正小标宋简体"/>
          <w:color w:val="000000"/>
          <w:kern w:val="0"/>
          <w:sz w:val="43"/>
          <w:szCs w:val="43"/>
        </w:rPr>
        <w:t>2025年峨眉山市残疾人联合会预算公开</w:t>
      </w:r>
    </w:p>
    <w:p>
      <w:pPr>
        <w:widowControl/>
        <w:jc w:val="center"/>
      </w:pPr>
      <w:r>
        <w:rPr>
          <w:rFonts w:ascii="方正小标宋简体" w:hAnsi="方正小标宋简体" w:eastAsia="方正小标宋简体" w:cs="方正小标宋简体"/>
          <w:color w:val="000000"/>
          <w:kern w:val="0"/>
          <w:sz w:val="43"/>
          <w:szCs w:val="43"/>
        </w:rPr>
        <w:t>目 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峨眉山市残疾人联合会关于2025年预算编制的说明</w:t>
      </w:r>
    </w:p>
    <w:p>
      <w:pPr>
        <w:widowControl/>
        <w:ind w:firstLine="310" w:firstLineChars="100"/>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w:t>
      </w:r>
      <w:r>
        <w:rPr>
          <w:rFonts w:ascii="仿宋_GB2312" w:hAnsi="宋体" w:eastAsia="仿宋_GB2312" w:cs="仿宋_GB2312"/>
          <w:color w:val="333333"/>
          <w:kern w:val="0"/>
          <w:sz w:val="31"/>
          <w:szCs w:val="31"/>
        </w:rPr>
        <w:t xml:space="preserve"> ………………………………………</w:t>
      </w:r>
      <w:r>
        <w:rPr>
          <w:rFonts w:hint="eastAsia" w:ascii="仿宋_GB2312" w:hAnsi="宋体" w:eastAsia="仿宋_GB2312" w:cs="仿宋_GB2312"/>
          <w:color w:val="333333"/>
          <w:kern w:val="0"/>
          <w:sz w:val="31"/>
          <w:szCs w:val="31"/>
        </w:rPr>
        <w:t>3</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二、部门概况 </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9</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三、收支预算总体情况 </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9</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四、财政拨款支出预算安排情况 </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9</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10</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12</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12</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w:t>
      </w:r>
      <w:bookmarkStart w:id="0" w:name="_GoBack"/>
      <w:bookmarkEnd w:id="0"/>
      <w:r>
        <w:rPr>
          <w:rFonts w:hint="eastAsia" w:ascii="仿宋_GB2312" w:hAnsi="宋体" w:eastAsia="仿宋_GB2312" w:cs="仿宋_GB2312"/>
          <w:color w:val="333333"/>
          <w:kern w:val="0"/>
          <w:sz w:val="31"/>
          <w:szCs w:val="31"/>
        </w:rPr>
        <w:t>“三公”经费预算安排情况说明</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12</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九、其他重要事项的情况说明  </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13</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w:t>
      </w:r>
      <w:r>
        <w:rPr>
          <w:rFonts w:ascii="仿宋_GB2312" w:hAnsi="宋体" w:eastAsia="仿宋_GB2312" w:cs="仿宋_GB2312"/>
          <w:color w:val="333333"/>
          <w:kern w:val="0"/>
          <w:sz w:val="31"/>
          <w:szCs w:val="31"/>
        </w:rPr>
        <w:t>……………………………………………………</w:t>
      </w:r>
      <w:r>
        <w:rPr>
          <w:rFonts w:hint="eastAsia" w:ascii="仿宋_GB2312" w:hAnsi="宋体" w:eastAsia="仿宋_GB2312" w:cs="仿宋_GB2312"/>
          <w:color w:val="333333"/>
          <w:kern w:val="0"/>
          <w:sz w:val="31"/>
          <w:szCs w:val="31"/>
        </w:rPr>
        <w:t>14</w:t>
      </w:r>
    </w:p>
    <w:p>
      <w:pPr>
        <w:widowControl/>
        <w:jc w:val="left"/>
      </w:pPr>
      <w:r>
        <w:rPr>
          <w:rFonts w:hint="eastAsia" w:ascii="黑体" w:hAnsi="宋体" w:eastAsia="黑体" w:cs="黑体"/>
          <w:color w:val="333333"/>
          <w:kern w:val="0"/>
          <w:sz w:val="31"/>
          <w:szCs w:val="31"/>
        </w:rPr>
        <w:t xml:space="preserve">第二部分 2025年峨眉山市本级部门预算表 </w:t>
      </w:r>
    </w:p>
    <w:p>
      <w:pPr>
        <w:widowControl/>
        <w:ind w:firstLine="310" w:firstLineChars="100"/>
        <w:jc w:val="left"/>
      </w:pPr>
      <w:r>
        <w:rPr>
          <w:rFonts w:hint="eastAsia" w:ascii="仿宋_GB2312" w:hAnsi="宋体" w:eastAsia="仿宋_GB2312" w:cs="仿宋_GB2312"/>
          <w:color w:val="333333"/>
          <w:kern w:val="0"/>
          <w:sz w:val="31"/>
          <w:szCs w:val="31"/>
        </w:rPr>
        <w:t xml:space="preserve">一、收支预算总表 </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ind w:firstLine="310" w:firstLineChars="100"/>
        <w:jc w:val="left"/>
      </w:pPr>
      <w:r>
        <w:rPr>
          <w:rFonts w:hint="eastAsia" w:ascii="仿宋_GB2312" w:hAnsi="宋体" w:eastAsia="仿宋_GB2312" w:cs="仿宋_GB2312"/>
          <w:color w:val="333333"/>
          <w:kern w:val="0"/>
          <w:sz w:val="31"/>
          <w:szCs w:val="31"/>
        </w:rPr>
        <w:t xml:space="preserve">三、支出预算总表 </w:t>
      </w:r>
    </w:p>
    <w:p>
      <w:pPr>
        <w:widowControl/>
        <w:ind w:firstLine="310" w:firstLineChars="100"/>
        <w:jc w:val="left"/>
      </w:pPr>
      <w:r>
        <w:rPr>
          <w:rFonts w:hint="eastAsia" w:ascii="仿宋_GB2312" w:hAnsi="宋体" w:eastAsia="仿宋_GB2312" w:cs="仿宋_GB2312"/>
          <w:color w:val="333333"/>
          <w:kern w:val="0"/>
          <w:sz w:val="31"/>
          <w:szCs w:val="31"/>
        </w:rPr>
        <w:t xml:space="preserve">四、财政拨款预算总表 </w:t>
      </w:r>
    </w:p>
    <w:p>
      <w:pPr>
        <w:widowControl/>
        <w:ind w:firstLine="310" w:firstLineChars="100"/>
        <w:jc w:val="left"/>
      </w:pPr>
      <w:r>
        <w:rPr>
          <w:rFonts w:hint="eastAsia" w:ascii="仿宋_GB2312" w:hAnsi="宋体" w:eastAsia="仿宋_GB2312" w:cs="仿宋_GB2312"/>
          <w:color w:val="333333"/>
          <w:kern w:val="0"/>
          <w:sz w:val="31"/>
          <w:szCs w:val="31"/>
        </w:rPr>
        <w:t xml:space="preserve">五、一般公共预算支出表 </w:t>
      </w:r>
    </w:p>
    <w:p>
      <w:pPr>
        <w:widowControl/>
        <w:ind w:firstLine="310" w:firstLineChars="100"/>
        <w:jc w:val="left"/>
      </w:pPr>
      <w:r>
        <w:rPr>
          <w:rFonts w:hint="eastAsia" w:ascii="仿宋_GB2312" w:hAnsi="宋体" w:eastAsia="仿宋_GB2312" w:cs="仿宋_GB2312"/>
          <w:color w:val="333333"/>
          <w:kern w:val="0"/>
          <w:sz w:val="31"/>
          <w:szCs w:val="31"/>
        </w:rPr>
        <w:t xml:space="preserve">六、一般公共预算基本支出表 </w:t>
      </w:r>
    </w:p>
    <w:p>
      <w:pPr>
        <w:widowControl/>
        <w:ind w:firstLine="310" w:firstLineChars="100"/>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ind w:firstLine="310" w:firstLineChars="100"/>
        <w:jc w:val="left"/>
      </w:pPr>
      <w:r>
        <w:rPr>
          <w:rFonts w:hint="eastAsia" w:ascii="仿宋_GB2312" w:hAnsi="宋体" w:eastAsia="仿宋_GB2312" w:cs="仿宋_GB2312"/>
          <w:color w:val="333333"/>
          <w:kern w:val="0"/>
          <w:sz w:val="31"/>
          <w:szCs w:val="31"/>
        </w:rPr>
        <w:t xml:space="preserve">八、政府性基金预算支出表 </w:t>
      </w:r>
    </w:p>
    <w:p>
      <w:pPr>
        <w:widowControl/>
        <w:ind w:firstLine="310" w:firstLineChars="100"/>
        <w:jc w:val="left"/>
      </w:pPr>
      <w:r>
        <w:rPr>
          <w:rFonts w:hint="eastAsia" w:ascii="仿宋_GB2312" w:hAnsi="宋体" w:eastAsia="仿宋_GB2312" w:cs="仿宋_GB2312"/>
          <w:color w:val="333333"/>
          <w:kern w:val="0"/>
          <w:sz w:val="31"/>
          <w:szCs w:val="31"/>
        </w:rPr>
        <w:t xml:space="preserve">九、国有资本经营预算支出表 </w:t>
      </w:r>
    </w:p>
    <w:p>
      <w:pPr>
        <w:widowControl/>
        <w:ind w:firstLine="310" w:firstLineChars="100"/>
        <w:jc w:val="left"/>
      </w:pPr>
      <w:r>
        <w:rPr>
          <w:rFonts w:hint="eastAsia" w:ascii="仿宋_GB2312" w:hAnsi="宋体" w:eastAsia="仿宋_GB2312" w:cs="仿宋_GB2312"/>
          <w:color w:val="333333"/>
          <w:kern w:val="0"/>
          <w:sz w:val="31"/>
          <w:szCs w:val="31"/>
        </w:rPr>
        <w:t>十、 支出功能分类预算表</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十一、支出经济分类预算表</w:t>
      </w:r>
    </w:p>
    <w:p>
      <w:pPr>
        <w:pStyle w:val="2"/>
        <w:ind w:firstLine="310" w:firstLineChars="100"/>
      </w:pPr>
      <w:r>
        <w:rPr>
          <w:rFonts w:hint="eastAsia" w:ascii="仿宋_GB2312" w:cs="仿宋_GB2312"/>
          <w:color w:val="333333"/>
          <w:kern w:val="0"/>
          <w:sz w:val="31"/>
          <w:szCs w:val="31"/>
        </w:rPr>
        <w:t>十二、上级资金安排情况表</w:t>
      </w:r>
    </w:p>
    <w:p>
      <w:pPr>
        <w:widowControl/>
        <w:ind w:firstLine="310" w:firstLineChars="100"/>
        <w:jc w:val="left"/>
      </w:pPr>
      <w:r>
        <w:rPr>
          <w:rFonts w:hint="eastAsia" w:ascii="仿宋_GB2312" w:hAnsi="宋体" w:eastAsia="仿宋_GB2312" w:cs="仿宋_GB2312"/>
          <w:color w:val="333333"/>
          <w:kern w:val="0"/>
          <w:sz w:val="31"/>
          <w:szCs w:val="31"/>
        </w:rPr>
        <w:t>十三、项目支出表</w:t>
      </w:r>
    </w:p>
    <w:p>
      <w:pPr>
        <w:widowControl/>
        <w:ind w:firstLine="310" w:firstLineChars="100"/>
        <w:jc w:val="left"/>
      </w:pPr>
      <w:r>
        <w:rPr>
          <w:rFonts w:hint="eastAsia" w:ascii="仿宋_GB2312" w:hAnsi="宋体" w:eastAsia="仿宋_GB2312" w:cs="仿宋_GB2312"/>
          <w:color w:val="333333"/>
          <w:kern w:val="0"/>
          <w:sz w:val="31"/>
          <w:szCs w:val="31"/>
        </w:rPr>
        <w:t>十四、项目支出预算明细表</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ind w:firstLine="310" w:firstLineChars="100"/>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pStyle w:val="2"/>
        <w:ind w:firstLine="310" w:firstLineChars="100"/>
        <w:rPr>
          <w:rFonts w:hint="eastAsia" w:ascii="仿宋_GB2312" w:cs="仿宋_GB2312"/>
          <w:color w:val="333333"/>
          <w:kern w:val="0"/>
          <w:sz w:val="31"/>
          <w:szCs w:val="31"/>
        </w:rPr>
      </w:pPr>
      <w:r>
        <w:rPr>
          <w:rFonts w:hint="eastAsia" w:ascii="仿宋_GB2312" w:cs="仿宋_GB2312"/>
          <w:color w:val="333333"/>
          <w:kern w:val="0"/>
          <w:sz w:val="31"/>
          <w:szCs w:val="31"/>
        </w:rPr>
        <w:t>十八、人员情况表</w:t>
      </w:r>
    </w:p>
    <w:p>
      <w:pPr>
        <w:pStyle w:val="2"/>
        <w:ind w:firstLine="310" w:firstLineChars="100"/>
      </w:pPr>
      <w:r>
        <w:rPr>
          <w:rFonts w:hint="eastAsia" w:ascii="仿宋_GB2312" w:hAnsi="宋体" w:eastAsia="仿宋_GB2312" w:cs="仿宋_GB2312"/>
          <w:color w:val="333333"/>
          <w:kern w:val="0"/>
          <w:sz w:val="31"/>
          <w:szCs w:val="31"/>
        </w:rPr>
        <w:t>十九、</w:t>
      </w:r>
      <w:r>
        <w:rPr>
          <w:rFonts w:hint="eastAsia" w:ascii="仿宋_GB2312" w:cs="仿宋_GB2312"/>
          <w:color w:val="333333"/>
          <w:kern w:val="0"/>
          <w:sz w:val="31"/>
          <w:szCs w:val="31"/>
        </w:rPr>
        <w:t>部门预算项目绩效目标表</w:t>
      </w:r>
    </w:p>
    <w:p>
      <w:pPr>
        <w:widowControl/>
        <w:ind w:firstLine="310" w:firstLineChars="100"/>
        <w:jc w:val="left"/>
        <w:rPr>
          <w:rFonts w:hint="eastAsia"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二十、</w:t>
      </w:r>
      <w:r>
        <w:rPr>
          <w:rFonts w:ascii="仿宋_GB2312" w:hAnsi="宋体" w:eastAsia="仿宋_GB2312" w:cs="仿宋_GB2312"/>
          <w:color w:val="333333"/>
          <w:kern w:val="0"/>
          <w:sz w:val="31"/>
          <w:szCs w:val="31"/>
        </w:rPr>
        <w:t>部门整体</w:t>
      </w:r>
      <w:r>
        <w:rPr>
          <w:rFonts w:hint="eastAsia" w:ascii="仿宋_GB2312" w:hAnsi="宋体" w:eastAsia="仿宋_GB2312" w:cs="仿宋_GB2312"/>
          <w:color w:val="333333"/>
          <w:kern w:val="0"/>
          <w:sz w:val="31"/>
          <w:szCs w:val="31"/>
        </w:rPr>
        <w:t>支出</w:t>
      </w:r>
      <w:r>
        <w:rPr>
          <w:rFonts w:ascii="仿宋_GB2312" w:hAnsi="宋体" w:eastAsia="仿宋_GB2312" w:cs="仿宋_GB2312"/>
          <w:color w:val="333333"/>
          <w:kern w:val="0"/>
          <w:sz w:val="31"/>
          <w:szCs w:val="31"/>
        </w:rPr>
        <w:t>绩效目标表</w:t>
      </w:r>
    </w:p>
    <w:p>
      <w:pPr>
        <w:widowControl/>
        <w:ind w:firstLine="310" w:firstLineChars="100"/>
        <w:jc w:val="left"/>
        <w:rPr>
          <w:rFonts w:hint="eastAsia" w:ascii="仿宋_GB2312" w:hAnsi="宋体" w:eastAsia="仿宋_GB2312" w:cs="仿宋_GB2312"/>
          <w:color w:val="333333"/>
          <w:kern w:val="0"/>
          <w:sz w:val="31"/>
          <w:szCs w:val="31"/>
        </w:rPr>
      </w:pPr>
    </w:p>
    <w:p>
      <w:pPr>
        <w:widowControl/>
        <w:ind w:firstLine="310" w:firstLineChars="100"/>
        <w:jc w:val="left"/>
        <w:rPr>
          <w:rFonts w:hint="eastAsia" w:ascii="仿宋_GB2312" w:hAnsi="宋体" w:eastAsia="仿宋_GB2312" w:cs="仿宋_GB2312"/>
          <w:color w:val="333333"/>
          <w:kern w:val="0"/>
          <w:sz w:val="31"/>
          <w:szCs w:val="31"/>
        </w:rPr>
      </w:pPr>
    </w:p>
    <w:p>
      <w:pPr>
        <w:widowControl/>
        <w:ind w:firstLine="310" w:firstLineChars="100"/>
        <w:jc w:val="left"/>
        <w:rPr>
          <w:rFonts w:hint="eastAsia" w:ascii="仿宋_GB2312" w:hAnsi="宋体" w:eastAsia="仿宋_GB2312" w:cs="仿宋_GB2312"/>
          <w:color w:val="333333"/>
          <w:kern w:val="0"/>
          <w:sz w:val="31"/>
          <w:szCs w:val="31"/>
        </w:rPr>
      </w:pPr>
    </w:p>
    <w:p>
      <w:pPr>
        <w:widowControl/>
        <w:jc w:val="left"/>
        <w:rPr>
          <w:rFonts w:ascii="仿宋_GB2312" w:hAnsi="宋体" w:eastAsia="仿宋_GB2312" w:cs="仿宋_GB2312"/>
          <w:color w:val="333333"/>
          <w:kern w:val="0"/>
          <w:sz w:val="31"/>
          <w:szCs w:val="31"/>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峨眉山市残疾人联合会</w:t>
      </w:r>
      <w:r>
        <w:rPr>
          <w:rFonts w:ascii="方正小标宋简体" w:eastAsia="方正小标宋简体"/>
          <w:sz w:val="44"/>
          <w:szCs w:val="44"/>
        </w:rPr>
        <w:br w:type="textWrapping"/>
      </w:r>
      <w:r>
        <w:rPr>
          <w:rFonts w:hint="eastAsia" w:ascii="方正小标宋简体" w:eastAsia="方正小标宋简体"/>
          <w:sz w:val="44"/>
          <w:szCs w:val="44"/>
        </w:rPr>
        <w:t>关于2025年预算编制的说明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shd w:val="clear" w:color="auto" w:fill="FFFFFF"/>
        </w:rPr>
        <w:t>峨眉山市残疾人联合会主要职能是代表、服务、管理三种职能：代表广大残疾人的共同利益，维护残疾人的合法权益；团结教育残疾人，为残疾人服务，履行法律赋予的职责；承担政府委托的任务，管理和发展残疾人事业。工作重点是：坚持以服务残疾人为宗旨，以“量体裁衣”式个性化服务为抓手，全面提升“基础量服”，全面普及“智慧量服”，全面实施“开发量服”和“机构量服”为突破点，着力提升“量服”四个精准深入，不断健全残疾人社会保障体系和服务体系，以扶贫解围民生工程为重点，积极推进残疾人“两个体系”建设，切实改善残疾人生活状况，促进我市残疾人事业与经济社会协调发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（二）2025年重点工作任务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2025年市残联将</w:t>
      </w:r>
      <w:r>
        <w:rPr>
          <w:rFonts w:hint="eastAsia" w:ascii="仿宋_GB2312" w:hAnsi="仿宋_GB2312" w:eastAsia="仿宋_GB2312" w:cs="仿宋_GB2312"/>
          <w:sz w:val="32"/>
          <w:szCs w:val="32"/>
        </w:rPr>
        <w:t>坚定以习近平新时代中国特色社会主义思想为指导,深入学习贯彻党的二十大和二十届三中全会精神及习近平总书记关于残疾人事业重要论述、重要指示批示精神，全面落实省委十二届历次全会、乐山市委八届历次全会和峨眉山市委十五届历次全会部署，高质量完成《峨眉山市“十四五”残疾人保障和发展规划》目标任务，着力完善残疾人社会保障制度和关爱服务体系，更好保障残疾人各项权益，大力营造扶残助残良好社会氛围，以改革的精神推动残疾人事业全面发展、高质量发展，增强残疾人获得感、幸福感、安全感。</w:t>
      </w:r>
    </w:p>
    <w:p>
      <w:pPr>
        <w:spacing w:line="600" w:lineRule="exact"/>
        <w:ind w:left="640"/>
        <w:rPr>
          <w:rFonts w:ascii="仿宋_GB2312" w:hAnsi="仿宋_GB2312" w:eastAsia="仿宋_GB2312" w:cs="仿宋_GB2312"/>
          <w:color w:val="000000"/>
          <w:sz w:val="32"/>
          <w:szCs w:val="32"/>
        </w:rPr>
      </w:pPr>
      <w:r>
        <w:rPr>
          <w:rFonts w:hint="eastAsia" w:ascii="黑体" w:hAnsi="黑体" w:eastAsia="黑体" w:cs="黑体"/>
          <w:sz w:val="32"/>
          <w:szCs w:val="32"/>
        </w:rPr>
        <w:t>1.坚持政治引领，自觉坚持党对残疾人事业的全面领导</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以贯彻落实党的重大会议精神为重点，自觉用党的创新理论武装头脑、指导实践、推动工作。深刻领悟“两个确立”的决定性意义，增强“四个意识”、坚定“四个自信”、做到“两个维护”。把习近平总书记关于残疾人事业重要论述和重要指示批示作为残疾人工作的根本遵循和行动指南，牢牢把握残疾人事业承担的重要使命、做好残疾人工作的重要原则、残疾人事业发展的重要任务，坚持用党的创新理论武装头脑、指导实践、推动工作，全面落实党的二十届三中全会，省委十二届历次全会、乐山市委八届历次全会和峨眉山市委十五届历次全会部署，引导残联党员干部和广大残疾人统一思想和行动，凝聚智慧和力量，深入贯彻落实全会关于残疾人事业的重要部署，切实加强对残疾人和残疾人工作者的政治引领。围绕完善残疾人社会保障制度和关爱服务体系，着眼残疾人事业现代化，固根本、补短板，扬优势，推动全会精神在全市残联系统落实落地</w:t>
      </w:r>
      <w:r>
        <w:rPr>
          <w:rFonts w:hint="eastAsia" w:ascii="仿宋_GB2312" w:hAnsi="仿宋_GB2312" w:eastAsia="仿宋_GB2312" w:cs="仿宋_GB2312"/>
          <w:color w:val="000000"/>
          <w:sz w:val="32"/>
          <w:szCs w:val="32"/>
        </w:rPr>
        <w:t>。</w:t>
      </w:r>
    </w:p>
    <w:p>
      <w:pPr>
        <w:spacing w:line="600" w:lineRule="exact"/>
        <w:ind w:left="640"/>
        <w:rPr>
          <w:rFonts w:ascii="仿宋_GB2312" w:hAnsi="仿宋_GB2312" w:eastAsia="仿宋_GB2312" w:cs="仿宋_GB2312"/>
          <w:sz w:val="32"/>
          <w:szCs w:val="32"/>
        </w:rPr>
      </w:pPr>
      <w:r>
        <w:rPr>
          <w:rFonts w:hint="eastAsia" w:ascii="黑体" w:hAnsi="黑体" w:eastAsia="黑体" w:cs="黑体"/>
          <w:sz w:val="32"/>
          <w:szCs w:val="32"/>
        </w:rPr>
        <w:t>2.坚持需求引领，坚决兜准兜牢残疾人民生保障底线</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以兜牢残疾人民生保障底线为重点，不断完善残疾人社会保障制度织密残疾人民生底线。</w:t>
      </w:r>
      <w:r>
        <w:rPr>
          <w:rFonts w:hint="eastAsia" w:ascii="仿宋_GB2312" w:hAnsi="仿宋_GB2312" w:eastAsia="仿宋_GB2312" w:cs="仿宋_GB2312"/>
          <w:sz w:val="32"/>
          <w:szCs w:val="32"/>
        </w:rPr>
        <w:t>深入实施《峨眉山市惠残助残行动计划实施方案（2023-2025年）》。持续巩固拓展残疾人脱贫攻坚成果。加大农村残疾人就业帮扶和产业帮扶工作力度，实施农村残疾人实用技术培训100人、扶持504名农村残疾人发展生产。做好部门间残疾人数据对比与共享工作，促进残疾人应享尽享社会保障政策。做好残疾人相关保险工作，帮助符合条件的残疾人应保尽保，为残疾人购买意外保险。继续实施“阳光家园计划”项目，居家托养200人，寄宿制托养20人。</w:t>
      </w:r>
      <w:r>
        <w:rPr>
          <w:rFonts w:hint="eastAsia" w:ascii="仿宋_GB2312" w:hAnsi="仿宋_GB2312" w:eastAsia="仿宋_GB2312" w:cs="仿宋_GB2312"/>
          <w:spacing w:val="10"/>
          <w:sz w:val="32"/>
          <w:szCs w:val="32"/>
        </w:rPr>
        <w:t>为1600名</w:t>
      </w:r>
      <w:r>
        <w:rPr>
          <w:rFonts w:hint="eastAsia" w:ascii="仿宋_GB2312" w:hAnsi="仿宋_GB2312" w:eastAsia="仿宋_GB2312" w:cs="仿宋_GB2312"/>
          <w:sz w:val="32"/>
          <w:szCs w:val="32"/>
        </w:rPr>
        <w:t>从事非全日制、临时性和弹性工作的残疾人发放灵活就业补贴。贯彻落实《中共中央国务院关于实施就业优先战略促进高质量充分就业的意见》和四川省《关于进一步加强残疾人就业工作的实施意见》等政策，加大就业援助工作力度，落实就业援助政策，配合有关部门开展就业援助月、就业宣传月专项活动。做好2025年度高校残疾人毕业生就业服务工作。深化残疾人按比例就业联网认证工作。实施辅助器具进校园工程，继续</w:t>
      </w:r>
      <w:r>
        <w:rPr>
          <w:rFonts w:hint="eastAsia" w:ascii="仿宋_GB2312" w:eastAsia="仿宋_GB2312"/>
          <w:sz w:val="32"/>
          <w:szCs w:val="32"/>
        </w:rPr>
        <w:t>落实残疾学生资助政策</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以解决残疾人急难愁盼问题为重点，不断完善残疾人关爱服务体系。</w:t>
      </w:r>
      <w:r>
        <w:rPr>
          <w:rFonts w:hint="eastAsia" w:ascii="仿宋_GB2312" w:hAnsi="仿宋_GB2312" w:eastAsia="仿宋_GB2312" w:cs="仿宋_GB2312"/>
          <w:sz w:val="32"/>
          <w:szCs w:val="32"/>
        </w:rPr>
        <w:t>持续推进残疾人家庭医生签约增值服务，计划服务2600人。为150名困难精神病患者服药进行补贴。落实《0-6岁残疾儿童基本康复服务规范》，提升残疾儿童康复服务质量。加强残疾儿童康复救助定点服务机构监督管理，提升服务质效。计划实施0-6岁儿童康复30人，7-14岁儿童康复40人，并为困难残疾儿童发放康复救助生活补助。实施残疾人辅助器具适配补贴政策，计划为260名残疾人适配基本辅助器具。</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以丰富残疾人文化体育生活为重点，营造扶残助残良好社会氛围。</w:t>
      </w:r>
      <w:r>
        <w:rPr>
          <w:rFonts w:hint="eastAsia" w:ascii="仿宋_GB2312" w:hAnsi="仿宋_GB2312" w:eastAsia="仿宋_GB2312" w:cs="仿宋_GB2312"/>
          <w:sz w:val="32"/>
          <w:szCs w:val="32"/>
        </w:rPr>
        <w:t>围绕残疾人事业中心工作，创新宣传方式，以残疾人事业年度重点工作和重大活动、重要节点为抓手，持续加强主题宣传、正面宣传，大力弘扬主旋律，全力服务残疾人事业发展大局。继续实施残疾人文化进家庭“五个一”项目，</w:t>
      </w:r>
      <w:r>
        <w:rPr>
          <w:rFonts w:hint="eastAsia" w:ascii="仿宋_GB2312" w:hAnsi="仿宋_GB2312" w:eastAsia="仿宋_GB2312" w:cs="仿宋_GB2312"/>
          <w:spacing w:val="10"/>
          <w:sz w:val="32"/>
          <w:szCs w:val="32"/>
        </w:rPr>
        <w:t>为</w:t>
      </w:r>
      <w:r>
        <w:rPr>
          <w:rFonts w:ascii="仿宋_GB2312" w:hAnsi="仿宋_GB2312" w:eastAsia="仿宋_GB2312" w:cs="仿宋_GB2312"/>
          <w:spacing w:val="10"/>
          <w:sz w:val="32"/>
          <w:szCs w:val="32"/>
        </w:rPr>
        <w:t>60</w:t>
      </w:r>
      <w:r>
        <w:rPr>
          <w:rFonts w:hint="eastAsia" w:ascii="仿宋_GB2312" w:hAnsi="仿宋_GB2312" w:eastAsia="仿宋_GB2312" w:cs="仿宋_GB2312"/>
          <w:spacing w:val="10"/>
          <w:sz w:val="32"/>
          <w:szCs w:val="32"/>
        </w:rPr>
        <w:t>名重度残疾人发放书籍，推动残疾人文化服务身边化。加强残疾人健身示范点建设，</w:t>
      </w:r>
      <w:r>
        <w:rPr>
          <w:rFonts w:hint="eastAsia" w:ascii="仿宋_GB2312" w:hAnsi="仿宋_GB2312" w:eastAsia="仿宋_GB2312" w:cs="仿宋_GB2312"/>
          <w:sz w:val="32"/>
          <w:szCs w:val="32"/>
        </w:rPr>
        <w:t>督促示范点按要求落实并有创新。</w:t>
      </w:r>
      <w:r>
        <w:rPr>
          <w:rFonts w:hint="eastAsia" w:ascii="仿宋_GB2312" w:hAnsi="仿宋_GB2312" w:eastAsia="仿宋_GB2312" w:cs="仿宋_GB2312"/>
          <w:spacing w:val="10"/>
          <w:sz w:val="32"/>
          <w:szCs w:val="32"/>
        </w:rPr>
        <w:t>秉持体教融合原则，继续打造峨眉山市特校“旱地冰壶”特色体育项目。加强乐山市第四届残运会峨眉山市组队参赛工作，积极开展全民健身活动。对</w:t>
      </w:r>
      <w:r>
        <w:rPr>
          <w:rFonts w:ascii="仿宋_GB2312" w:hAnsi="仿宋_GB2312" w:eastAsia="仿宋_GB2312" w:cs="仿宋_GB2312"/>
          <w:spacing w:val="10"/>
          <w:sz w:val="32"/>
          <w:szCs w:val="32"/>
        </w:rPr>
        <w:t>10</w:t>
      </w:r>
      <w:r>
        <w:rPr>
          <w:rFonts w:hint="eastAsia" w:ascii="仿宋_GB2312" w:hAnsi="仿宋_GB2312" w:eastAsia="仿宋_GB2312" w:cs="仿宋_GB2312"/>
          <w:spacing w:val="10"/>
          <w:sz w:val="32"/>
          <w:szCs w:val="32"/>
        </w:rPr>
        <w:t>名青少年开展体育项目培训，为我市体育竞技力量注入活力。</w:t>
      </w:r>
      <w:r>
        <w:rPr>
          <w:rFonts w:hint="eastAsia" w:ascii="仿宋_GB2312" w:hAnsi="仿宋_GB2312" w:eastAsia="仿宋_GB2312" w:cs="仿宋_GB2312"/>
          <w:sz w:val="32"/>
          <w:szCs w:val="32"/>
        </w:rPr>
        <w:t>开展全国助残日、残疾预防日、国际残疾人日等重要活动，营造全社会关爱残疾人的浓厚氛围</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3.坚持法治引领，依法保障残疾人合法权益</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以完善残疾人权益维护体系为重点，不断加强残疾人事业法治建设。</w:t>
      </w:r>
      <w:r>
        <w:rPr>
          <w:rFonts w:hint="eastAsia" w:ascii="仿宋_GB2312" w:hAnsi="仿宋_GB2312" w:eastAsia="仿宋_GB2312" w:cs="仿宋_GB2312"/>
          <w:sz w:val="32"/>
          <w:szCs w:val="32"/>
        </w:rPr>
        <w:t>进一步加强助残公益律师队伍建设，充分发挥助残公益律师作用。继续落实《残疾人尊法学法守法用法专项行动计划（2023-2025年）》。持续加强法治学习，强化每月党员大会、职工大会、理事长办公会学法，利用助残公益律师开展公益普法讲堂和法律咨询。加大法治宣传，开展“送法上门”活动</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以协调推进无障碍环境建设为重点，不断为残疾人提供更多便利。</w:t>
      </w:r>
      <w:r>
        <w:rPr>
          <w:rFonts w:hint="eastAsia" w:ascii="仿宋_GB2312" w:hAnsi="仿宋_GB2312" w:eastAsia="仿宋_GB2312" w:cs="仿宋_GB2312"/>
          <w:sz w:val="32"/>
          <w:szCs w:val="32"/>
        </w:rPr>
        <w:t>贯彻落实无障碍环境建设法和四川省无障碍环境建设管理办法，持续开展无障碍环境建设督导。继续为残疾人规范发放机动轮椅车燃油补贴。计划实施困难重度残疾人家庭无障碍改造54户，一户一策制定改造方案，不断提高改造的针对性、实效性。</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以健全残疾人权益保障机制为重点，不断提升残疾人获得感幸福感安全感。</w:t>
      </w:r>
      <w:r>
        <w:rPr>
          <w:rFonts w:hint="eastAsia" w:ascii="仿宋_GB2312" w:hAnsi="仿宋_GB2312" w:eastAsia="仿宋_GB2312" w:cs="仿宋_GB2312"/>
          <w:sz w:val="32"/>
          <w:szCs w:val="32"/>
        </w:rPr>
        <w:t>发挥残疾人权益保障工作机制作用，解决残疾人急难愁盼问题。持续开展“温暖万家行”走访慰问困难残疾人活动，加大残疾人紧急救助力度。深入推进残疾人信访工作规范化、法治化，畅通残疾人诉求表达渠道，确保涉残领域“三个决不发生”。</w:t>
      </w:r>
    </w:p>
    <w:p>
      <w:pPr>
        <w:pStyle w:val="3"/>
        <w:ind w:firstLine="640" w:firstLineChars="200"/>
        <w:rPr>
          <w:rFonts w:ascii="黑体" w:hAnsi="黑体" w:eastAsia="黑体" w:cs="黑体"/>
          <w:sz w:val="32"/>
          <w:szCs w:val="32"/>
        </w:rPr>
      </w:pPr>
      <w:r>
        <w:rPr>
          <w:rFonts w:hint="eastAsia" w:ascii="黑体" w:hAnsi="黑体" w:eastAsia="黑体" w:cs="黑体"/>
          <w:sz w:val="32"/>
          <w:szCs w:val="32"/>
        </w:rPr>
        <w:t>4.坚持党建引领，全力打造本领过硬的干部队伍</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以巩固深化党纪学习教育成果为重点，持续推进残联组织全面从严治党。</w:t>
      </w:r>
      <w:r>
        <w:rPr>
          <w:rFonts w:hint="eastAsia" w:ascii="仿宋_GB2312" w:hAnsi="仿宋_GB2312" w:eastAsia="仿宋_GB2312" w:cs="仿宋_GB2312"/>
          <w:sz w:val="32"/>
          <w:szCs w:val="32"/>
        </w:rPr>
        <w:t>落实全面从严治党政治责任，制定并实施年度推进全面从严治党、党风廉政和反腐败工作实施方案。推进政治监督具体化、精准化、常态化。进一步巩固深化党纪学习教育成果，不断增强党员干部纪法意识。聚焦整治形式主义为基层减负工作，持续纠治“四风”顽疾，筑牢中央八项规定精神堤坝。紧盯重点领域和关键岗位，深化运用监督执纪“四种形态”，加大执纪审查力度，一体推进不敢腐、不能腐、不想腐。</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以持续深化残联组织改革为重点，持续加强残疾人工作者和残疾人人才队伍建设。</w:t>
      </w:r>
      <w:r>
        <w:rPr>
          <w:rFonts w:hint="eastAsia" w:ascii="仿宋_GB2312" w:hAnsi="仿宋_GB2312" w:eastAsia="仿宋_GB2312" w:cs="仿宋_GB2312"/>
          <w:sz w:val="32"/>
          <w:szCs w:val="32"/>
        </w:rPr>
        <w:t>巩固深化直接联系帮扶工作机制。强化基层基础建设，推动乡镇（街道）残联、村（社区）残协落实残联改革要求，进一步提升村（社区）残协规范化建设水平和服务能力。优化涉残服务事项办事流程。加强“量体裁衣”式残疾人服务平台建设，完善平台安全管理。落实新修订的《中华人民共和国残疾人证管理办法》。持续优化残疾人证“网上办”“跨省通办”,进一步优化为行动不便重度残疾人“上门评残”。加强残疾人人才挖掘，发挥好优秀残疾人带头示范作用。持续落实《中国残联关于加强和改进专门协会工作的意见》，推动专门协会、社会组织规范活跃、可持续发展。</w:t>
      </w:r>
    </w:p>
    <w:p>
      <w:pPr>
        <w:pStyle w:val="3"/>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以开展“节奏更快、效率更高、质量更优”主题实践活动为重点，持续转变工作作风。</w:t>
      </w:r>
      <w:r>
        <w:rPr>
          <w:rFonts w:hint="eastAsia" w:ascii="仿宋_GB2312" w:hAnsi="仿宋_GB2312" w:eastAsia="仿宋_GB2312" w:cs="仿宋_GB2312"/>
          <w:sz w:val="32"/>
          <w:szCs w:val="32"/>
        </w:rPr>
        <w:t>坚持以习近平新时代中国特色社会主义思想为指导，深入贯彻落实新时代党的建设总要求和新时代党的组织路线，加强残联组织党的建设，把党的领导贯穿残疾人工作的各方面全过程。坚持把学思践悟习近平新时代中国特色社会主义思想作为战略任务持续做深做实，不断提高党员干部政治判断力、政治领悟力、政治执行力。深入开展“节奏更快、效率更高、质量更优”主题实践活动，主动钻研业务，提高自身本领，不断提升服务保障高质量发展的实效和水平，为推动残疾人事业全面发展、高质量发展提供政治保证。</w:t>
      </w:r>
    </w:p>
    <w:p>
      <w:pPr>
        <w:pStyle w:val="3"/>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5.完成市委、政府，乐山市残联交办的其他工作</w:t>
      </w:r>
    </w:p>
    <w:p>
      <w:pPr>
        <w:spacing w:line="600" w:lineRule="exact"/>
        <w:ind w:firstLine="640" w:firstLineChars="200"/>
        <w:outlineLvl w:val="1"/>
        <w:rPr>
          <w:rFonts w:hint="eastAsia" w:ascii="黑体" w:eastAsia="黑体"/>
          <w:sz w:val="32"/>
          <w:szCs w:val="32"/>
        </w:rPr>
      </w:pPr>
    </w:p>
    <w:p>
      <w:pPr>
        <w:spacing w:line="600" w:lineRule="exact"/>
        <w:ind w:firstLine="640" w:firstLineChars="200"/>
        <w:outlineLvl w:val="1"/>
        <w:rPr>
          <w:rFonts w:ascii="黑体" w:eastAsia="黑体"/>
          <w:color w:val="FF0000"/>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峨眉山市残疾人联合会下属二级预算单位1个，其中行政单位0个，参照公务员法管理的事业单位1个，其他事业单位0个。主要包括：峨眉山市残疾人就业和康复服务中心。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残疾人联合会所有收入和支出均纳入预算管理。2025年峨眉山市残疾人联合会收入预算总额为785.68万元，较上年预算数减少76.76万元。其中：当年财政拨款收入766.59万元，其他收入19.1万元。相应安排支出预算785.68万元，其中：人员支出154.43万元，日常公用支出35.88万元，对个人和家庭的补助支出2.92万元，专项支出592.44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峨眉山市残疾人联合会2025年财政拨款收支总预算758.68万元，主要用于保障峨眉山市残疾人联合会机构正常运转、完成日常工作任务以及承担残疾人事业发展相关工作。其中：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基本支出193.23万元，是用于保障峨眉山市残疾人联合会正常运转的日常支出，包括基本工资、津贴补贴等人员经费以及办公费、印刷费、水电费、办公设备购置等日常公用经费。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项目支出592.44万元，是用于保障峨眉山市残疾人联合会为完成特定的行政工作任务或事业发展目标，用于专项业务工作的经费支出。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峨眉山市残疾人联合会2025年一般公共预算当年拨款785.68万元，较上年预算数减少76.76万元。主要原因是项目精简，节约成本。</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社会保障和就业支出744.48万元，占94.76%；卫生健康支出7.76万元，占0.99%；住房保障支出14.34万元，占1.83%；其他支出19.10万元，占2.43%。</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1.社会保障和就业（类）行政事业单位养老支出（款）机关事业单位基本养老保险缴费支出（项），</w:t>
      </w:r>
      <w:r>
        <w:rPr>
          <w:rFonts w:ascii="仿宋_GB2312" w:eastAsia="仿宋_GB2312"/>
          <w:sz w:val="32"/>
          <w:szCs w:val="32"/>
        </w:rPr>
        <w:t>202</w:t>
      </w:r>
      <w:r>
        <w:rPr>
          <w:rFonts w:hint="eastAsia" w:ascii="仿宋_GB2312" w:eastAsia="仿宋_GB2312"/>
          <w:sz w:val="32"/>
          <w:szCs w:val="32"/>
        </w:rPr>
        <w:t>5年预算数为17.03万元，主要用于：养老保险缴费。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2.社会保障和就业（类）行政事业单位养老支出（款）机关事业单位职业年金缴费支出（项），</w:t>
      </w:r>
      <w:r>
        <w:rPr>
          <w:rFonts w:ascii="仿宋_GB2312" w:eastAsia="仿宋_GB2312"/>
          <w:sz w:val="32"/>
          <w:szCs w:val="32"/>
        </w:rPr>
        <w:t>202</w:t>
      </w:r>
      <w:r>
        <w:rPr>
          <w:rFonts w:hint="eastAsia" w:ascii="仿宋_GB2312" w:eastAsia="仿宋_GB2312"/>
          <w:sz w:val="32"/>
          <w:szCs w:val="32"/>
        </w:rPr>
        <w:t>5年预算数为8.51万元，主要用于：职业年金缴费。</w:t>
      </w:r>
    </w:p>
    <w:p>
      <w:pPr>
        <w:pStyle w:val="2"/>
        <w:spacing w:line="600" w:lineRule="exact"/>
        <w:ind w:firstLine="640" w:firstLineChars="200"/>
        <w:rPr>
          <w:rFonts w:eastAsia="仿宋_GB2312"/>
          <w:bCs/>
        </w:rPr>
      </w:pPr>
      <w:r>
        <w:rPr>
          <w:rFonts w:hint="eastAsia" w:ascii="仿宋_GB2312" w:eastAsia="仿宋_GB2312"/>
          <w:sz w:val="32"/>
          <w:szCs w:val="32"/>
        </w:rPr>
        <w:t>3.社会保障和就业（类）残疾人事业（款）行政运行（项），</w:t>
      </w:r>
      <w:r>
        <w:rPr>
          <w:rFonts w:ascii="仿宋_GB2312" w:eastAsia="仿宋_GB2312"/>
          <w:sz w:val="32"/>
          <w:szCs w:val="32"/>
        </w:rPr>
        <w:t>202</w:t>
      </w:r>
      <w:r>
        <w:rPr>
          <w:rFonts w:hint="eastAsia" w:ascii="仿宋_GB2312" w:eastAsia="仿宋_GB2312"/>
          <w:sz w:val="32"/>
          <w:szCs w:val="32"/>
        </w:rPr>
        <w:t>5年预算数为93.71万元，主要用于：</w:t>
      </w:r>
      <w:r>
        <w:rPr>
          <w:rFonts w:hint="eastAsia" w:ascii="仿宋_GB2312" w:eastAsia="仿宋_GB2312"/>
          <w:sz w:val="32"/>
          <w:szCs w:val="32"/>
          <w:shd w:val="clear" w:color="auto" w:fill="FFFFFF"/>
        </w:rPr>
        <w:t>基本工资、津贴补贴、绩效工资、奖金、伙食补助费、其他工资福利支出、其他对个人和家庭的补助等</w:t>
      </w:r>
      <w:r>
        <w:rPr>
          <w:rFonts w:hint="eastAsia" w:ascii="仿宋_GB2312" w:eastAsia="仿宋_GB2312"/>
          <w:sz w:val="32"/>
          <w:szCs w:val="32"/>
        </w:rPr>
        <w:t>人员经费</w:t>
      </w:r>
      <w:r>
        <w:rPr>
          <w:rFonts w:hint="eastAsia" w:ascii="仿宋_GB2312" w:eastAsia="仿宋_GB2312"/>
          <w:bCs/>
          <w:sz w:val="32"/>
          <w:szCs w:val="32"/>
        </w:rPr>
        <w:t>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4.社会保障和就业（类）残疾人事业（款）残疾人就业（项），</w:t>
      </w:r>
      <w:r>
        <w:rPr>
          <w:rFonts w:ascii="仿宋_GB2312" w:eastAsia="仿宋_GB2312"/>
          <w:sz w:val="32"/>
          <w:szCs w:val="32"/>
        </w:rPr>
        <w:t>202</w:t>
      </w:r>
      <w:r>
        <w:rPr>
          <w:rFonts w:hint="eastAsia" w:ascii="仿宋_GB2312" w:eastAsia="仿宋_GB2312"/>
          <w:sz w:val="32"/>
          <w:szCs w:val="32"/>
        </w:rPr>
        <w:t>5年预算数为109.44万元，主要用于：残疾人事业发展项目。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5.社会保障和就业（类）残疾人事业（款）其他残疾人事业支出（项），</w:t>
      </w:r>
      <w:r>
        <w:rPr>
          <w:rFonts w:ascii="仿宋_GB2312" w:eastAsia="仿宋_GB2312"/>
          <w:sz w:val="32"/>
          <w:szCs w:val="32"/>
        </w:rPr>
        <w:t>202</w:t>
      </w:r>
      <w:r>
        <w:rPr>
          <w:rFonts w:hint="eastAsia" w:ascii="仿宋_GB2312" w:eastAsia="仿宋_GB2312"/>
          <w:sz w:val="32"/>
          <w:szCs w:val="32"/>
        </w:rPr>
        <w:t>5年预算数为515.40万元，主要用于：残疾人事业发展项目。</w:t>
      </w:r>
    </w:p>
    <w:p>
      <w:pPr>
        <w:spacing w:line="600" w:lineRule="exact"/>
        <w:ind w:firstLine="640" w:firstLineChars="200"/>
      </w:pPr>
      <w:r>
        <w:rPr>
          <w:rFonts w:hint="eastAsia" w:ascii="仿宋_GB2312" w:eastAsia="仿宋_GB2312"/>
          <w:sz w:val="32"/>
          <w:szCs w:val="32"/>
        </w:rPr>
        <w:t>6.社会保障和就业（类）其他社会保障和就业支出（款）其他社会保障和就业支出（项），</w:t>
      </w:r>
      <w:r>
        <w:rPr>
          <w:rFonts w:ascii="仿宋_GB2312" w:eastAsia="仿宋_GB2312"/>
          <w:sz w:val="32"/>
          <w:szCs w:val="32"/>
        </w:rPr>
        <w:t>202</w:t>
      </w:r>
      <w:r>
        <w:rPr>
          <w:rFonts w:hint="eastAsia" w:ascii="仿宋_GB2312" w:eastAsia="仿宋_GB2312"/>
          <w:sz w:val="32"/>
          <w:szCs w:val="32"/>
        </w:rPr>
        <w:t>5年预算数为0.40万元，主要用于：残疾人事业发展项目。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w:t>
      </w:r>
      <w:r>
        <w:rPr>
          <w:rFonts w:hint="eastAsia" w:ascii="仿宋_GB2312" w:eastAsia="仿宋_GB2312"/>
          <w:sz w:val="32"/>
          <w:szCs w:val="32"/>
        </w:rPr>
        <w:t>5年预算数为7.76万元，主要用于：行政单位医保缴费。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ascii="仿宋_GB2312" w:eastAsia="仿宋_GB2312"/>
          <w:sz w:val="32"/>
          <w:szCs w:val="32"/>
        </w:rPr>
        <w:t>202</w:t>
      </w:r>
      <w:r>
        <w:rPr>
          <w:rFonts w:hint="eastAsia" w:ascii="仿宋_GB2312" w:eastAsia="仿宋_GB2312"/>
          <w:sz w:val="32"/>
          <w:szCs w:val="32"/>
        </w:rPr>
        <w:t>5年预算数为2.29万元，主要用于：事业单位医保缴费。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9.住房保障支出（类）住房改革支出（款）住房公积金（项），2025年预算数为14.34万元，主要用于：按人力资源和社会保障部、财政部规定的基本工资和津贴补贴以及规定比例为职工缴纳的住房公积金支出。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10.其他支出（类）彩票公益金安排的支出（款）用于社会福利的彩票公益金支出（项），2025年预算数为0.001万元，主要用于：残疾人事业。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 其他支出（类）彩票公益金安排的支出（款）用于体育事业的彩票公益金支出（项），2025年预算数为19.09万元，主要用于：残疾人体育事业。</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峨眉山市残疾人联合会2025年一般公共预算基本支出785.68万元，其中：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人员经费154.44万元，主要包括：基本工资、津贴补贴、绩效工资、奖金、社会保险缴费、职业年金缴费、住房公积金缴费等。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公用经费35.88万元，主要包括：办公费、印刷费、手续费、水费、电费、邮电费、差旅费、维修（护）费、劳务费、工会经费、公务用车运行维护费等。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Cs/>
          <w:sz w:val="32"/>
          <w:szCs w:val="32"/>
        </w:rPr>
      </w:pPr>
      <w:r>
        <w:rPr>
          <w:rFonts w:hint="eastAsia" w:ascii="仿宋_GB2312" w:eastAsia="仿宋_GB2312"/>
          <w:bCs/>
          <w:sz w:val="32"/>
          <w:szCs w:val="32"/>
        </w:rPr>
        <w:t>峨眉山市残疾人联合会202</w:t>
      </w:r>
      <w:r>
        <w:rPr>
          <w:rFonts w:hint="eastAsia" w:ascii="仿宋_GB2312" w:eastAsia="仿宋_GB2312"/>
          <w:bCs/>
          <w:sz w:val="32"/>
          <w:szCs w:val="32"/>
          <w:lang w:val="en-US" w:eastAsia="zh-CN"/>
        </w:rPr>
        <w:t>5</w:t>
      </w:r>
      <w:r>
        <w:rPr>
          <w:rFonts w:hint="eastAsia" w:ascii="仿宋_GB2312" w:eastAsia="仿宋_GB2312"/>
          <w:bCs/>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残疾人联合会2025年“三公”经费预算数3万元（其中财政拨款安排“三公”经费3万元），较上年“三公”经费预算数无变化。因公出国（境）经费0万元，公务接待费0万元，公务用车购置及运行维护费3万元。</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2025年无因公出国（境）预算。2025年未安排因公临时出国（境）。</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2025年无公务接待预算。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单位现有公务用车1辆，其中：轿车0辆、越野车1辆、多功能乘用车0辆。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5年安排公务用车购置费0万元。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5年安排公务用车运行维护费3万元，用于机关公务车辆正常运行。</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残疾人联合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35.88万元，较上年预算增加7.85万元，增长28%。</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2025年，峨眉山市残疾人联合会安排政府采购预算80万元，主要用于购买残疾人意外保险。</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截至去年底，峨眉山市残疾人联合会实际共有车辆1辆。单位价值200万元以上大型设备0台（套）。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2025年，我会无预算安排购置车辆及单位价值200万元以上大型设备。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残疾人联合会按要求实行绩效目标管理，部门（单位）整体绩效目标涉及预算安排785.68万元，其中基本支出193.23万元，项目支出573.35万元。其中编制了项目绩效目标的预算592.45万元，主要为残疾人服务窗口人员经费15.62万元，代缴重度残疾及精神智力三、四级残疾人居民医保费190万元，残疾人意外保险80万元，残疾人事业发展配套经费162.24万元，残疾人居家灵活就业（创业）补助和直补54万元，残疾人智慧量服村终端机16.05万元，残疾人村（社区）专委补贴55.44万元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3.其他收入：指除上述“财政拨款收入”、“事业收入”、“经营收入”等以外的收入。 </w:t>
      </w:r>
    </w:p>
    <w:p>
      <w:pPr>
        <w:pBdr>
          <w:top w:val="none" w:color="000000" w:sz="0" w:space="0"/>
          <w:left w:val="none" w:color="000000" w:sz="0" w:space="0"/>
          <w:bottom w:val="none" w:color="000000" w:sz="0" w:space="0"/>
          <w:right w:val="none" w:color="000000" w:sz="0" w:space="0"/>
        </w:pBdr>
        <w:shd w:val="solid" w:color="FFFFFF" w:fill="auto"/>
        <w:autoSpaceDN w:val="0"/>
        <w:spacing w:line="600" w:lineRule="exact"/>
        <w:ind w:firstLine="579" w:firstLineChars="181"/>
        <w:jc w:val="left"/>
        <w:rPr>
          <w:rFonts w:ascii="仿宋_GB2312" w:hAnsi="微软雅黑" w:eastAsia="仿宋_GB2312"/>
          <w:sz w:val="32"/>
          <w:szCs w:val="32"/>
          <w:shd w:val="clear" w:color="auto" w:fill="FFFFFF"/>
        </w:rPr>
      </w:pPr>
      <w:r>
        <w:rPr>
          <w:rFonts w:hint="eastAsia" w:ascii="仿宋_GB2312" w:eastAsia="仿宋_GB2312"/>
          <w:sz w:val="32"/>
          <w:szCs w:val="32"/>
        </w:rPr>
        <w:t>4. 社会保障和就业（类）残疾人事业（款）行政运行（项），：指人员经费</w:t>
      </w:r>
      <w:r>
        <w:rPr>
          <w:rFonts w:hint="eastAsia" w:ascii="仿宋_GB2312" w:eastAsia="仿宋_GB2312"/>
          <w:sz w:val="32"/>
          <w:szCs w:val="32"/>
          <w:shd w:val="clear" w:color="auto" w:fill="FFFFFF"/>
        </w:rPr>
        <w:t>基本工资、津贴补贴、绩效工资、奖金、伙食补助费、养老保险、职业年金、基本医疗保险缴费、其他社会保障缴费、住房公积金、其他工资福利支出、其他对个人和家庭的补助等。</w:t>
      </w:r>
    </w:p>
    <w:p>
      <w:pPr>
        <w:pBdr>
          <w:top w:val="none" w:color="000000" w:sz="0" w:space="0"/>
          <w:left w:val="none" w:color="000000" w:sz="0" w:space="0"/>
          <w:bottom w:val="none" w:color="000000" w:sz="0" w:space="0"/>
          <w:right w:val="none" w:color="000000" w:sz="0" w:space="0"/>
        </w:pBdr>
        <w:shd w:val="solid" w:color="FFFFFF" w:fill="auto"/>
        <w:autoSpaceDN w:val="0"/>
        <w:spacing w:line="600" w:lineRule="exact"/>
        <w:ind w:firstLine="579" w:firstLineChars="181"/>
        <w:jc w:val="left"/>
        <w:rPr>
          <w:rFonts w:ascii="仿宋_GB2312" w:hAnsi="微软雅黑" w:eastAsia="仿宋_GB2312"/>
          <w:sz w:val="32"/>
          <w:szCs w:val="32"/>
          <w:shd w:val="clear" w:color="auto" w:fill="FFFFFF"/>
        </w:rPr>
      </w:pPr>
      <w:r>
        <w:rPr>
          <w:rFonts w:hint="eastAsia" w:ascii="仿宋_GB2312" w:eastAsia="仿宋_GB2312"/>
          <w:sz w:val="32"/>
          <w:szCs w:val="32"/>
        </w:rPr>
        <w:t>5.社会保障和就业（类）人力资源和社会保障管理事务（款）行政运行（项）：</w:t>
      </w:r>
      <w:r>
        <w:rPr>
          <w:rFonts w:hint="eastAsia" w:ascii="仿宋_GB2312" w:eastAsia="仿宋_GB2312"/>
          <w:sz w:val="32"/>
          <w:szCs w:val="32"/>
          <w:shd w:val="clear" w:color="auto" w:fill="FFFFFF"/>
        </w:rPr>
        <w:t>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社会保障和就业（类）残疾人事业（款）其他残疾人事业支出（项）指：残疾人事业发展项目。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7.住房保障（类）住房改革支出（款）住房公积金（项），指：按人力资源和社会保障部、财政部规定的基本工资和津贴补贴以及规定比例为职工缴纳的住房公积金支出。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9.项目支出：指在基本支出之外为完成特定行政任务和事业发展目标所发生的支出。 </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8"/>
        <w:spacing w:line="56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1B6599"/>
    <w:rsid w:val="002730CD"/>
    <w:rsid w:val="0029584B"/>
    <w:rsid w:val="002F1D6C"/>
    <w:rsid w:val="003417A5"/>
    <w:rsid w:val="00354B3B"/>
    <w:rsid w:val="00376E2A"/>
    <w:rsid w:val="003A561B"/>
    <w:rsid w:val="003A7DEB"/>
    <w:rsid w:val="003D3222"/>
    <w:rsid w:val="0041232D"/>
    <w:rsid w:val="00425810"/>
    <w:rsid w:val="004458E3"/>
    <w:rsid w:val="004A1A00"/>
    <w:rsid w:val="004F35CB"/>
    <w:rsid w:val="0053746F"/>
    <w:rsid w:val="00564603"/>
    <w:rsid w:val="00593957"/>
    <w:rsid w:val="005C4B29"/>
    <w:rsid w:val="005E688F"/>
    <w:rsid w:val="00725238"/>
    <w:rsid w:val="00777E08"/>
    <w:rsid w:val="007934F3"/>
    <w:rsid w:val="00830656"/>
    <w:rsid w:val="00861D72"/>
    <w:rsid w:val="00887F57"/>
    <w:rsid w:val="008C72F8"/>
    <w:rsid w:val="00922453"/>
    <w:rsid w:val="009340F3"/>
    <w:rsid w:val="00986B5A"/>
    <w:rsid w:val="00A527E0"/>
    <w:rsid w:val="00AC22B3"/>
    <w:rsid w:val="00AE4401"/>
    <w:rsid w:val="00B3548B"/>
    <w:rsid w:val="00B47BCD"/>
    <w:rsid w:val="00BB666B"/>
    <w:rsid w:val="00C044B7"/>
    <w:rsid w:val="00C5515C"/>
    <w:rsid w:val="00C83B64"/>
    <w:rsid w:val="00CC5FF3"/>
    <w:rsid w:val="00D272D5"/>
    <w:rsid w:val="00D36FE8"/>
    <w:rsid w:val="00D454A7"/>
    <w:rsid w:val="00D55BE2"/>
    <w:rsid w:val="00DE1A43"/>
    <w:rsid w:val="00DF77CF"/>
    <w:rsid w:val="00EA6295"/>
    <w:rsid w:val="00ED5307"/>
    <w:rsid w:val="00EF27CB"/>
    <w:rsid w:val="00F429C0"/>
    <w:rsid w:val="00FB45E1"/>
    <w:rsid w:val="066D6077"/>
    <w:rsid w:val="15D35DF5"/>
    <w:rsid w:val="21D6157A"/>
    <w:rsid w:val="270B2E60"/>
    <w:rsid w:val="276557C3"/>
    <w:rsid w:val="2BE1296B"/>
    <w:rsid w:val="2ED21556"/>
    <w:rsid w:val="36DD628E"/>
    <w:rsid w:val="3C21458C"/>
    <w:rsid w:val="3C6F5A34"/>
    <w:rsid w:val="3EE741B8"/>
    <w:rsid w:val="40C8289D"/>
    <w:rsid w:val="46C53364"/>
    <w:rsid w:val="472A5D26"/>
    <w:rsid w:val="493C20A5"/>
    <w:rsid w:val="49DF285C"/>
    <w:rsid w:val="4DEE5E92"/>
    <w:rsid w:val="50041FB8"/>
    <w:rsid w:val="644305A9"/>
    <w:rsid w:val="67D2734F"/>
    <w:rsid w:val="6FD95933"/>
    <w:rsid w:val="745F682E"/>
    <w:rsid w:val="7697339E"/>
    <w:rsid w:val="7D3309A6"/>
    <w:rsid w:val="7EA770D8"/>
    <w:rsid w:val="F3FEAF31"/>
    <w:rsid w:val="F45DF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0"/>
    <w:pPr>
      <w:spacing w:after="120"/>
    </w:pPr>
  </w:style>
  <w:style w:type="paragraph" w:styleId="3">
    <w:name w:val="Plain Text"/>
    <w:basedOn w:val="1"/>
    <w:link w:val="10"/>
    <w:qFormat/>
    <w:uiPriority w:val="0"/>
    <w:rPr>
      <w:rFonts w:ascii="宋体" w:hAnsi="Courier New"/>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正文文本 Char"/>
    <w:basedOn w:val="7"/>
    <w:link w:val="2"/>
    <w:qFormat/>
    <w:uiPriority w:val="0"/>
    <w:rPr>
      <w:rFonts w:ascii="Calibri" w:hAnsi="Calibri"/>
      <w:kern w:val="2"/>
      <w:sz w:val="21"/>
      <w:szCs w:val="22"/>
    </w:rPr>
  </w:style>
  <w:style w:type="character" w:customStyle="1" w:styleId="10">
    <w:name w:val="纯文本 Char"/>
    <w:basedOn w:val="7"/>
    <w:link w:val="3"/>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1113</Words>
  <Characters>6345</Characters>
  <Lines>52</Lines>
  <Paragraphs>14</Paragraphs>
  <TotalTime>22</TotalTime>
  <ScaleCrop>false</ScaleCrop>
  <LinksUpToDate>false</LinksUpToDate>
  <CharactersWithSpaces>7444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2025-05-23T05:08:00Z</dcterms:created>
  <dc:creator>微软用户</dc:creator>
  <cp:lastModifiedBy>Administrator</cp:lastModifiedBy>
  <cp:lastPrinted>2025-06-04T01:21:28Z</cp:lastPrinted>
  <dcterms:modified xsi:type="dcterms:W3CDTF">2025-06-04T01:30:49Z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A46A6ABEA535ADC850D9336859E020A7</vt:lpwstr>
  </property>
</Properties>
</file>