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bookmarkStart w:id="0" w:name="_GoBack"/>
      <w:bookmarkEnd w:id="0"/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1FD4918"/>
    <w:rsid w:val="02261F1B"/>
    <w:rsid w:val="11904598"/>
    <w:rsid w:val="19C05E9B"/>
    <w:rsid w:val="20C568F9"/>
    <w:rsid w:val="253149C5"/>
    <w:rsid w:val="25B639ED"/>
    <w:rsid w:val="319F176C"/>
    <w:rsid w:val="328448F2"/>
    <w:rsid w:val="374E0BC5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0</Lines>
  <Paragraphs>0</Paragraphs>
  <TotalTime>50</TotalTime>
  <ScaleCrop>false</ScaleCrop>
  <LinksUpToDate>false</LinksUpToDate>
  <CharactersWithSpaces>389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WPS杨建忠</cp:lastModifiedBy>
  <cp:lastPrinted>2024-02-01T02:40:00Z</cp:lastPrinted>
  <dcterms:modified xsi:type="dcterms:W3CDTF">2025-05-26T15:36:48Z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eyJoZGlkIjoiM2Y2NTljMDFkNmJiNWJhOGU4MTA5Njk3ZTYzYTU4ZmIiLCJ1c2VySWQiOiIxMzA5NzE1MDcxIn0=</vt:lpwstr>
  </property>
  <property fmtid="{D5CDD505-2E9C-101B-9397-08002B2CF9AE}" pid="4" name="ICV">
    <vt:lpwstr>E596D58F766B42A6A741E0FB0DEF8094_12</vt:lpwstr>
  </property>
</Properties>
</file>