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0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1FF53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关于峨眉山市红十字会2025年预算编制的说明</w:t>
      </w:r>
    </w:p>
    <w:p w14:paraId="7CD52A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2D89F9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547A5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1E52E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42FE04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7CA55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3B1A3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44091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0B0F6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74EDC0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51D61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3A558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38682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DD284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7DF62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4E5B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19F706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64C0BF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647C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6012C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56DCE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624671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4EFBB3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7AD10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FFE7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71A84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CB92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13ABCE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16D354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57120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2ED270A3"/>
    <w:rsid w:val="319F176C"/>
    <w:rsid w:val="328448F2"/>
    <w:rsid w:val="380272AE"/>
    <w:rsid w:val="397A76C7"/>
    <w:rsid w:val="528E3E56"/>
    <w:rsid w:val="5394710E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398</Characters>
  <Lines>0</Lines>
  <Paragraphs>0</Paragraphs>
  <TotalTime>50</TotalTime>
  <ScaleCrop>false</ScaleCrop>
  <LinksUpToDate>false</LinksUpToDate>
  <CharactersWithSpaces>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2025-05-27T06:21:45Z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eyJoZGlkIjoiMGNjNTViMWI5YjAwNTM1NWM4ZjAwMzAwZWNhZmYzN2EifQ==</vt:lpwstr>
  </property>
  <property fmtid="{D5CDD505-2E9C-101B-9397-08002B2CF9AE}" pid="4" name="ICV">
    <vt:lpwstr>5EFA9DCF86734135A4B2D558144E3DE1_12</vt:lpwstr>
  </property>
</Properties>
</file>