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0BEBF">
      <w:pPr>
        <w:spacing w:before="0" w:beforeLines="0" w:after="0" w:afterLines="0" w:line="240" w:lineRule="auto"/>
        <w:ind w:left="0" w:leftChars="0" w:right="0" w:rightChars="0" w:firstLine="0" w:firstLineChars="0"/>
        <w:jc w:val="center"/>
        <w:rPr>
          <w:rFonts w:hint="eastAsia" w:ascii="黑体" w:hAnsi="黑体" w:eastAsia="黑体" w:cs="黑体"/>
          <w:sz w:val="44"/>
          <w:szCs w:val="48"/>
        </w:rPr>
      </w:pPr>
      <w:r>
        <w:rPr>
          <w:rFonts w:hint="eastAsia" w:ascii="黑体" w:hAnsi="黑体" w:eastAsia="黑体" w:cs="黑体"/>
          <w:sz w:val="44"/>
          <w:szCs w:val="48"/>
        </w:rPr>
        <w:t>目录</w:t>
      </w:r>
    </w:p>
    <w:p w14:paraId="29CA2704">
      <w:pPr>
        <w:pStyle w:val="4"/>
        <w:tabs>
          <w:tab w:val="right" w:leader="dot" w:pos="8844"/>
        </w:tabs>
      </w:pPr>
      <w:r>
        <w:rPr>
          <w:sz w:val="22"/>
          <w:szCs w:val="22"/>
        </w:rPr>
        <w:fldChar w:fldCharType="begin"/>
      </w:r>
      <w:r>
        <w:rPr>
          <w:sz w:val="22"/>
          <w:szCs w:val="22"/>
        </w:rPr>
        <w:instrText xml:space="preserve">TOC \o "1-3" \h \u </w:instrText>
      </w:r>
      <w:r>
        <w:rPr>
          <w:sz w:val="22"/>
          <w:szCs w:val="22"/>
        </w:rPr>
        <w:fldChar w:fldCharType="separate"/>
      </w:r>
    </w:p>
    <w:p w14:paraId="7FCEECEA">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_Toc1271 </w:instrText>
      </w:r>
      <w:r>
        <w:rPr>
          <w:sz w:val="28"/>
          <w:szCs w:val="32"/>
        </w:rPr>
        <w:fldChar w:fldCharType="separate"/>
      </w:r>
      <w:r>
        <w:rPr>
          <w:rFonts w:hint="eastAsia" w:ascii="黑体" w:eastAsia="黑体"/>
          <w:sz w:val="28"/>
          <w:szCs w:val="44"/>
        </w:rPr>
        <w:t>一、基本职能及主要工作</w:t>
      </w:r>
      <w:r>
        <w:rPr>
          <w:sz w:val="28"/>
          <w:szCs w:val="32"/>
        </w:rPr>
        <w:tab/>
      </w:r>
      <w:r>
        <w:rPr>
          <w:sz w:val="28"/>
          <w:szCs w:val="32"/>
        </w:rPr>
        <w:fldChar w:fldCharType="begin"/>
      </w:r>
      <w:r>
        <w:rPr>
          <w:sz w:val="28"/>
          <w:szCs w:val="32"/>
        </w:rPr>
        <w:instrText xml:space="preserve"> PAGEREF _Toc1271 \h </w:instrText>
      </w:r>
      <w:r>
        <w:rPr>
          <w:sz w:val="28"/>
          <w:szCs w:val="32"/>
        </w:rPr>
        <w:fldChar w:fldCharType="separate"/>
      </w:r>
      <w:r>
        <w:rPr>
          <w:sz w:val="28"/>
          <w:szCs w:val="32"/>
        </w:rPr>
        <w:t>2</w:t>
      </w:r>
      <w:r>
        <w:rPr>
          <w:sz w:val="28"/>
          <w:szCs w:val="32"/>
        </w:rPr>
        <w:fldChar w:fldCharType="end"/>
      </w:r>
      <w:r>
        <w:rPr>
          <w:sz w:val="28"/>
          <w:szCs w:val="32"/>
        </w:rPr>
        <w:fldChar w:fldCharType="end"/>
      </w:r>
    </w:p>
    <w:p w14:paraId="72A93A6D">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_Toc27674 </w:instrText>
      </w:r>
      <w:r>
        <w:rPr>
          <w:sz w:val="28"/>
          <w:szCs w:val="32"/>
        </w:rPr>
        <w:fldChar w:fldCharType="separate"/>
      </w:r>
      <w:r>
        <w:rPr>
          <w:rFonts w:hint="eastAsia" w:ascii="楷体_GB2312" w:hAnsi="楷体_GB2312" w:eastAsia="楷体_GB2312" w:cs="楷体_GB2312"/>
          <w:sz w:val="28"/>
          <w:szCs w:val="44"/>
        </w:rPr>
        <w:t>（一） 主要职能</w:t>
      </w:r>
      <w:r>
        <w:rPr>
          <w:sz w:val="28"/>
          <w:szCs w:val="32"/>
        </w:rPr>
        <w:tab/>
      </w:r>
      <w:r>
        <w:rPr>
          <w:sz w:val="28"/>
          <w:szCs w:val="32"/>
        </w:rPr>
        <w:fldChar w:fldCharType="begin"/>
      </w:r>
      <w:r>
        <w:rPr>
          <w:sz w:val="28"/>
          <w:szCs w:val="32"/>
        </w:rPr>
        <w:instrText xml:space="preserve"> PAGEREF _Toc27674 \h </w:instrText>
      </w:r>
      <w:r>
        <w:rPr>
          <w:sz w:val="28"/>
          <w:szCs w:val="32"/>
        </w:rPr>
        <w:fldChar w:fldCharType="separate"/>
      </w:r>
      <w:r>
        <w:rPr>
          <w:sz w:val="28"/>
          <w:szCs w:val="32"/>
        </w:rPr>
        <w:t>2</w:t>
      </w:r>
      <w:r>
        <w:rPr>
          <w:sz w:val="28"/>
          <w:szCs w:val="32"/>
        </w:rPr>
        <w:fldChar w:fldCharType="end"/>
      </w:r>
      <w:r>
        <w:rPr>
          <w:sz w:val="28"/>
          <w:szCs w:val="32"/>
        </w:rPr>
        <w:fldChar w:fldCharType="end"/>
      </w:r>
    </w:p>
    <w:p w14:paraId="2AB78546">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_Toc191 </w:instrText>
      </w:r>
      <w:r>
        <w:rPr>
          <w:sz w:val="28"/>
          <w:szCs w:val="32"/>
        </w:rPr>
        <w:fldChar w:fldCharType="separate"/>
      </w:r>
      <w:r>
        <w:rPr>
          <w:rFonts w:hint="eastAsia" w:ascii="楷体_GB2312" w:hAnsi="楷体_GB2312" w:eastAsia="楷体_GB2312" w:cs="楷体_GB2312"/>
          <w:sz w:val="28"/>
          <w:szCs w:val="44"/>
        </w:rPr>
        <w:t xml:space="preserve">（二） </w:t>
      </w:r>
      <w:r>
        <w:rPr>
          <w:rFonts w:hint="eastAsia" w:ascii="楷体_GB2312" w:hAnsi="楷体_GB2312" w:eastAsia="楷体_GB2312" w:cs="楷体_GB2312"/>
          <w:sz w:val="28"/>
          <w:szCs w:val="44"/>
          <w:lang w:val="en-US"/>
        </w:rPr>
        <w:t>202</w:t>
      </w:r>
      <w:r>
        <w:rPr>
          <w:rFonts w:hint="eastAsia" w:ascii="楷体_GB2312" w:hAnsi="楷体_GB2312" w:eastAsia="楷体_GB2312" w:cs="楷体_GB2312"/>
          <w:sz w:val="28"/>
          <w:szCs w:val="44"/>
          <w:lang w:val="en-US" w:eastAsia="zh-CN"/>
        </w:rPr>
        <w:t>5</w:t>
      </w:r>
      <w:r>
        <w:rPr>
          <w:rFonts w:hint="eastAsia" w:ascii="楷体_GB2312" w:hAnsi="楷体_GB2312" w:eastAsia="楷体_GB2312" w:cs="楷体_GB2312"/>
          <w:sz w:val="28"/>
          <w:szCs w:val="44"/>
        </w:rPr>
        <w:t>年重点工作任务</w:t>
      </w:r>
      <w:r>
        <w:rPr>
          <w:sz w:val="28"/>
          <w:szCs w:val="32"/>
        </w:rPr>
        <w:tab/>
      </w:r>
      <w:r>
        <w:rPr>
          <w:sz w:val="28"/>
          <w:szCs w:val="32"/>
        </w:rPr>
        <w:fldChar w:fldCharType="begin"/>
      </w:r>
      <w:r>
        <w:rPr>
          <w:sz w:val="28"/>
          <w:szCs w:val="32"/>
        </w:rPr>
        <w:instrText xml:space="preserve"> PAGEREF _Toc191 \h </w:instrText>
      </w:r>
      <w:r>
        <w:rPr>
          <w:sz w:val="28"/>
          <w:szCs w:val="32"/>
        </w:rPr>
        <w:fldChar w:fldCharType="separate"/>
      </w:r>
      <w:r>
        <w:rPr>
          <w:sz w:val="28"/>
          <w:szCs w:val="32"/>
        </w:rPr>
        <w:t>2</w:t>
      </w:r>
      <w:r>
        <w:rPr>
          <w:sz w:val="28"/>
          <w:szCs w:val="32"/>
        </w:rPr>
        <w:fldChar w:fldCharType="end"/>
      </w:r>
      <w:r>
        <w:rPr>
          <w:sz w:val="28"/>
          <w:szCs w:val="32"/>
        </w:rPr>
        <w:fldChar w:fldCharType="end"/>
      </w:r>
    </w:p>
    <w:p w14:paraId="68CD98AC">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_Toc6492 </w:instrText>
      </w:r>
      <w:r>
        <w:rPr>
          <w:sz w:val="28"/>
          <w:szCs w:val="32"/>
        </w:rPr>
        <w:fldChar w:fldCharType="separate"/>
      </w:r>
      <w:r>
        <w:rPr>
          <w:rFonts w:hint="eastAsia" w:ascii="黑体" w:eastAsia="黑体"/>
          <w:sz w:val="28"/>
          <w:szCs w:val="44"/>
          <w:lang w:val="en-US" w:eastAsia="zh-CN"/>
        </w:rPr>
        <w:t>二</w:t>
      </w:r>
      <w:r>
        <w:rPr>
          <w:rFonts w:hint="eastAsia" w:ascii="黑体" w:eastAsia="黑体"/>
          <w:sz w:val="28"/>
          <w:szCs w:val="44"/>
        </w:rPr>
        <w:t>、收支预算总体情况</w:t>
      </w:r>
      <w:r>
        <w:rPr>
          <w:sz w:val="28"/>
          <w:szCs w:val="32"/>
        </w:rPr>
        <w:tab/>
      </w:r>
      <w:r>
        <w:rPr>
          <w:sz w:val="28"/>
          <w:szCs w:val="32"/>
        </w:rPr>
        <w:fldChar w:fldCharType="begin"/>
      </w:r>
      <w:r>
        <w:rPr>
          <w:sz w:val="28"/>
          <w:szCs w:val="32"/>
        </w:rPr>
        <w:instrText xml:space="preserve"> PAGEREF _Toc6492 \h </w:instrText>
      </w:r>
      <w:r>
        <w:rPr>
          <w:sz w:val="28"/>
          <w:szCs w:val="32"/>
        </w:rPr>
        <w:fldChar w:fldCharType="separate"/>
      </w:r>
      <w:r>
        <w:rPr>
          <w:sz w:val="28"/>
          <w:szCs w:val="32"/>
        </w:rPr>
        <w:t>3</w:t>
      </w:r>
      <w:r>
        <w:rPr>
          <w:sz w:val="28"/>
          <w:szCs w:val="32"/>
        </w:rPr>
        <w:fldChar w:fldCharType="end"/>
      </w:r>
      <w:r>
        <w:rPr>
          <w:sz w:val="28"/>
          <w:szCs w:val="32"/>
        </w:rPr>
        <w:fldChar w:fldCharType="end"/>
      </w:r>
    </w:p>
    <w:p w14:paraId="1D396136">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_Toc30152 </w:instrText>
      </w:r>
      <w:r>
        <w:rPr>
          <w:sz w:val="28"/>
          <w:szCs w:val="32"/>
        </w:rPr>
        <w:fldChar w:fldCharType="separate"/>
      </w:r>
      <w:r>
        <w:rPr>
          <w:rFonts w:hint="eastAsia" w:ascii="黑体" w:eastAsia="黑体"/>
          <w:sz w:val="28"/>
          <w:szCs w:val="44"/>
          <w:lang w:val="en-US" w:eastAsia="zh-CN"/>
        </w:rPr>
        <w:t>三</w:t>
      </w:r>
      <w:r>
        <w:rPr>
          <w:rFonts w:hint="eastAsia" w:ascii="黑体" w:eastAsia="黑体"/>
          <w:sz w:val="28"/>
          <w:szCs w:val="44"/>
        </w:rPr>
        <w:t>、财政拨款支出预算安排情况</w:t>
      </w:r>
      <w:r>
        <w:rPr>
          <w:sz w:val="28"/>
          <w:szCs w:val="32"/>
        </w:rPr>
        <w:tab/>
      </w:r>
      <w:r>
        <w:rPr>
          <w:sz w:val="28"/>
          <w:szCs w:val="32"/>
        </w:rPr>
        <w:fldChar w:fldCharType="begin"/>
      </w:r>
      <w:r>
        <w:rPr>
          <w:sz w:val="28"/>
          <w:szCs w:val="32"/>
        </w:rPr>
        <w:instrText xml:space="preserve"> PAGEREF _Toc30152 \h </w:instrText>
      </w:r>
      <w:r>
        <w:rPr>
          <w:sz w:val="28"/>
          <w:szCs w:val="32"/>
        </w:rPr>
        <w:fldChar w:fldCharType="separate"/>
      </w:r>
      <w:r>
        <w:rPr>
          <w:sz w:val="28"/>
          <w:szCs w:val="32"/>
        </w:rPr>
        <w:t>3</w:t>
      </w:r>
      <w:r>
        <w:rPr>
          <w:sz w:val="28"/>
          <w:szCs w:val="32"/>
        </w:rPr>
        <w:fldChar w:fldCharType="end"/>
      </w:r>
      <w:r>
        <w:rPr>
          <w:sz w:val="28"/>
          <w:szCs w:val="32"/>
        </w:rPr>
        <w:fldChar w:fldCharType="end"/>
      </w:r>
    </w:p>
    <w:p w14:paraId="27D9F9FD">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_Toc11164 </w:instrText>
      </w:r>
      <w:r>
        <w:rPr>
          <w:sz w:val="28"/>
          <w:szCs w:val="32"/>
        </w:rPr>
        <w:fldChar w:fldCharType="separate"/>
      </w:r>
      <w:r>
        <w:rPr>
          <w:rFonts w:hint="eastAsia" w:ascii="黑体" w:eastAsia="黑体"/>
          <w:sz w:val="28"/>
          <w:szCs w:val="44"/>
          <w:lang w:val="en-US" w:eastAsia="zh-CN"/>
        </w:rPr>
        <w:t>四</w:t>
      </w:r>
      <w:r>
        <w:rPr>
          <w:rFonts w:hint="eastAsia" w:ascii="黑体" w:eastAsia="黑体"/>
          <w:sz w:val="28"/>
          <w:szCs w:val="44"/>
        </w:rPr>
        <w:t>、一般公共预算当年拨款情况说明</w:t>
      </w:r>
      <w:r>
        <w:rPr>
          <w:sz w:val="28"/>
          <w:szCs w:val="32"/>
        </w:rPr>
        <w:tab/>
      </w:r>
      <w:r>
        <w:rPr>
          <w:sz w:val="28"/>
          <w:szCs w:val="32"/>
        </w:rPr>
        <w:fldChar w:fldCharType="begin"/>
      </w:r>
      <w:r>
        <w:rPr>
          <w:sz w:val="28"/>
          <w:szCs w:val="32"/>
        </w:rPr>
        <w:instrText xml:space="preserve"> PAGEREF _Toc11164 \h </w:instrText>
      </w:r>
      <w:r>
        <w:rPr>
          <w:sz w:val="28"/>
          <w:szCs w:val="32"/>
        </w:rPr>
        <w:fldChar w:fldCharType="separate"/>
      </w:r>
      <w:r>
        <w:rPr>
          <w:sz w:val="28"/>
          <w:szCs w:val="32"/>
        </w:rPr>
        <w:t>4</w:t>
      </w:r>
      <w:r>
        <w:rPr>
          <w:sz w:val="28"/>
          <w:szCs w:val="32"/>
        </w:rPr>
        <w:fldChar w:fldCharType="end"/>
      </w:r>
      <w:r>
        <w:rPr>
          <w:sz w:val="28"/>
          <w:szCs w:val="32"/>
        </w:rPr>
        <w:fldChar w:fldCharType="end"/>
      </w:r>
    </w:p>
    <w:p w14:paraId="271EDD52">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_Toc17669 </w:instrText>
      </w:r>
      <w:r>
        <w:rPr>
          <w:sz w:val="28"/>
          <w:szCs w:val="32"/>
        </w:rPr>
        <w:fldChar w:fldCharType="separate"/>
      </w:r>
      <w:r>
        <w:rPr>
          <w:rFonts w:hint="eastAsia" w:ascii="楷体_GB2312" w:hAnsi="楷体_GB2312" w:eastAsia="楷体_GB2312" w:cs="楷体_GB2312"/>
          <w:sz w:val="28"/>
          <w:szCs w:val="44"/>
        </w:rPr>
        <w:t>（</w:t>
      </w:r>
      <w:r>
        <w:rPr>
          <w:rFonts w:hint="eastAsia" w:ascii="楷体_GB2312" w:hAnsi="楷体_GB2312" w:eastAsia="楷体_GB2312" w:cs="楷体_GB2312"/>
          <w:sz w:val="28"/>
          <w:szCs w:val="44"/>
          <w:lang w:val="en-US" w:eastAsia="zh-CN"/>
        </w:rPr>
        <w:t>一</w:t>
      </w:r>
      <w:r>
        <w:rPr>
          <w:rFonts w:hint="eastAsia" w:ascii="楷体_GB2312" w:hAnsi="楷体_GB2312" w:eastAsia="楷体_GB2312" w:cs="楷体_GB2312"/>
          <w:sz w:val="28"/>
          <w:szCs w:val="44"/>
        </w:rPr>
        <w:t>） 一般公共预算当年拨款规模及变化情况</w:t>
      </w:r>
      <w:r>
        <w:rPr>
          <w:sz w:val="28"/>
          <w:szCs w:val="32"/>
        </w:rPr>
        <w:tab/>
      </w:r>
      <w:r>
        <w:rPr>
          <w:sz w:val="28"/>
          <w:szCs w:val="32"/>
        </w:rPr>
        <w:fldChar w:fldCharType="begin"/>
      </w:r>
      <w:r>
        <w:rPr>
          <w:sz w:val="28"/>
          <w:szCs w:val="32"/>
        </w:rPr>
        <w:instrText xml:space="preserve"> PAGEREF _Toc17669 \h </w:instrText>
      </w:r>
      <w:r>
        <w:rPr>
          <w:sz w:val="28"/>
          <w:szCs w:val="32"/>
        </w:rPr>
        <w:fldChar w:fldCharType="separate"/>
      </w:r>
      <w:r>
        <w:rPr>
          <w:sz w:val="28"/>
          <w:szCs w:val="32"/>
        </w:rPr>
        <w:t>4</w:t>
      </w:r>
      <w:r>
        <w:rPr>
          <w:sz w:val="28"/>
          <w:szCs w:val="32"/>
        </w:rPr>
        <w:fldChar w:fldCharType="end"/>
      </w:r>
      <w:r>
        <w:rPr>
          <w:sz w:val="28"/>
          <w:szCs w:val="32"/>
        </w:rPr>
        <w:fldChar w:fldCharType="end"/>
      </w:r>
    </w:p>
    <w:p w14:paraId="6F3A60C6">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_Toc13198 </w:instrText>
      </w:r>
      <w:r>
        <w:rPr>
          <w:sz w:val="28"/>
          <w:szCs w:val="32"/>
        </w:rPr>
        <w:fldChar w:fldCharType="separate"/>
      </w:r>
      <w:r>
        <w:rPr>
          <w:rFonts w:hint="eastAsia" w:ascii="楷体_GB2312" w:hAnsi="楷体_GB2312" w:eastAsia="楷体_GB2312" w:cs="楷体_GB2312"/>
          <w:sz w:val="28"/>
          <w:szCs w:val="44"/>
        </w:rPr>
        <w:t>（</w:t>
      </w:r>
      <w:r>
        <w:rPr>
          <w:rFonts w:hint="eastAsia" w:ascii="楷体_GB2312" w:hAnsi="楷体_GB2312" w:eastAsia="楷体_GB2312" w:cs="楷体_GB2312"/>
          <w:sz w:val="28"/>
          <w:szCs w:val="44"/>
          <w:lang w:val="en-US" w:eastAsia="zh-CN"/>
        </w:rPr>
        <w:t>二</w:t>
      </w:r>
      <w:r>
        <w:rPr>
          <w:rFonts w:hint="eastAsia" w:ascii="楷体_GB2312" w:hAnsi="楷体_GB2312" w:eastAsia="楷体_GB2312" w:cs="楷体_GB2312"/>
          <w:sz w:val="28"/>
          <w:szCs w:val="44"/>
        </w:rPr>
        <w:t>） 一般公共预算当年拨款结构情况</w:t>
      </w:r>
      <w:r>
        <w:rPr>
          <w:sz w:val="28"/>
          <w:szCs w:val="32"/>
        </w:rPr>
        <w:tab/>
      </w:r>
      <w:r>
        <w:rPr>
          <w:sz w:val="28"/>
          <w:szCs w:val="32"/>
        </w:rPr>
        <w:fldChar w:fldCharType="begin"/>
      </w:r>
      <w:r>
        <w:rPr>
          <w:sz w:val="28"/>
          <w:szCs w:val="32"/>
        </w:rPr>
        <w:instrText xml:space="preserve"> PAGEREF _Toc13198 \h </w:instrText>
      </w:r>
      <w:r>
        <w:rPr>
          <w:sz w:val="28"/>
          <w:szCs w:val="32"/>
        </w:rPr>
        <w:fldChar w:fldCharType="separate"/>
      </w:r>
      <w:r>
        <w:rPr>
          <w:sz w:val="28"/>
          <w:szCs w:val="32"/>
        </w:rPr>
        <w:t>4</w:t>
      </w:r>
      <w:r>
        <w:rPr>
          <w:sz w:val="28"/>
          <w:szCs w:val="32"/>
        </w:rPr>
        <w:fldChar w:fldCharType="end"/>
      </w:r>
      <w:r>
        <w:rPr>
          <w:sz w:val="28"/>
          <w:szCs w:val="32"/>
        </w:rPr>
        <w:fldChar w:fldCharType="end"/>
      </w:r>
    </w:p>
    <w:p w14:paraId="73F9C95C">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_Toc13654 </w:instrText>
      </w:r>
      <w:r>
        <w:rPr>
          <w:sz w:val="28"/>
          <w:szCs w:val="32"/>
        </w:rPr>
        <w:fldChar w:fldCharType="separate"/>
      </w:r>
      <w:r>
        <w:rPr>
          <w:rFonts w:hint="eastAsia" w:ascii="楷体_GB2312" w:hAnsi="楷体_GB2312" w:eastAsia="楷体_GB2312" w:cs="楷体_GB2312"/>
          <w:sz w:val="28"/>
          <w:szCs w:val="44"/>
        </w:rPr>
        <w:t>（</w:t>
      </w:r>
      <w:r>
        <w:rPr>
          <w:rFonts w:hint="eastAsia" w:ascii="楷体_GB2312" w:hAnsi="楷体_GB2312" w:eastAsia="楷体_GB2312" w:cs="楷体_GB2312"/>
          <w:sz w:val="28"/>
          <w:szCs w:val="44"/>
          <w:lang w:val="en-US" w:eastAsia="zh-CN"/>
        </w:rPr>
        <w:t>三</w:t>
      </w:r>
      <w:r>
        <w:rPr>
          <w:rFonts w:hint="eastAsia" w:ascii="楷体_GB2312" w:hAnsi="楷体_GB2312" w:eastAsia="楷体_GB2312" w:cs="楷体_GB2312"/>
          <w:sz w:val="28"/>
          <w:szCs w:val="44"/>
        </w:rPr>
        <w:t>） 一般公共预算当年拨款具体使用情况</w:t>
      </w:r>
      <w:r>
        <w:rPr>
          <w:sz w:val="28"/>
          <w:szCs w:val="32"/>
        </w:rPr>
        <w:tab/>
      </w:r>
      <w:r>
        <w:rPr>
          <w:sz w:val="28"/>
          <w:szCs w:val="32"/>
        </w:rPr>
        <w:fldChar w:fldCharType="begin"/>
      </w:r>
      <w:r>
        <w:rPr>
          <w:sz w:val="28"/>
          <w:szCs w:val="32"/>
        </w:rPr>
        <w:instrText xml:space="preserve"> PAGEREF _Toc13654 \h </w:instrText>
      </w:r>
      <w:r>
        <w:rPr>
          <w:sz w:val="28"/>
          <w:szCs w:val="32"/>
        </w:rPr>
        <w:fldChar w:fldCharType="separate"/>
      </w:r>
      <w:r>
        <w:rPr>
          <w:sz w:val="28"/>
          <w:szCs w:val="32"/>
        </w:rPr>
        <w:t>4</w:t>
      </w:r>
      <w:r>
        <w:rPr>
          <w:sz w:val="28"/>
          <w:szCs w:val="32"/>
        </w:rPr>
        <w:fldChar w:fldCharType="end"/>
      </w:r>
      <w:r>
        <w:rPr>
          <w:sz w:val="28"/>
          <w:szCs w:val="32"/>
        </w:rPr>
        <w:fldChar w:fldCharType="end"/>
      </w:r>
    </w:p>
    <w:p w14:paraId="05C6B47B">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_Toc3776 </w:instrText>
      </w:r>
      <w:r>
        <w:rPr>
          <w:sz w:val="28"/>
          <w:szCs w:val="32"/>
        </w:rPr>
        <w:fldChar w:fldCharType="separate"/>
      </w:r>
      <w:r>
        <w:rPr>
          <w:rFonts w:hint="eastAsia"/>
          <w:sz w:val="28"/>
          <w:szCs w:val="32"/>
          <w:lang w:val="en-US" w:eastAsia="zh-CN"/>
        </w:rPr>
        <w:t>五</w:t>
      </w:r>
      <w:r>
        <w:rPr>
          <w:rFonts w:hint="eastAsia" w:ascii="黑体" w:eastAsia="黑体"/>
          <w:sz w:val="28"/>
          <w:szCs w:val="44"/>
        </w:rPr>
        <w:t>、一般公共预算基本支出情况说明</w:t>
      </w:r>
      <w:r>
        <w:rPr>
          <w:sz w:val="28"/>
          <w:szCs w:val="32"/>
        </w:rPr>
        <w:tab/>
      </w:r>
      <w:r>
        <w:rPr>
          <w:sz w:val="28"/>
          <w:szCs w:val="32"/>
        </w:rPr>
        <w:fldChar w:fldCharType="begin"/>
      </w:r>
      <w:r>
        <w:rPr>
          <w:sz w:val="28"/>
          <w:szCs w:val="32"/>
        </w:rPr>
        <w:instrText xml:space="preserve"> PAGEREF _Toc3776 \h </w:instrText>
      </w:r>
      <w:r>
        <w:rPr>
          <w:sz w:val="28"/>
          <w:szCs w:val="32"/>
        </w:rPr>
        <w:fldChar w:fldCharType="separate"/>
      </w:r>
      <w:r>
        <w:rPr>
          <w:sz w:val="28"/>
          <w:szCs w:val="32"/>
        </w:rPr>
        <w:t>6</w:t>
      </w:r>
      <w:r>
        <w:rPr>
          <w:sz w:val="28"/>
          <w:szCs w:val="32"/>
        </w:rPr>
        <w:fldChar w:fldCharType="end"/>
      </w:r>
      <w:r>
        <w:rPr>
          <w:sz w:val="28"/>
          <w:szCs w:val="32"/>
        </w:rPr>
        <w:fldChar w:fldCharType="end"/>
      </w:r>
    </w:p>
    <w:p w14:paraId="039F6902">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_Toc30742 </w:instrText>
      </w:r>
      <w:r>
        <w:rPr>
          <w:sz w:val="28"/>
          <w:szCs w:val="32"/>
        </w:rPr>
        <w:fldChar w:fldCharType="separate"/>
      </w:r>
      <w:r>
        <w:rPr>
          <w:rFonts w:hint="eastAsia" w:ascii="黑体" w:eastAsia="黑体"/>
          <w:sz w:val="28"/>
          <w:szCs w:val="44"/>
          <w:lang w:val="en-US" w:eastAsia="zh-CN"/>
        </w:rPr>
        <w:t>六</w:t>
      </w:r>
      <w:r>
        <w:rPr>
          <w:rFonts w:hint="eastAsia" w:ascii="黑体" w:eastAsia="黑体"/>
          <w:sz w:val="28"/>
          <w:szCs w:val="44"/>
        </w:rPr>
        <w:t>、政府性基金预算支出规模及变化情况说明</w:t>
      </w:r>
      <w:r>
        <w:rPr>
          <w:sz w:val="28"/>
          <w:szCs w:val="32"/>
        </w:rPr>
        <w:tab/>
      </w:r>
      <w:r>
        <w:rPr>
          <w:sz w:val="28"/>
          <w:szCs w:val="32"/>
        </w:rPr>
        <w:fldChar w:fldCharType="begin"/>
      </w:r>
      <w:r>
        <w:rPr>
          <w:sz w:val="28"/>
          <w:szCs w:val="32"/>
        </w:rPr>
        <w:instrText xml:space="preserve"> PAGEREF _Toc30742 \h </w:instrText>
      </w:r>
      <w:r>
        <w:rPr>
          <w:sz w:val="28"/>
          <w:szCs w:val="32"/>
        </w:rPr>
        <w:fldChar w:fldCharType="separate"/>
      </w:r>
      <w:r>
        <w:rPr>
          <w:sz w:val="28"/>
          <w:szCs w:val="32"/>
        </w:rPr>
        <w:t>6</w:t>
      </w:r>
      <w:r>
        <w:rPr>
          <w:sz w:val="28"/>
          <w:szCs w:val="32"/>
        </w:rPr>
        <w:fldChar w:fldCharType="end"/>
      </w:r>
      <w:r>
        <w:rPr>
          <w:sz w:val="28"/>
          <w:szCs w:val="32"/>
        </w:rPr>
        <w:fldChar w:fldCharType="end"/>
      </w:r>
    </w:p>
    <w:p w14:paraId="7C8ACBA8">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_Toc19967 </w:instrText>
      </w:r>
      <w:r>
        <w:rPr>
          <w:sz w:val="28"/>
          <w:szCs w:val="32"/>
        </w:rPr>
        <w:fldChar w:fldCharType="separate"/>
      </w:r>
      <w:r>
        <w:rPr>
          <w:rFonts w:hint="eastAsia" w:ascii="黑体" w:eastAsia="黑体"/>
          <w:sz w:val="28"/>
          <w:szCs w:val="44"/>
          <w:lang w:val="en-US" w:eastAsia="zh-CN"/>
        </w:rPr>
        <w:t>七</w:t>
      </w:r>
      <w:r>
        <w:rPr>
          <w:rFonts w:hint="eastAsia" w:ascii="黑体" w:eastAsia="黑体"/>
          <w:sz w:val="28"/>
          <w:szCs w:val="44"/>
        </w:rPr>
        <w:t>、“三公”经费预算安排情况说明</w:t>
      </w:r>
      <w:r>
        <w:rPr>
          <w:sz w:val="28"/>
          <w:szCs w:val="32"/>
        </w:rPr>
        <w:tab/>
      </w:r>
      <w:r>
        <w:rPr>
          <w:sz w:val="28"/>
          <w:szCs w:val="32"/>
        </w:rPr>
        <w:fldChar w:fldCharType="begin"/>
      </w:r>
      <w:r>
        <w:rPr>
          <w:sz w:val="28"/>
          <w:szCs w:val="32"/>
        </w:rPr>
        <w:instrText xml:space="preserve"> PAGEREF _Toc19967 \h </w:instrText>
      </w:r>
      <w:r>
        <w:rPr>
          <w:sz w:val="28"/>
          <w:szCs w:val="32"/>
        </w:rPr>
        <w:fldChar w:fldCharType="separate"/>
      </w:r>
      <w:r>
        <w:rPr>
          <w:sz w:val="28"/>
          <w:szCs w:val="32"/>
        </w:rPr>
        <w:t>6</w:t>
      </w:r>
      <w:r>
        <w:rPr>
          <w:sz w:val="28"/>
          <w:szCs w:val="32"/>
        </w:rPr>
        <w:fldChar w:fldCharType="end"/>
      </w:r>
      <w:r>
        <w:rPr>
          <w:sz w:val="28"/>
          <w:szCs w:val="32"/>
        </w:rPr>
        <w:fldChar w:fldCharType="end"/>
      </w:r>
    </w:p>
    <w:p w14:paraId="6D241B91">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_Toc2549 </w:instrText>
      </w:r>
      <w:r>
        <w:rPr>
          <w:sz w:val="28"/>
          <w:szCs w:val="32"/>
        </w:rPr>
        <w:fldChar w:fldCharType="separate"/>
      </w:r>
      <w:r>
        <w:rPr>
          <w:rFonts w:hint="eastAsia" w:ascii="楷体_GB2312" w:hAnsi="楷体_GB2312" w:eastAsia="楷体_GB2312" w:cs="楷体_GB2312"/>
          <w:sz w:val="28"/>
          <w:szCs w:val="44"/>
        </w:rPr>
        <w:t>（</w:t>
      </w:r>
      <w:r>
        <w:rPr>
          <w:rFonts w:hint="eastAsia" w:ascii="楷体_GB2312" w:hAnsi="楷体_GB2312" w:eastAsia="楷体_GB2312" w:cs="楷体_GB2312"/>
          <w:sz w:val="28"/>
          <w:szCs w:val="44"/>
          <w:lang w:val="en-US" w:eastAsia="zh-CN"/>
        </w:rPr>
        <w:t>一</w:t>
      </w:r>
      <w:r>
        <w:rPr>
          <w:rFonts w:hint="eastAsia" w:ascii="楷体_GB2312" w:hAnsi="楷体_GB2312" w:eastAsia="楷体_GB2312" w:cs="楷体_GB2312"/>
          <w:sz w:val="28"/>
          <w:szCs w:val="44"/>
        </w:rPr>
        <w:t>） 因公出国（境）经费</w:t>
      </w:r>
      <w:r>
        <w:rPr>
          <w:sz w:val="28"/>
          <w:szCs w:val="32"/>
        </w:rPr>
        <w:tab/>
      </w:r>
      <w:r>
        <w:rPr>
          <w:sz w:val="28"/>
          <w:szCs w:val="32"/>
        </w:rPr>
        <w:fldChar w:fldCharType="begin"/>
      </w:r>
      <w:r>
        <w:rPr>
          <w:sz w:val="28"/>
          <w:szCs w:val="32"/>
        </w:rPr>
        <w:instrText xml:space="preserve"> PAGEREF _Toc2549 \h </w:instrText>
      </w:r>
      <w:r>
        <w:rPr>
          <w:sz w:val="28"/>
          <w:szCs w:val="32"/>
        </w:rPr>
        <w:fldChar w:fldCharType="separate"/>
      </w:r>
      <w:r>
        <w:rPr>
          <w:sz w:val="28"/>
          <w:szCs w:val="32"/>
        </w:rPr>
        <w:t>6</w:t>
      </w:r>
      <w:r>
        <w:rPr>
          <w:sz w:val="28"/>
          <w:szCs w:val="32"/>
        </w:rPr>
        <w:fldChar w:fldCharType="end"/>
      </w:r>
      <w:r>
        <w:rPr>
          <w:sz w:val="28"/>
          <w:szCs w:val="32"/>
        </w:rPr>
        <w:fldChar w:fldCharType="end"/>
      </w:r>
    </w:p>
    <w:p w14:paraId="23B9E51E">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_Toc18706 </w:instrText>
      </w:r>
      <w:r>
        <w:rPr>
          <w:sz w:val="28"/>
          <w:szCs w:val="32"/>
        </w:rPr>
        <w:fldChar w:fldCharType="separate"/>
      </w:r>
      <w:r>
        <w:rPr>
          <w:rFonts w:hint="eastAsia" w:ascii="楷体_GB2312" w:hAnsi="楷体_GB2312" w:eastAsia="楷体_GB2312" w:cs="楷体_GB2312"/>
          <w:sz w:val="28"/>
          <w:szCs w:val="44"/>
        </w:rPr>
        <w:t>（</w:t>
      </w:r>
      <w:r>
        <w:rPr>
          <w:rFonts w:hint="eastAsia" w:ascii="楷体_GB2312" w:hAnsi="楷体_GB2312" w:eastAsia="楷体_GB2312" w:cs="楷体_GB2312"/>
          <w:sz w:val="28"/>
          <w:szCs w:val="44"/>
          <w:lang w:val="en-US" w:eastAsia="zh-CN"/>
        </w:rPr>
        <w:t>二</w:t>
      </w:r>
      <w:r>
        <w:rPr>
          <w:rFonts w:hint="eastAsia" w:ascii="楷体_GB2312" w:hAnsi="楷体_GB2312" w:eastAsia="楷体_GB2312" w:cs="楷体_GB2312"/>
          <w:sz w:val="28"/>
          <w:szCs w:val="44"/>
        </w:rPr>
        <w:t>） 公务接待费</w:t>
      </w:r>
      <w:r>
        <w:rPr>
          <w:sz w:val="28"/>
          <w:szCs w:val="32"/>
        </w:rPr>
        <w:tab/>
      </w:r>
      <w:r>
        <w:rPr>
          <w:sz w:val="28"/>
          <w:szCs w:val="32"/>
        </w:rPr>
        <w:fldChar w:fldCharType="begin"/>
      </w:r>
      <w:r>
        <w:rPr>
          <w:sz w:val="28"/>
          <w:szCs w:val="32"/>
        </w:rPr>
        <w:instrText xml:space="preserve"> PAGEREF _Toc18706 \h </w:instrText>
      </w:r>
      <w:r>
        <w:rPr>
          <w:sz w:val="28"/>
          <w:szCs w:val="32"/>
        </w:rPr>
        <w:fldChar w:fldCharType="separate"/>
      </w:r>
      <w:r>
        <w:rPr>
          <w:sz w:val="28"/>
          <w:szCs w:val="32"/>
        </w:rPr>
        <w:t>6</w:t>
      </w:r>
      <w:r>
        <w:rPr>
          <w:sz w:val="28"/>
          <w:szCs w:val="32"/>
        </w:rPr>
        <w:fldChar w:fldCharType="end"/>
      </w:r>
      <w:r>
        <w:rPr>
          <w:sz w:val="28"/>
          <w:szCs w:val="32"/>
        </w:rPr>
        <w:fldChar w:fldCharType="end"/>
      </w:r>
    </w:p>
    <w:p w14:paraId="671538F9">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_Toc10944 </w:instrText>
      </w:r>
      <w:r>
        <w:rPr>
          <w:sz w:val="28"/>
          <w:szCs w:val="32"/>
        </w:rPr>
        <w:fldChar w:fldCharType="separate"/>
      </w:r>
      <w:r>
        <w:rPr>
          <w:rFonts w:hint="eastAsia" w:ascii="楷体_GB2312" w:hAnsi="楷体_GB2312" w:eastAsia="楷体_GB2312" w:cs="楷体_GB2312"/>
          <w:sz w:val="28"/>
          <w:szCs w:val="44"/>
          <w:lang w:eastAsia="zh-CN"/>
        </w:rPr>
        <w:t xml:space="preserve">（三） </w:t>
      </w:r>
      <w:r>
        <w:rPr>
          <w:rFonts w:hint="eastAsia" w:ascii="楷体_GB2312" w:hAnsi="楷体_GB2312" w:eastAsia="楷体_GB2312" w:cs="楷体_GB2312"/>
          <w:sz w:val="28"/>
          <w:szCs w:val="44"/>
        </w:rPr>
        <w:t>公务用车购置及运行维护费</w:t>
      </w:r>
      <w:r>
        <w:rPr>
          <w:sz w:val="28"/>
          <w:szCs w:val="32"/>
        </w:rPr>
        <w:tab/>
      </w:r>
      <w:r>
        <w:rPr>
          <w:sz w:val="28"/>
          <w:szCs w:val="32"/>
        </w:rPr>
        <w:fldChar w:fldCharType="begin"/>
      </w:r>
      <w:r>
        <w:rPr>
          <w:sz w:val="28"/>
          <w:szCs w:val="32"/>
        </w:rPr>
        <w:instrText xml:space="preserve"> PAGEREF _Toc10944 \h </w:instrText>
      </w:r>
      <w:r>
        <w:rPr>
          <w:sz w:val="28"/>
          <w:szCs w:val="32"/>
        </w:rPr>
        <w:fldChar w:fldCharType="separate"/>
      </w:r>
      <w:r>
        <w:rPr>
          <w:sz w:val="28"/>
          <w:szCs w:val="32"/>
        </w:rPr>
        <w:t>7</w:t>
      </w:r>
      <w:r>
        <w:rPr>
          <w:sz w:val="28"/>
          <w:szCs w:val="32"/>
        </w:rPr>
        <w:fldChar w:fldCharType="end"/>
      </w:r>
      <w:r>
        <w:rPr>
          <w:sz w:val="28"/>
          <w:szCs w:val="32"/>
        </w:rPr>
        <w:fldChar w:fldCharType="end"/>
      </w:r>
    </w:p>
    <w:p w14:paraId="27D953EB">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_Toc8207 </w:instrText>
      </w:r>
      <w:r>
        <w:rPr>
          <w:sz w:val="28"/>
          <w:szCs w:val="32"/>
        </w:rPr>
        <w:fldChar w:fldCharType="separate"/>
      </w:r>
      <w:r>
        <w:rPr>
          <w:rFonts w:hint="eastAsia" w:ascii="黑体" w:eastAsia="黑体"/>
          <w:sz w:val="28"/>
          <w:szCs w:val="44"/>
          <w:lang w:val="en-US" w:eastAsia="zh-CN"/>
        </w:rPr>
        <w:t>八</w:t>
      </w:r>
      <w:r>
        <w:rPr>
          <w:rFonts w:hint="eastAsia" w:ascii="黑体" w:eastAsia="黑体"/>
          <w:sz w:val="28"/>
          <w:szCs w:val="44"/>
        </w:rPr>
        <w:t>、其他重要事项的情况说明</w:t>
      </w:r>
      <w:r>
        <w:rPr>
          <w:sz w:val="28"/>
          <w:szCs w:val="32"/>
        </w:rPr>
        <w:tab/>
      </w:r>
      <w:r>
        <w:rPr>
          <w:sz w:val="28"/>
          <w:szCs w:val="32"/>
        </w:rPr>
        <w:fldChar w:fldCharType="begin"/>
      </w:r>
      <w:r>
        <w:rPr>
          <w:sz w:val="28"/>
          <w:szCs w:val="32"/>
        </w:rPr>
        <w:instrText xml:space="preserve"> PAGEREF _Toc8207 \h </w:instrText>
      </w:r>
      <w:r>
        <w:rPr>
          <w:sz w:val="28"/>
          <w:szCs w:val="32"/>
        </w:rPr>
        <w:fldChar w:fldCharType="separate"/>
      </w:r>
      <w:r>
        <w:rPr>
          <w:sz w:val="28"/>
          <w:szCs w:val="32"/>
        </w:rPr>
        <w:t>7</w:t>
      </w:r>
      <w:r>
        <w:rPr>
          <w:sz w:val="28"/>
          <w:szCs w:val="32"/>
        </w:rPr>
        <w:fldChar w:fldCharType="end"/>
      </w:r>
      <w:r>
        <w:rPr>
          <w:sz w:val="28"/>
          <w:szCs w:val="32"/>
        </w:rPr>
        <w:fldChar w:fldCharType="end"/>
      </w:r>
    </w:p>
    <w:p w14:paraId="4F51B37E">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_Toc29624 </w:instrText>
      </w:r>
      <w:r>
        <w:rPr>
          <w:sz w:val="28"/>
          <w:szCs w:val="32"/>
        </w:rPr>
        <w:fldChar w:fldCharType="separate"/>
      </w:r>
      <w:r>
        <w:rPr>
          <w:rFonts w:hint="eastAsia" w:ascii="楷体_GB2312" w:hAnsi="楷体_GB2312" w:eastAsia="楷体_GB2312" w:cs="楷体_GB2312"/>
          <w:sz w:val="28"/>
          <w:szCs w:val="44"/>
        </w:rPr>
        <w:t>（一）机关运行经费</w:t>
      </w:r>
      <w:r>
        <w:rPr>
          <w:sz w:val="28"/>
          <w:szCs w:val="32"/>
        </w:rPr>
        <w:tab/>
      </w:r>
      <w:r>
        <w:rPr>
          <w:sz w:val="28"/>
          <w:szCs w:val="32"/>
        </w:rPr>
        <w:fldChar w:fldCharType="begin"/>
      </w:r>
      <w:r>
        <w:rPr>
          <w:sz w:val="28"/>
          <w:szCs w:val="32"/>
        </w:rPr>
        <w:instrText xml:space="preserve"> PAGEREF _Toc29624 \h </w:instrText>
      </w:r>
      <w:r>
        <w:rPr>
          <w:sz w:val="28"/>
          <w:szCs w:val="32"/>
        </w:rPr>
        <w:fldChar w:fldCharType="separate"/>
      </w:r>
      <w:r>
        <w:rPr>
          <w:sz w:val="28"/>
          <w:szCs w:val="32"/>
        </w:rPr>
        <w:t>7</w:t>
      </w:r>
      <w:r>
        <w:rPr>
          <w:sz w:val="28"/>
          <w:szCs w:val="32"/>
        </w:rPr>
        <w:fldChar w:fldCharType="end"/>
      </w:r>
      <w:r>
        <w:rPr>
          <w:sz w:val="28"/>
          <w:szCs w:val="32"/>
        </w:rPr>
        <w:fldChar w:fldCharType="end"/>
      </w:r>
    </w:p>
    <w:p w14:paraId="7A561210">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_Toc17149 </w:instrText>
      </w:r>
      <w:r>
        <w:rPr>
          <w:sz w:val="28"/>
          <w:szCs w:val="32"/>
        </w:rPr>
        <w:fldChar w:fldCharType="separate"/>
      </w:r>
      <w:r>
        <w:rPr>
          <w:rFonts w:hint="eastAsia" w:ascii="楷体_GB2312" w:hAnsi="楷体_GB2312" w:eastAsia="楷体_GB2312" w:cs="楷体_GB2312"/>
          <w:sz w:val="28"/>
          <w:szCs w:val="44"/>
        </w:rPr>
        <w:t>（二）政府采购情况</w:t>
      </w:r>
      <w:r>
        <w:rPr>
          <w:sz w:val="28"/>
          <w:szCs w:val="32"/>
        </w:rPr>
        <w:tab/>
      </w:r>
      <w:r>
        <w:rPr>
          <w:sz w:val="28"/>
          <w:szCs w:val="32"/>
        </w:rPr>
        <w:fldChar w:fldCharType="begin"/>
      </w:r>
      <w:r>
        <w:rPr>
          <w:sz w:val="28"/>
          <w:szCs w:val="32"/>
        </w:rPr>
        <w:instrText xml:space="preserve"> PAGEREF _Toc17149 \h </w:instrText>
      </w:r>
      <w:r>
        <w:rPr>
          <w:sz w:val="28"/>
          <w:szCs w:val="32"/>
        </w:rPr>
        <w:fldChar w:fldCharType="separate"/>
      </w:r>
      <w:r>
        <w:rPr>
          <w:sz w:val="28"/>
          <w:szCs w:val="32"/>
        </w:rPr>
        <w:t>7</w:t>
      </w:r>
      <w:r>
        <w:rPr>
          <w:sz w:val="28"/>
          <w:szCs w:val="32"/>
        </w:rPr>
        <w:fldChar w:fldCharType="end"/>
      </w:r>
      <w:r>
        <w:rPr>
          <w:sz w:val="28"/>
          <w:szCs w:val="32"/>
        </w:rPr>
        <w:fldChar w:fldCharType="end"/>
      </w:r>
    </w:p>
    <w:p w14:paraId="71B18FAC">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_Toc18231 </w:instrText>
      </w:r>
      <w:r>
        <w:rPr>
          <w:sz w:val="28"/>
          <w:szCs w:val="32"/>
        </w:rPr>
        <w:fldChar w:fldCharType="separate"/>
      </w:r>
      <w:r>
        <w:rPr>
          <w:rFonts w:hint="eastAsia" w:ascii="楷体_GB2312" w:hAnsi="楷体_GB2312" w:eastAsia="楷体_GB2312" w:cs="楷体_GB2312"/>
          <w:sz w:val="28"/>
          <w:szCs w:val="44"/>
        </w:rPr>
        <w:t>（三）国有资产占有使用情况</w:t>
      </w:r>
      <w:r>
        <w:rPr>
          <w:sz w:val="28"/>
          <w:szCs w:val="32"/>
        </w:rPr>
        <w:tab/>
      </w:r>
      <w:r>
        <w:rPr>
          <w:sz w:val="28"/>
          <w:szCs w:val="32"/>
        </w:rPr>
        <w:fldChar w:fldCharType="begin"/>
      </w:r>
      <w:r>
        <w:rPr>
          <w:sz w:val="28"/>
          <w:szCs w:val="32"/>
        </w:rPr>
        <w:instrText xml:space="preserve"> PAGEREF _Toc18231 \h </w:instrText>
      </w:r>
      <w:r>
        <w:rPr>
          <w:sz w:val="28"/>
          <w:szCs w:val="32"/>
        </w:rPr>
        <w:fldChar w:fldCharType="separate"/>
      </w:r>
      <w:r>
        <w:rPr>
          <w:sz w:val="28"/>
          <w:szCs w:val="32"/>
        </w:rPr>
        <w:t>7</w:t>
      </w:r>
      <w:r>
        <w:rPr>
          <w:sz w:val="28"/>
          <w:szCs w:val="32"/>
        </w:rPr>
        <w:fldChar w:fldCharType="end"/>
      </w:r>
      <w:r>
        <w:rPr>
          <w:sz w:val="28"/>
          <w:szCs w:val="32"/>
        </w:rPr>
        <w:fldChar w:fldCharType="end"/>
      </w:r>
    </w:p>
    <w:p w14:paraId="39D6F17A">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_Toc16636 </w:instrText>
      </w:r>
      <w:r>
        <w:rPr>
          <w:sz w:val="28"/>
          <w:szCs w:val="32"/>
        </w:rPr>
        <w:fldChar w:fldCharType="separate"/>
      </w:r>
      <w:r>
        <w:rPr>
          <w:rFonts w:hint="eastAsia" w:ascii="楷体_GB2312" w:hAnsi="楷体_GB2312" w:eastAsia="楷体_GB2312" w:cs="楷体_GB2312"/>
          <w:sz w:val="28"/>
          <w:szCs w:val="44"/>
        </w:rPr>
        <w:t>（四）绩效目标设置情况</w:t>
      </w:r>
      <w:r>
        <w:rPr>
          <w:sz w:val="28"/>
          <w:szCs w:val="32"/>
        </w:rPr>
        <w:tab/>
      </w:r>
      <w:r>
        <w:rPr>
          <w:sz w:val="28"/>
          <w:szCs w:val="32"/>
        </w:rPr>
        <w:fldChar w:fldCharType="begin"/>
      </w:r>
      <w:r>
        <w:rPr>
          <w:sz w:val="28"/>
          <w:szCs w:val="32"/>
        </w:rPr>
        <w:instrText xml:space="preserve"> PAGEREF _Toc16636 \h </w:instrText>
      </w:r>
      <w:r>
        <w:rPr>
          <w:sz w:val="28"/>
          <w:szCs w:val="32"/>
        </w:rPr>
        <w:fldChar w:fldCharType="separate"/>
      </w:r>
      <w:r>
        <w:rPr>
          <w:sz w:val="28"/>
          <w:szCs w:val="32"/>
        </w:rPr>
        <w:t>8</w:t>
      </w:r>
      <w:r>
        <w:rPr>
          <w:sz w:val="28"/>
          <w:szCs w:val="32"/>
        </w:rPr>
        <w:fldChar w:fldCharType="end"/>
      </w:r>
      <w:r>
        <w:rPr>
          <w:sz w:val="28"/>
          <w:szCs w:val="32"/>
        </w:rPr>
        <w:fldChar w:fldCharType="end"/>
      </w:r>
    </w:p>
    <w:p w14:paraId="4565FAF0">
      <w:pPr>
        <w:pStyle w:val="5"/>
        <w:keepNext w:val="0"/>
        <w:keepLines w:val="0"/>
        <w:pageBreakBefore w:val="0"/>
        <w:widowControl w:val="0"/>
        <w:tabs>
          <w:tab w:val="right" w:leader="dot" w:pos="8844"/>
        </w:tabs>
        <w:kinsoku/>
        <w:wordWrap/>
        <w:overflowPunct/>
        <w:topLinePunct w:val="0"/>
        <w:autoSpaceDE/>
        <w:autoSpaceDN/>
        <w:bidi w:val="0"/>
        <w:adjustRightInd/>
        <w:snapToGrid/>
        <w:spacing w:line="560" w:lineRule="exact"/>
        <w:textAlignment w:val="auto"/>
        <w:rPr>
          <w:sz w:val="28"/>
          <w:szCs w:val="32"/>
        </w:rPr>
      </w:pPr>
      <w:r>
        <w:rPr>
          <w:sz w:val="28"/>
          <w:szCs w:val="32"/>
        </w:rPr>
        <w:fldChar w:fldCharType="begin"/>
      </w:r>
      <w:r>
        <w:rPr>
          <w:sz w:val="28"/>
          <w:szCs w:val="32"/>
        </w:rPr>
        <w:instrText xml:space="preserve"> HYPERLINK \l _Toc20724 </w:instrText>
      </w:r>
      <w:r>
        <w:rPr>
          <w:sz w:val="28"/>
          <w:szCs w:val="32"/>
        </w:rPr>
        <w:fldChar w:fldCharType="separate"/>
      </w:r>
      <w:r>
        <w:rPr>
          <w:rFonts w:hint="eastAsia" w:ascii="黑体" w:eastAsia="黑体"/>
          <w:sz w:val="28"/>
          <w:szCs w:val="44"/>
          <w:lang w:val="en-US" w:eastAsia="zh-CN"/>
        </w:rPr>
        <w:t>九</w:t>
      </w:r>
      <w:r>
        <w:rPr>
          <w:rFonts w:hint="eastAsia" w:ascii="黑体" w:eastAsia="黑体"/>
          <w:sz w:val="28"/>
          <w:szCs w:val="44"/>
        </w:rPr>
        <w:t>、名词解释</w:t>
      </w:r>
      <w:r>
        <w:rPr>
          <w:sz w:val="28"/>
          <w:szCs w:val="32"/>
        </w:rPr>
        <w:tab/>
      </w:r>
      <w:r>
        <w:rPr>
          <w:sz w:val="28"/>
          <w:szCs w:val="32"/>
        </w:rPr>
        <w:fldChar w:fldCharType="begin"/>
      </w:r>
      <w:r>
        <w:rPr>
          <w:sz w:val="28"/>
          <w:szCs w:val="32"/>
        </w:rPr>
        <w:instrText xml:space="preserve"> PAGEREF _Toc20724 \h </w:instrText>
      </w:r>
      <w:r>
        <w:rPr>
          <w:sz w:val="28"/>
          <w:szCs w:val="32"/>
        </w:rPr>
        <w:fldChar w:fldCharType="separate"/>
      </w:r>
      <w:r>
        <w:rPr>
          <w:sz w:val="28"/>
          <w:szCs w:val="32"/>
        </w:rPr>
        <w:t>8</w:t>
      </w:r>
      <w:r>
        <w:rPr>
          <w:sz w:val="28"/>
          <w:szCs w:val="32"/>
        </w:rPr>
        <w:fldChar w:fldCharType="end"/>
      </w:r>
      <w:r>
        <w:rPr>
          <w:sz w:val="28"/>
          <w:szCs w:val="32"/>
        </w:rPr>
        <w:fldChar w:fldCharType="end"/>
      </w:r>
    </w:p>
    <w:p w14:paraId="4F7C10D2">
      <w:pPr>
        <w:spacing w:line="600" w:lineRule="exact"/>
        <w:outlineLvl w:val="0"/>
        <w:rPr>
          <w:rFonts w:hint="eastAsia" w:ascii="方正小标宋简体" w:eastAsia="方正小标宋简体"/>
          <w:sz w:val="44"/>
          <w:szCs w:val="44"/>
        </w:rPr>
      </w:pPr>
      <w:r>
        <w:rPr>
          <w:szCs w:val="22"/>
        </w:rPr>
        <w:fldChar w:fldCharType="end"/>
      </w:r>
    </w:p>
    <w:p w14:paraId="57566498">
      <w:pPr>
        <w:spacing w:line="600" w:lineRule="exact"/>
        <w:jc w:val="center"/>
        <w:outlineLvl w:val="0"/>
        <w:rPr>
          <w:rFonts w:hint="eastAsia" w:ascii="方正小标宋简体" w:eastAsia="方正小标宋简体"/>
          <w:sz w:val="44"/>
          <w:szCs w:val="44"/>
          <w:lang w:val="en-US" w:eastAsia="zh-CN"/>
        </w:rPr>
      </w:pPr>
      <w:bookmarkStart w:id="0" w:name="_Toc27865"/>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w:t>
      </w:r>
      <w:r>
        <w:rPr>
          <w:rFonts w:hint="eastAsia" w:ascii="方正小标宋简体" w:eastAsia="方正小标宋简体"/>
          <w:sz w:val="44"/>
          <w:szCs w:val="44"/>
          <w:lang w:val="en-US" w:eastAsia="zh-CN"/>
        </w:rPr>
        <w:t>防震减灾服务中心</w:t>
      </w:r>
      <w:bookmarkEnd w:id="0"/>
    </w:p>
    <w:p w14:paraId="49C229FF">
      <w:pPr>
        <w:spacing w:line="600" w:lineRule="exact"/>
        <w:jc w:val="center"/>
        <w:outlineLvl w:val="0"/>
        <w:rPr>
          <w:rFonts w:ascii="方正小标宋简体" w:eastAsia="方正小标宋简体"/>
          <w:sz w:val="44"/>
          <w:szCs w:val="44"/>
        </w:rPr>
      </w:pPr>
      <w:bookmarkStart w:id="1" w:name="_Toc12920"/>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年预算编制的说明</w:t>
      </w:r>
      <w:bookmarkEnd w:id="1"/>
    </w:p>
    <w:p w14:paraId="01DFDD9F">
      <w:pPr>
        <w:spacing w:line="600" w:lineRule="exact"/>
        <w:ind w:firstLine="640" w:firstLineChars="200"/>
        <w:rPr>
          <w:rFonts w:ascii="仿宋_GB2312" w:eastAsia="仿宋_GB2312"/>
          <w:sz w:val="32"/>
          <w:szCs w:val="32"/>
        </w:rPr>
      </w:pPr>
    </w:p>
    <w:p w14:paraId="4842CB28">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14:paraId="49F3E158">
      <w:pPr>
        <w:spacing w:line="600" w:lineRule="exact"/>
        <w:ind w:firstLine="640" w:firstLineChars="200"/>
        <w:outlineLvl w:val="1"/>
        <w:rPr>
          <w:rFonts w:ascii="黑体" w:eastAsia="黑体"/>
          <w:sz w:val="32"/>
          <w:szCs w:val="32"/>
        </w:rPr>
      </w:pPr>
      <w:bookmarkStart w:id="2" w:name="_Toc1271"/>
      <w:r>
        <w:rPr>
          <w:rFonts w:hint="eastAsia" w:ascii="黑体" w:eastAsia="黑体"/>
          <w:sz w:val="32"/>
          <w:szCs w:val="32"/>
        </w:rPr>
        <w:t>一、基本职能及主要工作</w:t>
      </w:r>
      <w:bookmarkEnd w:id="2"/>
    </w:p>
    <w:p w14:paraId="063EA010">
      <w:pPr>
        <w:numPr>
          <w:ilvl w:val="0"/>
          <w:numId w:val="1"/>
        </w:numPr>
        <w:spacing w:line="600" w:lineRule="exact"/>
        <w:ind w:left="0" w:leftChars="0" w:firstLine="420" w:firstLineChars="0"/>
        <w:outlineLvl w:val="1"/>
        <w:rPr>
          <w:rFonts w:hint="eastAsia" w:ascii="楷体_GB2312" w:hAnsi="楷体_GB2312" w:eastAsia="楷体_GB2312" w:cs="楷体_GB2312"/>
          <w:color w:val="auto"/>
          <w:sz w:val="32"/>
          <w:szCs w:val="32"/>
        </w:rPr>
      </w:pPr>
      <w:bookmarkStart w:id="3" w:name="_Toc27674"/>
      <w:r>
        <w:rPr>
          <w:rFonts w:hint="eastAsia" w:ascii="楷体_GB2312" w:hAnsi="楷体_GB2312" w:eastAsia="楷体_GB2312" w:cs="楷体_GB2312"/>
          <w:color w:val="auto"/>
          <w:sz w:val="32"/>
          <w:szCs w:val="32"/>
        </w:rPr>
        <w:t>主要职能</w:t>
      </w:r>
      <w:bookmarkEnd w:id="3"/>
    </w:p>
    <w:p w14:paraId="406EF960">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贯彻国务院、四川省和乐山市有关防震减灾工作的方针、政策和法规；制定本行政区域内防震减灾事业中、长期发展规划，编制防震减灾工作年度计划并组织实施；会同有关部门制定地震应急预案，负责本行政区域内的震情通报和地震灾害速报，配合上级部门进行震后趋势判断和地震灾害损失评估，参与制定地震灾区的重建规划；按照有关规定监督、管理本行政区域内工程建设项目的抗震设防标准和工程建设场地地震安全性评价工作；会同有关部门开展防震减灾宣传教育工作，普及防震减灾知识，</w:t>
      </w:r>
      <w:r>
        <w:rPr>
          <w:rFonts w:hint="eastAsia" w:ascii="仿宋_GB2312" w:eastAsia="仿宋_GB2312"/>
          <w:color w:val="auto"/>
          <w:sz w:val="32"/>
          <w:szCs w:val="32"/>
          <w:lang w:eastAsia="zh-CN"/>
        </w:rPr>
        <w:t>增强</w:t>
      </w:r>
      <w:r>
        <w:rPr>
          <w:rFonts w:hint="eastAsia" w:ascii="仿宋_GB2312" w:eastAsia="仿宋_GB2312"/>
          <w:color w:val="auto"/>
          <w:sz w:val="32"/>
          <w:szCs w:val="32"/>
        </w:rPr>
        <w:t>全社会的防震减灾意识；并按照有关规定审核防震减灾宣传报道；承担市人民政府防震减灾工作领导机构的日常工作。</w:t>
      </w:r>
    </w:p>
    <w:p w14:paraId="5D592E64">
      <w:pPr>
        <w:numPr>
          <w:ilvl w:val="0"/>
          <w:numId w:val="1"/>
        </w:numPr>
        <w:spacing w:line="600" w:lineRule="exact"/>
        <w:ind w:left="0" w:leftChars="0" w:firstLine="420" w:firstLineChars="0"/>
        <w:outlineLvl w:val="1"/>
        <w:rPr>
          <w:rFonts w:hint="eastAsia" w:ascii="楷体_GB2312" w:hAnsi="楷体_GB2312" w:eastAsia="楷体_GB2312" w:cs="楷体_GB2312"/>
          <w:color w:val="auto"/>
          <w:sz w:val="32"/>
          <w:szCs w:val="32"/>
        </w:rPr>
      </w:pPr>
      <w:bookmarkStart w:id="4" w:name="_Toc191"/>
      <w:r>
        <w:rPr>
          <w:rFonts w:hint="eastAsia" w:ascii="楷体_GB2312" w:hAnsi="楷体_GB2312" w:eastAsia="楷体_GB2312" w:cs="楷体_GB2312"/>
          <w:color w:val="auto"/>
          <w:sz w:val="32"/>
          <w:szCs w:val="32"/>
          <w:lang w:val="en-US"/>
        </w:rPr>
        <w:t>202</w:t>
      </w:r>
      <w:r>
        <w:rPr>
          <w:rFonts w:hint="eastAsia" w:ascii="楷体_GB2312" w:hAnsi="楷体_GB2312" w:eastAsia="楷体_GB2312" w:cs="楷体_GB2312"/>
          <w:color w:val="auto"/>
          <w:sz w:val="32"/>
          <w:szCs w:val="32"/>
          <w:lang w:val="en-US" w:eastAsia="zh-CN"/>
        </w:rPr>
        <w:t>5</w:t>
      </w:r>
      <w:r>
        <w:rPr>
          <w:rFonts w:hint="eastAsia" w:ascii="楷体_GB2312" w:hAnsi="楷体_GB2312" w:eastAsia="楷体_GB2312" w:cs="楷体_GB2312"/>
          <w:color w:val="auto"/>
          <w:sz w:val="32"/>
          <w:szCs w:val="32"/>
        </w:rPr>
        <w:t>年重点工作任务</w:t>
      </w:r>
      <w:bookmarkEnd w:id="4"/>
    </w:p>
    <w:p w14:paraId="0277E81F">
      <w:pPr>
        <w:spacing w:line="600" w:lineRule="exact"/>
        <w:ind w:firstLine="640" w:firstLineChars="200"/>
        <w:outlineLvl w:val="1"/>
        <w:rPr>
          <w:rFonts w:hint="eastAsia" w:ascii="仿宋_GB2312" w:eastAsia="仿宋_GB2312"/>
          <w:color w:val="auto"/>
          <w:sz w:val="32"/>
          <w:szCs w:val="32"/>
        </w:rPr>
      </w:pPr>
      <w:bookmarkStart w:id="5" w:name="_Toc29397"/>
      <w:r>
        <w:rPr>
          <w:rFonts w:hint="eastAsia" w:ascii="仿宋_GB2312" w:eastAsia="仿宋_GB2312"/>
          <w:color w:val="auto"/>
          <w:sz w:val="32"/>
          <w:szCs w:val="32"/>
        </w:rPr>
        <w:t>1.</w:t>
      </w:r>
      <w:r>
        <w:rPr>
          <w:rFonts w:hint="eastAsia" w:ascii="仿宋_GB2312" w:hAnsi="仿宋" w:eastAsia="仿宋_GB2312"/>
          <w:sz w:val="32"/>
          <w:szCs w:val="32"/>
        </w:rPr>
        <w:t>地震监测预报预警</w:t>
      </w:r>
      <w:r>
        <w:rPr>
          <w:rFonts w:hint="eastAsia" w:ascii="仿宋_GB2312" w:hAnsi="仿宋_GB2312" w:eastAsia="仿宋_GB2312" w:cs="仿宋_GB2312"/>
          <w:b w:val="0"/>
          <w:bCs w:val="0"/>
          <w:sz w:val="32"/>
          <w:szCs w:val="32"/>
          <w:highlight w:val="none"/>
          <w:lang w:val="en-US" w:eastAsia="zh-CN"/>
        </w:rPr>
        <w:t>。组织指导全市各级修订完善地震应急预案，常态化开展最小单元应急演练，不断检验和完善预案，提升预案科学性、针对性和实用性</w:t>
      </w:r>
      <w:r>
        <w:rPr>
          <w:rFonts w:hint="eastAsia" w:ascii="仿宋_GB2312" w:eastAsia="仿宋_GB2312"/>
          <w:color w:val="auto"/>
          <w:sz w:val="32"/>
          <w:szCs w:val="32"/>
        </w:rPr>
        <w:t>。</w:t>
      </w:r>
      <w:bookmarkEnd w:id="5"/>
    </w:p>
    <w:p w14:paraId="0574F900">
      <w:pPr>
        <w:spacing w:line="600" w:lineRule="exact"/>
        <w:ind w:firstLine="640" w:firstLineChars="200"/>
        <w:outlineLvl w:val="1"/>
        <w:rPr>
          <w:rFonts w:hint="eastAsia" w:ascii="仿宋_GB2312" w:eastAsia="仿宋_GB2312"/>
          <w:color w:val="auto"/>
          <w:sz w:val="32"/>
          <w:szCs w:val="32"/>
        </w:rPr>
      </w:pPr>
      <w:bookmarkStart w:id="6" w:name="_Toc8689"/>
      <w:r>
        <w:rPr>
          <w:rFonts w:hint="eastAsia" w:ascii="仿宋_GB2312" w:eastAsia="仿宋_GB2312"/>
          <w:color w:val="auto"/>
          <w:sz w:val="32"/>
          <w:szCs w:val="32"/>
        </w:rPr>
        <w:t>2.</w:t>
      </w:r>
      <w:r>
        <w:rPr>
          <w:rFonts w:hint="eastAsia" w:ascii="仿宋_GB2312" w:eastAsia="仿宋_GB2312" w:cs="Times New Roman"/>
          <w:color w:val="auto"/>
          <w:sz w:val="32"/>
          <w:szCs w:val="32"/>
          <w:lang w:val="en-US" w:eastAsia="zh-CN"/>
        </w:rPr>
        <w:t>深化地震监测预警。</w:t>
      </w:r>
      <w:r>
        <w:rPr>
          <w:rFonts w:hint="eastAsia" w:ascii="仿宋_GB2312" w:eastAsia="仿宋_GB2312" w:cs="Times New Roman"/>
          <w:sz w:val="32"/>
          <w:szCs w:val="32"/>
          <w:lang w:val="en-US" w:eastAsia="zh-CN"/>
        </w:rPr>
        <w:t>一是</w:t>
      </w:r>
      <w:r>
        <w:rPr>
          <w:rFonts w:hint="eastAsia" w:ascii="仿宋_GB2312" w:eastAsia="仿宋_GB2312"/>
          <w:sz w:val="32"/>
          <w:szCs w:val="32"/>
          <w:lang w:val="en-US" w:eastAsia="zh-CN"/>
        </w:rPr>
        <w:t>按上级要求开展地震监测台站建设，今年在乐山市率先建成高桥回龙测震台；二是</w:t>
      </w:r>
      <w:r>
        <w:rPr>
          <w:rFonts w:hint="eastAsia" w:ascii="仿宋_GB2312" w:eastAsia="仿宋_GB2312"/>
          <w:color w:val="auto"/>
          <w:sz w:val="32"/>
          <w:szCs w:val="32"/>
          <w:lang w:val="en-US" w:eastAsia="zh-CN"/>
        </w:rPr>
        <w:t>进一步</w:t>
      </w:r>
      <w:r>
        <w:rPr>
          <w:rFonts w:hint="eastAsia" w:ascii="仿宋_GB2312" w:hAnsi="宋体" w:eastAsia="仿宋_GB2312"/>
          <w:sz w:val="32"/>
          <w:szCs w:val="32"/>
          <w:lang w:val="en-US" w:eastAsia="zh-CN"/>
        </w:rPr>
        <w:t>加强地震综合监测预警，推进群测群防，完善灾情速查速报机制</w:t>
      </w:r>
      <w:r>
        <w:rPr>
          <w:rFonts w:hint="eastAsia" w:ascii="仿宋_GB2312" w:eastAsia="仿宋_GB2312"/>
          <w:color w:val="auto"/>
          <w:sz w:val="32"/>
          <w:szCs w:val="32"/>
        </w:rPr>
        <w:t>。</w:t>
      </w:r>
      <w:bookmarkEnd w:id="6"/>
    </w:p>
    <w:p w14:paraId="1C04C724">
      <w:pPr>
        <w:spacing w:line="600" w:lineRule="exact"/>
        <w:ind w:firstLine="640" w:firstLineChars="200"/>
        <w:outlineLvl w:val="1"/>
        <w:rPr>
          <w:rFonts w:hint="eastAsia" w:ascii="仿宋_GB2312" w:eastAsia="仿宋_GB2312"/>
          <w:color w:val="auto"/>
          <w:sz w:val="32"/>
          <w:szCs w:val="32"/>
        </w:rPr>
      </w:pPr>
      <w:bookmarkStart w:id="7" w:name="_Toc1081"/>
      <w:r>
        <w:rPr>
          <w:rFonts w:hint="eastAsia" w:ascii="仿宋_GB2312" w:eastAsia="仿宋_GB2312"/>
          <w:color w:val="auto"/>
          <w:sz w:val="32"/>
          <w:szCs w:val="32"/>
        </w:rPr>
        <w:t>3.</w:t>
      </w:r>
      <w:r>
        <w:rPr>
          <w:rFonts w:hint="eastAsia" w:ascii="仿宋_GB2312" w:hAnsi="宋体" w:eastAsia="仿宋_GB2312" w:cs="Times New Roman"/>
          <w:sz w:val="32"/>
          <w:szCs w:val="32"/>
          <w:lang w:val="en-US" w:eastAsia="zh-CN"/>
        </w:rPr>
        <w:t>提升应急准备能力。</w:t>
      </w:r>
      <w:r>
        <w:rPr>
          <w:rFonts w:hint="eastAsia" w:ascii="仿宋_GB2312" w:hAnsi="仿宋_GB2312" w:eastAsia="仿宋_GB2312" w:cs="仿宋_GB2312"/>
          <w:sz w:val="32"/>
          <w:szCs w:val="32"/>
          <w:lang w:eastAsia="zh-CN"/>
        </w:rPr>
        <w:t>建立完善震情信息快速报送机制，深化“三网一员”培训，拓展防震减灾科普宣传，增强群众风险意识和避险能力</w:t>
      </w:r>
      <w:r>
        <w:rPr>
          <w:rFonts w:hint="eastAsia" w:ascii="仿宋_GB2312" w:eastAsia="仿宋_GB2312"/>
          <w:color w:val="auto"/>
          <w:sz w:val="32"/>
          <w:szCs w:val="32"/>
        </w:rPr>
        <w:t>。</w:t>
      </w:r>
      <w:bookmarkEnd w:id="7"/>
    </w:p>
    <w:p w14:paraId="36D2F4F8">
      <w:pPr>
        <w:spacing w:line="600" w:lineRule="exact"/>
        <w:ind w:firstLine="640" w:firstLineChars="200"/>
        <w:outlineLvl w:val="1"/>
        <w:rPr>
          <w:rFonts w:hint="eastAsia" w:ascii="仿宋_GB2312" w:eastAsia="仿宋_GB2312"/>
          <w:color w:val="auto"/>
          <w:sz w:val="32"/>
          <w:szCs w:val="32"/>
          <w:lang w:eastAsia="zh-CN"/>
        </w:rPr>
      </w:pPr>
      <w:bookmarkStart w:id="8" w:name="_Toc5253"/>
      <w:r>
        <w:rPr>
          <w:rFonts w:hint="eastAsia" w:ascii="仿宋_GB2312" w:eastAsia="仿宋_GB2312"/>
          <w:color w:val="auto"/>
          <w:sz w:val="32"/>
          <w:szCs w:val="32"/>
          <w:lang w:val="en-US" w:eastAsia="zh-CN"/>
        </w:rPr>
        <w:t>4</w:t>
      </w:r>
      <w:r>
        <w:rPr>
          <w:rFonts w:hint="eastAsia" w:ascii="仿宋_GB2312" w:eastAsia="仿宋_GB2312"/>
          <w:color w:val="auto"/>
          <w:sz w:val="32"/>
          <w:szCs w:val="32"/>
        </w:rPr>
        <w:t>.进一步强化防震减灾宣传教育。持续深入地</w:t>
      </w:r>
      <w:r>
        <w:rPr>
          <w:rFonts w:hint="eastAsia" w:ascii="仿宋_GB2312" w:eastAsia="仿宋_GB2312"/>
          <w:color w:val="auto"/>
          <w:sz w:val="32"/>
          <w:szCs w:val="32"/>
          <w:lang w:val="en-US" w:eastAsia="zh-CN"/>
        </w:rPr>
        <w:t>围绕</w:t>
      </w:r>
      <w:r>
        <w:rPr>
          <w:rFonts w:hint="eastAsia" w:ascii="仿宋_GB2312" w:eastAsia="仿宋_GB2312"/>
          <w:sz w:val="32"/>
          <w:szCs w:val="32"/>
          <w:lang w:val="en-US" w:eastAsia="zh-CN"/>
        </w:rPr>
        <w:t>“5.12”“7.28”等重要时段</w:t>
      </w:r>
      <w:r>
        <w:rPr>
          <w:rFonts w:hint="eastAsia" w:ascii="仿宋_GB2312" w:eastAsia="仿宋_GB2312"/>
          <w:color w:val="auto"/>
          <w:sz w:val="32"/>
          <w:szCs w:val="32"/>
        </w:rPr>
        <w:t>开展多种形式相结合的宣传教育和地震知识普及活动，坚持定期开展防震减灾法律法规、地震科普知识进校园、进社区、进企业、进农村活动，有效</w:t>
      </w:r>
      <w:r>
        <w:rPr>
          <w:rFonts w:hint="eastAsia" w:ascii="仿宋_GB2312" w:eastAsia="仿宋_GB2312"/>
          <w:color w:val="auto"/>
          <w:sz w:val="32"/>
          <w:szCs w:val="32"/>
          <w:lang w:eastAsia="zh-CN"/>
        </w:rPr>
        <w:t>增强</w:t>
      </w:r>
      <w:r>
        <w:rPr>
          <w:rFonts w:hint="eastAsia" w:ascii="仿宋_GB2312" w:eastAsia="仿宋_GB2312"/>
          <w:color w:val="auto"/>
          <w:sz w:val="32"/>
          <w:szCs w:val="32"/>
        </w:rPr>
        <w:t>社会公众的防震减灾意识和自救互救能力</w:t>
      </w:r>
      <w:r>
        <w:rPr>
          <w:rFonts w:hint="eastAsia" w:ascii="仿宋_GB2312" w:eastAsia="仿宋_GB2312"/>
          <w:color w:val="auto"/>
          <w:sz w:val="32"/>
          <w:szCs w:val="32"/>
          <w:lang w:eastAsia="zh-CN"/>
        </w:rPr>
        <w:t>。</w:t>
      </w:r>
      <w:bookmarkEnd w:id="8"/>
    </w:p>
    <w:p w14:paraId="1DA75C53">
      <w:pPr>
        <w:spacing w:line="600" w:lineRule="exact"/>
        <w:ind w:firstLine="640" w:firstLineChars="200"/>
        <w:outlineLvl w:val="1"/>
        <w:rPr>
          <w:rFonts w:ascii="黑体" w:eastAsia="黑体"/>
          <w:sz w:val="32"/>
          <w:szCs w:val="32"/>
        </w:rPr>
      </w:pPr>
      <w:bookmarkStart w:id="9" w:name="_Toc6492"/>
      <w:r>
        <w:rPr>
          <w:rFonts w:hint="eastAsia" w:ascii="黑体" w:eastAsia="黑体"/>
          <w:sz w:val="32"/>
          <w:szCs w:val="32"/>
          <w:lang w:val="en-US" w:eastAsia="zh-CN"/>
        </w:rPr>
        <w:t>二</w:t>
      </w:r>
      <w:r>
        <w:rPr>
          <w:rFonts w:hint="eastAsia" w:ascii="黑体" w:eastAsia="黑体"/>
          <w:sz w:val="32"/>
          <w:szCs w:val="32"/>
        </w:rPr>
        <w:t>、收支预算总体情况</w:t>
      </w:r>
      <w:bookmarkEnd w:id="9"/>
    </w:p>
    <w:p w14:paraId="412BE245">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val="en-US" w:eastAsia="zh-CN"/>
        </w:rPr>
        <w:t>峨眉山市防震减灾服务中心</w:t>
      </w:r>
      <w:r>
        <w:rPr>
          <w:rFonts w:hint="eastAsia" w:ascii="仿宋_GB2312" w:eastAsia="仿宋_GB2312"/>
          <w:sz w:val="32"/>
          <w:szCs w:val="32"/>
        </w:rPr>
        <w:t>所有收入和支出均纳入预算管理。</w:t>
      </w:r>
      <w:r>
        <w:rPr>
          <w:rFonts w:hint="default" w:ascii="仿宋_GB2312" w:eastAsia="仿宋_GB2312"/>
          <w:sz w:val="32"/>
          <w:szCs w:val="32"/>
          <w:lang w:val="en-US"/>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峨眉山市防震减灾服务中心</w:t>
      </w:r>
      <w:r>
        <w:rPr>
          <w:rFonts w:hint="eastAsia" w:ascii="仿宋_GB2312" w:eastAsia="仿宋_GB2312"/>
          <w:sz w:val="32"/>
          <w:szCs w:val="32"/>
        </w:rPr>
        <w:t>收入预算总额为</w:t>
      </w:r>
      <w:r>
        <w:rPr>
          <w:rFonts w:hint="eastAsia" w:ascii="仿宋_GB2312" w:eastAsia="仿宋_GB2312"/>
          <w:sz w:val="32"/>
          <w:szCs w:val="32"/>
          <w:lang w:val="en-US" w:eastAsia="zh-CN"/>
        </w:rPr>
        <w:t>125.75</w:t>
      </w:r>
      <w:r>
        <w:rPr>
          <w:rFonts w:hint="eastAsia" w:ascii="仿宋_GB2312" w:eastAsia="仿宋_GB2312"/>
          <w:sz w:val="32"/>
          <w:szCs w:val="32"/>
        </w:rPr>
        <w:t>万元，较上年预算数</w:t>
      </w:r>
      <w:r>
        <w:rPr>
          <w:rFonts w:hint="eastAsia" w:ascii="仿宋_GB2312" w:eastAsia="仿宋_GB2312"/>
          <w:sz w:val="32"/>
          <w:szCs w:val="32"/>
          <w:lang w:val="en-US" w:eastAsia="zh-CN"/>
        </w:rPr>
        <w:t>增加15.62</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125.75</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125.75</w:t>
      </w:r>
      <w:r>
        <w:rPr>
          <w:rFonts w:hint="eastAsia" w:ascii="仿宋_GB2312" w:eastAsia="仿宋_GB2312"/>
          <w:sz w:val="32"/>
          <w:szCs w:val="32"/>
        </w:rPr>
        <w:t>万元，其中：人员支出</w:t>
      </w:r>
      <w:r>
        <w:rPr>
          <w:rFonts w:hint="eastAsia" w:ascii="仿宋_GB2312" w:eastAsia="仿宋_GB2312"/>
          <w:sz w:val="32"/>
          <w:szCs w:val="32"/>
          <w:lang w:val="en-US" w:eastAsia="zh-CN"/>
        </w:rPr>
        <w:t>103.1</w:t>
      </w:r>
      <w:r>
        <w:rPr>
          <w:rFonts w:hint="eastAsia" w:ascii="仿宋_GB2312" w:eastAsia="仿宋_GB2312"/>
          <w:sz w:val="32"/>
          <w:szCs w:val="32"/>
        </w:rPr>
        <w:t>万元，日常公用支出</w:t>
      </w:r>
      <w:r>
        <w:rPr>
          <w:rFonts w:hint="eastAsia" w:ascii="仿宋_GB2312" w:eastAsia="仿宋_GB2312"/>
          <w:sz w:val="32"/>
          <w:szCs w:val="32"/>
          <w:lang w:val="en-US" w:eastAsia="zh-CN"/>
        </w:rPr>
        <w:t>20.36</w:t>
      </w:r>
      <w:r>
        <w:rPr>
          <w:rFonts w:hint="eastAsia" w:ascii="仿宋_GB2312" w:eastAsia="仿宋_GB2312"/>
          <w:sz w:val="32"/>
          <w:szCs w:val="32"/>
        </w:rPr>
        <w:t>万元，</w:t>
      </w:r>
      <w:r>
        <w:rPr>
          <w:rFonts w:hint="eastAsia" w:ascii="仿宋_GB2312" w:eastAsia="仿宋_GB2312"/>
          <w:sz w:val="32"/>
          <w:szCs w:val="32"/>
          <w:lang w:val="en-US" w:eastAsia="zh-CN"/>
        </w:rPr>
        <w:t>项目</w:t>
      </w:r>
      <w:r>
        <w:rPr>
          <w:rFonts w:hint="eastAsia" w:ascii="仿宋_GB2312" w:eastAsia="仿宋_GB2312"/>
          <w:sz w:val="32"/>
          <w:szCs w:val="32"/>
        </w:rPr>
        <w:t>支出</w:t>
      </w:r>
      <w:r>
        <w:rPr>
          <w:rFonts w:hint="eastAsia" w:ascii="仿宋_GB2312" w:eastAsia="仿宋_GB2312"/>
          <w:sz w:val="32"/>
          <w:szCs w:val="32"/>
          <w:lang w:val="en-US" w:eastAsia="zh-CN"/>
        </w:rPr>
        <w:t>2.28</w:t>
      </w:r>
      <w:r>
        <w:rPr>
          <w:rFonts w:hint="eastAsia" w:ascii="仿宋_GB2312" w:eastAsia="仿宋_GB2312"/>
          <w:sz w:val="32"/>
          <w:szCs w:val="32"/>
        </w:rPr>
        <w:t>万元。</w:t>
      </w:r>
    </w:p>
    <w:p w14:paraId="53813DE8">
      <w:pPr>
        <w:spacing w:line="600" w:lineRule="exact"/>
        <w:ind w:firstLine="640" w:firstLineChars="200"/>
        <w:outlineLvl w:val="1"/>
        <w:rPr>
          <w:rFonts w:ascii="黑体" w:eastAsia="黑体"/>
          <w:sz w:val="32"/>
          <w:szCs w:val="32"/>
        </w:rPr>
      </w:pPr>
      <w:bookmarkStart w:id="10" w:name="_Toc30152"/>
      <w:r>
        <w:rPr>
          <w:rFonts w:hint="eastAsia" w:ascii="黑体" w:eastAsia="黑体"/>
          <w:sz w:val="32"/>
          <w:szCs w:val="32"/>
          <w:lang w:val="en-US" w:eastAsia="zh-CN"/>
        </w:rPr>
        <w:t>三</w:t>
      </w:r>
      <w:r>
        <w:rPr>
          <w:rFonts w:hint="eastAsia" w:ascii="黑体" w:eastAsia="黑体"/>
          <w:sz w:val="32"/>
          <w:szCs w:val="32"/>
        </w:rPr>
        <w:t>、财政拨款支出预算安排情况</w:t>
      </w:r>
      <w:bookmarkEnd w:id="10"/>
    </w:p>
    <w:p w14:paraId="1AC29DBD">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峨眉山市防震减灾服务中心</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125.75</w:t>
      </w:r>
      <w:r>
        <w:rPr>
          <w:rFonts w:hint="eastAsia" w:ascii="仿宋_GB2312" w:eastAsia="仿宋_GB2312"/>
          <w:sz w:val="32"/>
          <w:szCs w:val="32"/>
        </w:rPr>
        <w:t>万元，主要用于保障</w:t>
      </w:r>
      <w:r>
        <w:rPr>
          <w:rFonts w:hint="eastAsia" w:ascii="仿宋_GB2312" w:eastAsia="仿宋_GB2312"/>
          <w:sz w:val="32"/>
          <w:szCs w:val="32"/>
          <w:lang w:val="en-US" w:eastAsia="zh-CN"/>
        </w:rPr>
        <w:t>峨眉山市防震减灾服务中心</w:t>
      </w:r>
      <w:r>
        <w:rPr>
          <w:rFonts w:hint="eastAsia" w:ascii="仿宋_GB2312" w:eastAsia="仿宋_GB2312"/>
          <w:sz w:val="32"/>
          <w:szCs w:val="32"/>
        </w:rPr>
        <w:t>机构正常运转、完成日常工作任务以及承担</w:t>
      </w:r>
      <w:r>
        <w:rPr>
          <w:rFonts w:hint="eastAsia" w:ascii="仿宋_GB2312" w:eastAsia="仿宋_GB2312"/>
          <w:sz w:val="32"/>
          <w:szCs w:val="32"/>
          <w:lang w:val="en-US" w:eastAsia="zh-CN"/>
        </w:rPr>
        <w:t>峨眉山市防震减灾</w:t>
      </w:r>
      <w:r>
        <w:rPr>
          <w:rFonts w:hint="eastAsia" w:ascii="仿宋_GB2312" w:eastAsia="仿宋_GB2312"/>
          <w:sz w:val="32"/>
          <w:szCs w:val="32"/>
        </w:rPr>
        <w:t>事业发展相关工作。其中：</w:t>
      </w:r>
    </w:p>
    <w:p w14:paraId="351DA100">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123.47</w:t>
      </w:r>
      <w:r>
        <w:rPr>
          <w:rFonts w:hint="eastAsia" w:ascii="仿宋_GB2312" w:eastAsia="仿宋_GB2312"/>
          <w:sz w:val="32"/>
          <w:szCs w:val="32"/>
        </w:rPr>
        <w:t>万元，是用于保障</w:t>
      </w:r>
      <w:r>
        <w:rPr>
          <w:rFonts w:hint="eastAsia" w:ascii="仿宋_GB2312" w:eastAsia="仿宋_GB2312"/>
          <w:sz w:val="32"/>
          <w:szCs w:val="32"/>
          <w:lang w:val="en-US" w:eastAsia="zh-CN"/>
        </w:rPr>
        <w:t>峨眉山市防震减灾服务中心</w:t>
      </w:r>
      <w:r>
        <w:rPr>
          <w:rFonts w:hint="eastAsia" w:ascii="仿宋_GB2312" w:eastAsia="仿宋_GB2312"/>
          <w:sz w:val="32"/>
          <w:szCs w:val="32"/>
        </w:rPr>
        <w:t>正常运转的日常支出，包括基本工资、津贴补贴等人员经费以及办公费、印刷费、水电费、办公设备购置等日常公用经费。</w:t>
      </w:r>
    </w:p>
    <w:p w14:paraId="323996A2">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2.28</w:t>
      </w:r>
      <w:r>
        <w:rPr>
          <w:rFonts w:hint="eastAsia" w:ascii="仿宋_GB2312" w:eastAsia="仿宋_GB2312"/>
          <w:sz w:val="32"/>
          <w:szCs w:val="32"/>
        </w:rPr>
        <w:t>万元，是用于保障</w:t>
      </w:r>
      <w:r>
        <w:rPr>
          <w:rFonts w:hint="eastAsia" w:ascii="仿宋_GB2312" w:eastAsia="仿宋_GB2312"/>
          <w:sz w:val="32"/>
          <w:szCs w:val="32"/>
          <w:lang w:val="en-US" w:eastAsia="zh-CN"/>
        </w:rPr>
        <w:t>峨眉山市防震减灾服务中心</w:t>
      </w:r>
      <w:r>
        <w:rPr>
          <w:rFonts w:hint="eastAsia" w:ascii="仿宋_GB2312" w:eastAsia="仿宋_GB2312"/>
          <w:sz w:val="32"/>
          <w:szCs w:val="32"/>
        </w:rPr>
        <w:t>为完成特定的行政工作任务或事业发展目标，用于专项业务工作的经费支出。</w:t>
      </w:r>
    </w:p>
    <w:p w14:paraId="0DE36351">
      <w:pPr>
        <w:spacing w:line="600" w:lineRule="exact"/>
        <w:ind w:firstLine="640" w:firstLineChars="200"/>
        <w:outlineLvl w:val="1"/>
        <w:rPr>
          <w:rFonts w:ascii="黑体" w:eastAsia="黑体"/>
          <w:sz w:val="32"/>
          <w:szCs w:val="32"/>
        </w:rPr>
      </w:pPr>
      <w:bookmarkStart w:id="11" w:name="_Toc11164"/>
      <w:r>
        <w:rPr>
          <w:rFonts w:hint="eastAsia" w:ascii="黑体" w:eastAsia="黑体"/>
          <w:sz w:val="32"/>
          <w:szCs w:val="32"/>
          <w:lang w:val="en-US" w:eastAsia="zh-CN"/>
        </w:rPr>
        <w:t>四</w:t>
      </w:r>
      <w:r>
        <w:rPr>
          <w:rFonts w:hint="eastAsia" w:ascii="黑体" w:eastAsia="黑体"/>
          <w:sz w:val="32"/>
          <w:szCs w:val="32"/>
        </w:rPr>
        <w:t>、一般公共预算当年拨款情况说明</w:t>
      </w:r>
      <w:bookmarkEnd w:id="11"/>
    </w:p>
    <w:p w14:paraId="39617CA7">
      <w:pPr>
        <w:numPr>
          <w:ilvl w:val="0"/>
          <w:numId w:val="0"/>
        </w:numPr>
        <w:spacing w:line="600" w:lineRule="exact"/>
        <w:ind w:left="420" w:leftChars="0"/>
        <w:outlineLvl w:val="1"/>
        <w:rPr>
          <w:rFonts w:hint="eastAsia" w:ascii="楷体_GB2312" w:hAnsi="楷体_GB2312" w:eastAsia="楷体_GB2312" w:cs="楷体_GB2312"/>
          <w:sz w:val="32"/>
          <w:szCs w:val="32"/>
        </w:rPr>
      </w:pPr>
      <w:bookmarkStart w:id="12" w:name="_Toc17669"/>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一般公共预算当年拨款规模及变化情况</w:t>
      </w:r>
      <w:bookmarkEnd w:id="12"/>
    </w:p>
    <w:p w14:paraId="79446B5B">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峨眉山市防震减灾服务中心</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125.75</w:t>
      </w:r>
      <w:r>
        <w:rPr>
          <w:rFonts w:hint="eastAsia" w:ascii="仿宋_GB2312" w:eastAsia="仿宋_GB2312"/>
          <w:sz w:val="32"/>
          <w:szCs w:val="32"/>
        </w:rPr>
        <w:t>万元，较上年预算数</w:t>
      </w:r>
      <w:r>
        <w:rPr>
          <w:rFonts w:hint="eastAsia" w:ascii="仿宋_GB2312" w:eastAsia="仿宋_GB2312"/>
          <w:sz w:val="32"/>
          <w:szCs w:val="32"/>
          <w:lang w:val="en-US" w:eastAsia="zh-CN"/>
        </w:rPr>
        <w:t>增加15.62</w:t>
      </w:r>
      <w:r>
        <w:rPr>
          <w:rFonts w:hint="eastAsia" w:ascii="仿宋_GB2312" w:eastAsia="仿宋_GB2312"/>
          <w:sz w:val="32"/>
          <w:szCs w:val="32"/>
        </w:rPr>
        <w:t>万元。主要原因是</w:t>
      </w:r>
      <w:r>
        <w:rPr>
          <w:rFonts w:hint="eastAsia" w:ascii="仿宋_GB2312" w:eastAsia="仿宋_GB2312"/>
          <w:sz w:val="32"/>
          <w:szCs w:val="32"/>
          <w:lang w:val="en-US" w:eastAsia="zh-CN"/>
        </w:rPr>
        <w:t>人员增加</w:t>
      </w:r>
      <w:r>
        <w:rPr>
          <w:rFonts w:hint="eastAsia" w:ascii="仿宋_GB2312" w:eastAsia="仿宋_GB2312"/>
          <w:sz w:val="32"/>
          <w:szCs w:val="32"/>
        </w:rPr>
        <w:t>。</w:t>
      </w:r>
    </w:p>
    <w:p w14:paraId="6E58E2AC">
      <w:pPr>
        <w:numPr>
          <w:ilvl w:val="0"/>
          <w:numId w:val="0"/>
        </w:numPr>
        <w:spacing w:line="600" w:lineRule="exact"/>
        <w:ind w:left="420" w:leftChars="0"/>
        <w:outlineLvl w:val="1"/>
        <w:rPr>
          <w:rFonts w:hint="eastAsia" w:ascii="楷体_GB2312" w:hAnsi="楷体_GB2312" w:eastAsia="楷体_GB2312" w:cs="楷体_GB2312"/>
          <w:sz w:val="32"/>
          <w:szCs w:val="32"/>
        </w:rPr>
      </w:pPr>
      <w:bookmarkStart w:id="13" w:name="_Toc13198"/>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一般公共预算当年拨款结构情况</w:t>
      </w:r>
      <w:bookmarkEnd w:id="13"/>
    </w:p>
    <w:p w14:paraId="7C74A48D">
      <w:pPr>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社会保障和就业支出</w:t>
      </w:r>
      <w:r>
        <w:rPr>
          <w:rFonts w:hint="eastAsia" w:ascii="仿宋_GB2312" w:eastAsia="仿宋_GB2312"/>
          <w:color w:val="000000" w:themeColor="text1"/>
          <w:sz w:val="32"/>
          <w:szCs w:val="32"/>
          <w:lang w:val="en-US" w:eastAsia="zh-CN"/>
          <w14:textFill>
            <w14:solidFill>
              <w14:schemeClr w14:val="tx1"/>
            </w14:solidFill>
          </w14:textFill>
        </w:rPr>
        <w:t>17.17</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13.65</w:t>
      </w:r>
      <w:r>
        <w:rPr>
          <w:rFonts w:hint="eastAsia" w:ascii="仿宋_GB2312" w:eastAsia="仿宋_GB2312"/>
          <w:color w:val="000000" w:themeColor="text1"/>
          <w:sz w:val="32"/>
          <w:szCs w:val="32"/>
          <w14:textFill>
            <w14:solidFill>
              <w14:schemeClr w14:val="tx1"/>
            </w14:solidFill>
          </w14:textFill>
        </w:rPr>
        <w:t>%；卫生健康支出</w:t>
      </w:r>
      <w:r>
        <w:rPr>
          <w:rFonts w:hint="eastAsia" w:ascii="仿宋_GB2312" w:eastAsia="仿宋_GB2312"/>
          <w:color w:val="000000" w:themeColor="text1"/>
          <w:sz w:val="32"/>
          <w:szCs w:val="32"/>
          <w:lang w:val="en-US" w:eastAsia="zh-CN"/>
          <w14:textFill>
            <w14:solidFill>
              <w14:schemeClr w14:val="tx1"/>
            </w14:solidFill>
          </w14:textFill>
        </w:rPr>
        <w:t>5.08</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4.04</w:t>
      </w:r>
      <w:r>
        <w:rPr>
          <w:rFonts w:hint="eastAsia" w:ascii="仿宋_GB2312" w:eastAsia="仿宋_GB2312"/>
          <w:color w:val="000000" w:themeColor="text1"/>
          <w:sz w:val="32"/>
          <w:szCs w:val="32"/>
          <w14:textFill>
            <w14:solidFill>
              <w14:schemeClr w14:val="tx1"/>
            </w14:solidFill>
          </w14:textFill>
        </w:rPr>
        <w:t>%；住房保障支出</w:t>
      </w:r>
      <w:r>
        <w:rPr>
          <w:rFonts w:hint="eastAsia" w:ascii="仿宋_GB2312" w:eastAsia="仿宋_GB2312"/>
          <w:color w:val="000000" w:themeColor="text1"/>
          <w:sz w:val="32"/>
          <w:szCs w:val="32"/>
          <w:lang w:val="en-US" w:eastAsia="zh-CN"/>
          <w14:textFill>
            <w14:solidFill>
              <w14:schemeClr w14:val="tx1"/>
            </w14:solidFill>
          </w14:textFill>
        </w:rPr>
        <w:t>9.81</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7.8</w:t>
      </w:r>
      <w:r>
        <w:rPr>
          <w:rFonts w:hint="eastAsia" w:ascii="仿宋_GB2312" w:eastAsia="仿宋_GB2312"/>
          <w:color w:val="000000" w:themeColor="text1"/>
          <w:sz w:val="32"/>
          <w:szCs w:val="32"/>
          <w14:textFill>
            <w14:solidFill>
              <w14:schemeClr w14:val="tx1"/>
            </w14:solidFill>
          </w14:textFill>
        </w:rPr>
        <w:t>%；灾害防治及应急管理支出</w:t>
      </w:r>
      <w:r>
        <w:rPr>
          <w:rFonts w:hint="eastAsia" w:ascii="仿宋_GB2312" w:eastAsia="仿宋_GB2312"/>
          <w:color w:val="000000" w:themeColor="text1"/>
          <w:sz w:val="32"/>
          <w:szCs w:val="32"/>
          <w:lang w:val="en-US" w:eastAsia="zh-CN"/>
          <w14:textFill>
            <w14:solidFill>
              <w14:schemeClr w14:val="tx1"/>
            </w14:solidFill>
          </w14:textFill>
        </w:rPr>
        <w:t>93.70</w:t>
      </w:r>
      <w:r>
        <w:rPr>
          <w:rFonts w:hint="eastAsia" w:ascii="仿宋_GB2312" w:eastAsia="仿宋_GB2312"/>
          <w:color w:val="000000" w:themeColor="text1"/>
          <w:sz w:val="32"/>
          <w:szCs w:val="32"/>
          <w14:textFill>
            <w14:solidFill>
              <w14:schemeClr w14:val="tx1"/>
            </w14:solidFill>
          </w14:textFill>
        </w:rPr>
        <w:t>万</w:t>
      </w:r>
      <w:r>
        <w:rPr>
          <w:rFonts w:hint="eastAsia" w:ascii="仿宋_GB2312" w:eastAsia="仿宋_GB2312"/>
          <w:color w:val="000000" w:themeColor="text1"/>
          <w:sz w:val="32"/>
          <w:szCs w:val="32"/>
          <w:lang w:val="en-US" w:eastAsia="zh-CN"/>
          <w14:textFill>
            <w14:solidFill>
              <w14:schemeClr w14:val="tx1"/>
            </w14:solidFill>
          </w14:textFill>
        </w:rPr>
        <w:t>元</w:t>
      </w:r>
      <w:r>
        <w:rPr>
          <w:rFonts w:hint="eastAsia" w:ascii="仿宋_GB2312" w:eastAsia="仿宋_GB2312"/>
          <w:color w:val="000000" w:themeColor="text1"/>
          <w:sz w:val="32"/>
          <w:szCs w:val="32"/>
          <w14:textFill>
            <w14:solidFill>
              <w14:schemeClr w14:val="tx1"/>
            </w14:solidFill>
          </w14:textFill>
        </w:rPr>
        <w:t>，占</w:t>
      </w:r>
      <w:r>
        <w:rPr>
          <w:rFonts w:hint="eastAsia" w:ascii="仿宋_GB2312" w:eastAsia="仿宋_GB2312"/>
          <w:color w:val="000000" w:themeColor="text1"/>
          <w:sz w:val="32"/>
          <w:szCs w:val="32"/>
          <w:lang w:val="en-US" w:eastAsia="zh-CN"/>
          <w14:textFill>
            <w14:solidFill>
              <w14:schemeClr w14:val="tx1"/>
            </w14:solidFill>
          </w14:textFill>
        </w:rPr>
        <w:t>74.51</w:t>
      </w:r>
      <w:r>
        <w:rPr>
          <w:rFonts w:hint="eastAsia" w:ascii="仿宋_GB2312" w:eastAsia="仿宋_GB2312"/>
          <w:color w:val="000000" w:themeColor="text1"/>
          <w:sz w:val="32"/>
          <w:szCs w:val="32"/>
          <w14:textFill>
            <w14:solidFill>
              <w14:schemeClr w14:val="tx1"/>
            </w14:solidFill>
          </w14:textFill>
        </w:rPr>
        <w:t>%。</w:t>
      </w:r>
    </w:p>
    <w:p w14:paraId="357A9B69">
      <w:pPr>
        <w:numPr>
          <w:ilvl w:val="0"/>
          <w:numId w:val="0"/>
        </w:numPr>
        <w:spacing w:line="600" w:lineRule="exact"/>
        <w:ind w:left="420" w:leftChars="0"/>
        <w:outlineLvl w:val="1"/>
        <w:rPr>
          <w:rFonts w:hint="eastAsia" w:ascii="楷体_GB2312" w:hAnsi="楷体_GB2312" w:eastAsia="楷体_GB2312" w:cs="楷体_GB2312"/>
          <w:sz w:val="32"/>
          <w:szCs w:val="32"/>
        </w:rPr>
      </w:pPr>
      <w:bookmarkStart w:id="14" w:name="_Toc13654"/>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一般公共预算当年拨款具体使用情况</w:t>
      </w:r>
      <w:bookmarkEnd w:id="14"/>
    </w:p>
    <w:p w14:paraId="0592B61E">
      <w:pPr>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1．社会保障和就业（类）行政事业单位养老（款）机关事业单位基本养老保险缴费（项），202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11.37</w:t>
      </w:r>
      <w:r>
        <w:rPr>
          <w:rFonts w:hint="eastAsia" w:ascii="仿宋_GB2312" w:eastAsia="仿宋_GB2312"/>
          <w:color w:val="000000" w:themeColor="text1"/>
          <w:sz w:val="32"/>
          <w:szCs w:val="32"/>
          <w14:textFill>
            <w14:solidFill>
              <w14:schemeClr w14:val="tx1"/>
            </w14:solidFill>
          </w14:textFill>
        </w:rPr>
        <w:t>万元，主要用于：按人力资源和社会保障部、财政部规定的基本工资和津贴补贴以及规定比例为职工缴纳的养老保险支出。</w:t>
      </w:r>
    </w:p>
    <w:p w14:paraId="2AB70034">
      <w:pPr>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2.社会保障和就业（类）行政事业单位养老（款）机关事业单位职业年金缴费（项），202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5.68</w:t>
      </w:r>
      <w:r>
        <w:rPr>
          <w:rFonts w:hint="eastAsia" w:ascii="仿宋_GB2312" w:eastAsia="仿宋_GB2312"/>
          <w:color w:val="000000" w:themeColor="text1"/>
          <w:sz w:val="32"/>
          <w:szCs w:val="32"/>
          <w14:textFill>
            <w14:solidFill>
              <w14:schemeClr w14:val="tx1"/>
            </w14:solidFill>
          </w14:textFill>
        </w:rPr>
        <w:t>万元，主要用于：按人力资源和社会保障部、财政部规定的基本工资和津贴补贴以及规定比例为职工缴纳的职业年金支出。</w:t>
      </w:r>
    </w:p>
    <w:p w14:paraId="79DFDF93">
      <w:pPr>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3.社会保障和就业（类）其他社会保障和就业（款）其他社会保障和就业（项），202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0.11</w:t>
      </w:r>
      <w:r>
        <w:rPr>
          <w:rFonts w:hint="eastAsia" w:ascii="仿宋_GB2312" w:eastAsia="仿宋_GB2312"/>
          <w:color w:val="000000" w:themeColor="text1"/>
          <w:sz w:val="32"/>
          <w:szCs w:val="32"/>
          <w14:textFill>
            <w14:solidFill>
              <w14:schemeClr w14:val="tx1"/>
            </w14:solidFill>
          </w14:textFill>
        </w:rPr>
        <w:t>万元，主要用于：按人力资源和社会保障部、财政部规定的基本工资和津贴补贴以及规定比例为职工缴纳的工伤保险支出。</w:t>
      </w:r>
    </w:p>
    <w:p w14:paraId="13E87146">
      <w:pPr>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4．卫生健康（类）行政事业单位医疗（款）行政单位医疗（项），202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5.08</w:t>
      </w:r>
      <w:r>
        <w:rPr>
          <w:rFonts w:hint="eastAsia" w:ascii="仿宋_GB2312" w:eastAsia="仿宋_GB2312"/>
          <w:color w:val="000000" w:themeColor="text1"/>
          <w:sz w:val="32"/>
          <w:szCs w:val="32"/>
          <w14:textFill>
            <w14:solidFill>
              <w14:schemeClr w14:val="tx1"/>
            </w14:solidFill>
          </w14:textFill>
        </w:rPr>
        <w:t>万元，主要用于：按人力资源和社会保障部、财政部规定的基本工资和津贴补贴以及规定比例为职工缴纳的医疗保险支出。</w:t>
      </w:r>
    </w:p>
    <w:p w14:paraId="2CD36E9C">
      <w:pPr>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5．住房保障（类）住房改革支出（款）住房公积金（项），202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9.81</w:t>
      </w:r>
      <w:r>
        <w:rPr>
          <w:rFonts w:hint="eastAsia" w:ascii="仿宋_GB2312" w:eastAsia="仿宋_GB2312"/>
          <w:color w:val="000000" w:themeColor="text1"/>
          <w:sz w:val="32"/>
          <w:szCs w:val="32"/>
          <w14:textFill>
            <w14:solidFill>
              <w14:schemeClr w14:val="tx1"/>
            </w14:solidFill>
          </w14:textFill>
        </w:rPr>
        <w:t>万元，主要用于：按人力资源和社会保障部、财政部规定的基本工资和津贴补贴以及规定比例为职工缴纳的住房公积金支出。</w:t>
      </w:r>
    </w:p>
    <w:p w14:paraId="5AF0E94E">
      <w:pPr>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6.灾害防治及应急管理（类）地震事务（款）行政运行（项），202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93.70</w:t>
      </w:r>
      <w:r>
        <w:rPr>
          <w:rFonts w:hint="eastAsia" w:ascii="仿宋_GB2312" w:eastAsia="仿宋_GB2312"/>
          <w:color w:val="000000" w:themeColor="text1"/>
          <w:sz w:val="32"/>
          <w:szCs w:val="32"/>
          <w14:textFill>
            <w14:solidFill>
              <w14:schemeClr w14:val="tx1"/>
            </w14:solidFill>
          </w14:textFill>
        </w:rPr>
        <w:t>万元，主要用于：地震事务方面的基本支出。</w:t>
      </w:r>
    </w:p>
    <w:p w14:paraId="0003A8E7">
      <w:pPr>
        <w:spacing w:line="600" w:lineRule="exact"/>
        <w:ind w:firstLine="640" w:firstLineChars="200"/>
        <w:outlineLvl w:val="1"/>
        <w:rPr>
          <w:rFonts w:ascii="黑体" w:eastAsia="黑体"/>
          <w:sz w:val="32"/>
          <w:szCs w:val="32"/>
        </w:rPr>
      </w:pPr>
      <w:bookmarkStart w:id="15" w:name="_Toc3776"/>
      <w:r>
        <w:rPr>
          <w:rFonts w:hint="eastAsia" w:ascii="黑体" w:eastAsia="黑体"/>
          <w:sz w:val="32"/>
          <w:szCs w:val="32"/>
          <w:lang w:val="en-US" w:eastAsia="zh-CN"/>
        </w:rPr>
        <w:t>五</w:t>
      </w:r>
      <w:r>
        <w:rPr>
          <w:rFonts w:hint="eastAsia" w:ascii="黑体" w:eastAsia="黑体"/>
          <w:sz w:val="32"/>
          <w:szCs w:val="32"/>
        </w:rPr>
        <w:t>、一般公共预算基本支出情况说明</w:t>
      </w:r>
      <w:bookmarkEnd w:id="15"/>
    </w:p>
    <w:p w14:paraId="74082993">
      <w:pPr>
        <w:spacing w:line="600" w:lineRule="exact"/>
        <w:ind w:firstLine="640" w:firstLineChars="200"/>
        <w:outlineLvl w:val="1"/>
        <w:rPr>
          <w:rFonts w:ascii="仿宋_GB2312" w:eastAsia="仿宋_GB2312"/>
          <w:sz w:val="32"/>
          <w:szCs w:val="32"/>
        </w:rPr>
      </w:pPr>
      <w:bookmarkStart w:id="16" w:name="_Toc20848"/>
      <w:r>
        <w:rPr>
          <w:rFonts w:hint="eastAsia" w:ascii="仿宋_GB2312" w:eastAsia="仿宋_GB2312"/>
          <w:sz w:val="32"/>
          <w:szCs w:val="32"/>
          <w:lang w:val="en-US" w:eastAsia="zh-CN"/>
        </w:rPr>
        <w:t>峨眉山市防震减灾服务中心</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125.75</w:t>
      </w:r>
      <w:r>
        <w:rPr>
          <w:rFonts w:hint="eastAsia" w:ascii="仿宋_GB2312" w:eastAsia="仿宋_GB2312"/>
          <w:sz w:val="32"/>
          <w:szCs w:val="32"/>
        </w:rPr>
        <w:t>万元，其中：</w:t>
      </w:r>
      <w:bookmarkEnd w:id="16"/>
    </w:p>
    <w:p w14:paraId="45D173CB">
      <w:pPr>
        <w:spacing w:line="600" w:lineRule="exact"/>
        <w:ind w:firstLine="640" w:firstLineChars="200"/>
        <w:outlineLvl w:val="1"/>
        <w:rPr>
          <w:rFonts w:hint="eastAsia" w:ascii="仿宋_GB2312" w:eastAsia="仿宋_GB2312"/>
          <w:color w:val="000000" w:themeColor="text1"/>
          <w:sz w:val="32"/>
          <w:szCs w:val="32"/>
          <w14:textFill>
            <w14:solidFill>
              <w14:schemeClr w14:val="tx1"/>
            </w14:solidFill>
          </w14:textFill>
        </w:rPr>
      </w:pPr>
      <w:bookmarkStart w:id="17" w:name="_Toc6922"/>
      <w:r>
        <w:rPr>
          <w:rFonts w:hint="eastAsia" w:ascii="仿宋_GB2312" w:eastAsia="仿宋_GB2312"/>
          <w:sz w:val="32"/>
          <w:szCs w:val="32"/>
        </w:rPr>
        <w:t>人员经费</w:t>
      </w:r>
      <w:r>
        <w:rPr>
          <w:rFonts w:hint="eastAsia" w:ascii="仿宋_GB2312" w:eastAsia="仿宋_GB2312"/>
          <w:sz w:val="32"/>
          <w:szCs w:val="32"/>
          <w:lang w:val="en-US" w:eastAsia="zh-CN"/>
        </w:rPr>
        <w:t>103.1</w:t>
      </w:r>
      <w:r>
        <w:rPr>
          <w:rFonts w:hint="eastAsia" w:ascii="仿宋_GB2312" w:eastAsia="仿宋_GB2312"/>
          <w:sz w:val="32"/>
          <w:szCs w:val="32"/>
        </w:rPr>
        <w:t>万元，主要包括：</w:t>
      </w:r>
      <w:r>
        <w:rPr>
          <w:rFonts w:hint="eastAsia" w:ascii="仿宋_GB2312" w:eastAsia="仿宋_GB2312"/>
          <w:color w:val="000000" w:themeColor="text1"/>
          <w:sz w:val="32"/>
          <w:szCs w:val="32"/>
          <w14:textFill>
            <w14:solidFill>
              <w14:schemeClr w14:val="tx1"/>
            </w14:solidFill>
          </w14:textFill>
        </w:rPr>
        <w:t>基本工资、津贴补贴、奖金、养老保险缴费、职业年金缴费、医疗保险缴费、工伤保险缴费、住房公积金缴费</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其他对个人和家庭补助缴费</w:t>
      </w:r>
      <w:r>
        <w:rPr>
          <w:rFonts w:hint="eastAsia" w:ascii="仿宋_GB2312" w:eastAsia="仿宋_GB2312"/>
          <w:color w:val="000000" w:themeColor="text1"/>
          <w:sz w:val="32"/>
          <w:szCs w:val="32"/>
          <w14:textFill>
            <w14:solidFill>
              <w14:schemeClr w14:val="tx1"/>
            </w14:solidFill>
          </w14:textFill>
        </w:rPr>
        <w:t>。</w:t>
      </w:r>
      <w:bookmarkEnd w:id="17"/>
    </w:p>
    <w:p w14:paraId="4CCB6217">
      <w:pPr>
        <w:spacing w:line="600" w:lineRule="exact"/>
        <w:ind w:firstLine="640" w:firstLineChars="200"/>
        <w:outlineLvl w:val="1"/>
        <w:rPr>
          <w:rFonts w:hint="eastAsia" w:ascii="仿宋_GB2312" w:eastAsia="仿宋_GB2312"/>
          <w:color w:val="000000" w:themeColor="text1"/>
          <w:sz w:val="32"/>
          <w:szCs w:val="32"/>
          <w14:textFill>
            <w14:solidFill>
              <w14:schemeClr w14:val="tx1"/>
            </w14:solidFill>
          </w14:textFill>
        </w:rPr>
      </w:pPr>
      <w:bookmarkStart w:id="18" w:name="_Toc19950"/>
      <w:r>
        <w:rPr>
          <w:rFonts w:hint="eastAsia" w:ascii="仿宋_GB2312" w:eastAsia="仿宋_GB2312"/>
          <w:sz w:val="32"/>
          <w:szCs w:val="32"/>
        </w:rPr>
        <w:t>公用经费</w:t>
      </w:r>
      <w:r>
        <w:rPr>
          <w:rFonts w:hint="eastAsia" w:ascii="仿宋_GB2312" w:eastAsia="仿宋_GB2312"/>
          <w:sz w:val="32"/>
          <w:szCs w:val="32"/>
          <w:lang w:val="en-US" w:eastAsia="zh-CN"/>
        </w:rPr>
        <w:t>20.36</w:t>
      </w:r>
      <w:r>
        <w:rPr>
          <w:rFonts w:hint="eastAsia" w:ascii="仿宋_GB2312" w:eastAsia="仿宋_GB2312"/>
          <w:sz w:val="32"/>
          <w:szCs w:val="32"/>
        </w:rPr>
        <w:t>万元，主要包括：</w:t>
      </w:r>
      <w:r>
        <w:rPr>
          <w:rFonts w:hint="eastAsia" w:ascii="仿宋_GB2312" w:eastAsia="仿宋_GB2312"/>
          <w:color w:val="000000" w:themeColor="text1"/>
          <w:sz w:val="32"/>
          <w:szCs w:val="32"/>
          <w14:textFill>
            <w14:solidFill>
              <w14:schemeClr w14:val="tx1"/>
            </w14:solidFill>
          </w14:textFill>
        </w:rPr>
        <w:t>办公费、印刷费、手续费、水费、电费、差旅费、伙食补助费、维护费、工会费、公务用车运行费、其他交通费。</w:t>
      </w:r>
      <w:bookmarkEnd w:id="18"/>
    </w:p>
    <w:p w14:paraId="5BE3792E">
      <w:pPr>
        <w:spacing w:line="600" w:lineRule="exact"/>
        <w:ind w:firstLine="640" w:firstLineChars="200"/>
        <w:outlineLvl w:val="1"/>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sz w:val="32"/>
          <w:szCs w:val="32"/>
        </w:rPr>
        <w:t>项目</w:t>
      </w:r>
      <w:r>
        <w:rPr>
          <w:rFonts w:hint="eastAsia" w:ascii="仿宋_GB2312" w:eastAsia="仿宋_GB2312"/>
          <w:sz w:val="32"/>
          <w:szCs w:val="32"/>
          <w:lang w:val="en-US" w:eastAsia="zh-CN"/>
        </w:rPr>
        <w:t>经费2.28</w:t>
      </w:r>
      <w:r>
        <w:rPr>
          <w:rFonts w:hint="eastAsia" w:ascii="仿宋_GB2312" w:eastAsia="仿宋_GB2312"/>
          <w:sz w:val="32"/>
          <w:szCs w:val="32"/>
        </w:rPr>
        <w:t>万元，</w:t>
      </w:r>
      <w:r>
        <w:rPr>
          <w:rFonts w:hint="eastAsia" w:ascii="仿宋_GB2312" w:eastAsia="仿宋_GB2312"/>
          <w:sz w:val="32"/>
          <w:szCs w:val="32"/>
          <w:lang w:val="en-US" w:eastAsia="zh-CN"/>
        </w:rPr>
        <w:t>主要包括：地震监测、其他地震事务。</w:t>
      </w:r>
    </w:p>
    <w:p w14:paraId="7F818845">
      <w:pPr>
        <w:spacing w:line="600" w:lineRule="exact"/>
        <w:ind w:firstLine="640" w:firstLineChars="200"/>
        <w:outlineLvl w:val="1"/>
        <w:rPr>
          <w:rFonts w:ascii="黑体" w:eastAsia="黑体"/>
          <w:sz w:val="32"/>
          <w:szCs w:val="32"/>
        </w:rPr>
      </w:pPr>
      <w:bookmarkStart w:id="19" w:name="_Toc30742"/>
      <w:r>
        <w:rPr>
          <w:rFonts w:hint="eastAsia" w:ascii="黑体" w:eastAsia="黑体"/>
          <w:sz w:val="32"/>
          <w:szCs w:val="32"/>
          <w:lang w:val="en-US" w:eastAsia="zh-CN"/>
        </w:rPr>
        <w:t>六</w:t>
      </w:r>
      <w:r>
        <w:rPr>
          <w:rFonts w:hint="eastAsia" w:ascii="黑体" w:eastAsia="黑体"/>
          <w:sz w:val="32"/>
          <w:szCs w:val="32"/>
        </w:rPr>
        <w:t>、政府性基金预算支出规模及变化情况说明</w:t>
      </w:r>
      <w:bookmarkEnd w:id="19"/>
    </w:p>
    <w:p w14:paraId="133FBA36">
      <w:pPr>
        <w:spacing w:line="600" w:lineRule="exact"/>
        <w:ind w:firstLine="640" w:firstLineChars="200"/>
        <w:outlineLvl w:val="1"/>
        <w:rPr>
          <w:rFonts w:ascii="仿宋_GB2312" w:eastAsia="仿宋_GB2312"/>
          <w:b/>
          <w:color w:val="FF0000"/>
          <w:sz w:val="32"/>
          <w:szCs w:val="32"/>
        </w:rPr>
      </w:pPr>
      <w:bookmarkStart w:id="20" w:name="_Toc6992"/>
      <w:r>
        <w:rPr>
          <w:rFonts w:hint="eastAsia" w:ascii="仿宋_GB2312" w:eastAsia="仿宋_GB2312"/>
          <w:sz w:val="32"/>
          <w:szCs w:val="32"/>
          <w:lang w:val="en-US" w:eastAsia="zh-CN"/>
        </w:rPr>
        <w:t>峨眉山市防震减灾服务中心</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5年无政府性基金预算。</w:t>
      </w:r>
      <w:bookmarkEnd w:id="20"/>
    </w:p>
    <w:p w14:paraId="645F4ECB">
      <w:pPr>
        <w:spacing w:line="600" w:lineRule="exact"/>
        <w:ind w:firstLine="640" w:firstLineChars="200"/>
        <w:outlineLvl w:val="1"/>
        <w:rPr>
          <w:rFonts w:ascii="黑体" w:eastAsia="黑体"/>
          <w:sz w:val="32"/>
          <w:szCs w:val="32"/>
        </w:rPr>
      </w:pPr>
      <w:bookmarkStart w:id="21" w:name="_Toc19967"/>
      <w:r>
        <w:rPr>
          <w:rFonts w:hint="eastAsia" w:ascii="黑体" w:eastAsia="黑体"/>
          <w:sz w:val="32"/>
          <w:szCs w:val="32"/>
          <w:lang w:val="en-US" w:eastAsia="zh-CN"/>
        </w:rPr>
        <w:t>七</w:t>
      </w:r>
      <w:r>
        <w:rPr>
          <w:rFonts w:hint="eastAsia" w:ascii="黑体" w:eastAsia="黑体"/>
          <w:sz w:val="32"/>
          <w:szCs w:val="32"/>
        </w:rPr>
        <w:t>、“三公”经费预算安排情况说明</w:t>
      </w:r>
      <w:bookmarkEnd w:id="21"/>
    </w:p>
    <w:p w14:paraId="22C5CB1B">
      <w:pPr>
        <w:spacing w:line="600" w:lineRule="exact"/>
        <w:ind w:firstLine="640" w:firstLineChars="200"/>
        <w:outlineLvl w:val="1"/>
        <w:rPr>
          <w:rFonts w:ascii="楷体_GB2312" w:eastAsia="楷体_GB2312"/>
          <w:sz w:val="32"/>
          <w:szCs w:val="32"/>
        </w:rPr>
      </w:pPr>
      <w:bookmarkStart w:id="22" w:name="_Toc7311"/>
      <w:r>
        <w:rPr>
          <w:rFonts w:hint="eastAsia" w:ascii="仿宋_GB2312" w:eastAsia="仿宋_GB2312"/>
          <w:sz w:val="32"/>
          <w:szCs w:val="32"/>
          <w:lang w:val="en-US" w:eastAsia="zh-CN"/>
        </w:rPr>
        <w:t>峨眉山市防震减灾服务中心</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eastAsia" w:ascii="仿宋_GB2312" w:eastAsia="仿宋_GB2312"/>
          <w:sz w:val="32"/>
          <w:szCs w:val="32"/>
        </w:rPr>
        <w:t>年“三公”经费预算数</w:t>
      </w:r>
      <w:r>
        <w:rPr>
          <w:rFonts w:hint="eastAsia" w:ascii="仿宋_GB2312" w:eastAsia="仿宋_GB2312"/>
          <w:sz w:val="32"/>
          <w:szCs w:val="32"/>
          <w:lang w:val="en-US" w:eastAsia="zh-CN"/>
        </w:rPr>
        <w:t>3</w:t>
      </w:r>
      <w:r>
        <w:rPr>
          <w:rFonts w:hint="eastAsia" w:ascii="仿宋_GB2312" w:eastAsia="仿宋_GB2312"/>
          <w:sz w:val="32"/>
          <w:szCs w:val="32"/>
        </w:rPr>
        <w:t>万元，较上年“三公”经费预算数减少（增加）</w:t>
      </w:r>
      <w:bookmarkStart w:id="42" w:name="_GoBack"/>
      <w:r>
        <w:rPr>
          <w:rFonts w:hint="eastAsia" w:ascii="仿宋_GB2312" w:eastAsia="仿宋_GB2312"/>
          <w:sz w:val="32"/>
          <w:szCs w:val="32"/>
          <w:lang w:val="en-US" w:eastAsia="zh-CN"/>
        </w:rPr>
        <w:t>0</w:t>
      </w:r>
      <w:bookmarkEnd w:id="42"/>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3</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元，公务用车购置及运行维护费</w:t>
      </w:r>
      <w:r>
        <w:rPr>
          <w:rFonts w:hint="eastAsia" w:ascii="仿宋_GB2312" w:eastAsia="仿宋_GB2312"/>
          <w:sz w:val="32"/>
          <w:szCs w:val="32"/>
          <w:lang w:val="en-US" w:eastAsia="zh-CN"/>
        </w:rPr>
        <w:t>3</w:t>
      </w:r>
      <w:r>
        <w:rPr>
          <w:rFonts w:hint="eastAsia" w:ascii="仿宋_GB2312" w:eastAsia="仿宋_GB2312"/>
          <w:sz w:val="32"/>
          <w:szCs w:val="32"/>
        </w:rPr>
        <w:t>万元。</w:t>
      </w:r>
      <w:bookmarkEnd w:id="22"/>
    </w:p>
    <w:p w14:paraId="26DFEE24">
      <w:pPr>
        <w:numPr>
          <w:ilvl w:val="0"/>
          <w:numId w:val="0"/>
        </w:numPr>
        <w:spacing w:line="600" w:lineRule="exact"/>
        <w:ind w:firstLine="640" w:firstLineChars="200"/>
        <w:outlineLvl w:val="1"/>
        <w:rPr>
          <w:rFonts w:hint="eastAsia" w:ascii="楷体_GB2312" w:hAnsi="楷体_GB2312" w:eastAsia="楷体_GB2312" w:cs="楷体_GB2312"/>
          <w:sz w:val="32"/>
          <w:szCs w:val="32"/>
        </w:rPr>
      </w:pPr>
      <w:bookmarkStart w:id="23" w:name="_Toc2549"/>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因公出国（境）经费</w:t>
      </w:r>
      <w:bookmarkEnd w:id="23"/>
    </w:p>
    <w:p w14:paraId="62E2C7F7">
      <w:pPr>
        <w:spacing w:line="600" w:lineRule="exact"/>
        <w:ind w:firstLine="640" w:firstLineChars="200"/>
        <w:outlineLvl w:val="1"/>
        <w:rPr>
          <w:rFonts w:hint="eastAsia" w:ascii="仿宋_GB2312" w:eastAsia="仿宋_GB2312"/>
          <w:sz w:val="32"/>
          <w:szCs w:val="32"/>
        </w:rPr>
      </w:pPr>
      <w:bookmarkStart w:id="24" w:name="_Toc20403"/>
      <w:r>
        <w:rPr>
          <w:rFonts w:hint="eastAsia" w:ascii="仿宋_GB2312" w:eastAsia="仿宋_GB2312"/>
          <w:sz w:val="32"/>
          <w:szCs w:val="32"/>
        </w:rPr>
        <w:t>无因公出国（境）预算。</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eastAsia" w:ascii="仿宋_GB2312" w:eastAsia="仿宋_GB2312"/>
          <w:sz w:val="32"/>
          <w:szCs w:val="32"/>
        </w:rPr>
        <w:t>年因公临时出国（境）未安排人次。</w:t>
      </w:r>
      <w:bookmarkEnd w:id="24"/>
    </w:p>
    <w:p w14:paraId="3C07284F">
      <w:pPr>
        <w:numPr>
          <w:ilvl w:val="0"/>
          <w:numId w:val="0"/>
        </w:numPr>
        <w:spacing w:line="600" w:lineRule="exact"/>
        <w:ind w:firstLine="640" w:firstLineChars="200"/>
        <w:outlineLvl w:val="1"/>
        <w:rPr>
          <w:rFonts w:hint="eastAsia" w:ascii="楷体_GB2312" w:hAnsi="楷体_GB2312" w:eastAsia="楷体_GB2312" w:cs="楷体_GB2312"/>
          <w:sz w:val="32"/>
          <w:szCs w:val="32"/>
        </w:rPr>
      </w:pPr>
      <w:bookmarkStart w:id="25" w:name="_Toc18706"/>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公务接待费</w:t>
      </w:r>
      <w:bookmarkEnd w:id="25"/>
    </w:p>
    <w:p w14:paraId="2F8F34A9">
      <w:pPr>
        <w:spacing w:line="600" w:lineRule="exact"/>
        <w:ind w:firstLine="640" w:firstLineChars="200"/>
        <w:outlineLvl w:val="1"/>
        <w:rPr>
          <w:rFonts w:ascii="仿宋_GB2312" w:eastAsia="仿宋_GB2312"/>
          <w:sz w:val="32"/>
          <w:szCs w:val="32"/>
        </w:rPr>
      </w:pPr>
      <w:bookmarkStart w:id="26" w:name="_Toc24539"/>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无</w:t>
      </w:r>
      <w:r>
        <w:rPr>
          <w:rFonts w:hint="eastAsia" w:ascii="仿宋_GB2312" w:eastAsia="仿宋_GB2312"/>
          <w:sz w:val="32"/>
          <w:szCs w:val="32"/>
        </w:rPr>
        <w:t>公务接待费。</w:t>
      </w:r>
      <w:bookmarkEnd w:id="26"/>
    </w:p>
    <w:p w14:paraId="17FD6B03">
      <w:pPr>
        <w:numPr>
          <w:ilvl w:val="0"/>
          <w:numId w:val="0"/>
        </w:numPr>
        <w:spacing w:line="600" w:lineRule="exact"/>
        <w:ind w:firstLine="640" w:firstLineChars="200"/>
        <w:outlineLvl w:val="1"/>
        <w:rPr>
          <w:rFonts w:hint="eastAsia" w:ascii="楷体_GB2312" w:hAnsi="楷体_GB2312" w:eastAsia="楷体_GB2312" w:cs="楷体_GB2312"/>
          <w:sz w:val="32"/>
          <w:szCs w:val="32"/>
          <w:lang w:eastAsia="zh-CN"/>
        </w:rPr>
      </w:pPr>
      <w:bookmarkStart w:id="27" w:name="_Toc10944"/>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公务用车购置及运行维护费</w:t>
      </w:r>
      <w:bookmarkEnd w:id="27"/>
    </w:p>
    <w:p w14:paraId="551CFE2C">
      <w:pPr>
        <w:numPr>
          <w:ilvl w:val="0"/>
          <w:numId w:val="0"/>
        </w:numPr>
        <w:spacing w:line="600" w:lineRule="exact"/>
        <w:ind w:firstLine="640" w:firstLineChars="200"/>
        <w:outlineLvl w:val="1"/>
        <w:rPr>
          <w:rFonts w:hint="eastAsia" w:ascii="仿宋_GB2312" w:eastAsia="仿宋_GB2312"/>
          <w:sz w:val="32"/>
          <w:szCs w:val="32"/>
          <w:lang w:eastAsia="zh-CN"/>
        </w:rPr>
      </w:pPr>
      <w:bookmarkStart w:id="28" w:name="_Toc5250"/>
      <w:r>
        <w:rPr>
          <w:rFonts w:hint="eastAsia" w:ascii="仿宋_GB2312" w:eastAsia="仿宋_GB2312"/>
          <w:sz w:val="32"/>
          <w:szCs w:val="32"/>
        </w:rPr>
        <w:t>较上年预算</w:t>
      </w:r>
      <w:r>
        <w:rPr>
          <w:rFonts w:hint="eastAsia" w:ascii="仿宋_GB2312" w:eastAsia="仿宋_GB2312"/>
          <w:sz w:val="32"/>
          <w:szCs w:val="32"/>
          <w:lang w:val="en-US" w:eastAsia="zh-CN"/>
        </w:rPr>
        <w:t>持平</w:t>
      </w:r>
      <w:r>
        <w:rPr>
          <w:rFonts w:hint="eastAsia" w:ascii="仿宋_GB2312" w:eastAsia="仿宋_GB2312"/>
          <w:sz w:val="32"/>
          <w:szCs w:val="32"/>
        </w:rPr>
        <w:t>。</w:t>
      </w:r>
      <w:bookmarkEnd w:id="28"/>
    </w:p>
    <w:p w14:paraId="0C51B299">
      <w:pPr>
        <w:numPr>
          <w:ilvl w:val="0"/>
          <w:numId w:val="0"/>
        </w:numPr>
        <w:spacing w:line="600" w:lineRule="exact"/>
        <w:ind w:firstLine="640" w:firstLineChars="200"/>
        <w:outlineLvl w:val="1"/>
        <w:rPr>
          <w:rFonts w:ascii="仿宋_GB2312" w:eastAsia="仿宋_GB2312"/>
          <w:sz w:val="32"/>
          <w:szCs w:val="32"/>
        </w:rPr>
      </w:pPr>
      <w:bookmarkStart w:id="29" w:name="_Toc20317"/>
      <w:r>
        <w:rPr>
          <w:rFonts w:hint="eastAsia" w:ascii="仿宋_GB2312" w:eastAsia="仿宋_GB2312"/>
          <w:sz w:val="32"/>
          <w:szCs w:val="32"/>
        </w:rPr>
        <w:t>单位现有公务用车轿车</w:t>
      </w:r>
      <w:r>
        <w:rPr>
          <w:rFonts w:hint="eastAsia" w:ascii="仿宋_GB2312" w:eastAsia="仿宋_GB2312"/>
          <w:sz w:val="32"/>
          <w:szCs w:val="32"/>
          <w:lang w:val="en-US" w:eastAsia="zh-CN"/>
        </w:rPr>
        <w:t>1</w:t>
      </w:r>
      <w:r>
        <w:rPr>
          <w:rFonts w:hint="eastAsia" w:ascii="仿宋_GB2312" w:eastAsia="仿宋_GB2312"/>
          <w:sz w:val="32"/>
          <w:szCs w:val="32"/>
        </w:rPr>
        <w:t>辆。</w:t>
      </w:r>
      <w:bookmarkEnd w:id="29"/>
    </w:p>
    <w:p w14:paraId="088B51E7">
      <w:pPr>
        <w:spacing w:line="600" w:lineRule="exact"/>
        <w:ind w:firstLine="640" w:firstLineChars="200"/>
        <w:outlineLvl w:val="1"/>
        <w:rPr>
          <w:rFonts w:ascii="仿宋_GB2312" w:eastAsia="仿宋_GB2312"/>
          <w:sz w:val="32"/>
          <w:szCs w:val="32"/>
        </w:rPr>
      </w:pPr>
      <w:bookmarkStart w:id="30" w:name="_Toc28691"/>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bookmarkEnd w:id="30"/>
    </w:p>
    <w:p w14:paraId="6961CA4B">
      <w:pPr>
        <w:spacing w:line="600" w:lineRule="exact"/>
        <w:ind w:firstLine="640" w:firstLineChars="200"/>
        <w:outlineLvl w:val="1"/>
        <w:rPr>
          <w:rFonts w:ascii="仿宋_GB2312" w:eastAsia="仿宋_GB2312"/>
          <w:sz w:val="32"/>
          <w:szCs w:val="32"/>
        </w:rPr>
      </w:pPr>
      <w:bookmarkStart w:id="31" w:name="_Toc11530"/>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3</w:t>
      </w:r>
      <w:r>
        <w:rPr>
          <w:rFonts w:hint="eastAsia" w:ascii="仿宋_GB2312" w:eastAsia="仿宋_GB2312"/>
          <w:sz w:val="32"/>
          <w:szCs w:val="32"/>
        </w:rPr>
        <w:t>万元，</w:t>
      </w:r>
      <w:r>
        <w:rPr>
          <w:rFonts w:hint="eastAsia" w:ascii="仿宋_GB2312" w:eastAsia="仿宋_GB2312"/>
          <w:sz w:val="32"/>
          <w:szCs w:val="32"/>
          <w:lang w:val="en-US" w:eastAsia="zh-CN"/>
        </w:rPr>
        <w:t>与上年持平</w:t>
      </w:r>
      <w:r>
        <w:rPr>
          <w:rFonts w:hint="eastAsia" w:ascii="仿宋_GB2312" w:eastAsia="仿宋_GB2312"/>
          <w:sz w:val="32"/>
          <w:szCs w:val="32"/>
        </w:rPr>
        <w:t>。</w:t>
      </w:r>
      <w:bookmarkEnd w:id="31"/>
    </w:p>
    <w:p w14:paraId="02079097">
      <w:pPr>
        <w:spacing w:line="600" w:lineRule="exact"/>
        <w:ind w:firstLine="640" w:firstLineChars="200"/>
        <w:outlineLvl w:val="1"/>
        <w:rPr>
          <w:rFonts w:ascii="黑体" w:eastAsia="黑体"/>
          <w:sz w:val="32"/>
          <w:szCs w:val="32"/>
        </w:rPr>
      </w:pPr>
      <w:bookmarkStart w:id="32" w:name="_Toc8207"/>
      <w:r>
        <w:rPr>
          <w:rFonts w:hint="eastAsia" w:ascii="黑体" w:eastAsia="黑体"/>
          <w:sz w:val="32"/>
          <w:szCs w:val="32"/>
          <w:lang w:val="en-US" w:eastAsia="zh-CN"/>
        </w:rPr>
        <w:t>八</w:t>
      </w:r>
      <w:r>
        <w:rPr>
          <w:rFonts w:hint="eastAsia" w:ascii="黑体" w:eastAsia="黑体"/>
          <w:sz w:val="32"/>
          <w:szCs w:val="32"/>
        </w:rPr>
        <w:t>、其他重要事项的情况说明</w:t>
      </w:r>
      <w:bookmarkEnd w:id="32"/>
    </w:p>
    <w:p w14:paraId="3D4E2A04">
      <w:pPr>
        <w:spacing w:line="600" w:lineRule="exact"/>
        <w:ind w:firstLine="640" w:firstLineChars="200"/>
        <w:outlineLvl w:val="1"/>
        <w:rPr>
          <w:rFonts w:hint="eastAsia" w:ascii="楷体_GB2312" w:hAnsi="楷体_GB2312" w:eastAsia="楷体_GB2312" w:cs="楷体_GB2312"/>
          <w:sz w:val="32"/>
          <w:szCs w:val="32"/>
        </w:rPr>
      </w:pPr>
      <w:bookmarkStart w:id="33" w:name="_Toc29624"/>
      <w:r>
        <w:rPr>
          <w:rFonts w:hint="eastAsia" w:ascii="楷体_GB2312" w:hAnsi="楷体_GB2312" w:eastAsia="楷体_GB2312" w:cs="楷体_GB2312"/>
          <w:sz w:val="32"/>
          <w:szCs w:val="32"/>
        </w:rPr>
        <w:t>（一）机关运行经费</w:t>
      </w:r>
      <w:bookmarkEnd w:id="33"/>
    </w:p>
    <w:p w14:paraId="79ACCFF8">
      <w:pPr>
        <w:spacing w:line="600" w:lineRule="exact"/>
        <w:ind w:firstLine="640" w:firstLineChars="200"/>
        <w:outlineLvl w:val="1"/>
        <w:rPr>
          <w:rFonts w:ascii="仿宋_GB2312" w:eastAsia="仿宋_GB2312"/>
          <w:sz w:val="32"/>
          <w:szCs w:val="32"/>
        </w:rPr>
      </w:pPr>
      <w:bookmarkStart w:id="34" w:name="_Toc13123"/>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峨眉山市防震减灾服务中心</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22.65</w:t>
      </w:r>
      <w:r>
        <w:rPr>
          <w:rFonts w:hint="eastAsia" w:ascii="仿宋_GB2312" w:eastAsia="仿宋_GB2312"/>
          <w:sz w:val="32"/>
          <w:szCs w:val="32"/>
        </w:rPr>
        <w:t>万元，较上年预算</w:t>
      </w:r>
      <w:r>
        <w:rPr>
          <w:rFonts w:hint="eastAsia" w:ascii="仿宋_GB2312" w:eastAsia="仿宋_GB2312"/>
          <w:sz w:val="32"/>
          <w:szCs w:val="32"/>
          <w:lang w:val="en-US" w:eastAsia="zh-CN"/>
        </w:rPr>
        <w:t>减少0.87</w:t>
      </w:r>
      <w:r>
        <w:rPr>
          <w:rFonts w:hint="eastAsia" w:ascii="仿宋_GB2312" w:eastAsia="仿宋_GB2312"/>
          <w:sz w:val="32"/>
          <w:szCs w:val="32"/>
        </w:rPr>
        <w:t>万元，</w:t>
      </w:r>
      <w:r>
        <w:rPr>
          <w:rFonts w:hint="eastAsia" w:ascii="仿宋_GB2312" w:eastAsia="仿宋_GB2312"/>
          <w:sz w:val="32"/>
          <w:szCs w:val="32"/>
          <w:lang w:val="en-US" w:eastAsia="zh-CN"/>
        </w:rPr>
        <w:t>减少3.7</w:t>
      </w:r>
      <w:r>
        <w:rPr>
          <w:rFonts w:hint="eastAsia" w:ascii="仿宋_GB2312" w:eastAsia="仿宋_GB2312"/>
          <w:sz w:val="32"/>
          <w:szCs w:val="32"/>
        </w:rPr>
        <w:t>%。</w:t>
      </w:r>
      <w:bookmarkEnd w:id="34"/>
    </w:p>
    <w:p w14:paraId="4BDB61A5">
      <w:pPr>
        <w:spacing w:line="600" w:lineRule="exact"/>
        <w:ind w:firstLine="640" w:firstLineChars="200"/>
        <w:outlineLvl w:val="1"/>
        <w:rPr>
          <w:rFonts w:hint="eastAsia" w:ascii="楷体_GB2312" w:hAnsi="楷体_GB2312" w:eastAsia="楷体_GB2312" w:cs="楷体_GB2312"/>
          <w:sz w:val="32"/>
          <w:szCs w:val="32"/>
        </w:rPr>
      </w:pPr>
      <w:bookmarkStart w:id="35" w:name="_Toc17149"/>
      <w:r>
        <w:rPr>
          <w:rFonts w:hint="eastAsia" w:ascii="楷体_GB2312" w:hAnsi="楷体_GB2312" w:eastAsia="楷体_GB2312" w:cs="楷体_GB2312"/>
          <w:sz w:val="32"/>
          <w:szCs w:val="32"/>
        </w:rPr>
        <w:t>（二）政府采购情况</w:t>
      </w:r>
      <w:bookmarkEnd w:id="35"/>
    </w:p>
    <w:p w14:paraId="757ACA56">
      <w:pPr>
        <w:spacing w:line="600" w:lineRule="exact"/>
        <w:ind w:firstLine="640" w:firstLineChars="200"/>
        <w:outlineLvl w:val="1"/>
        <w:rPr>
          <w:rFonts w:ascii="仿宋_GB2312" w:eastAsia="仿宋_GB2312"/>
          <w:sz w:val="32"/>
          <w:szCs w:val="32"/>
        </w:rPr>
      </w:pPr>
      <w:bookmarkStart w:id="36" w:name="_Toc28397"/>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峨眉山市防震减灾服务中心无</w:t>
      </w:r>
      <w:r>
        <w:rPr>
          <w:rFonts w:hint="eastAsia" w:ascii="仿宋_GB2312" w:eastAsia="仿宋_GB2312"/>
          <w:sz w:val="32"/>
          <w:szCs w:val="32"/>
        </w:rPr>
        <w:t>安排政府采购预算。</w:t>
      </w:r>
      <w:bookmarkEnd w:id="36"/>
    </w:p>
    <w:p w14:paraId="4702EE49">
      <w:pPr>
        <w:spacing w:line="600" w:lineRule="exact"/>
        <w:ind w:firstLine="640" w:firstLineChars="200"/>
        <w:outlineLvl w:val="1"/>
        <w:rPr>
          <w:rFonts w:hint="eastAsia" w:ascii="楷体_GB2312" w:hAnsi="楷体_GB2312" w:eastAsia="楷体_GB2312" w:cs="楷体_GB2312"/>
          <w:sz w:val="32"/>
          <w:szCs w:val="32"/>
        </w:rPr>
      </w:pPr>
      <w:bookmarkStart w:id="37" w:name="_Toc18231"/>
      <w:r>
        <w:rPr>
          <w:rFonts w:hint="eastAsia" w:ascii="楷体_GB2312" w:hAnsi="楷体_GB2312" w:eastAsia="楷体_GB2312" w:cs="楷体_GB2312"/>
          <w:sz w:val="32"/>
          <w:szCs w:val="32"/>
        </w:rPr>
        <w:t>（三）国有资产占有使用情况</w:t>
      </w:r>
      <w:bookmarkEnd w:id="37"/>
    </w:p>
    <w:p w14:paraId="425756BA">
      <w:pPr>
        <w:spacing w:line="600" w:lineRule="exact"/>
        <w:ind w:firstLine="640" w:firstLineChars="200"/>
        <w:outlineLvl w:val="1"/>
        <w:rPr>
          <w:rFonts w:ascii="仿宋_GB2312" w:eastAsia="仿宋_GB2312"/>
          <w:sz w:val="32"/>
          <w:szCs w:val="32"/>
        </w:rPr>
      </w:pPr>
      <w:bookmarkStart w:id="38" w:name="_Toc8634"/>
      <w:r>
        <w:rPr>
          <w:rFonts w:hint="eastAsia" w:ascii="仿宋_GB2312" w:eastAsia="仿宋_GB2312"/>
          <w:sz w:val="32"/>
          <w:szCs w:val="32"/>
        </w:rPr>
        <w:t>截至去年底，</w:t>
      </w:r>
      <w:r>
        <w:rPr>
          <w:rFonts w:hint="eastAsia" w:ascii="仿宋_GB2312" w:eastAsia="仿宋_GB2312"/>
          <w:sz w:val="32"/>
          <w:szCs w:val="32"/>
          <w:lang w:val="en-US" w:eastAsia="zh-CN"/>
        </w:rPr>
        <w:t>峨眉山市防震减灾服务中心</w:t>
      </w:r>
      <w:r>
        <w:rPr>
          <w:rFonts w:hint="eastAsia" w:ascii="仿宋_GB2312" w:eastAsia="仿宋_GB2312"/>
          <w:sz w:val="32"/>
          <w:szCs w:val="32"/>
        </w:rPr>
        <w:t>实际共有车辆</w:t>
      </w:r>
      <w:r>
        <w:rPr>
          <w:rFonts w:hint="eastAsia" w:ascii="仿宋_GB2312" w:eastAsia="仿宋_GB2312"/>
          <w:sz w:val="32"/>
          <w:szCs w:val="32"/>
          <w:lang w:val="en-US" w:eastAsia="zh-CN"/>
        </w:rPr>
        <w:t>1</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bookmarkEnd w:id="38"/>
    </w:p>
    <w:p w14:paraId="2BB41162">
      <w:pPr>
        <w:spacing w:line="600" w:lineRule="exact"/>
        <w:ind w:firstLine="640" w:firstLineChars="200"/>
        <w:outlineLvl w:val="1"/>
        <w:rPr>
          <w:rFonts w:hint="eastAsia" w:ascii="楷体_GB2312" w:hAnsi="楷体_GB2312" w:eastAsia="楷体_GB2312" w:cs="楷体_GB2312"/>
          <w:sz w:val="32"/>
          <w:szCs w:val="32"/>
        </w:rPr>
      </w:pPr>
      <w:bookmarkStart w:id="39" w:name="_Toc16636"/>
      <w:r>
        <w:rPr>
          <w:rFonts w:hint="eastAsia" w:ascii="楷体_GB2312" w:hAnsi="楷体_GB2312" w:eastAsia="楷体_GB2312" w:cs="楷体_GB2312"/>
          <w:sz w:val="32"/>
          <w:szCs w:val="32"/>
        </w:rPr>
        <w:t>（四）绩效目标设置情况</w:t>
      </w:r>
      <w:bookmarkEnd w:id="39"/>
    </w:p>
    <w:p w14:paraId="5DE93249">
      <w:pPr>
        <w:spacing w:line="600" w:lineRule="exact"/>
        <w:ind w:firstLine="640" w:firstLineChars="200"/>
        <w:outlineLvl w:val="1"/>
        <w:rPr>
          <w:rFonts w:ascii="仿宋_GB2312" w:eastAsia="仿宋_GB2312"/>
          <w:sz w:val="32"/>
          <w:szCs w:val="32"/>
        </w:rPr>
      </w:pPr>
      <w:bookmarkStart w:id="40" w:name="_Toc3076"/>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峨眉山市防震减灾服务中心</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125.75</w:t>
      </w:r>
      <w:r>
        <w:rPr>
          <w:rFonts w:hint="eastAsia" w:ascii="仿宋_GB2312" w:eastAsia="仿宋_GB2312"/>
          <w:sz w:val="32"/>
          <w:szCs w:val="32"/>
        </w:rPr>
        <w:t>万元，其中基本支出</w:t>
      </w:r>
      <w:r>
        <w:rPr>
          <w:rFonts w:hint="eastAsia" w:ascii="仿宋_GB2312" w:eastAsia="仿宋_GB2312"/>
          <w:sz w:val="32"/>
          <w:szCs w:val="32"/>
          <w:lang w:val="en-US" w:eastAsia="zh-CN"/>
        </w:rPr>
        <w:t>123.47</w:t>
      </w:r>
      <w:r>
        <w:rPr>
          <w:rFonts w:hint="eastAsia" w:ascii="仿宋_GB2312" w:eastAsia="仿宋_GB2312"/>
          <w:sz w:val="32"/>
          <w:szCs w:val="32"/>
        </w:rPr>
        <w:t>万元，项目支出</w:t>
      </w:r>
      <w:r>
        <w:rPr>
          <w:rFonts w:hint="eastAsia" w:ascii="仿宋_GB2312" w:eastAsia="仿宋_GB2312"/>
          <w:sz w:val="32"/>
          <w:szCs w:val="32"/>
          <w:lang w:val="en-US" w:eastAsia="zh-CN"/>
        </w:rPr>
        <w:t>2.28</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2.28</w:t>
      </w:r>
      <w:r>
        <w:rPr>
          <w:rFonts w:hint="eastAsia" w:ascii="仿宋_GB2312" w:eastAsia="仿宋_GB2312"/>
          <w:sz w:val="32"/>
          <w:szCs w:val="32"/>
        </w:rPr>
        <w:t>万元，主要为测震台运行维护及峨眉山应急广播系统与地震预警系统对接配置专线租赁费。</w:t>
      </w:r>
      <w:bookmarkEnd w:id="40"/>
    </w:p>
    <w:p w14:paraId="65D6FA44">
      <w:pPr>
        <w:spacing w:line="600" w:lineRule="exact"/>
        <w:ind w:firstLine="640" w:firstLineChars="200"/>
        <w:outlineLvl w:val="1"/>
        <w:rPr>
          <w:rFonts w:ascii="黑体" w:eastAsia="黑体"/>
          <w:sz w:val="32"/>
          <w:szCs w:val="32"/>
        </w:rPr>
      </w:pPr>
      <w:bookmarkStart w:id="41" w:name="_Toc20724"/>
      <w:r>
        <w:rPr>
          <w:rFonts w:hint="eastAsia" w:ascii="黑体" w:eastAsia="黑体"/>
          <w:sz w:val="32"/>
          <w:szCs w:val="32"/>
          <w:lang w:val="en-US" w:eastAsia="zh-CN"/>
        </w:rPr>
        <w:t>九</w:t>
      </w:r>
      <w:r>
        <w:rPr>
          <w:rFonts w:hint="eastAsia" w:ascii="黑体" w:eastAsia="黑体"/>
          <w:sz w:val="32"/>
          <w:szCs w:val="32"/>
        </w:rPr>
        <w:t>、名词解释</w:t>
      </w:r>
      <w:bookmarkEnd w:id="41"/>
    </w:p>
    <w:p w14:paraId="556211C4">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财政拨款收支情况：指一般公共预算、政府性基金预算、国有资产经营预算拨款收支情况。 </w:t>
      </w:r>
    </w:p>
    <w:p w14:paraId="36D4B688">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一般公共预算拨款收入：指本级财政当年拨付的资金。</w:t>
      </w:r>
    </w:p>
    <w:p w14:paraId="2E885A68">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其他收入：指除上述“财政拨款收入”、“事业收入”、“经营收入”等以外的收入。主要是…（收入类型）等。 </w:t>
      </w:r>
    </w:p>
    <w:p w14:paraId="55F97AB8">
      <w:pPr>
        <w:ind w:firstLine="640" w:firstLineChars="200"/>
        <w:rPr>
          <w:rFonts w:ascii="仿宋_GB2312" w:eastAsia="仿宋_GB2312"/>
          <w:color w:val="000000"/>
          <w:sz w:val="32"/>
          <w:szCs w:val="32"/>
        </w:rPr>
      </w:pPr>
      <w:r>
        <w:rPr>
          <w:rFonts w:hint="eastAsia" w:ascii="仿宋_GB2312" w:eastAsia="仿宋_GB2312"/>
          <w:color w:val="000000"/>
          <w:sz w:val="32"/>
          <w:szCs w:val="32"/>
        </w:rPr>
        <w:t>一般公共服务（类）…（款）…（项）：指……。</w:t>
      </w:r>
    </w:p>
    <w:p w14:paraId="03AF4A89">
      <w:pPr>
        <w:ind w:firstLine="640" w:firstLineChars="200"/>
        <w:rPr>
          <w:rFonts w:ascii="仿宋_GB2312" w:eastAsia="仿宋_GB2312"/>
          <w:color w:val="000000"/>
          <w:sz w:val="32"/>
          <w:szCs w:val="32"/>
        </w:rPr>
      </w:pPr>
      <w:r>
        <w:rPr>
          <w:rFonts w:hint="eastAsia" w:ascii="仿宋_GB2312" w:eastAsia="仿宋_GB2312"/>
          <w:color w:val="000000"/>
          <w:sz w:val="32"/>
          <w:szCs w:val="32"/>
        </w:rPr>
        <w:t>教育（类）…（款）…（项）：指……。</w:t>
      </w:r>
    </w:p>
    <w:p w14:paraId="68DFED9B">
      <w:pPr>
        <w:ind w:firstLine="640" w:firstLineChars="200"/>
        <w:rPr>
          <w:rFonts w:ascii="仿宋_GB2312" w:eastAsia="仿宋_GB2312"/>
          <w:color w:val="000000"/>
          <w:sz w:val="32"/>
          <w:szCs w:val="32"/>
        </w:rPr>
      </w:pPr>
      <w:r>
        <w:rPr>
          <w:rFonts w:hint="eastAsia" w:ascii="仿宋_GB2312" w:eastAsia="仿宋_GB2312"/>
          <w:color w:val="000000"/>
          <w:sz w:val="32"/>
          <w:szCs w:val="32"/>
        </w:rPr>
        <w:t>科学技术（类）…（款）…（项）：指……。</w:t>
      </w:r>
    </w:p>
    <w:p w14:paraId="4880944C">
      <w:pPr>
        <w:ind w:firstLine="640" w:firstLineChars="200"/>
        <w:rPr>
          <w:rFonts w:ascii="仿宋_GB2312" w:eastAsia="仿宋_GB2312"/>
          <w:color w:val="000000"/>
          <w:sz w:val="32"/>
          <w:szCs w:val="32"/>
        </w:rPr>
      </w:pPr>
      <w:r>
        <w:rPr>
          <w:rFonts w:hint="eastAsia" w:ascii="仿宋_GB2312" w:eastAsia="仿宋_GB2312"/>
          <w:color w:val="000000"/>
          <w:sz w:val="32"/>
          <w:szCs w:val="32"/>
        </w:rPr>
        <w:t>文化体育与传媒（类）…（款）…（项）：指……。</w:t>
      </w:r>
    </w:p>
    <w:p w14:paraId="3EC91EBE">
      <w:pPr>
        <w:ind w:firstLine="640" w:firstLineChars="200"/>
        <w:rPr>
          <w:rFonts w:ascii="仿宋_GB2312" w:eastAsia="仿宋_GB2312"/>
          <w:color w:val="000000"/>
          <w:sz w:val="32"/>
          <w:szCs w:val="32"/>
        </w:rPr>
      </w:pPr>
      <w:r>
        <w:rPr>
          <w:rFonts w:hint="eastAsia" w:ascii="仿宋_GB2312" w:eastAsia="仿宋_GB2312"/>
          <w:color w:val="000000"/>
          <w:sz w:val="32"/>
          <w:szCs w:val="32"/>
        </w:rPr>
        <w:t>社会保障和就业（类）…（款）…（项）：指……。</w:t>
      </w:r>
    </w:p>
    <w:p w14:paraId="27B8C85A">
      <w:pPr>
        <w:ind w:firstLine="640" w:firstLineChars="200"/>
        <w:rPr>
          <w:rFonts w:ascii="仿宋_GB2312" w:eastAsia="仿宋_GB2312"/>
          <w:color w:val="000000"/>
          <w:sz w:val="32"/>
          <w:szCs w:val="32"/>
        </w:rPr>
      </w:pPr>
      <w:r>
        <w:rPr>
          <w:rFonts w:hint="eastAsia" w:ascii="仿宋_GB2312" w:eastAsia="仿宋_GB2312"/>
          <w:color w:val="000000"/>
          <w:sz w:val="32"/>
          <w:szCs w:val="32"/>
        </w:rPr>
        <w:t>基本支出：指为保障机构正常运转、完成日常工作任务而发生的人员支出和公用支出。</w:t>
      </w:r>
    </w:p>
    <w:p w14:paraId="481AC227">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项目支出：指在基本支出之外为完成特定行政任务和事业发展目标所发生的支出。 </w:t>
      </w:r>
    </w:p>
    <w:p w14:paraId="2478B352">
      <w:pPr>
        <w:pStyle w:val="8"/>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“三公”经费</w:t>
      </w:r>
      <w:r>
        <w:rPr>
          <w:rFonts w:hint="eastAsia" w:ascii="仿宋_GB2312" w:eastAsia="仿宋_GB2312"/>
          <w:sz w:val="32"/>
          <w:szCs w:val="32"/>
        </w:rPr>
        <w:t>：纳入预算管理的“三公”经费，是指部门</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C50E4A7">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DCECA">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12240">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13C70B"/>
    <w:multiLevelType w:val="singleLevel"/>
    <w:tmpl w:val="4813C70B"/>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2OTk2YmYxYzdjNmJhNmJhZmJkZDQ1NDZhODExMWEifQ=="/>
    <w:docVar w:name="KSO_WPS_MARK_KEY" w:val="ef43106c-ba89-452f-a0bb-d0e616e4e127"/>
  </w:docVars>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243370D"/>
    <w:rsid w:val="066D6077"/>
    <w:rsid w:val="07FF3B46"/>
    <w:rsid w:val="0CCF783F"/>
    <w:rsid w:val="0EAE7254"/>
    <w:rsid w:val="131119A8"/>
    <w:rsid w:val="15D35DF5"/>
    <w:rsid w:val="1AEC5FD5"/>
    <w:rsid w:val="1C19136A"/>
    <w:rsid w:val="1F5A46D7"/>
    <w:rsid w:val="21D6157A"/>
    <w:rsid w:val="233F124C"/>
    <w:rsid w:val="26E56F7C"/>
    <w:rsid w:val="270B2E60"/>
    <w:rsid w:val="273E06AB"/>
    <w:rsid w:val="276557C3"/>
    <w:rsid w:val="27767BD4"/>
    <w:rsid w:val="2964062C"/>
    <w:rsid w:val="2A9A261E"/>
    <w:rsid w:val="2CEC1DFA"/>
    <w:rsid w:val="2E081C4F"/>
    <w:rsid w:val="2E6B034D"/>
    <w:rsid w:val="2ED21556"/>
    <w:rsid w:val="2F627070"/>
    <w:rsid w:val="30D540D7"/>
    <w:rsid w:val="34F30AB6"/>
    <w:rsid w:val="35FB7349"/>
    <w:rsid w:val="35FC7E3E"/>
    <w:rsid w:val="36DD628E"/>
    <w:rsid w:val="377936D8"/>
    <w:rsid w:val="3C21458C"/>
    <w:rsid w:val="3C6F5A34"/>
    <w:rsid w:val="3EE741B8"/>
    <w:rsid w:val="40C8289D"/>
    <w:rsid w:val="43AF2F0D"/>
    <w:rsid w:val="45EA1A61"/>
    <w:rsid w:val="46C53364"/>
    <w:rsid w:val="472A5D26"/>
    <w:rsid w:val="48141018"/>
    <w:rsid w:val="493C20A5"/>
    <w:rsid w:val="49DF285C"/>
    <w:rsid w:val="4DEE5E92"/>
    <w:rsid w:val="50041FB8"/>
    <w:rsid w:val="57E26A3C"/>
    <w:rsid w:val="59C9303E"/>
    <w:rsid w:val="609E0894"/>
    <w:rsid w:val="60A33982"/>
    <w:rsid w:val="6211064A"/>
    <w:rsid w:val="67D2734F"/>
    <w:rsid w:val="6D715AA7"/>
    <w:rsid w:val="713C50D8"/>
    <w:rsid w:val="745F682E"/>
    <w:rsid w:val="74687E72"/>
    <w:rsid w:val="76733229"/>
    <w:rsid w:val="7697339E"/>
    <w:rsid w:val="769B452E"/>
    <w:rsid w:val="7C243926"/>
    <w:rsid w:val="7D3309A6"/>
    <w:rsid w:val="7DBE3FFD"/>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0"/>
  </w:style>
  <w:style w:type="paragraph" w:styleId="5">
    <w:name w:val="toc 2"/>
    <w:basedOn w:val="1"/>
    <w:next w:val="1"/>
    <w:qFormat/>
    <w:uiPriority w:val="0"/>
    <w:pPr>
      <w:ind w:left="420" w:leftChars="200"/>
    </w:p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9">
    <w:name w:val="WPSOffice手动目录 1"/>
    <w:qFormat/>
    <w:uiPriority w:val="0"/>
    <w:pPr>
      <w:ind w:leftChars="0"/>
    </w:pPr>
    <w:rPr>
      <w:rFonts w:ascii="Times New Roman" w:hAnsi="Times New Roman" w:eastAsia="宋体" w:cs="Times New Roman"/>
      <w:sz w:val="20"/>
      <w:szCs w:val="20"/>
    </w:rPr>
  </w:style>
  <w:style w:type="paragraph" w:customStyle="1" w:styleId="1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813</Words>
  <Characters>824</Characters>
  <Lines>20</Lines>
  <Paragraphs>5</Paragraphs>
  <TotalTime>26</TotalTime>
  <ScaleCrop>false</ScaleCrop>
  <LinksUpToDate>false</LinksUpToDate>
  <CharactersWithSpaces>853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cp:lastPrinted>2023-02-28T02:59:00Z</cp:lastPrinted>
  <dcterms:modified xsi:type="dcterms:W3CDTF">2025-05-19T08:48:10Z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67E6E698CDE4467B92386AF1D3C6E445</vt:lpwstr>
  </property>
  <property fmtid="{D5CDD505-2E9C-101B-9397-08002B2CF9AE}" pid="4" name="KSOTemplateDocerSaveRecord">
    <vt:lpwstr>eyJoZGlkIjoiZGMzOTUxNTdlNzAwZjNjNzBiZjhjMDg1ODc4YTUwOTciLCJ1c2VySWQiOiIzNzc0MjU0NTQifQ==</vt:lpwstr>
  </property>
</Properties>
</file>