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pStyle w:val="8"/>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bookmarkEnd w:id="0"/>
    <w:p>
      <w:pPr>
        <w:adjustRightInd w:val="0"/>
        <w:snapToGrid w:val="0"/>
        <w:spacing w:line="360" w:lineRule="auto"/>
        <w:jc w:val="center"/>
        <w:outlineLvl w:val="9"/>
        <w:rPr>
          <w:rFonts w:hint="eastAsia" w:ascii="方正小标宋简体" w:hAnsi="方正小标宋简体" w:eastAsia="方正小标宋简体" w:cs="方正小标宋简体"/>
          <w:color w:val="000000"/>
          <w:sz w:val="44"/>
          <w:szCs w:val="44"/>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9"/>
        <w:rPr>
          <w:rFonts w:ascii="方正小标宋简体" w:hAnsi="宋体" w:eastAsia="方正小标宋简体"/>
          <w:color w:val="000000"/>
          <w:sz w:val="44"/>
          <w:szCs w:val="44"/>
        </w:rPr>
      </w:pPr>
      <w:bookmarkStart w:id="6" w:name="_Toc15378442"/>
      <w:bookmarkStart w:id="7" w:name="_Toc15396476"/>
      <w:bookmarkStart w:id="8" w:name="_Toc15396598"/>
      <w:bookmarkStart w:id="9" w:name="_Toc15377426"/>
      <w:bookmarkStart w:id="10" w:name="_Toc15377194"/>
      <w:r>
        <w:rPr>
          <w:rFonts w:hint="eastAsia" w:ascii="方正小标宋简体" w:hAnsi="宋体" w:eastAsia="方正小标宋简体"/>
          <w:color w:val="000000"/>
          <w:sz w:val="44"/>
          <w:szCs w:val="44"/>
        </w:rPr>
        <w:t>四川省</w:t>
      </w:r>
      <w:bookmarkStart w:id="11" w:name="_Toc15306268"/>
      <w:r>
        <w:rPr>
          <w:rFonts w:hint="eastAsia" w:ascii="方正小标宋简体" w:hAnsi="宋体" w:eastAsia="方正小标宋简体"/>
          <w:color w:val="000000"/>
          <w:sz w:val="44"/>
          <w:szCs w:val="44"/>
        </w:rPr>
        <w:t>峨眉山市</w:t>
      </w:r>
      <w:r>
        <w:rPr>
          <w:rFonts w:hint="eastAsia" w:ascii="方正小标宋简体" w:hAnsi="宋体" w:eastAsia="方正小标宋简体"/>
          <w:color w:val="000000"/>
          <w:sz w:val="44"/>
          <w:szCs w:val="44"/>
          <w:lang w:eastAsia="zh-CN"/>
        </w:rPr>
        <w:t>民政</w:t>
      </w:r>
      <w:r>
        <w:rPr>
          <w:rFonts w:hint="eastAsia" w:ascii="方正小标宋简体" w:hAnsi="宋体" w:eastAsia="方正小标宋简体"/>
          <w:color w:val="000000"/>
          <w:sz w:val="44"/>
          <w:szCs w:val="44"/>
        </w:rPr>
        <w:t>服务中心</w:t>
      </w:r>
    </w:p>
    <w:p>
      <w:pPr>
        <w:adjustRightInd w:val="0"/>
        <w:snapToGrid w:val="0"/>
        <w:spacing w:line="360" w:lineRule="auto"/>
        <w:jc w:val="center"/>
        <w:outlineLvl w:val="9"/>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决算</w:t>
      </w:r>
      <w:bookmarkEnd w:id="6"/>
      <w:bookmarkEnd w:id="7"/>
      <w:bookmarkEnd w:id="8"/>
      <w:bookmarkEnd w:id="9"/>
      <w:bookmarkEnd w:id="10"/>
      <w:bookmarkEnd w:id="11"/>
      <w:r>
        <w:rPr>
          <w:rFonts w:hint="eastAsia" w:ascii="方正小标宋简体" w:hAnsi="宋体" w:eastAsia="方正小标宋简体"/>
          <w:color w:val="000000"/>
          <w:sz w:val="44"/>
          <w:szCs w:val="44"/>
        </w:rPr>
        <w:t>公开编制说明</w:t>
      </w:r>
    </w:p>
    <w:p>
      <w:pPr>
        <w:widowControl/>
        <w:spacing w:line="440" w:lineRule="exact"/>
        <w:jc w:val="left"/>
        <w:outlineLvl w:val="9"/>
        <w:rPr>
          <w:rFonts w:ascii="方正小标宋简体" w:hAnsi="宋体" w:eastAsia="方正小标宋简体"/>
          <w:sz w:val="36"/>
          <w:szCs w:val="36"/>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方正小标宋简体" w:hAnsi="宋体" w:eastAsia="方正小标宋简体"/>
          <w:sz w:val="36"/>
          <w:szCs w:val="36"/>
        </w:rPr>
        <w:br w:type="page"/>
      </w:r>
      <w:bookmarkStart w:id="12" w:name="_Toc15396599"/>
      <w:bookmarkStart w:id="13" w:name="_Toc15377196"/>
      <w:bookmarkStart w:id="97" w:name="_GoBack"/>
      <w:bookmarkEnd w:id="97"/>
    </w:p>
    <w:sdt>
      <w:sdtPr>
        <w:rPr>
          <w:rFonts w:ascii="宋体" w:hAnsi="宋体" w:eastAsia="宋体" w:cs="Times New Roman"/>
          <w:kern w:val="2"/>
          <w:sz w:val="40"/>
          <w:szCs w:val="48"/>
          <w:lang w:val="en-US" w:eastAsia="zh-CN" w:bidi="ar-SA"/>
        </w:rPr>
        <w:id w:val="147481369"/>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outlineLvl w:val="9"/>
            <w:rPr>
              <w:rFonts w:ascii="宋体" w:hAnsi="宋体" w:eastAsia="宋体"/>
              <w:sz w:val="44"/>
              <w:szCs w:val="52"/>
            </w:rPr>
          </w:pPr>
          <w:r>
            <w:rPr>
              <w:rFonts w:ascii="宋体" w:hAnsi="宋体" w:eastAsia="宋体"/>
              <w:sz w:val="44"/>
              <w:szCs w:val="52"/>
            </w:rPr>
            <w:t>目录</w:t>
          </w:r>
        </w:p>
        <w:p>
          <w:pPr>
            <w:pStyle w:val="19"/>
            <w:jc w:val="center"/>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公开时间：2024年12月 10日</w:t>
          </w:r>
        </w:p>
        <w:p>
          <w:pPr>
            <w:pStyle w:val="13"/>
            <w:tabs>
              <w:tab w:val="right" w:leader="dot" w:pos="8306"/>
              <w:tab w:val="clear" w:pos="8296"/>
            </w:tabs>
          </w:pPr>
          <w:r>
            <w:fldChar w:fldCharType="begin"/>
          </w:r>
          <w:r>
            <w:instrText xml:space="preserve">TOC \o "1-2"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_Toc17372 </w:instrText>
          </w:r>
          <w:r>
            <w:rPr>
              <w:rFonts w:hint="eastAsia" w:ascii="黑体" w:hAnsi="黑体" w:eastAsia="黑体" w:cs="黑体"/>
              <w:sz w:val="24"/>
              <w:szCs w:val="24"/>
            </w:rPr>
            <w:fldChar w:fldCharType="separate"/>
          </w:r>
          <w:r>
            <w:rPr>
              <w:rFonts w:hint="eastAsia" w:ascii="黑体" w:hAnsi="黑体" w:eastAsia="黑体" w:cs="黑体"/>
              <w:sz w:val="24"/>
              <w:szCs w:val="24"/>
              <w:highlight w:val="none"/>
            </w:rPr>
            <w:t>第一部分 单位</w:t>
          </w:r>
          <w:r>
            <w:rPr>
              <w:rFonts w:hint="eastAsia" w:ascii="黑体" w:hAnsi="黑体" w:eastAsia="黑体" w:cs="黑体"/>
              <w:bCs w:val="0"/>
              <w:sz w:val="24"/>
              <w:szCs w:val="24"/>
              <w:highlight w:val="none"/>
            </w:rPr>
            <w:t>概况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_Toc17372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4"/>
            <w:tabs>
              <w:tab w:val="right" w:leader="dot" w:pos="8306"/>
              <w:tab w:val="clear" w:pos="8296"/>
            </w:tabs>
          </w:pPr>
          <w:r>
            <w:fldChar w:fldCharType="begin"/>
          </w:r>
          <w:r>
            <w:instrText xml:space="preserve"> HYPERLINK \l _Toc14522 </w:instrText>
          </w:r>
          <w:r>
            <w:fldChar w:fldCharType="separate"/>
          </w:r>
          <w:r>
            <w:rPr>
              <w:rFonts w:hint="eastAsia" w:ascii="黑体" w:hAnsi="黑体" w:eastAsia="黑体"/>
              <w:bCs w:val="0"/>
            </w:rPr>
            <w:t xml:space="preserve">一、 </w:t>
          </w:r>
          <w:r>
            <w:rPr>
              <w:rFonts w:hint="eastAsia" w:ascii="黑体" w:hAnsi="黑体" w:eastAsia="黑体"/>
              <w:bCs w:val="0"/>
              <w:highlight w:val="none"/>
            </w:rPr>
            <w:t>主要职责</w:t>
          </w:r>
          <w:r>
            <w:tab/>
          </w:r>
          <w:r>
            <w:fldChar w:fldCharType="begin"/>
          </w:r>
          <w:r>
            <w:instrText xml:space="preserve"> PAGEREF _Toc14522 \h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_Toc693 </w:instrText>
          </w:r>
          <w:r>
            <w:fldChar w:fldCharType="separate"/>
          </w:r>
          <w:r>
            <w:rPr>
              <w:rFonts w:hint="eastAsia" w:ascii="黑体" w:hAnsi="黑体" w:eastAsia="黑体"/>
            </w:rPr>
            <w:t xml:space="preserve">二、 </w:t>
          </w:r>
          <w:r>
            <w:rPr>
              <w:rFonts w:hint="eastAsia" w:ascii="黑体" w:hAnsi="黑体" w:eastAsia="黑体"/>
              <w:highlight w:val="none"/>
            </w:rPr>
            <w:t>机构设置</w:t>
          </w:r>
          <w:r>
            <w:tab/>
          </w:r>
          <w:r>
            <w:fldChar w:fldCharType="begin"/>
          </w:r>
          <w:r>
            <w:instrText xml:space="preserve"> PAGEREF _Toc693 \h </w:instrText>
          </w:r>
          <w:r>
            <w:fldChar w:fldCharType="separate"/>
          </w:r>
          <w:r>
            <w:t>1</w:t>
          </w:r>
          <w:r>
            <w:fldChar w:fldCharType="end"/>
          </w:r>
          <w:r>
            <w:fldChar w:fldCharType="end"/>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_Toc10801 </w:instrText>
          </w:r>
          <w:r>
            <w:rPr>
              <w:rFonts w:hint="eastAsia" w:ascii="黑体" w:hAnsi="黑体" w:eastAsia="黑体" w:cs="黑体"/>
              <w:sz w:val="24"/>
              <w:szCs w:val="24"/>
            </w:rPr>
            <w:fldChar w:fldCharType="separate"/>
          </w:r>
          <w:r>
            <w:rPr>
              <w:rFonts w:hint="eastAsia" w:ascii="黑体" w:hAnsi="黑体" w:eastAsia="黑体" w:cs="黑体"/>
              <w:sz w:val="24"/>
              <w:szCs w:val="24"/>
            </w:rPr>
            <w:t>第二部分 2023年度单位决算情况说明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_Toc10801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4"/>
            <w:tabs>
              <w:tab w:val="right" w:leader="dot" w:pos="8306"/>
              <w:tab w:val="clear" w:pos="8296"/>
            </w:tabs>
          </w:pPr>
          <w:r>
            <w:fldChar w:fldCharType="begin"/>
          </w:r>
          <w:r>
            <w:instrText xml:space="preserve"> HYPERLINK \l _Toc26084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_Toc26084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_Toc5382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_Toc5382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_Toc14042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_Toc14042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_Toc482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_Toc482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_Toc5299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_Toc5299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_Toc12343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_Toc12343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_Toc4789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_Toc4789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_Toc31053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_Toc31053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_Toc21434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_Toc21434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_Toc12418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_Toc12418 \h </w:instrText>
          </w:r>
          <w:r>
            <w:fldChar w:fldCharType="separate"/>
          </w:r>
          <w:r>
            <w:t>9</w:t>
          </w:r>
          <w:r>
            <w:fldChar w:fldCharType="end"/>
          </w:r>
          <w:r>
            <w:fldChar w:fldCharType="end"/>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_Toc20976 </w:instrText>
          </w:r>
          <w:r>
            <w:rPr>
              <w:rFonts w:hint="eastAsia" w:ascii="黑体" w:hAnsi="黑体" w:eastAsia="黑体" w:cs="黑体"/>
              <w:sz w:val="24"/>
              <w:szCs w:val="24"/>
            </w:rPr>
            <w:fldChar w:fldCharType="separate"/>
          </w:r>
          <w:r>
            <w:rPr>
              <w:rFonts w:hint="eastAsia" w:ascii="黑体" w:hAnsi="黑体" w:eastAsia="黑体" w:cs="黑体"/>
              <w:sz w:val="24"/>
              <w:szCs w:val="24"/>
            </w:rPr>
            <w:t>第三部分 名词解释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_Toc20976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_Toc4742 </w:instrText>
          </w:r>
          <w:r>
            <w:rPr>
              <w:rFonts w:hint="eastAsia" w:ascii="黑体" w:hAnsi="黑体" w:eastAsia="黑体" w:cs="黑体"/>
              <w:sz w:val="24"/>
              <w:szCs w:val="24"/>
            </w:rPr>
            <w:fldChar w:fldCharType="separate"/>
          </w:r>
          <w:r>
            <w:rPr>
              <w:rFonts w:hint="eastAsia" w:ascii="黑体" w:hAnsi="黑体" w:eastAsia="黑体" w:cs="黑体"/>
              <w:sz w:val="24"/>
              <w:szCs w:val="24"/>
            </w:rPr>
            <w:t>第四部分 附件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_Toc4742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_Toc15764 </w:instrText>
          </w:r>
          <w:r>
            <w:rPr>
              <w:rFonts w:hint="eastAsia" w:ascii="黑体" w:hAnsi="黑体" w:eastAsia="黑体" w:cs="黑体"/>
              <w:sz w:val="24"/>
              <w:szCs w:val="24"/>
            </w:rPr>
            <w:fldChar w:fldCharType="separate"/>
          </w:r>
          <w:r>
            <w:rPr>
              <w:rFonts w:hint="eastAsia" w:ascii="黑体" w:hAnsi="黑体" w:eastAsia="黑体" w:cs="黑体"/>
              <w:sz w:val="24"/>
              <w:szCs w:val="24"/>
            </w:rPr>
            <w:t>第五部分 附表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_Toc15764 \h </w:instrText>
          </w:r>
          <w:r>
            <w:rPr>
              <w:rFonts w:hint="eastAsia" w:ascii="黑体" w:hAnsi="黑体" w:eastAsia="黑体" w:cs="黑体"/>
              <w:sz w:val="24"/>
              <w:szCs w:val="24"/>
            </w:rPr>
            <w:fldChar w:fldCharType="separate"/>
          </w:r>
          <w:r>
            <w:rPr>
              <w:rFonts w:hint="eastAsia" w:ascii="黑体" w:hAnsi="黑体" w:eastAsia="黑体" w:cs="黑体"/>
              <w:sz w:val="24"/>
              <w:szCs w:val="24"/>
            </w:rPr>
            <w:t>27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_Toc9130 </w:instrText>
          </w:r>
          <w:r>
            <w:rPr>
              <w:rFonts w:hint="eastAsia" w:ascii="黑体" w:hAnsi="黑体" w:eastAsia="黑体" w:cs="黑体"/>
            </w:rPr>
            <w:fldChar w:fldCharType="separate"/>
          </w:r>
          <w:r>
            <w:rPr>
              <w:rFonts w:hint="eastAsia" w:ascii="黑体" w:hAnsi="黑体" w:eastAsia="黑体" w:cs="黑体"/>
            </w:rPr>
            <w:t>一、收</w:t>
          </w:r>
          <w:r>
            <w:rPr>
              <w:rFonts w:hint="eastAsia" w:ascii="黑体" w:hAnsi="黑体" w:eastAsia="黑体" w:cs="黑体"/>
              <w:bCs w:val="0"/>
            </w:rPr>
            <w:t>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_Toc9130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_Toc29334 </w:instrText>
          </w:r>
          <w:r>
            <w:rPr>
              <w:rFonts w:hint="eastAsia" w:ascii="黑体" w:hAnsi="黑体" w:eastAsia="黑体" w:cs="黑体"/>
            </w:rPr>
            <w:fldChar w:fldCharType="separate"/>
          </w:r>
          <w:r>
            <w:rPr>
              <w:rFonts w:hint="eastAsia" w:ascii="黑体" w:hAnsi="黑体" w:eastAsia="黑体" w:cs="黑体"/>
            </w:rPr>
            <w:t>二、收</w:t>
          </w:r>
          <w:r>
            <w:rPr>
              <w:rFonts w:hint="eastAsia" w:ascii="黑体" w:hAnsi="黑体" w:eastAsia="黑体" w:cs="黑体"/>
              <w:bCs w:val="0"/>
            </w:rPr>
            <w:t>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_Toc29334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_Toc7545 </w:instrText>
          </w:r>
          <w:r>
            <w:rPr>
              <w:rFonts w:hint="eastAsia" w:ascii="黑体" w:hAnsi="黑体" w:eastAsia="黑体" w:cs="黑体"/>
            </w:rPr>
            <w:fldChar w:fldCharType="separate"/>
          </w:r>
          <w:r>
            <w:rPr>
              <w:rFonts w:hint="eastAsia" w:ascii="黑体" w:hAnsi="黑体" w:eastAsia="黑体" w:cs="黑体"/>
              <w:bCs w:val="0"/>
            </w:rPr>
            <w:t>三、</w:t>
          </w:r>
          <w:r>
            <w:rPr>
              <w:rFonts w:hint="eastAsia" w:ascii="黑体" w:hAnsi="黑体" w:eastAsia="黑体" w:cs="黑体"/>
            </w:rPr>
            <w:t>支</w:t>
          </w:r>
          <w:r>
            <w:rPr>
              <w:rFonts w:hint="eastAsia" w:ascii="黑体" w:hAnsi="黑体" w:eastAsia="黑体" w:cs="黑体"/>
              <w:bCs w:val="0"/>
            </w:rPr>
            <w:t>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_Toc7545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_Toc17479 </w:instrText>
          </w:r>
          <w:r>
            <w:rPr>
              <w:rFonts w:hint="eastAsia" w:ascii="黑体" w:hAnsi="黑体" w:eastAsia="黑体" w:cs="黑体"/>
            </w:rPr>
            <w:fldChar w:fldCharType="separate"/>
          </w:r>
          <w:r>
            <w:rPr>
              <w:rFonts w:hint="eastAsia" w:ascii="黑体" w:hAnsi="黑体" w:eastAsia="黑体" w:cs="黑体"/>
              <w:bCs w:val="0"/>
            </w:rPr>
            <w:t>四、</w:t>
          </w:r>
          <w:r>
            <w:rPr>
              <w:rFonts w:hint="eastAsia" w:ascii="黑体" w:hAnsi="黑体" w:eastAsia="黑体" w:cs="黑体"/>
            </w:rPr>
            <w:t>财</w:t>
          </w:r>
          <w:r>
            <w:rPr>
              <w:rFonts w:hint="eastAsia" w:ascii="黑体" w:hAnsi="黑体" w:eastAsia="黑体" w:cs="黑体"/>
              <w:bCs w:val="0"/>
            </w:rPr>
            <w:t>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_Toc17479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_Toc20014 </w:instrText>
          </w:r>
          <w:r>
            <w:rPr>
              <w:rFonts w:hint="eastAsia" w:ascii="黑体" w:hAnsi="黑体" w:eastAsia="黑体" w:cs="黑体"/>
            </w:rPr>
            <w:fldChar w:fldCharType="separate"/>
          </w:r>
          <w:r>
            <w:rPr>
              <w:rFonts w:hint="eastAsia" w:ascii="黑体" w:hAnsi="黑体" w:eastAsia="黑体" w:cs="黑体"/>
              <w:bCs w:val="0"/>
            </w:rPr>
            <w:t>五、</w:t>
          </w:r>
          <w:r>
            <w:rPr>
              <w:rFonts w:hint="eastAsia" w:ascii="黑体" w:hAnsi="黑体" w:eastAsia="黑体" w:cs="黑体"/>
            </w:rPr>
            <w:t>财</w:t>
          </w:r>
          <w:r>
            <w:rPr>
              <w:rFonts w:hint="eastAsia" w:ascii="黑体" w:hAnsi="黑体" w:eastAsia="黑体" w:cs="黑体"/>
              <w:bCs w:val="0"/>
            </w:rPr>
            <w:t>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_Toc20014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_Toc6009 </w:instrText>
          </w:r>
          <w:r>
            <w:rPr>
              <w:rFonts w:hint="eastAsia" w:ascii="黑体" w:hAnsi="黑体" w:eastAsia="黑体" w:cs="黑体"/>
            </w:rPr>
            <w:fldChar w:fldCharType="separate"/>
          </w:r>
          <w:r>
            <w:rPr>
              <w:rFonts w:hint="eastAsia" w:ascii="黑体" w:hAnsi="黑体" w:eastAsia="黑体" w:cs="黑体"/>
              <w:bCs w:val="0"/>
            </w:rPr>
            <w:t>六、</w:t>
          </w:r>
          <w:r>
            <w:rPr>
              <w:rFonts w:hint="eastAsia" w:ascii="黑体" w:hAnsi="黑体" w:eastAsia="黑体" w:cs="黑体"/>
            </w:rPr>
            <w:t>一</w:t>
          </w:r>
          <w:r>
            <w:rPr>
              <w:rFonts w:hint="eastAsia" w:ascii="黑体" w:hAnsi="黑体" w:eastAsia="黑体" w:cs="黑体"/>
              <w:bCs w:val="0"/>
            </w:rPr>
            <w:t>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_Toc6009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_Toc8390 </w:instrText>
          </w:r>
          <w:r>
            <w:rPr>
              <w:rFonts w:hint="eastAsia" w:ascii="黑体" w:hAnsi="黑体" w:eastAsia="黑体" w:cs="黑体"/>
            </w:rPr>
            <w:fldChar w:fldCharType="separate"/>
          </w:r>
          <w:r>
            <w:rPr>
              <w:rFonts w:hint="eastAsia" w:ascii="黑体" w:hAnsi="黑体" w:eastAsia="黑体" w:cs="黑体"/>
              <w:bCs w:val="0"/>
            </w:rPr>
            <w:t>七、</w:t>
          </w:r>
          <w:r>
            <w:rPr>
              <w:rFonts w:hint="eastAsia" w:ascii="黑体" w:hAnsi="黑体" w:eastAsia="黑体" w:cs="黑体"/>
            </w:rPr>
            <w:t>一</w:t>
          </w:r>
          <w:r>
            <w:rPr>
              <w:rFonts w:hint="eastAsia" w:ascii="黑体" w:hAnsi="黑体" w:eastAsia="黑体" w:cs="黑体"/>
              <w:bCs w:val="0"/>
            </w:rPr>
            <w:t>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_Toc8390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_Toc18118 </w:instrText>
          </w:r>
          <w:r>
            <w:rPr>
              <w:rFonts w:hint="eastAsia" w:ascii="黑体" w:hAnsi="黑体" w:eastAsia="黑体" w:cs="黑体"/>
            </w:rPr>
            <w:fldChar w:fldCharType="separate"/>
          </w:r>
          <w:r>
            <w:rPr>
              <w:rFonts w:hint="eastAsia" w:ascii="黑体" w:hAnsi="黑体" w:eastAsia="黑体" w:cs="黑体"/>
              <w:bCs w:val="0"/>
            </w:rPr>
            <w:t>八、</w:t>
          </w:r>
          <w:r>
            <w:rPr>
              <w:rFonts w:hint="eastAsia" w:ascii="黑体" w:hAnsi="黑体" w:eastAsia="黑体" w:cs="黑体"/>
            </w:rPr>
            <w:t>一</w:t>
          </w:r>
          <w:r>
            <w:rPr>
              <w:rFonts w:hint="eastAsia" w:ascii="黑体" w:hAnsi="黑体" w:eastAsia="黑体" w:cs="黑体"/>
              <w:bCs w:val="0"/>
            </w:rPr>
            <w:t>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_Toc18118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_Toc31425 </w:instrText>
          </w:r>
          <w:r>
            <w:rPr>
              <w:rFonts w:hint="eastAsia" w:ascii="黑体" w:hAnsi="黑体" w:eastAsia="黑体" w:cs="黑体"/>
            </w:rPr>
            <w:fldChar w:fldCharType="separate"/>
          </w:r>
          <w:r>
            <w:rPr>
              <w:rFonts w:hint="eastAsia" w:ascii="黑体" w:hAnsi="黑体" w:eastAsia="黑体" w:cs="黑体"/>
              <w:bCs w:val="0"/>
            </w:rPr>
            <w:t>九、</w:t>
          </w:r>
          <w:r>
            <w:rPr>
              <w:rFonts w:hint="eastAsia" w:ascii="黑体" w:hAnsi="黑体" w:eastAsia="黑体" w:cs="黑体"/>
            </w:rPr>
            <w:t>一</w:t>
          </w:r>
          <w:r>
            <w:rPr>
              <w:rFonts w:hint="eastAsia" w:ascii="黑体" w:hAnsi="黑体" w:eastAsia="黑体" w:cs="黑体"/>
              <w:bCs w:val="0"/>
            </w:rPr>
            <w:t>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_Toc31425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_Toc27089 </w:instrText>
          </w:r>
          <w:r>
            <w:rPr>
              <w:rFonts w:hint="eastAsia" w:ascii="黑体" w:hAnsi="黑体" w:eastAsia="黑体" w:cs="黑体"/>
            </w:rPr>
            <w:fldChar w:fldCharType="separate"/>
          </w:r>
          <w:r>
            <w:rPr>
              <w:rFonts w:hint="eastAsia" w:ascii="黑体" w:hAnsi="黑体" w:eastAsia="黑体" w:cs="黑体"/>
              <w:bCs w:val="0"/>
            </w:rPr>
            <w:t>十、</w:t>
          </w:r>
          <w:r>
            <w:rPr>
              <w:rFonts w:hint="eastAsia" w:ascii="黑体" w:hAnsi="黑体" w:eastAsia="黑体" w:cs="黑体"/>
            </w:rPr>
            <w:t>政</w:t>
          </w:r>
          <w:r>
            <w:rPr>
              <w:rFonts w:hint="eastAsia" w:ascii="黑体" w:hAnsi="黑体" w:eastAsia="黑体" w:cs="黑体"/>
              <w:bCs w:val="0"/>
            </w:rPr>
            <w:t>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_Toc27089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_Toc17615 </w:instrText>
          </w:r>
          <w:r>
            <w:rPr>
              <w:rFonts w:hint="eastAsia" w:ascii="黑体" w:hAnsi="黑体" w:eastAsia="黑体" w:cs="黑体"/>
            </w:rPr>
            <w:fldChar w:fldCharType="separate"/>
          </w:r>
          <w:r>
            <w:rPr>
              <w:rFonts w:hint="eastAsia" w:ascii="黑体" w:hAnsi="黑体" w:eastAsia="黑体" w:cs="黑体"/>
              <w:bCs w:val="0"/>
            </w:rPr>
            <w:t>十一、</w:t>
          </w:r>
          <w:r>
            <w:rPr>
              <w:rFonts w:hint="eastAsia" w:ascii="黑体" w:hAnsi="黑体" w:eastAsia="黑体" w:cs="黑体"/>
            </w:rPr>
            <w:t>国</w:t>
          </w:r>
          <w:r>
            <w:rPr>
              <w:rFonts w:hint="eastAsia" w:ascii="黑体" w:hAnsi="黑体" w:eastAsia="黑体" w:cs="黑体"/>
              <w:bCs w:val="0"/>
            </w:rPr>
            <w:t>有资本经营预算财政拨款收入支出决算表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_Toc17615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_Toc8122 </w:instrText>
          </w:r>
          <w:r>
            <w:rPr>
              <w:rFonts w:hint="eastAsia" w:ascii="黑体" w:hAnsi="黑体" w:eastAsia="黑体" w:cs="黑体"/>
            </w:rPr>
            <w:fldChar w:fldCharType="separate"/>
          </w:r>
          <w:r>
            <w:rPr>
              <w:rFonts w:hint="eastAsia" w:ascii="黑体" w:hAnsi="黑体" w:eastAsia="黑体" w:cs="黑体"/>
              <w:bCs w:val="0"/>
            </w:rPr>
            <w:t>十二、国有资本经营预算财政拨款支出决算表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_Toc8122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pStyle w:val="14"/>
            <w:tabs>
              <w:tab w:val="right" w:leader="dot" w:pos="8306"/>
              <w:tab w:val="clear" w:pos="8296"/>
            </w:tabs>
          </w:pPr>
          <w:r>
            <w:rPr>
              <w:rFonts w:hint="eastAsia" w:ascii="黑体" w:hAnsi="黑体" w:eastAsia="黑体" w:cs="黑体"/>
            </w:rPr>
            <w:fldChar w:fldCharType="begin"/>
          </w:r>
          <w:r>
            <w:rPr>
              <w:rFonts w:hint="eastAsia" w:ascii="黑体" w:hAnsi="黑体" w:eastAsia="黑体" w:cs="黑体"/>
            </w:rPr>
            <w:instrText xml:space="preserve"> HYPERLINK \l _Toc24058 </w:instrText>
          </w:r>
          <w:r>
            <w:rPr>
              <w:rFonts w:hint="eastAsia" w:ascii="黑体" w:hAnsi="黑体" w:eastAsia="黑体" w:cs="黑体"/>
            </w:rPr>
            <w:fldChar w:fldCharType="separate"/>
          </w:r>
          <w:r>
            <w:rPr>
              <w:rFonts w:hint="eastAsia" w:ascii="黑体" w:hAnsi="黑体" w:eastAsia="黑体" w:cs="黑体"/>
              <w:bCs w:val="0"/>
            </w:rPr>
            <w:t>十三、财政拨款“三公”经费支出决算表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_Toc24058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rPr>
            <w:fldChar w:fldCharType="end"/>
          </w:r>
        </w:p>
        <w:p>
          <w:pPr>
            <w:outlineLvl w:val="9"/>
            <w:sectPr>
              <w:pgSz w:w="11906" w:h="16838"/>
              <w:pgMar w:top="1440" w:right="1800" w:bottom="1440" w:left="1800" w:header="851" w:footer="992" w:gutter="0"/>
              <w:pgNumType w:start="1"/>
              <w:cols w:space="425" w:num="1"/>
              <w:titlePg/>
              <w:docGrid w:type="lines" w:linePitch="312" w:charSpace="0"/>
            </w:sectPr>
          </w:pPr>
          <w:r>
            <w:fldChar w:fldCharType="end"/>
          </w:r>
        </w:p>
      </w:sdtContent>
    </w:sdt>
    <w:p>
      <w:pPr>
        <w:pStyle w:val="19"/>
        <w:outlineLvl w:val="9"/>
      </w:pPr>
    </w:p>
    <w:p>
      <w:pPr>
        <w:pStyle w:val="5"/>
        <w:jc w:val="center"/>
        <w:rPr>
          <w:rStyle w:val="28"/>
          <w:rFonts w:ascii="黑体" w:hAnsi="黑体" w:eastAsia="黑体"/>
          <w:b/>
          <w:bCs w:val="0"/>
          <w:highlight w:val="none"/>
        </w:rPr>
      </w:pPr>
      <w:bookmarkStart w:id="14" w:name="_Toc17372"/>
      <w:r>
        <w:rPr>
          <w:rFonts w:hint="eastAsia" w:ascii="黑体" w:hAnsi="黑体" w:eastAsia="黑体"/>
          <w:b w:val="0"/>
          <w:highlight w:val="none"/>
        </w:rPr>
        <w:t>第一部分 单位</w:t>
      </w:r>
      <w:r>
        <w:rPr>
          <w:rStyle w:val="28"/>
          <w:rFonts w:hint="eastAsia" w:ascii="黑体" w:hAnsi="黑体" w:eastAsia="黑体"/>
          <w:b w:val="0"/>
          <w:bCs w:val="0"/>
          <w:highlight w:val="none"/>
        </w:rPr>
        <w:t>概况</w:t>
      </w:r>
      <w:bookmarkEnd w:id="12"/>
      <w:bookmarkEnd w:id="13"/>
      <w:bookmarkEnd w:id="14"/>
    </w:p>
    <w:p>
      <w:pPr>
        <w:widowControl/>
        <w:jc w:val="left"/>
        <w:rPr>
          <w:rFonts w:ascii="黑体" w:eastAsia="黑体"/>
          <w:sz w:val="32"/>
          <w:szCs w:val="32"/>
          <w:highlight w:val="none"/>
        </w:rPr>
      </w:pPr>
    </w:p>
    <w:p>
      <w:pPr>
        <w:pStyle w:val="6"/>
        <w:numPr>
          <w:ilvl w:val="0"/>
          <w:numId w:val="1"/>
        </w:numPr>
        <w:rPr>
          <w:rStyle w:val="29"/>
          <w:rFonts w:ascii="黑体" w:hAnsi="黑体" w:eastAsia="黑体"/>
          <w:b w:val="0"/>
          <w:bCs w:val="0"/>
          <w:highlight w:val="none"/>
        </w:rPr>
      </w:pPr>
      <w:bookmarkStart w:id="15" w:name="_Toc14522"/>
      <w:bookmarkStart w:id="16" w:name="_Toc15377197"/>
      <w:bookmarkStart w:id="17" w:name="_Toc15396600"/>
      <w:r>
        <w:rPr>
          <w:rStyle w:val="29"/>
          <w:rFonts w:hint="eastAsia" w:ascii="黑体" w:hAnsi="黑体" w:eastAsia="黑体"/>
          <w:b w:val="0"/>
          <w:bCs w:val="0"/>
          <w:highlight w:val="none"/>
        </w:rPr>
        <w:t>主要职责</w:t>
      </w:r>
      <w:bookmarkEnd w:id="15"/>
    </w:p>
    <w:p>
      <w:pPr>
        <w:pStyle w:val="27"/>
        <w:snapToGrid w:val="0"/>
        <w:spacing w:line="520" w:lineRule="exact"/>
        <w:ind w:left="420" w:firstLine="640"/>
        <w:rPr>
          <w:rFonts w:ascii="仿宋" w:hAnsi="仿宋" w:eastAsia="仿宋" w:cs="仿宋_GB2312"/>
          <w:sz w:val="32"/>
          <w:szCs w:val="32"/>
          <w:highlight w:val="none"/>
        </w:rPr>
      </w:pPr>
      <w:r>
        <w:rPr>
          <w:rFonts w:hint="eastAsia" w:ascii="仿宋" w:hAnsi="仿宋" w:eastAsia="仿宋"/>
          <w:sz w:val="32"/>
          <w:szCs w:val="32"/>
          <w:highlight w:val="none"/>
        </w:rPr>
        <w:t>峨眉山市民政服务中心主要职责是</w:t>
      </w:r>
      <w:r>
        <w:rPr>
          <w:rFonts w:ascii="仿宋" w:hAnsi="仿宋" w:eastAsia="仿宋" w:cs="仿宋_GB2312"/>
          <w:sz w:val="32"/>
          <w:szCs w:val="32"/>
          <w:highlight w:val="none"/>
        </w:rPr>
        <w:t>承担</w:t>
      </w:r>
      <w:r>
        <w:rPr>
          <w:rFonts w:hint="eastAsia" w:ascii="仿宋" w:hAnsi="仿宋" w:eastAsia="仿宋" w:cs="仿宋_GB2312"/>
          <w:sz w:val="32"/>
          <w:szCs w:val="32"/>
          <w:highlight w:val="none"/>
        </w:rPr>
        <w:t>全市</w:t>
      </w:r>
      <w:r>
        <w:rPr>
          <w:rFonts w:ascii="仿宋" w:hAnsi="仿宋" w:eastAsia="仿宋" w:cs="仿宋_GB2312"/>
          <w:sz w:val="32"/>
          <w:szCs w:val="32"/>
          <w:highlight w:val="none"/>
        </w:rPr>
        <w:t>流浪乞讨人员救助工作</w:t>
      </w:r>
      <w:r>
        <w:rPr>
          <w:rFonts w:hint="eastAsia" w:ascii="仿宋" w:hAnsi="仿宋" w:eastAsia="仿宋" w:cs="仿宋_GB2312"/>
          <w:sz w:val="32"/>
          <w:szCs w:val="32"/>
          <w:highlight w:val="none"/>
        </w:rPr>
        <w:t>，</w:t>
      </w:r>
      <w:r>
        <w:rPr>
          <w:rFonts w:hint="eastAsia" w:ascii="仿宋" w:hAnsi="仿宋" w:eastAsia="仿宋"/>
          <w:sz w:val="32"/>
          <w:szCs w:val="32"/>
          <w:highlight w:val="none"/>
        </w:rPr>
        <w:t>未</w:t>
      </w:r>
      <w:r>
        <w:rPr>
          <w:rFonts w:ascii="仿宋" w:hAnsi="仿宋" w:eastAsia="仿宋" w:cs="仿宋_GB2312"/>
          <w:sz w:val="32"/>
          <w:szCs w:val="32"/>
          <w:highlight w:val="none"/>
        </w:rPr>
        <w:t>成年人及农村留守儿童、困境儿童救助</w:t>
      </w:r>
      <w:r>
        <w:rPr>
          <w:rFonts w:hint="eastAsia" w:ascii="仿宋" w:hAnsi="仿宋" w:eastAsia="仿宋" w:cs="仿宋_GB2312"/>
          <w:sz w:val="32"/>
          <w:szCs w:val="32"/>
          <w:highlight w:val="none"/>
        </w:rPr>
        <w:t>、</w:t>
      </w:r>
      <w:r>
        <w:rPr>
          <w:rFonts w:ascii="仿宋" w:hAnsi="仿宋" w:eastAsia="仿宋" w:cs="仿宋_GB2312"/>
          <w:sz w:val="32"/>
          <w:szCs w:val="32"/>
          <w:highlight w:val="none"/>
        </w:rPr>
        <w:t>保护工作</w:t>
      </w:r>
      <w:r>
        <w:rPr>
          <w:rFonts w:hint="eastAsia" w:ascii="仿宋" w:hAnsi="仿宋" w:eastAsia="仿宋" w:cs="仿宋_GB2312"/>
          <w:sz w:val="32"/>
          <w:szCs w:val="32"/>
          <w:highlight w:val="none"/>
        </w:rPr>
        <w:t>和</w:t>
      </w:r>
      <w:r>
        <w:rPr>
          <w:rFonts w:ascii="仿宋" w:hAnsi="仿宋" w:eastAsia="仿宋" w:cs="仿宋_GB2312"/>
          <w:sz w:val="32"/>
          <w:szCs w:val="32"/>
          <w:highlight w:val="none"/>
        </w:rPr>
        <w:t>全市城乡家庭经济状况认证工作</w:t>
      </w:r>
      <w:r>
        <w:rPr>
          <w:rFonts w:hint="eastAsia" w:ascii="仿宋" w:hAnsi="仿宋" w:eastAsia="仿宋" w:cs="仿宋_GB2312"/>
          <w:sz w:val="32"/>
          <w:szCs w:val="32"/>
          <w:highlight w:val="none"/>
        </w:rPr>
        <w:t>。</w:t>
      </w:r>
    </w:p>
    <w:p>
      <w:pPr>
        <w:rPr>
          <w:highlight w:val="none"/>
        </w:rPr>
      </w:pPr>
    </w:p>
    <w:p>
      <w:pPr>
        <w:pStyle w:val="6"/>
        <w:numPr>
          <w:ilvl w:val="0"/>
          <w:numId w:val="1"/>
        </w:numPr>
        <w:ind w:left="0" w:leftChars="0" w:firstLine="0" w:firstLineChars="0"/>
        <w:rPr>
          <w:rFonts w:hint="eastAsia" w:ascii="黑体" w:hAnsi="黑体" w:eastAsia="黑体"/>
          <w:b w:val="0"/>
          <w:highlight w:val="none"/>
        </w:rPr>
      </w:pPr>
      <w:bookmarkStart w:id="18" w:name="_Toc693"/>
      <w:r>
        <w:rPr>
          <w:rFonts w:hint="eastAsia" w:ascii="黑体" w:hAnsi="黑体" w:eastAsia="黑体"/>
          <w:b w:val="0"/>
          <w:highlight w:val="none"/>
        </w:rPr>
        <w:t>机构设置</w:t>
      </w:r>
      <w:bookmarkEnd w:id="18"/>
    </w:p>
    <w:p>
      <w:pPr>
        <w:ind w:firstLine="640" w:firstLineChars="200"/>
        <w:rPr>
          <w:rFonts w:hint="eastAsia" w:eastAsia="仿宋_GB2312"/>
          <w:highlight w:val="none"/>
          <w:lang w:eastAsia="zh-CN"/>
        </w:rPr>
      </w:pPr>
      <w:r>
        <w:rPr>
          <w:rFonts w:hint="eastAsia" w:ascii="仿宋" w:hAnsi="仿宋" w:eastAsia="仿宋"/>
          <w:sz w:val="32"/>
          <w:szCs w:val="32"/>
          <w:highlight w:val="none"/>
        </w:rPr>
        <w:t>峨眉山市民政服务中心（单位名称，如为主管单位则单位名称后加“(本级)”字样。）属于民政局下属的二级预算单位，下设独立编制机构0个，其中行政机构</w:t>
      </w:r>
      <w:r>
        <w:rPr>
          <w:rFonts w:ascii="仿宋" w:hAnsi="仿宋" w:eastAsia="仿宋"/>
          <w:sz w:val="32"/>
          <w:szCs w:val="32"/>
          <w:highlight w:val="none"/>
        </w:rPr>
        <w:t>0</w:t>
      </w:r>
      <w:r>
        <w:rPr>
          <w:rFonts w:hint="eastAsia" w:ascii="仿宋" w:hAnsi="仿宋" w:eastAsia="仿宋"/>
          <w:sz w:val="32"/>
          <w:szCs w:val="32"/>
          <w:highlight w:val="none"/>
        </w:rPr>
        <w:t>个，参照公务员法管理的事业机构</w:t>
      </w:r>
      <w:r>
        <w:rPr>
          <w:rFonts w:ascii="仿宋" w:hAnsi="仿宋" w:eastAsia="仿宋"/>
          <w:sz w:val="32"/>
          <w:szCs w:val="32"/>
          <w:highlight w:val="none"/>
        </w:rPr>
        <w:t>0</w:t>
      </w:r>
      <w:r>
        <w:rPr>
          <w:rFonts w:hint="eastAsia" w:ascii="仿宋" w:hAnsi="仿宋" w:eastAsia="仿宋"/>
          <w:sz w:val="32"/>
          <w:szCs w:val="32"/>
          <w:highlight w:val="none"/>
        </w:rPr>
        <w:t>个，其他事业机构</w:t>
      </w:r>
      <w:r>
        <w:rPr>
          <w:rFonts w:ascii="仿宋" w:hAnsi="仿宋" w:eastAsia="仿宋"/>
          <w:sz w:val="32"/>
          <w:szCs w:val="32"/>
          <w:highlight w:val="none"/>
        </w:rPr>
        <w:t>0</w:t>
      </w:r>
      <w:r>
        <w:rPr>
          <w:rFonts w:hint="eastAsia" w:ascii="仿宋" w:hAnsi="仿宋" w:eastAsia="仿宋"/>
          <w:sz w:val="32"/>
          <w:szCs w:val="32"/>
          <w:highlight w:val="none"/>
        </w:rPr>
        <w:t>个。我单位实有编制人数14人</w:t>
      </w:r>
      <w:r>
        <w:rPr>
          <w:rFonts w:hint="eastAsia" w:ascii="仿宋" w:hAnsi="仿宋" w:eastAsia="仿宋"/>
          <w:sz w:val="32"/>
          <w:szCs w:val="32"/>
          <w:highlight w:val="none"/>
          <w:lang w:eastAsia="zh-CN"/>
        </w:rPr>
        <w:t>，</w:t>
      </w:r>
      <w:r>
        <w:rPr>
          <w:rFonts w:hint="eastAsia" w:ascii="仿宋_GB2312" w:hAnsi="仿宋" w:eastAsia="仿宋_GB2312"/>
          <w:sz w:val="32"/>
          <w:szCs w:val="32"/>
          <w:highlight w:val="none"/>
        </w:rPr>
        <w:t>内设救助办和未保办两个科室。中心办公室</w:t>
      </w:r>
      <w:r>
        <w:rPr>
          <w:rFonts w:hint="eastAsia" w:ascii="仿宋_GB2312" w:hAnsi="黑体" w:eastAsia="仿宋_GB2312" w:cs="仿宋_GB2312"/>
          <w:sz w:val="32"/>
          <w:szCs w:val="32"/>
          <w:highlight w:val="none"/>
        </w:rPr>
        <w:t>整合到民政局机关办公室,</w:t>
      </w:r>
      <w:r>
        <w:rPr>
          <w:rFonts w:hint="eastAsia" w:ascii="仿宋_GB2312" w:hAnsi="仿宋" w:eastAsia="仿宋_GB2312"/>
          <w:sz w:val="32"/>
          <w:szCs w:val="32"/>
          <w:highlight w:val="none"/>
        </w:rPr>
        <w:t>中心认证办整合到民政局社会救助和福利股。</w:t>
      </w:r>
    </w:p>
    <w:p>
      <w:pPr>
        <w:numPr>
          <w:ilvl w:val="0"/>
          <w:numId w:val="0"/>
        </w:numPr>
        <w:ind w:leftChars="0"/>
        <w:rPr>
          <w:highlight w:val="none"/>
        </w:rPr>
      </w:pPr>
    </w:p>
    <w:bookmarkEnd w:id="16"/>
    <w:bookmarkEnd w:id="17"/>
    <w:p>
      <w:pPr>
        <w:widowControl/>
        <w:jc w:val="left"/>
        <w:rPr>
          <w:rFonts w:ascii="仿宋" w:hAnsi="仿宋" w:eastAsia="仿宋"/>
          <w:kern w:val="0"/>
          <w:sz w:val="32"/>
          <w:szCs w:val="32"/>
          <w:highlight w:val="none"/>
        </w:rPr>
      </w:pPr>
      <w:r>
        <w:rPr>
          <w:rFonts w:ascii="仿宋" w:hAnsi="仿宋" w:eastAsia="仿宋"/>
          <w:sz w:val="32"/>
          <w:szCs w:val="32"/>
          <w:highlight w:val="none"/>
        </w:rPr>
        <w:br w:type="page"/>
      </w:r>
    </w:p>
    <w:p>
      <w:pPr>
        <w:pStyle w:val="5"/>
        <w:ind w:right="440"/>
        <w:jc w:val="center"/>
        <w:rPr>
          <w:rStyle w:val="28"/>
          <w:rFonts w:ascii="黑体" w:hAnsi="黑体" w:eastAsia="黑体"/>
          <w:b w:val="0"/>
          <w:bCs/>
          <w:highlight w:val="none"/>
        </w:rPr>
      </w:pPr>
      <w:bookmarkStart w:id="19" w:name="_Toc15396602"/>
      <w:bookmarkStart w:id="20" w:name="_Toc10801"/>
      <w:bookmarkStart w:id="21" w:name="_Toc15377204"/>
      <w:r>
        <w:rPr>
          <w:rFonts w:hint="eastAsia" w:ascii="黑体" w:hAnsi="黑体" w:eastAsia="黑体"/>
          <w:b w:val="0"/>
          <w:highlight w:val="none"/>
        </w:rPr>
        <w:t>第二部分 2023年度</w:t>
      </w:r>
      <w:r>
        <w:rPr>
          <w:rStyle w:val="28"/>
          <w:rFonts w:hint="eastAsia" w:ascii="黑体" w:hAnsi="黑体" w:eastAsia="黑体"/>
          <w:b w:val="0"/>
          <w:bCs/>
          <w:highlight w:val="none"/>
        </w:rPr>
        <w:t>单位决算情况说明</w:t>
      </w:r>
      <w:bookmarkEnd w:id="19"/>
      <w:bookmarkEnd w:id="20"/>
      <w:bookmarkEnd w:id="21"/>
    </w:p>
    <w:p>
      <w:pPr>
        <w:rPr>
          <w:highlight w:val="none"/>
        </w:rPr>
      </w:pPr>
    </w:p>
    <w:p>
      <w:pPr>
        <w:pStyle w:val="27"/>
        <w:numPr>
          <w:ilvl w:val="0"/>
          <w:numId w:val="2"/>
        </w:numPr>
        <w:spacing w:line="600" w:lineRule="exact"/>
        <w:ind w:firstLineChars="0"/>
        <w:outlineLvl w:val="1"/>
        <w:rPr>
          <w:rStyle w:val="29"/>
          <w:rFonts w:ascii="黑体" w:hAnsi="黑体" w:eastAsia="黑体"/>
          <w:b w:val="0"/>
          <w:highlight w:val="none"/>
        </w:rPr>
      </w:pPr>
      <w:bookmarkStart w:id="22" w:name="_Toc15377205"/>
      <w:bookmarkStart w:id="23" w:name="_Toc15396603"/>
      <w:bookmarkStart w:id="24" w:name="_Toc26084"/>
      <w:r>
        <w:rPr>
          <w:rFonts w:hint="eastAsia" w:ascii="黑体" w:hAnsi="黑体" w:eastAsia="黑体"/>
          <w:sz w:val="32"/>
          <w:szCs w:val="32"/>
          <w:highlight w:val="none"/>
        </w:rPr>
        <w:t>收</w:t>
      </w:r>
      <w:r>
        <w:rPr>
          <w:rStyle w:val="29"/>
          <w:rFonts w:hint="eastAsia" w:ascii="黑体" w:hAnsi="黑体" w:eastAsia="黑体"/>
          <w:b w:val="0"/>
          <w:highlight w:val="none"/>
        </w:rPr>
        <w:t>入支出决算总体情况说明</w:t>
      </w:r>
      <w:bookmarkEnd w:id="22"/>
      <w:bookmarkEnd w:id="23"/>
      <w:bookmarkEnd w:id="24"/>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2023年度收、支总计均为</w:t>
      </w:r>
      <w:r>
        <w:rPr>
          <w:rFonts w:hint="eastAsia" w:ascii="仿宋" w:hAnsi="仿宋" w:eastAsia="仿宋"/>
          <w:b/>
          <w:sz w:val="32"/>
          <w:szCs w:val="32"/>
          <w:highlight w:val="none"/>
        </w:rPr>
        <w:t>321.27</w:t>
      </w:r>
      <w:r>
        <w:rPr>
          <w:rFonts w:hint="eastAsia" w:ascii="仿宋" w:hAnsi="仿宋" w:eastAsia="仿宋"/>
          <w:sz w:val="32"/>
          <w:szCs w:val="32"/>
          <w:highlight w:val="none"/>
        </w:rPr>
        <w:t>万元。与2022年度相比，收、支总计各减少</w:t>
      </w:r>
      <w:r>
        <w:rPr>
          <w:rFonts w:hint="eastAsia" w:ascii="仿宋" w:hAnsi="仿宋" w:eastAsia="仿宋"/>
          <w:sz w:val="32"/>
          <w:szCs w:val="32"/>
          <w:highlight w:val="none"/>
          <w:lang w:val="en-US" w:eastAsia="zh-CN"/>
        </w:rPr>
        <w:t>95.23</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22.86</w:t>
      </w:r>
      <w:r>
        <w:rPr>
          <w:rFonts w:ascii="仿宋" w:hAnsi="仿宋" w:eastAsia="仿宋"/>
          <w:sz w:val="32"/>
          <w:szCs w:val="32"/>
          <w:highlight w:val="none"/>
        </w:rPr>
        <w:t>%</w:t>
      </w:r>
      <w:r>
        <w:rPr>
          <w:rFonts w:hint="eastAsia" w:ascii="仿宋" w:hAnsi="仿宋" w:eastAsia="仿宋"/>
          <w:sz w:val="32"/>
          <w:szCs w:val="32"/>
          <w:highlight w:val="none"/>
        </w:rPr>
        <w:t>。主要变动原因是……。</w:t>
      </w:r>
    </w:p>
    <w:p>
      <w:pPr>
        <w:pStyle w:val="19"/>
        <w:outlineLvl w:val="9"/>
        <w:rPr>
          <w:highlight w:val="none"/>
        </w:rPr>
      </w:pPr>
    </w:p>
    <w:p>
      <w:pPr>
        <w:spacing w:line="24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drawing>
          <wp:inline distT="0" distB="0" distL="114300" distR="114300">
            <wp:extent cx="4011295" cy="2755265"/>
            <wp:effectExtent l="0" t="0" r="8255" b="6985"/>
            <wp:docPr id="1" name="图片 1"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9"/>
                    <pic:cNvPicPr>
                      <a:picLocks noChangeAspect="1"/>
                    </pic:cNvPicPr>
                  </pic:nvPicPr>
                  <pic:blipFill>
                    <a:blip r:embed="rId6"/>
                    <a:stretch>
                      <a:fillRect/>
                    </a:stretch>
                  </pic:blipFill>
                  <pic:spPr>
                    <a:xfrm>
                      <a:off x="0" y="0"/>
                      <a:ext cx="4011295" cy="2755265"/>
                    </a:xfrm>
                    <a:prstGeom prst="rect">
                      <a:avLst/>
                    </a:prstGeom>
                  </pic:spPr>
                </pic:pic>
              </a:graphicData>
            </a:graphic>
          </wp:inline>
        </w:drawing>
      </w:r>
    </w:p>
    <w:p>
      <w:pPr>
        <w:spacing w:line="600" w:lineRule="exact"/>
        <w:ind w:firstLine="640" w:firstLineChars="200"/>
        <w:jc w:val="left"/>
        <w:rPr>
          <w:rFonts w:ascii="仿宋_GB2312" w:eastAsia="仿宋_GB2312"/>
          <w:sz w:val="32"/>
          <w:szCs w:val="32"/>
          <w:highlight w:val="none"/>
        </w:rPr>
      </w:pPr>
    </w:p>
    <w:p>
      <w:pPr>
        <w:rPr>
          <w:highlight w:val="none"/>
        </w:rPr>
      </w:pPr>
    </w:p>
    <w:p>
      <w:pPr>
        <w:pStyle w:val="27"/>
        <w:numPr>
          <w:ilvl w:val="0"/>
          <w:numId w:val="2"/>
        </w:numPr>
        <w:spacing w:line="600" w:lineRule="exact"/>
        <w:ind w:firstLineChars="0"/>
        <w:outlineLvl w:val="1"/>
        <w:rPr>
          <w:rStyle w:val="29"/>
          <w:rFonts w:ascii="黑体" w:hAnsi="黑体" w:eastAsia="黑体"/>
          <w:b w:val="0"/>
          <w:highlight w:val="none"/>
        </w:rPr>
      </w:pPr>
      <w:bookmarkStart w:id="25" w:name="_Toc15396604"/>
      <w:bookmarkStart w:id="26" w:name="_Toc15377206"/>
      <w:bookmarkStart w:id="27" w:name="_Toc5382"/>
      <w:r>
        <w:rPr>
          <w:rFonts w:hint="eastAsia" w:ascii="黑体" w:hAnsi="黑体" w:eastAsia="黑体"/>
          <w:sz w:val="32"/>
          <w:szCs w:val="32"/>
          <w:highlight w:val="none"/>
        </w:rPr>
        <w:t>收</w:t>
      </w:r>
      <w:r>
        <w:rPr>
          <w:rStyle w:val="29"/>
          <w:rFonts w:hint="eastAsia" w:ascii="黑体" w:hAnsi="黑体" w:eastAsia="黑体"/>
          <w:b w:val="0"/>
          <w:highlight w:val="none"/>
        </w:rPr>
        <w:t>入决算情况说明</w:t>
      </w:r>
      <w:bookmarkEnd w:id="25"/>
      <w:bookmarkEnd w:id="26"/>
      <w:bookmarkEnd w:id="27"/>
    </w:p>
    <w:p>
      <w:pPr>
        <w:spacing w:line="600" w:lineRule="exact"/>
        <w:ind w:firstLine="640" w:firstLineChars="200"/>
        <w:rPr>
          <w:rFonts w:hint="eastAsia" w:ascii="仿宋" w:hAnsi="仿宋" w:eastAsia="仿宋"/>
          <w:b/>
          <w:sz w:val="32"/>
          <w:szCs w:val="32"/>
          <w:highlight w:val="none"/>
          <w:lang w:eastAsia="zh-CN"/>
        </w:rPr>
      </w:pPr>
      <w:r>
        <w:rPr>
          <w:rFonts w:hint="eastAsia" w:ascii="仿宋" w:hAnsi="仿宋" w:eastAsia="仿宋"/>
          <w:sz w:val="32"/>
          <w:szCs w:val="32"/>
          <w:highlight w:val="none"/>
        </w:rPr>
        <w:t>2023年度本年收入合计</w:t>
      </w:r>
      <w:r>
        <w:rPr>
          <w:rFonts w:ascii="仿宋" w:hAnsi="仿宋" w:eastAsia="仿宋"/>
          <w:b/>
          <w:sz w:val="32"/>
          <w:szCs w:val="32"/>
          <w:highlight w:val="none"/>
        </w:rPr>
        <w:t>311.49</w:t>
      </w:r>
      <w:r>
        <w:rPr>
          <w:rFonts w:hint="eastAsia" w:ascii="仿宋" w:hAnsi="仿宋" w:eastAsia="仿宋"/>
          <w:sz w:val="32"/>
          <w:szCs w:val="32"/>
          <w:highlight w:val="none"/>
        </w:rPr>
        <w:t>万元，其中：一般公共预算财政拨款收入</w:t>
      </w:r>
      <w:r>
        <w:rPr>
          <w:rFonts w:ascii="仿宋" w:hAnsi="仿宋" w:eastAsia="仿宋"/>
          <w:b/>
          <w:sz w:val="32"/>
          <w:szCs w:val="32"/>
          <w:highlight w:val="none"/>
        </w:rPr>
        <w:t>311.49</w:t>
      </w:r>
      <w:r>
        <w:rPr>
          <w:rFonts w:hint="eastAsia" w:ascii="仿宋" w:hAnsi="仿宋" w:eastAsia="仿宋"/>
          <w:sz w:val="32"/>
          <w:szCs w:val="32"/>
          <w:highlight w:val="none"/>
        </w:rPr>
        <w:t>万元，占</w:t>
      </w:r>
      <w:r>
        <w:rPr>
          <w:rFonts w:ascii="仿宋" w:hAnsi="仿宋" w:eastAsia="仿宋"/>
          <w:b/>
          <w:sz w:val="32"/>
          <w:szCs w:val="32"/>
          <w:highlight w:val="none"/>
        </w:rPr>
        <w:t>100%</w:t>
      </w:r>
      <w:r>
        <w:rPr>
          <w:rFonts w:hint="eastAsia" w:ascii="仿宋" w:hAnsi="仿宋" w:eastAsia="仿宋"/>
          <w:b/>
          <w:sz w:val="32"/>
          <w:szCs w:val="32"/>
          <w:highlight w:val="none"/>
          <w:lang w:eastAsia="zh-CN"/>
        </w:rPr>
        <w:t>。</w:t>
      </w:r>
    </w:p>
    <w:p>
      <w:pPr>
        <w:spacing w:line="24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drawing>
          <wp:inline distT="0" distB="0" distL="114300" distR="114300">
            <wp:extent cx="4023360" cy="2749550"/>
            <wp:effectExtent l="0" t="0" r="15240" b="12700"/>
            <wp:docPr id="2" name="图片 2"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0"/>
                    <pic:cNvPicPr>
                      <a:picLocks noChangeAspect="1"/>
                    </pic:cNvPicPr>
                  </pic:nvPicPr>
                  <pic:blipFill>
                    <a:blip r:embed="rId7"/>
                    <a:stretch>
                      <a:fillRect/>
                    </a:stretch>
                  </pic:blipFill>
                  <pic:spPr>
                    <a:xfrm>
                      <a:off x="0" y="0"/>
                      <a:ext cx="4023360" cy="2749550"/>
                    </a:xfrm>
                    <a:prstGeom prst="rect">
                      <a:avLst/>
                    </a:prstGeom>
                  </pic:spPr>
                </pic:pic>
              </a:graphicData>
            </a:graphic>
          </wp:inline>
        </w:drawing>
      </w:r>
    </w:p>
    <w:p>
      <w:pPr>
        <w:pStyle w:val="27"/>
        <w:numPr>
          <w:ilvl w:val="0"/>
          <w:numId w:val="2"/>
        </w:numPr>
        <w:spacing w:line="600" w:lineRule="exact"/>
        <w:ind w:firstLineChars="0"/>
        <w:outlineLvl w:val="1"/>
        <w:rPr>
          <w:rStyle w:val="29"/>
          <w:rFonts w:ascii="黑体" w:hAnsi="黑体" w:eastAsia="黑体"/>
          <w:b w:val="0"/>
          <w:highlight w:val="none"/>
        </w:rPr>
      </w:pPr>
      <w:bookmarkStart w:id="28" w:name="_Toc15377207"/>
      <w:bookmarkStart w:id="29" w:name="_Toc15396605"/>
      <w:bookmarkStart w:id="30" w:name="_Toc14042"/>
      <w:r>
        <w:rPr>
          <w:rFonts w:hint="eastAsia" w:ascii="黑体" w:hAnsi="黑体" w:eastAsia="黑体"/>
          <w:sz w:val="32"/>
          <w:szCs w:val="32"/>
          <w:highlight w:val="none"/>
        </w:rPr>
        <w:t>支</w:t>
      </w:r>
      <w:r>
        <w:rPr>
          <w:rStyle w:val="29"/>
          <w:rFonts w:hint="eastAsia" w:ascii="黑体" w:hAnsi="黑体" w:eastAsia="黑体"/>
          <w:b w:val="0"/>
          <w:highlight w:val="none"/>
        </w:rPr>
        <w:t>出决算情况说明</w:t>
      </w:r>
      <w:bookmarkEnd w:id="28"/>
      <w:bookmarkEnd w:id="29"/>
      <w:bookmarkEnd w:id="30"/>
    </w:p>
    <w:p>
      <w:pPr>
        <w:spacing w:line="600" w:lineRule="exact"/>
        <w:ind w:firstLine="640" w:firstLineChars="200"/>
        <w:outlineLvl w:val="9"/>
        <w:rPr>
          <w:rFonts w:hint="eastAsia" w:ascii="仿宋" w:hAnsi="仿宋" w:eastAsia="仿宋"/>
          <w:b/>
          <w:sz w:val="32"/>
          <w:szCs w:val="32"/>
          <w:highlight w:val="none"/>
          <w:lang w:eastAsia="zh-CN"/>
        </w:rPr>
      </w:pPr>
      <w:r>
        <w:rPr>
          <w:rFonts w:hint="eastAsia" w:ascii="仿宋" w:hAnsi="仿宋" w:eastAsia="仿宋"/>
          <w:sz w:val="32"/>
          <w:szCs w:val="32"/>
          <w:highlight w:val="none"/>
        </w:rPr>
        <w:t>2023年度本年支出合计</w:t>
      </w:r>
      <w:r>
        <w:rPr>
          <w:rFonts w:ascii="仿宋" w:hAnsi="仿宋" w:eastAsia="仿宋"/>
          <w:b/>
          <w:sz w:val="32"/>
          <w:szCs w:val="32"/>
          <w:highlight w:val="none"/>
        </w:rPr>
        <w:t>311.62</w:t>
      </w:r>
      <w:r>
        <w:rPr>
          <w:rFonts w:hint="eastAsia" w:ascii="仿宋" w:hAnsi="仿宋" w:eastAsia="仿宋"/>
          <w:sz w:val="32"/>
          <w:szCs w:val="32"/>
          <w:highlight w:val="none"/>
        </w:rPr>
        <w:t>万元，其中：基本支出</w:t>
      </w:r>
      <w:r>
        <w:rPr>
          <w:rFonts w:ascii="仿宋" w:hAnsi="仿宋" w:eastAsia="仿宋"/>
          <w:b/>
          <w:sz w:val="32"/>
          <w:szCs w:val="32"/>
          <w:highlight w:val="none"/>
        </w:rPr>
        <w:t>209.09</w:t>
      </w:r>
      <w:r>
        <w:rPr>
          <w:rFonts w:hint="eastAsia" w:ascii="仿宋" w:hAnsi="仿宋" w:eastAsia="仿宋"/>
          <w:sz w:val="32"/>
          <w:szCs w:val="32"/>
          <w:highlight w:val="none"/>
        </w:rPr>
        <w:t>万元，占</w:t>
      </w:r>
      <w:r>
        <w:rPr>
          <w:rFonts w:ascii="仿宋" w:hAnsi="仿宋" w:eastAsia="仿宋"/>
          <w:b/>
          <w:sz w:val="32"/>
          <w:szCs w:val="32"/>
          <w:highlight w:val="none"/>
        </w:rPr>
        <w:t>67.09</w:t>
      </w:r>
      <w:r>
        <w:rPr>
          <w:rFonts w:ascii="仿宋" w:hAnsi="仿宋" w:eastAsia="仿宋"/>
          <w:sz w:val="32"/>
          <w:szCs w:val="32"/>
          <w:highlight w:val="none"/>
        </w:rPr>
        <w:t>%</w:t>
      </w:r>
      <w:r>
        <w:rPr>
          <w:rFonts w:hint="eastAsia" w:ascii="仿宋" w:hAnsi="仿宋" w:eastAsia="仿宋"/>
          <w:sz w:val="32"/>
          <w:szCs w:val="32"/>
          <w:highlight w:val="none"/>
        </w:rPr>
        <w:t>；项目支出</w:t>
      </w:r>
      <w:r>
        <w:rPr>
          <w:rFonts w:ascii="仿宋" w:hAnsi="仿宋" w:eastAsia="仿宋"/>
          <w:b/>
          <w:sz w:val="32"/>
          <w:szCs w:val="32"/>
          <w:highlight w:val="none"/>
        </w:rPr>
        <w:t>102.54</w:t>
      </w:r>
      <w:r>
        <w:rPr>
          <w:rFonts w:hint="eastAsia" w:ascii="仿宋" w:hAnsi="仿宋" w:eastAsia="仿宋"/>
          <w:sz w:val="32"/>
          <w:szCs w:val="32"/>
          <w:highlight w:val="none"/>
        </w:rPr>
        <w:t>万元，占</w:t>
      </w:r>
      <w:r>
        <w:rPr>
          <w:rFonts w:ascii="仿宋" w:hAnsi="仿宋" w:eastAsia="仿宋"/>
          <w:b/>
          <w:sz w:val="32"/>
          <w:szCs w:val="32"/>
          <w:highlight w:val="none"/>
        </w:rPr>
        <w:t>32.9</w:t>
      </w:r>
      <w:r>
        <w:rPr>
          <w:rFonts w:ascii="仿宋" w:hAnsi="仿宋" w:eastAsia="仿宋"/>
          <w:sz w:val="32"/>
          <w:szCs w:val="32"/>
          <w:highlight w:val="none"/>
        </w:rPr>
        <w:t>%</w:t>
      </w:r>
      <w:r>
        <w:rPr>
          <w:rFonts w:hint="eastAsia" w:ascii="仿宋" w:hAnsi="仿宋" w:eastAsia="仿宋"/>
          <w:sz w:val="32"/>
          <w:szCs w:val="32"/>
          <w:highlight w:val="none"/>
          <w:lang w:eastAsia="zh-CN"/>
        </w:rPr>
        <w:t>。</w:t>
      </w:r>
    </w:p>
    <w:p>
      <w:pPr>
        <w:spacing w:line="600" w:lineRule="exact"/>
        <w:ind w:firstLine="640"/>
        <w:outlineLvl w:val="9"/>
        <w:rPr>
          <w:rFonts w:ascii="仿宋" w:hAnsi="仿宋" w:eastAsia="仿宋"/>
          <w:sz w:val="32"/>
          <w:szCs w:val="32"/>
          <w:highlight w:val="none"/>
          <w:shd w:val="pct10" w:color="auto" w:fill="FFFFFF"/>
        </w:rPr>
      </w:pPr>
    </w:p>
    <w:p>
      <w:pPr>
        <w:spacing w:line="240" w:lineRule="auto"/>
        <w:ind w:firstLine="640" w:firstLineChars="200"/>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drawing>
          <wp:inline distT="0" distB="0" distL="114300" distR="114300">
            <wp:extent cx="4011295" cy="2755265"/>
            <wp:effectExtent l="0" t="0" r="8255" b="6985"/>
            <wp:docPr id="3" name="图片 3"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1"/>
                    <pic:cNvPicPr>
                      <a:picLocks noChangeAspect="1"/>
                    </pic:cNvPicPr>
                  </pic:nvPicPr>
                  <pic:blipFill>
                    <a:blip r:embed="rId8"/>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Style w:val="29"/>
          <w:rFonts w:ascii="黑体" w:hAnsi="黑体" w:eastAsia="黑体"/>
          <w:b w:val="0"/>
          <w:highlight w:val="none"/>
        </w:rPr>
      </w:pPr>
      <w:bookmarkStart w:id="31" w:name="_Toc15377208"/>
      <w:bookmarkStart w:id="32" w:name="_Toc15396606"/>
      <w:bookmarkStart w:id="33" w:name="_Toc482"/>
      <w:r>
        <w:rPr>
          <w:rFonts w:hint="eastAsia" w:ascii="黑体" w:hAnsi="黑体" w:eastAsia="黑体"/>
          <w:sz w:val="32"/>
          <w:szCs w:val="32"/>
          <w:highlight w:val="none"/>
        </w:rPr>
        <w:t>四、财</w:t>
      </w:r>
      <w:r>
        <w:rPr>
          <w:rStyle w:val="29"/>
          <w:rFonts w:hint="eastAsia" w:ascii="黑体" w:hAnsi="黑体" w:eastAsia="黑体"/>
          <w:b w:val="0"/>
          <w:highlight w:val="none"/>
        </w:rPr>
        <w:t>政拨款收入支出决算总体情况说明</w:t>
      </w:r>
      <w:bookmarkEnd w:id="31"/>
      <w:bookmarkEnd w:id="32"/>
      <w:bookmarkEnd w:id="33"/>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2023年度财政拨款收、支总计均为</w:t>
      </w:r>
      <w:r>
        <w:rPr>
          <w:rFonts w:ascii="仿宋" w:hAnsi="仿宋" w:eastAsia="仿宋"/>
          <w:b/>
          <w:sz w:val="32"/>
          <w:szCs w:val="32"/>
          <w:highlight w:val="none"/>
        </w:rPr>
        <w:t>317.76</w:t>
      </w:r>
      <w:r>
        <w:rPr>
          <w:rFonts w:hint="eastAsia" w:ascii="仿宋" w:hAnsi="仿宋" w:eastAsia="仿宋"/>
          <w:sz w:val="32"/>
          <w:szCs w:val="32"/>
          <w:highlight w:val="none"/>
        </w:rPr>
        <w:t>万元。与2022年度相比，财政拨款收、支总计各减少</w:t>
      </w:r>
      <w:r>
        <w:rPr>
          <w:rFonts w:hint="eastAsia" w:ascii="仿宋" w:hAnsi="仿宋" w:eastAsia="仿宋"/>
          <w:sz w:val="32"/>
          <w:szCs w:val="32"/>
          <w:highlight w:val="none"/>
          <w:lang w:val="en-US" w:eastAsia="zh-CN"/>
        </w:rPr>
        <w:t>77.51</w:t>
      </w:r>
      <w:r>
        <w:rPr>
          <w:rFonts w:hint="eastAsia" w:ascii="仿宋" w:hAnsi="仿宋" w:eastAsia="仿宋"/>
          <w:sz w:val="32"/>
          <w:szCs w:val="32"/>
          <w:highlight w:val="none"/>
        </w:rPr>
        <w:t>万元，增长</w:t>
      </w:r>
      <w:r>
        <w:rPr>
          <w:rFonts w:ascii="仿宋" w:hAnsi="仿宋" w:eastAsia="仿宋"/>
          <w:sz w:val="32"/>
          <w:szCs w:val="32"/>
          <w:highlight w:val="none"/>
        </w:rPr>
        <w:t>/</w:t>
      </w:r>
      <w:r>
        <w:rPr>
          <w:rFonts w:hint="eastAsia" w:ascii="仿宋" w:hAnsi="仿宋" w:eastAsia="仿宋"/>
          <w:sz w:val="32"/>
          <w:szCs w:val="32"/>
          <w:highlight w:val="none"/>
        </w:rPr>
        <w:t>下降</w:t>
      </w:r>
      <w:r>
        <w:rPr>
          <w:rFonts w:hint="eastAsia" w:ascii="仿宋" w:hAnsi="仿宋" w:eastAsia="仿宋"/>
          <w:sz w:val="32"/>
          <w:szCs w:val="32"/>
          <w:highlight w:val="none"/>
          <w:lang w:val="en-US" w:eastAsia="zh-CN"/>
        </w:rPr>
        <w:t>19.61</w:t>
      </w:r>
      <w:r>
        <w:rPr>
          <w:rFonts w:ascii="仿宋" w:hAnsi="仿宋" w:eastAsia="仿宋"/>
          <w:sz w:val="32"/>
          <w:szCs w:val="32"/>
          <w:highlight w:val="none"/>
        </w:rPr>
        <w:t>%</w:t>
      </w:r>
      <w:r>
        <w:rPr>
          <w:rFonts w:hint="eastAsia" w:ascii="仿宋" w:hAnsi="仿宋" w:eastAsia="仿宋"/>
          <w:sz w:val="32"/>
          <w:szCs w:val="32"/>
          <w:highlight w:val="none"/>
        </w:rPr>
        <w:t>。主要变动原因是……</w:t>
      </w:r>
    </w:p>
    <w:p>
      <w:pPr>
        <w:spacing w:line="600" w:lineRule="exact"/>
        <w:ind w:firstLine="640" w:firstLineChars="200"/>
        <w:rPr>
          <w:rFonts w:ascii="仿宋" w:hAnsi="仿宋" w:eastAsia="仿宋"/>
          <w:sz w:val="32"/>
          <w:szCs w:val="32"/>
          <w:highlight w:val="none"/>
        </w:rPr>
      </w:pPr>
    </w:p>
    <w:p>
      <w:pPr>
        <w:spacing w:line="240" w:lineRule="auto"/>
        <w:ind w:firstLine="640"/>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drawing>
          <wp:inline distT="0" distB="0" distL="114300" distR="114300">
            <wp:extent cx="4187825" cy="2853055"/>
            <wp:effectExtent l="0" t="0" r="3175" b="4445"/>
            <wp:docPr id="4" name="图片 4"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2"/>
                    <pic:cNvPicPr>
                      <a:picLocks noChangeAspect="1"/>
                    </pic:cNvPicPr>
                  </pic:nvPicPr>
                  <pic:blipFill>
                    <a:blip r:embed="rId9"/>
                    <a:stretch>
                      <a:fillRect/>
                    </a:stretch>
                  </pic:blipFill>
                  <pic:spPr>
                    <a:xfrm>
                      <a:off x="0" y="0"/>
                      <a:ext cx="4187825" cy="2853055"/>
                    </a:xfrm>
                    <a:prstGeom prst="rect">
                      <a:avLst/>
                    </a:prstGeom>
                  </pic:spPr>
                </pic:pic>
              </a:graphicData>
            </a:graphic>
          </wp:inline>
        </w:drawing>
      </w:r>
    </w:p>
    <w:p>
      <w:pPr>
        <w:spacing w:line="600" w:lineRule="exact"/>
        <w:ind w:firstLine="640" w:firstLineChars="200"/>
        <w:outlineLvl w:val="1"/>
        <w:rPr>
          <w:rStyle w:val="29"/>
          <w:rFonts w:ascii="黑体" w:hAnsi="黑体" w:eastAsia="黑体"/>
          <w:b w:val="0"/>
          <w:highlight w:val="none"/>
        </w:rPr>
      </w:pPr>
      <w:bookmarkStart w:id="34" w:name="_Toc15396607"/>
      <w:bookmarkStart w:id="35" w:name="_Toc15377209"/>
      <w:bookmarkStart w:id="36" w:name="_Toc5299"/>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9"/>
          <w:rFonts w:hint="eastAsia" w:ascii="黑体" w:hAnsi="黑体" w:eastAsia="黑体"/>
          <w:b w:val="0"/>
          <w:highlight w:val="none"/>
        </w:rPr>
        <w:t>般公共预算财政拨款支出决算情况说明</w:t>
      </w:r>
      <w:bookmarkEnd w:id="34"/>
      <w:bookmarkEnd w:id="35"/>
      <w:bookmarkEnd w:id="36"/>
    </w:p>
    <w:p>
      <w:pPr>
        <w:spacing w:line="600" w:lineRule="exact"/>
        <w:ind w:firstLine="643" w:firstLineChars="200"/>
        <w:outlineLvl w:val="2"/>
        <w:rPr>
          <w:rFonts w:ascii="仿宋" w:hAnsi="仿宋" w:eastAsia="仿宋"/>
          <w:b/>
          <w:sz w:val="32"/>
          <w:szCs w:val="32"/>
          <w:highlight w:val="none"/>
        </w:rPr>
      </w:pPr>
      <w:bookmarkStart w:id="37" w:name="_Toc15377210"/>
      <w:r>
        <w:rPr>
          <w:rFonts w:hint="eastAsia" w:ascii="仿宋" w:hAnsi="仿宋" w:eastAsia="仿宋"/>
          <w:b/>
          <w:sz w:val="32"/>
          <w:szCs w:val="32"/>
          <w:highlight w:val="none"/>
        </w:rPr>
        <w:t>（一）一般公共预算财政拨款支出决算总体情况</w:t>
      </w:r>
      <w:bookmarkEnd w:id="37"/>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b/>
          <w:sz w:val="32"/>
          <w:szCs w:val="32"/>
          <w:highlight w:val="none"/>
        </w:rPr>
        <w:t>311.49</w:t>
      </w:r>
      <w:r>
        <w:rPr>
          <w:rFonts w:hint="eastAsia" w:ascii="仿宋" w:hAnsi="仿宋" w:eastAsia="仿宋"/>
          <w:sz w:val="32"/>
          <w:szCs w:val="32"/>
          <w:highlight w:val="none"/>
        </w:rPr>
        <w:t>万元，占本年支出合计的</w:t>
      </w:r>
      <w:r>
        <w:rPr>
          <w:rFonts w:ascii="仿宋" w:hAnsi="仿宋" w:eastAsia="仿宋"/>
          <w:b/>
          <w:sz w:val="32"/>
          <w:szCs w:val="32"/>
          <w:highlight w:val="none"/>
        </w:rPr>
        <w:t>99.95</w:t>
      </w:r>
      <w:r>
        <w:rPr>
          <w:rFonts w:ascii="仿宋" w:hAnsi="仿宋" w:eastAsia="仿宋"/>
          <w:sz w:val="32"/>
          <w:szCs w:val="32"/>
          <w:highlight w:val="none"/>
        </w:rPr>
        <w:t>%</w:t>
      </w:r>
      <w:r>
        <w:rPr>
          <w:rFonts w:hint="eastAsia" w:ascii="仿宋" w:hAnsi="仿宋" w:eastAsia="仿宋"/>
          <w:sz w:val="32"/>
          <w:szCs w:val="32"/>
          <w:highlight w:val="none"/>
        </w:rPr>
        <w:t>。与2022年度相比，一般公共预算财政拨款支出减少</w:t>
      </w:r>
      <w:r>
        <w:rPr>
          <w:rFonts w:hint="eastAsia" w:ascii="仿宋" w:hAnsi="仿宋" w:eastAsia="仿宋"/>
          <w:sz w:val="32"/>
          <w:szCs w:val="32"/>
          <w:highlight w:val="none"/>
          <w:lang w:val="en-US" w:eastAsia="zh-CN"/>
        </w:rPr>
        <w:t>15.16</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4.64</w:t>
      </w:r>
      <w:r>
        <w:rPr>
          <w:rFonts w:ascii="仿宋" w:hAnsi="仿宋" w:eastAsia="仿宋"/>
          <w:sz w:val="32"/>
          <w:szCs w:val="32"/>
          <w:highlight w:val="none"/>
        </w:rPr>
        <w:t>%</w:t>
      </w:r>
      <w:r>
        <w:rPr>
          <w:rFonts w:hint="eastAsia" w:ascii="仿宋" w:hAnsi="仿宋" w:eastAsia="仿宋"/>
          <w:sz w:val="32"/>
          <w:szCs w:val="32"/>
          <w:highlight w:val="none"/>
        </w:rPr>
        <w:t>。主要变动原因是……</w:t>
      </w:r>
    </w:p>
    <w:p>
      <w:pPr>
        <w:pStyle w:val="19"/>
        <w:outlineLvl w:val="9"/>
        <w:rPr>
          <w:rFonts w:hint="eastAsia" w:eastAsia="仿宋"/>
          <w:highlight w:val="none"/>
          <w:lang w:eastAsia="zh-CN"/>
        </w:rPr>
      </w:pPr>
      <w:r>
        <w:rPr>
          <w:rFonts w:hint="eastAsia" w:eastAsia="仿宋"/>
          <w:highlight w:val="none"/>
          <w:lang w:val="en-US" w:eastAsia="zh-CN"/>
        </w:rPr>
        <w:t xml:space="preserve">      </w:t>
      </w:r>
      <w:r>
        <w:rPr>
          <w:rFonts w:hint="eastAsia" w:eastAsia="仿宋"/>
          <w:highlight w:val="none"/>
          <w:lang w:eastAsia="zh-CN"/>
        </w:rPr>
        <w:drawing>
          <wp:inline distT="0" distB="0" distL="114300" distR="114300">
            <wp:extent cx="3924300" cy="2359025"/>
            <wp:effectExtent l="0" t="0" r="0" b="3175"/>
            <wp:docPr id="5" name="图片 5" descr="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3"/>
                    <pic:cNvPicPr>
                      <a:picLocks noChangeAspect="1"/>
                    </pic:cNvPicPr>
                  </pic:nvPicPr>
                  <pic:blipFill>
                    <a:blip r:embed="rId10"/>
                    <a:stretch>
                      <a:fillRect/>
                    </a:stretch>
                  </pic:blipFill>
                  <pic:spPr>
                    <a:xfrm>
                      <a:off x="0" y="0"/>
                      <a:ext cx="3924300" cy="2359025"/>
                    </a:xfrm>
                    <a:prstGeom prst="rect">
                      <a:avLst/>
                    </a:prstGeom>
                  </pic:spPr>
                </pic:pic>
              </a:graphicData>
            </a:graphic>
          </wp:inline>
        </w:drawing>
      </w:r>
    </w:p>
    <w:p>
      <w:pPr>
        <w:spacing w:line="600" w:lineRule="exact"/>
        <w:rPr>
          <w:rFonts w:ascii="仿宋" w:hAnsi="仿宋" w:eastAsia="仿宋"/>
          <w:sz w:val="32"/>
          <w:szCs w:val="32"/>
          <w:highlight w:val="none"/>
        </w:rPr>
      </w:pPr>
    </w:p>
    <w:p>
      <w:pPr>
        <w:spacing w:line="600" w:lineRule="exact"/>
        <w:ind w:firstLine="643" w:firstLineChars="200"/>
        <w:outlineLvl w:val="2"/>
        <w:rPr>
          <w:rFonts w:ascii="仿宋" w:hAnsi="仿宋" w:eastAsia="仿宋"/>
          <w:b/>
          <w:sz w:val="32"/>
          <w:szCs w:val="32"/>
          <w:highlight w:val="none"/>
        </w:rPr>
      </w:pPr>
      <w:bookmarkStart w:id="38" w:name="_Toc15377211"/>
      <w:r>
        <w:rPr>
          <w:rFonts w:hint="eastAsia" w:ascii="仿宋" w:hAnsi="仿宋" w:eastAsia="仿宋"/>
          <w:b/>
          <w:sz w:val="32"/>
          <w:szCs w:val="32"/>
          <w:highlight w:val="none"/>
        </w:rPr>
        <w:t>（二）一般公共预算财政拨款支出决算结构情况</w:t>
      </w:r>
      <w:bookmarkEnd w:id="38"/>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b/>
          <w:sz w:val="32"/>
          <w:szCs w:val="32"/>
          <w:highlight w:val="none"/>
        </w:rPr>
        <w:t>311.49</w:t>
      </w:r>
      <w:r>
        <w:rPr>
          <w:rFonts w:hint="eastAsia" w:ascii="仿宋" w:hAnsi="仿宋" w:eastAsia="仿宋"/>
          <w:sz w:val="32"/>
          <w:szCs w:val="32"/>
          <w:highlight w:val="none"/>
        </w:rPr>
        <w:t>万元，主要用于以下方面</w:t>
      </w:r>
      <w:r>
        <w:rPr>
          <w:rFonts w:ascii="仿宋" w:hAnsi="仿宋" w:eastAsia="仿宋"/>
          <w:sz w:val="32"/>
          <w:szCs w:val="32"/>
          <w:highlight w:val="none"/>
        </w:rPr>
        <w:t>:</w:t>
      </w:r>
      <w:r>
        <w:rPr>
          <w:rFonts w:hint="eastAsia" w:ascii="仿宋" w:hAnsi="仿宋" w:eastAsia="仿宋"/>
          <w:b/>
          <w:sz w:val="32"/>
          <w:szCs w:val="32"/>
          <w:highlight w:val="none"/>
        </w:rPr>
        <w:t>一般公共服务支出0万元，占0%；教育支出0万元，占0%；科学技术支出0万元，占0%；文化旅游体育与传媒支出0万元，占0%</w:t>
      </w:r>
      <w:r>
        <w:rPr>
          <w:rFonts w:hint="eastAsia" w:ascii="仿宋" w:hAnsi="仿宋" w:eastAsia="仿宋"/>
          <w:sz w:val="32"/>
          <w:szCs w:val="32"/>
          <w:highlight w:val="none"/>
        </w:rPr>
        <w:t>；</w:t>
      </w:r>
      <w:r>
        <w:rPr>
          <w:rFonts w:hint="eastAsia" w:ascii="仿宋" w:hAnsi="仿宋" w:eastAsia="仿宋"/>
          <w:b/>
          <w:sz w:val="32"/>
          <w:szCs w:val="32"/>
          <w:highlight w:val="none"/>
        </w:rPr>
        <w:t>社会保障和就业</w:t>
      </w:r>
      <w:r>
        <w:rPr>
          <w:rFonts w:hint="eastAsia" w:ascii="仿宋" w:hAnsi="仿宋" w:eastAsia="仿宋"/>
          <w:b/>
          <w:bCs/>
          <w:sz w:val="32"/>
          <w:szCs w:val="32"/>
          <w:highlight w:val="none"/>
        </w:rPr>
        <w:t>支出</w:t>
      </w:r>
      <w:r>
        <w:rPr>
          <w:rFonts w:hint="eastAsia" w:ascii="仿宋" w:hAnsi="仿宋" w:eastAsia="仿宋"/>
          <w:sz w:val="32"/>
          <w:szCs w:val="32"/>
          <w:highlight w:val="none"/>
        </w:rPr>
        <w:t>291.48万元，占</w:t>
      </w:r>
      <w:r>
        <w:rPr>
          <w:rFonts w:hint="eastAsia" w:ascii="仿宋" w:hAnsi="仿宋" w:eastAsia="仿宋"/>
          <w:sz w:val="32"/>
          <w:szCs w:val="32"/>
          <w:highlight w:val="none"/>
          <w:lang w:val="en-US" w:eastAsia="zh-CN"/>
        </w:rPr>
        <w:t>93.58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卫生健康支出</w:t>
      </w:r>
      <w:r>
        <w:rPr>
          <w:rFonts w:hint="eastAsia" w:ascii="仿宋" w:hAnsi="仿宋" w:eastAsia="仿宋"/>
          <w:sz w:val="32"/>
          <w:szCs w:val="32"/>
          <w:highlight w:val="none"/>
        </w:rPr>
        <w:t>6.42万元，占</w:t>
      </w:r>
      <w:r>
        <w:rPr>
          <w:rFonts w:hint="eastAsia" w:ascii="仿宋" w:hAnsi="仿宋" w:eastAsia="仿宋"/>
          <w:sz w:val="32"/>
          <w:szCs w:val="32"/>
          <w:highlight w:val="none"/>
          <w:lang w:val="en-US" w:eastAsia="zh-CN"/>
        </w:rPr>
        <w:t>2.06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住房保障支出</w:t>
      </w:r>
      <w:r>
        <w:rPr>
          <w:rFonts w:hint="eastAsia" w:ascii="仿宋" w:hAnsi="仿宋" w:eastAsia="仿宋"/>
          <w:sz w:val="32"/>
          <w:szCs w:val="32"/>
          <w:highlight w:val="none"/>
        </w:rPr>
        <w:t>13.59万元，占</w:t>
      </w:r>
      <w:r>
        <w:rPr>
          <w:rFonts w:hint="eastAsia" w:ascii="仿宋" w:hAnsi="仿宋" w:eastAsia="仿宋"/>
          <w:sz w:val="32"/>
          <w:szCs w:val="32"/>
          <w:highlight w:val="none"/>
          <w:lang w:val="en-US" w:eastAsia="zh-CN"/>
        </w:rPr>
        <w:t>4.36</w:t>
      </w:r>
      <w:r>
        <w:rPr>
          <w:rFonts w:ascii="仿宋" w:hAnsi="仿宋" w:eastAsia="仿宋"/>
          <w:sz w:val="32"/>
          <w:szCs w:val="32"/>
          <w:highlight w:val="none"/>
        </w:rPr>
        <w:t>%</w:t>
      </w:r>
      <w:r>
        <w:rPr>
          <w:rFonts w:hint="eastAsia" w:ascii="仿宋" w:hAnsi="仿宋" w:eastAsia="仿宋"/>
          <w:sz w:val="32"/>
          <w:szCs w:val="32"/>
          <w:highlight w:val="none"/>
        </w:rPr>
        <w:t>。</w:t>
      </w:r>
    </w:p>
    <w:p>
      <w:pPr>
        <w:spacing w:line="240" w:lineRule="auto"/>
        <w:ind w:firstLine="640" w:firstLineChars="200"/>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3902710" cy="2454910"/>
            <wp:effectExtent l="0" t="0" r="2540" b="254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1"/>
                    <a:stretch>
                      <a:fillRect/>
                    </a:stretch>
                  </pic:blipFill>
                  <pic:spPr>
                    <a:xfrm>
                      <a:off x="0" y="0"/>
                      <a:ext cx="3902710" cy="245491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highlight w:val="none"/>
        </w:rPr>
      </w:pPr>
      <w:bookmarkStart w:id="39" w:name="_Toc15377212"/>
      <w:r>
        <w:rPr>
          <w:rFonts w:hint="eastAsia" w:ascii="仿宋" w:hAnsi="仿宋" w:eastAsia="仿宋"/>
          <w:b/>
          <w:sz w:val="32"/>
          <w:szCs w:val="32"/>
          <w:highlight w:val="none"/>
        </w:rPr>
        <w:t>（三）一般公共预算财政拨款支出决算具体情况</w:t>
      </w:r>
      <w:bookmarkEnd w:id="39"/>
    </w:p>
    <w:p>
      <w:pPr>
        <w:spacing w:line="600" w:lineRule="exact"/>
        <w:ind w:firstLine="643" w:firstLineChars="200"/>
        <w:outlineLvl w:val="2"/>
        <w:rPr>
          <w:rFonts w:ascii="仿宋" w:hAnsi="仿宋" w:eastAsia="仿宋"/>
          <w:sz w:val="32"/>
          <w:szCs w:val="32"/>
          <w:highlight w:val="none"/>
        </w:rPr>
      </w:pPr>
      <w:bookmarkStart w:id="40" w:name="_Toc15378460"/>
      <w:bookmarkStart w:id="41" w:name="_Toc15377213"/>
      <w:bookmarkStart w:id="42" w:name="_Toc15377444"/>
      <w:r>
        <w:rPr>
          <w:rFonts w:hint="eastAsia" w:ascii="仿宋" w:hAnsi="仿宋" w:eastAsia="仿宋"/>
          <w:b/>
          <w:sz w:val="32"/>
          <w:szCs w:val="32"/>
          <w:highlight w:val="none"/>
        </w:rPr>
        <w:t>2023年度一般公共预算支出决算数为</w:t>
      </w:r>
      <w:r>
        <w:rPr>
          <w:rFonts w:ascii="仿宋" w:hAnsi="仿宋" w:eastAsia="仿宋"/>
          <w:b/>
          <w:sz w:val="32"/>
          <w:szCs w:val="32"/>
          <w:highlight w:val="none"/>
        </w:rPr>
        <w:t>311.49</w:t>
      </w:r>
      <w:r>
        <w:rPr>
          <w:rFonts w:hint="eastAsia" w:ascii="仿宋" w:hAnsi="仿宋" w:eastAsia="仿宋"/>
          <w:sz w:val="32"/>
          <w:szCs w:val="32"/>
          <w:highlight w:val="none"/>
        </w:rPr>
        <w:t>，</w:t>
      </w:r>
      <w:r>
        <w:rPr>
          <w:rStyle w:val="17"/>
          <w:rFonts w:hint="eastAsia" w:ascii="仿宋" w:hAnsi="仿宋" w:eastAsia="仿宋"/>
          <w:bCs/>
          <w:sz w:val="32"/>
          <w:szCs w:val="32"/>
          <w:highlight w:val="none"/>
        </w:rPr>
        <w:t>完成预算</w:t>
      </w:r>
      <w:r>
        <w:rPr>
          <w:rStyle w:val="17"/>
          <w:rFonts w:hint="eastAsia" w:ascii="仿宋" w:hAnsi="仿宋" w:eastAsia="仿宋"/>
          <w:bCs/>
          <w:sz w:val="32"/>
          <w:szCs w:val="32"/>
          <w:highlight w:val="none"/>
          <w:lang w:val="en-US" w:eastAsia="zh-CN"/>
        </w:rPr>
        <w:t>100</w:t>
      </w:r>
      <w:r>
        <w:rPr>
          <w:rStyle w:val="17"/>
          <w:rFonts w:ascii="仿宋" w:hAnsi="仿宋" w:eastAsia="仿宋"/>
          <w:bCs/>
          <w:sz w:val="32"/>
          <w:szCs w:val="32"/>
          <w:highlight w:val="none"/>
        </w:rPr>
        <w:t>%</w:t>
      </w:r>
      <w:r>
        <w:rPr>
          <w:rStyle w:val="17"/>
          <w:rFonts w:hint="eastAsia" w:ascii="仿宋" w:hAnsi="仿宋" w:eastAsia="仿宋"/>
          <w:bCs/>
          <w:sz w:val="32"/>
          <w:szCs w:val="32"/>
          <w:highlight w:val="none"/>
        </w:rPr>
        <w:t>。其中：</w:t>
      </w:r>
      <w:bookmarkEnd w:id="40"/>
      <w:bookmarkEnd w:id="41"/>
      <w:bookmarkEnd w:id="42"/>
    </w:p>
    <w:p>
      <w:pPr>
        <w:spacing w:line="600" w:lineRule="exact"/>
        <w:ind w:firstLine="643" w:firstLineChars="200"/>
        <w:rPr>
          <w:rStyle w:val="17"/>
          <w:rFonts w:ascii="仿宋" w:hAnsi="仿宋" w:eastAsia="仿宋"/>
          <w:b w:val="0"/>
          <w:bCs/>
          <w:color w:val="000000"/>
          <w:sz w:val="32"/>
          <w:szCs w:val="32"/>
          <w:highlight w:val="none"/>
        </w:rPr>
      </w:pPr>
      <w:r>
        <w:rPr>
          <w:rStyle w:val="17"/>
          <w:rFonts w:hint="eastAsia" w:ascii="仿宋" w:hAnsi="仿宋" w:eastAsia="仿宋"/>
          <w:bCs/>
          <w:color w:val="000000"/>
          <w:sz w:val="32"/>
          <w:szCs w:val="32"/>
          <w:highlight w:val="none"/>
        </w:rPr>
        <w:t>1</w:t>
      </w:r>
      <w:r>
        <w:rPr>
          <w:rStyle w:val="17"/>
          <w:rFonts w:ascii="仿宋" w:hAnsi="仿宋" w:eastAsia="仿宋"/>
          <w:bCs/>
          <w:color w:val="000000"/>
          <w:sz w:val="32"/>
          <w:szCs w:val="32"/>
          <w:highlight w:val="none"/>
        </w:rPr>
        <w:t>.</w:t>
      </w:r>
      <w:r>
        <w:rPr>
          <w:rStyle w:val="17"/>
          <w:rFonts w:hint="eastAsia" w:ascii="仿宋" w:hAnsi="仿宋" w:eastAsia="仿宋"/>
          <w:bCs/>
          <w:color w:val="000000"/>
          <w:sz w:val="32"/>
          <w:szCs w:val="32"/>
          <w:highlight w:val="none"/>
        </w:rPr>
        <w:t>社会保障和就业支出情况</w:t>
      </w:r>
      <w:r>
        <w:rPr>
          <w:rStyle w:val="17"/>
          <w:rFonts w:ascii="仿宋" w:hAnsi="仿宋" w:eastAsia="仿宋"/>
          <w:bCs/>
          <w:color w:val="000000"/>
          <w:sz w:val="32"/>
          <w:szCs w:val="32"/>
          <w:highlight w:val="none"/>
        </w:rPr>
        <w:t>:</w:t>
      </w:r>
      <w:r>
        <w:rPr>
          <w:rStyle w:val="17"/>
          <w:rFonts w:ascii="仿宋" w:hAnsi="仿宋" w:eastAsia="仿宋"/>
          <w:b w:val="0"/>
          <w:bCs/>
          <w:color w:val="000000"/>
          <w:sz w:val="32"/>
          <w:szCs w:val="32"/>
          <w:highlight w:val="none"/>
        </w:rPr>
        <w:t xml:space="preserve"> </w:t>
      </w:r>
      <w:r>
        <w:rPr>
          <w:rStyle w:val="17"/>
          <w:rFonts w:hint="eastAsia" w:ascii="仿宋" w:hAnsi="仿宋" w:eastAsia="仿宋"/>
          <w:b w:val="0"/>
          <w:bCs/>
          <w:color w:val="000000"/>
          <w:sz w:val="32"/>
          <w:szCs w:val="32"/>
          <w:highlight w:val="none"/>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291.48</w:t>
      </w:r>
      <w:r>
        <w:rPr>
          <w:rStyle w:val="17"/>
          <w:rFonts w:hint="eastAsia" w:ascii="仿宋" w:hAnsi="仿宋" w:eastAsia="仿宋"/>
          <w:b w:val="0"/>
          <w:bCs/>
          <w:color w:val="000000"/>
          <w:sz w:val="32"/>
          <w:szCs w:val="32"/>
          <w:highlight w:val="none"/>
        </w:rPr>
        <w:t>万元，完成预算100</w:t>
      </w:r>
      <w:r>
        <w:rPr>
          <w:rStyle w:val="17"/>
          <w:rFonts w:ascii="仿宋" w:hAnsi="仿宋" w:eastAsia="仿宋"/>
          <w:b w:val="0"/>
          <w:bCs/>
          <w:color w:val="000000"/>
          <w:sz w:val="32"/>
          <w:szCs w:val="32"/>
          <w:highlight w:val="none"/>
        </w:rPr>
        <w:t>%</w:t>
      </w:r>
      <w:r>
        <w:rPr>
          <w:rStyle w:val="17"/>
          <w:rFonts w:hint="eastAsia" w:ascii="仿宋" w:hAnsi="仿宋" w:eastAsia="仿宋"/>
          <w:b w:val="0"/>
          <w:bCs/>
          <w:color w:val="000000"/>
          <w:sz w:val="32"/>
          <w:szCs w:val="32"/>
          <w:highlight w:val="none"/>
        </w:rPr>
        <w:t>。</w:t>
      </w:r>
    </w:p>
    <w:p>
      <w:pPr>
        <w:spacing w:line="600" w:lineRule="exact"/>
        <w:ind w:firstLine="640" w:firstLineChars="200"/>
        <w:rPr>
          <w:rStyle w:val="17"/>
          <w:rFonts w:ascii="仿宋" w:hAnsi="仿宋" w:eastAsia="仿宋"/>
          <w:b w:val="0"/>
          <w:bCs/>
          <w:color w:val="000000"/>
          <w:sz w:val="32"/>
          <w:szCs w:val="32"/>
          <w:highlight w:val="none"/>
        </w:rPr>
      </w:pPr>
      <w:r>
        <w:rPr>
          <w:rStyle w:val="17"/>
          <w:rFonts w:hint="eastAsia" w:ascii="仿宋" w:hAnsi="仿宋" w:eastAsia="仿宋"/>
          <w:b w:val="0"/>
          <w:bCs/>
          <w:color w:val="000000"/>
          <w:sz w:val="32"/>
          <w:szCs w:val="32"/>
          <w:highlight w:val="none"/>
        </w:rPr>
        <w:t>（1）2080505机关事业单位基本养老保险缴费支出决算为</w:t>
      </w:r>
      <w:r>
        <w:rPr>
          <w:rStyle w:val="17"/>
          <w:rFonts w:hint="eastAsia" w:ascii="仿宋" w:hAnsi="仿宋" w:eastAsia="仿宋"/>
          <w:b w:val="0"/>
          <w:bCs/>
          <w:color w:val="000000"/>
          <w:sz w:val="32"/>
          <w:szCs w:val="32"/>
          <w:highlight w:val="none"/>
          <w:lang w:val="en-US" w:eastAsia="zh-CN"/>
        </w:rPr>
        <w:t>19.79</w:t>
      </w:r>
      <w:r>
        <w:rPr>
          <w:rStyle w:val="17"/>
          <w:rFonts w:hint="eastAsia" w:ascii="仿宋" w:hAnsi="仿宋" w:eastAsia="仿宋"/>
          <w:b w:val="0"/>
          <w:bCs/>
          <w:color w:val="000000"/>
          <w:sz w:val="32"/>
          <w:szCs w:val="32"/>
          <w:highlight w:val="none"/>
        </w:rPr>
        <w:t>万元，完成预算100%。</w:t>
      </w:r>
    </w:p>
    <w:p>
      <w:pPr>
        <w:spacing w:line="600" w:lineRule="exact"/>
        <w:ind w:firstLine="640" w:firstLineChars="200"/>
        <w:rPr>
          <w:rStyle w:val="17"/>
          <w:rFonts w:ascii="仿宋" w:hAnsi="仿宋" w:eastAsia="仿宋"/>
          <w:b w:val="0"/>
          <w:bCs/>
          <w:color w:val="000000"/>
          <w:sz w:val="32"/>
          <w:szCs w:val="32"/>
          <w:highlight w:val="none"/>
        </w:rPr>
      </w:pPr>
      <w:r>
        <w:rPr>
          <w:rStyle w:val="17"/>
          <w:rFonts w:hint="eastAsia" w:ascii="仿宋" w:hAnsi="仿宋" w:eastAsia="仿宋"/>
          <w:b w:val="0"/>
          <w:bCs/>
          <w:color w:val="000000"/>
          <w:sz w:val="32"/>
          <w:szCs w:val="32"/>
          <w:highlight w:val="none"/>
        </w:rPr>
        <w:t>（2）2080506机关事业单位职业年金缴费支出决算数为</w:t>
      </w:r>
      <w:r>
        <w:rPr>
          <w:rStyle w:val="17"/>
          <w:rFonts w:hint="eastAsia" w:ascii="仿宋" w:hAnsi="仿宋" w:eastAsia="仿宋"/>
          <w:b w:val="0"/>
          <w:bCs/>
          <w:color w:val="000000"/>
          <w:sz w:val="32"/>
          <w:szCs w:val="32"/>
          <w:highlight w:val="none"/>
          <w:lang w:val="en-US" w:eastAsia="zh-CN"/>
        </w:rPr>
        <w:t>10.97</w:t>
      </w:r>
      <w:r>
        <w:rPr>
          <w:rStyle w:val="17"/>
          <w:rFonts w:hint="eastAsia" w:ascii="仿宋" w:hAnsi="仿宋" w:eastAsia="仿宋"/>
          <w:b w:val="0"/>
          <w:bCs/>
          <w:color w:val="000000"/>
          <w:sz w:val="32"/>
          <w:szCs w:val="32"/>
          <w:highlight w:val="none"/>
        </w:rPr>
        <w:t>万元，完成预算100%。</w:t>
      </w:r>
    </w:p>
    <w:p>
      <w:pPr>
        <w:spacing w:line="600" w:lineRule="exact"/>
        <w:ind w:firstLine="640" w:firstLineChars="200"/>
        <w:rPr>
          <w:rStyle w:val="17"/>
          <w:rFonts w:hint="eastAsia" w:ascii="仿宋" w:hAnsi="仿宋" w:eastAsia="仿宋"/>
          <w:b w:val="0"/>
          <w:bCs/>
          <w:color w:val="FF0000"/>
          <w:sz w:val="32"/>
          <w:szCs w:val="32"/>
          <w:highlight w:val="none"/>
        </w:rPr>
      </w:pPr>
      <w:r>
        <w:rPr>
          <w:rStyle w:val="17"/>
          <w:rFonts w:hint="eastAsia" w:ascii="仿宋" w:hAnsi="仿宋" w:eastAsia="仿宋"/>
          <w:b w:val="0"/>
          <w:bCs/>
          <w:color w:val="000000"/>
          <w:sz w:val="32"/>
          <w:szCs w:val="32"/>
          <w:highlight w:val="none"/>
        </w:rPr>
        <w:t>（3）</w:t>
      </w:r>
      <w:r>
        <w:rPr>
          <w:rStyle w:val="17"/>
          <w:rFonts w:hint="eastAsia" w:ascii="仿宋" w:hAnsi="仿宋" w:eastAsia="仿宋"/>
          <w:b w:val="0"/>
          <w:bCs/>
          <w:color w:val="auto"/>
          <w:sz w:val="32"/>
          <w:szCs w:val="32"/>
          <w:highlight w:val="none"/>
        </w:rPr>
        <w:t>2081005社会福利事业单位支出决算数为</w:t>
      </w:r>
      <w:r>
        <w:rPr>
          <w:rStyle w:val="17"/>
          <w:rFonts w:hint="eastAsia" w:ascii="仿宋" w:hAnsi="仿宋" w:eastAsia="仿宋"/>
          <w:b w:val="0"/>
          <w:bCs/>
          <w:color w:val="auto"/>
          <w:sz w:val="32"/>
          <w:szCs w:val="32"/>
          <w:highlight w:val="none"/>
          <w:lang w:val="en-US" w:eastAsia="zh-CN"/>
        </w:rPr>
        <w:t>161.25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98.71</w:t>
      </w:r>
      <w:r>
        <w:rPr>
          <w:rStyle w:val="17"/>
          <w:rFonts w:hint="eastAsia" w:ascii="仿宋" w:hAnsi="仿宋" w:eastAsia="仿宋"/>
          <w:b w:val="0"/>
          <w:bCs/>
          <w:color w:val="auto"/>
          <w:sz w:val="32"/>
          <w:szCs w:val="32"/>
          <w:highlight w:val="none"/>
        </w:rPr>
        <w:t>%。</w:t>
      </w:r>
    </w:p>
    <w:p>
      <w:pPr>
        <w:spacing w:line="600" w:lineRule="exact"/>
        <w:ind w:firstLine="640" w:firstLineChars="200"/>
        <w:rPr>
          <w:rStyle w:val="17"/>
          <w:rFonts w:hint="eastAsia" w:ascii="仿宋" w:hAnsi="仿宋" w:eastAsia="仿宋"/>
          <w:b w:val="0"/>
          <w:bCs/>
          <w:color w:val="000000"/>
          <w:sz w:val="32"/>
          <w:szCs w:val="32"/>
          <w:highlight w:val="none"/>
        </w:rPr>
      </w:pPr>
      <w:r>
        <w:rPr>
          <w:rStyle w:val="17"/>
          <w:rFonts w:hint="eastAsia" w:ascii="仿宋" w:hAnsi="仿宋" w:eastAsia="仿宋" w:cs="Times New Roman"/>
          <w:b w:val="0"/>
          <w:bCs/>
          <w:color w:val="000000"/>
          <w:kern w:val="2"/>
          <w:sz w:val="32"/>
          <w:szCs w:val="32"/>
          <w:highlight w:val="none"/>
          <w:lang w:val="en-US" w:eastAsia="zh-CN" w:bidi="ar-SA"/>
        </w:rPr>
        <w:t>（4）2082002流浪乞讨人员救助支出</w:t>
      </w:r>
      <w:r>
        <w:rPr>
          <w:rStyle w:val="17"/>
          <w:rFonts w:hint="eastAsia" w:ascii="仿宋" w:hAnsi="仿宋" w:eastAsia="仿宋"/>
          <w:b w:val="0"/>
          <w:bCs/>
          <w:color w:val="000000"/>
          <w:sz w:val="32"/>
          <w:szCs w:val="32"/>
          <w:highlight w:val="none"/>
        </w:rPr>
        <w:t>决算数为</w:t>
      </w:r>
      <w:r>
        <w:rPr>
          <w:rStyle w:val="17"/>
          <w:rFonts w:hint="eastAsia" w:ascii="仿宋" w:hAnsi="仿宋" w:eastAsia="仿宋"/>
          <w:b w:val="0"/>
          <w:bCs/>
          <w:color w:val="000000"/>
          <w:sz w:val="32"/>
          <w:szCs w:val="32"/>
          <w:highlight w:val="none"/>
          <w:lang w:val="en-US" w:eastAsia="zh-CN"/>
        </w:rPr>
        <w:t>95.80</w:t>
      </w:r>
      <w:r>
        <w:rPr>
          <w:rStyle w:val="17"/>
          <w:rFonts w:hint="eastAsia" w:ascii="仿宋" w:hAnsi="仿宋" w:eastAsia="仿宋"/>
          <w:b w:val="0"/>
          <w:bCs/>
          <w:color w:val="000000"/>
          <w:sz w:val="32"/>
          <w:szCs w:val="32"/>
          <w:highlight w:val="none"/>
        </w:rPr>
        <w:t>万元，完成预算100%。</w:t>
      </w:r>
    </w:p>
    <w:p>
      <w:pPr>
        <w:spacing w:line="600" w:lineRule="exact"/>
        <w:ind w:firstLine="640" w:firstLineChars="200"/>
        <w:rPr>
          <w:rStyle w:val="17"/>
          <w:rFonts w:hint="eastAsia" w:ascii="仿宋" w:hAnsi="仿宋" w:eastAsia="仿宋"/>
          <w:b w:val="0"/>
          <w:bCs/>
          <w:color w:val="000000"/>
          <w:sz w:val="32"/>
          <w:szCs w:val="32"/>
          <w:highlight w:val="none"/>
        </w:rPr>
      </w:pPr>
      <w:r>
        <w:rPr>
          <w:rStyle w:val="17"/>
          <w:rFonts w:hint="eastAsia" w:ascii="仿宋" w:hAnsi="仿宋" w:eastAsia="仿宋" w:cs="Times New Roman"/>
          <w:b w:val="0"/>
          <w:bCs/>
          <w:color w:val="000000"/>
          <w:kern w:val="2"/>
          <w:sz w:val="32"/>
          <w:szCs w:val="32"/>
          <w:highlight w:val="none"/>
          <w:lang w:val="en-US" w:eastAsia="zh-CN" w:bidi="ar-SA"/>
        </w:rPr>
        <w:t>（5）2089999其他社会保障和就业支出</w:t>
      </w:r>
      <w:r>
        <w:rPr>
          <w:rStyle w:val="17"/>
          <w:rFonts w:hint="eastAsia" w:ascii="仿宋" w:hAnsi="仿宋" w:eastAsia="仿宋"/>
          <w:b w:val="0"/>
          <w:bCs/>
          <w:color w:val="000000"/>
          <w:sz w:val="32"/>
          <w:szCs w:val="32"/>
          <w:highlight w:val="none"/>
        </w:rPr>
        <w:t>决算数为</w:t>
      </w:r>
      <w:r>
        <w:rPr>
          <w:rStyle w:val="17"/>
          <w:rFonts w:hint="eastAsia" w:ascii="仿宋" w:hAnsi="仿宋" w:eastAsia="仿宋"/>
          <w:b w:val="0"/>
          <w:bCs/>
          <w:color w:val="000000"/>
          <w:sz w:val="32"/>
          <w:szCs w:val="32"/>
          <w:highlight w:val="none"/>
          <w:lang w:val="en-US" w:eastAsia="zh-CN"/>
        </w:rPr>
        <w:t>3.67</w:t>
      </w:r>
      <w:r>
        <w:rPr>
          <w:rStyle w:val="17"/>
          <w:rFonts w:hint="eastAsia" w:ascii="仿宋" w:hAnsi="仿宋" w:eastAsia="仿宋"/>
          <w:b w:val="0"/>
          <w:bCs/>
          <w:color w:val="000000"/>
          <w:sz w:val="32"/>
          <w:szCs w:val="32"/>
          <w:highlight w:val="none"/>
        </w:rPr>
        <w:t>万元，完成预算100%。</w:t>
      </w:r>
    </w:p>
    <w:p>
      <w:pPr>
        <w:spacing w:line="600" w:lineRule="exact"/>
        <w:ind w:firstLine="643" w:firstLineChars="200"/>
        <w:rPr>
          <w:highlight w:val="none"/>
        </w:rPr>
      </w:pPr>
      <w:r>
        <w:rPr>
          <w:rStyle w:val="17"/>
          <w:rFonts w:hint="eastAsia" w:ascii="仿宋" w:hAnsi="仿宋" w:eastAsia="仿宋"/>
          <w:color w:val="000000"/>
          <w:sz w:val="32"/>
          <w:szCs w:val="32"/>
          <w:highlight w:val="none"/>
        </w:rPr>
        <w:t>2.卫生健康支出情况</w:t>
      </w:r>
      <w:r>
        <w:rPr>
          <w:rStyle w:val="17"/>
          <w:rFonts w:hint="eastAsia" w:ascii="仿宋" w:hAnsi="仿宋" w:eastAsia="仿宋"/>
          <w:b w:val="0"/>
          <w:bCs/>
          <w:color w:val="000000"/>
          <w:sz w:val="32"/>
          <w:szCs w:val="32"/>
          <w:highlight w:val="none"/>
        </w:rPr>
        <w:t>：</w:t>
      </w:r>
      <w:r>
        <w:rPr>
          <w:rStyle w:val="17"/>
          <w:rFonts w:hint="eastAsia" w:ascii="仿宋" w:hAnsi="仿宋" w:eastAsia="仿宋" w:cs="Times New Roman"/>
          <w:b w:val="0"/>
          <w:bCs/>
          <w:color w:val="000000"/>
          <w:kern w:val="2"/>
          <w:sz w:val="32"/>
          <w:szCs w:val="32"/>
          <w:highlight w:val="none"/>
          <w:lang w:val="en-US" w:eastAsia="zh-CN" w:bidi="ar-SA"/>
        </w:rPr>
        <w:t>2101102事业单位医疗</w:t>
      </w:r>
      <w:r>
        <w:rPr>
          <w:rStyle w:val="17"/>
          <w:rFonts w:hint="eastAsia" w:ascii="仿宋" w:hAnsi="仿宋" w:eastAsia="仿宋"/>
          <w:b w:val="0"/>
          <w:bCs/>
          <w:color w:val="000000"/>
          <w:sz w:val="32"/>
          <w:szCs w:val="32"/>
          <w:highlight w:val="none"/>
        </w:rPr>
        <w:t>支出决算数为</w:t>
      </w:r>
      <w:r>
        <w:rPr>
          <w:rStyle w:val="17"/>
          <w:rFonts w:hint="eastAsia" w:ascii="仿宋" w:hAnsi="仿宋" w:eastAsia="仿宋"/>
          <w:b w:val="0"/>
          <w:bCs/>
          <w:color w:val="000000"/>
          <w:sz w:val="32"/>
          <w:szCs w:val="32"/>
          <w:highlight w:val="none"/>
          <w:lang w:val="en-US" w:eastAsia="zh-CN"/>
        </w:rPr>
        <w:t>6.42</w:t>
      </w:r>
      <w:r>
        <w:rPr>
          <w:rStyle w:val="17"/>
          <w:rFonts w:hint="eastAsia" w:ascii="仿宋" w:hAnsi="仿宋" w:eastAsia="仿宋"/>
          <w:b w:val="0"/>
          <w:bCs/>
          <w:color w:val="000000"/>
          <w:sz w:val="32"/>
          <w:szCs w:val="32"/>
          <w:highlight w:val="none"/>
        </w:rPr>
        <w:t>万元，完成预算</w:t>
      </w:r>
      <w:r>
        <w:rPr>
          <w:rStyle w:val="17"/>
          <w:rFonts w:hint="eastAsia" w:ascii="仿宋" w:hAnsi="仿宋" w:eastAsia="仿宋"/>
          <w:b w:val="0"/>
          <w:bCs/>
          <w:color w:val="000000"/>
          <w:sz w:val="32"/>
          <w:szCs w:val="32"/>
          <w:highlight w:val="none"/>
          <w:lang w:val="en-US" w:eastAsia="zh-CN"/>
        </w:rPr>
        <w:t>94.13</w:t>
      </w:r>
      <w:r>
        <w:rPr>
          <w:rStyle w:val="17"/>
          <w:rFonts w:hint="eastAsia" w:ascii="仿宋" w:hAnsi="仿宋" w:eastAsia="仿宋"/>
          <w:b w:val="0"/>
          <w:bCs/>
          <w:color w:val="000000"/>
          <w:sz w:val="32"/>
          <w:szCs w:val="32"/>
          <w:highlight w:val="none"/>
        </w:rPr>
        <w:t>%。</w:t>
      </w:r>
    </w:p>
    <w:p>
      <w:pPr>
        <w:spacing w:line="600" w:lineRule="exact"/>
        <w:ind w:firstLine="643" w:firstLineChars="200"/>
        <w:rPr>
          <w:rFonts w:ascii="仿宋" w:hAnsi="仿宋" w:eastAsia="仿宋"/>
          <w:b/>
          <w:sz w:val="32"/>
          <w:szCs w:val="32"/>
          <w:highlight w:val="none"/>
        </w:rPr>
      </w:pPr>
      <w:r>
        <w:rPr>
          <w:rStyle w:val="17"/>
          <w:rFonts w:hint="eastAsia" w:ascii="仿宋" w:hAnsi="仿宋" w:eastAsia="仿宋"/>
          <w:color w:val="000000"/>
          <w:sz w:val="32"/>
          <w:szCs w:val="32"/>
          <w:highlight w:val="none"/>
        </w:rPr>
        <w:t>3.住房保障支出情况</w:t>
      </w:r>
      <w:r>
        <w:rPr>
          <w:rStyle w:val="17"/>
          <w:rFonts w:hint="eastAsia" w:ascii="仿宋" w:hAnsi="仿宋" w:eastAsia="仿宋"/>
          <w:b w:val="0"/>
          <w:bCs/>
          <w:color w:val="000000"/>
          <w:sz w:val="32"/>
          <w:szCs w:val="32"/>
          <w:highlight w:val="none"/>
        </w:rPr>
        <w:t>：2210201住房公积金支出决算数为13.59万元，完成预算</w:t>
      </w:r>
      <w:r>
        <w:rPr>
          <w:rStyle w:val="17"/>
          <w:rFonts w:hint="eastAsia" w:ascii="仿宋" w:hAnsi="仿宋" w:eastAsia="仿宋"/>
          <w:b w:val="0"/>
          <w:bCs/>
          <w:color w:val="000000"/>
          <w:sz w:val="32"/>
          <w:szCs w:val="32"/>
          <w:highlight w:val="none"/>
          <w:lang w:val="en-US" w:eastAsia="zh-CN"/>
        </w:rPr>
        <w:t>93.53</w:t>
      </w:r>
      <w:r>
        <w:rPr>
          <w:rStyle w:val="17"/>
          <w:rFonts w:hint="eastAsia" w:ascii="仿宋" w:hAnsi="仿宋" w:eastAsia="仿宋"/>
          <w:b w:val="0"/>
          <w:bCs/>
          <w:color w:val="000000"/>
          <w:sz w:val="32"/>
          <w:szCs w:val="32"/>
          <w:highlight w:val="none"/>
        </w:rPr>
        <w:t>%。</w:t>
      </w:r>
    </w:p>
    <w:p>
      <w:pPr>
        <w:tabs>
          <w:tab w:val="right" w:pos="8306"/>
        </w:tabs>
        <w:spacing w:line="600" w:lineRule="exact"/>
        <w:ind w:firstLine="640"/>
        <w:outlineLvl w:val="1"/>
        <w:rPr>
          <w:rStyle w:val="29"/>
          <w:highlight w:val="none"/>
        </w:rPr>
      </w:pPr>
      <w:bookmarkStart w:id="43" w:name="_Toc15377214"/>
      <w:bookmarkStart w:id="44" w:name="_Toc15396608"/>
      <w:bookmarkStart w:id="45" w:name="_Toc12343"/>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29"/>
          <w:rFonts w:hint="eastAsia" w:ascii="黑体" w:hAnsi="黑体" w:eastAsia="黑体"/>
          <w:b w:val="0"/>
          <w:highlight w:val="none"/>
        </w:rPr>
        <w:t>般公共预算财政拨款基本支出决算情况说明</w:t>
      </w:r>
      <w:bookmarkEnd w:id="43"/>
      <w:bookmarkEnd w:id="44"/>
      <w:bookmarkEnd w:id="45"/>
      <w:r>
        <w:rPr>
          <w:rStyle w:val="29"/>
          <w:rFonts w:ascii="黑体" w:hAnsi="黑体" w:eastAsia="黑体"/>
          <w:b w:val="0"/>
          <w:highlight w:val="none"/>
        </w:rPr>
        <w:tab/>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2023年度一般公共预算财政拨款基本支出</w:t>
      </w:r>
      <w:r>
        <w:rPr>
          <w:rFonts w:ascii="仿宋" w:hAnsi="仿宋" w:eastAsia="仿宋"/>
          <w:b/>
          <w:sz w:val="32"/>
          <w:szCs w:val="32"/>
          <w:highlight w:val="none"/>
        </w:rPr>
        <w:t>209.09</w:t>
      </w:r>
      <w:r>
        <w:rPr>
          <w:rFonts w:hint="eastAsia" w:ascii="仿宋" w:hAnsi="仿宋" w:eastAsia="仿宋"/>
          <w:sz w:val="32"/>
          <w:szCs w:val="32"/>
          <w:highlight w:val="none"/>
        </w:rPr>
        <w:t>万元，其中：</w:t>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人员经费</w:t>
      </w:r>
      <w:r>
        <w:rPr>
          <w:rFonts w:ascii="仿宋" w:hAnsi="仿宋" w:eastAsia="仿宋"/>
          <w:b/>
          <w:sz w:val="32"/>
          <w:szCs w:val="32"/>
          <w:highlight w:val="none"/>
        </w:rPr>
        <w:t>186.61</w:t>
      </w:r>
      <w:r>
        <w:rPr>
          <w:rFonts w:hint="eastAsia" w:ascii="仿宋" w:hAnsi="仿宋" w:eastAsia="仿宋"/>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highlight w:val="none"/>
        </w:rPr>
        <w:br w:type="textWrapping"/>
      </w:r>
      <w:r>
        <w:rPr>
          <w:rFonts w:hint="eastAsia" w:ascii="仿宋" w:hAnsi="仿宋" w:eastAsia="仿宋"/>
          <w:sz w:val="32"/>
          <w:szCs w:val="32"/>
          <w:highlight w:val="none"/>
        </w:rPr>
        <w:t>　　公用经费</w:t>
      </w:r>
      <w:r>
        <w:rPr>
          <w:rFonts w:ascii="仿宋" w:hAnsi="仿宋" w:eastAsia="仿宋"/>
          <w:b/>
          <w:sz w:val="32"/>
          <w:szCs w:val="32"/>
          <w:highlight w:val="none"/>
        </w:rPr>
        <w:t>22.48</w:t>
      </w:r>
      <w:r>
        <w:rPr>
          <w:rFonts w:hint="eastAsia" w:ascii="仿宋" w:hAnsi="仿宋" w:eastAsia="仿宋"/>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highlight w:val="none"/>
        </w:rPr>
      </w:pPr>
    </w:p>
    <w:p>
      <w:pPr>
        <w:spacing w:line="600" w:lineRule="exact"/>
        <w:ind w:firstLine="640"/>
        <w:outlineLvl w:val="1"/>
        <w:rPr>
          <w:rStyle w:val="29"/>
          <w:rFonts w:ascii="黑体" w:hAnsi="黑体" w:eastAsia="黑体"/>
          <w:b w:val="0"/>
          <w:highlight w:val="none"/>
        </w:rPr>
      </w:pPr>
      <w:bookmarkStart w:id="46" w:name="_Toc15377215"/>
      <w:bookmarkStart w:id="47" w:name="_Toc15396609"/>
      <w:bookmarkStart w:id="48" w:name="_Toc4789"/>
      <w:r>
        <w:rPr>
          <w:rFonts w:hint="eastAsia" w:ascii="黑体" w:eastAsia="黑体"/>
          <w:sz w:val="32"/>
          <w:szCs w:val="32"/>
          <w:highlight w:val="none"/>
        </w:rPr>
        <w:t>七、</w:t>
      </w:r>
      <w:r>
        <w:rPr>
          <w:rStyle w:val="29"/>
          <w:rFonts w:hint="eastAsia" w:ascii="黑体" w:hAnsi="黑体" w:eastAsia="黑体"/>
          <w:b w:val="0"/>
          <w:highlight w:val="none"/>
        </w:rPr>
        <w:t>财政拨款</w:t>
      </w:r>
      <w:r>
        <w:rPr>
          <w:rStyle w:val="29"/>
          <w:rFonts w:hint="eastAsia" w:ascii="黑体" w:hAnsi="黑体" w:eastAsia="黑体"/>
          <w:highlight w:val="none"/>
        </w:rPr>
        <w:t>“</w:t>
      </w:r>
      <w:r>
        <w:rPr>
          <w:rStyle w:val="29"/>
          <w:rFonts w:hint="eastAsia" w:ascii="黑体" w:hAnsi="黑体" w:eastAsia="黑体"/>
          <w:b w:val="0"/>
          <w:highlight w:val="none"/>
        </w:rPr>
        <w:t>三公”经费支出决算情况说明</w:t>
      </w:r>
      <w:bookmarkEnd w:id="46"/>
      <w:bookmarkEnd w:id="47"/>
      <w:bookmarkEnd w:id="48"/>
    </w:p>
    <w:p>
      <w:pPr>
        <w:spacing w:line="600" w:lineRule="exact"/>
        <w:ind w:firstLine="640"/>
        <w:outlineLvl w:val="2"/>
        <w:rPr>
          <w:rFonts w:ascii="仿宋" w:hAnsi="仿宋" w:eastAsia="仿宋"/>
          <w:b/>
          <w:sz w:val="32"/>
          <w:szCs w:val="32"/>
          <w:highlight w:val="none"/>
        </w:rPr>
      </w:pPr>
      <w:bookmarkStart w:id="49" w:name="_Toc15377216"/>
      <w:r>
        <w:rPr>
          <w:rFonts w:hint="eastAsia" w:ascii="仿宋" w:hAnsi="仿宋" w:eastAsia="仿宋"/>
          <w:b/>
          <w:sz w:val="32"/>
          <w:szCs w:val="32"/>
          <w:highlight w:val="none"/>
        </w:rPr>
        <w:t>（一）“三公”经费财政拨款支出决算总体情况说明</w:t>
      </w:r>
      <w:bookmarkEnd w:id="49"/>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2023年度“三公”经费财政拨款支出决算为</w:t>
      </w:r>
      <w:r>
        <w:rPr>
          <w:rFonts w:ascii="仿宋" w:hAnsi="仿宋" w:eastAsia="仿宋"/>
          <w:b/>
          <w:sz w:val="32"/>
          <w:szCs w:val="32"/>
          <w:highlight w:val="none"/>
        </w:rPr>
        <w:t>9.9</w:t>
      </w:r>
      <w:r>
        <w:rPr>
          <w:rFonts w:hint="eastAsia" w:ascii="仿宋" w:hAnsi="仿宋" w:eastAsia="仿宋"/>
          <w:sz w:val="32"/>
          <w:szCs w:val="32"/>
          <w:highlight w:val="none"/>
        </w:rPr>
        <w:t>万元，完成预算</w:t>
      </w:r>
      <w:r>
        <w:rPr>
          <w:rFonts w:ascii="仿宋" w:hAnsi="仿宋" w:eastAsia="仿宋"/>
          <w:b/>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，较上年度增加</w:t>
      </w:r>
      <w:r>
        <w:rPr>
          <w:rFonts w:hint="eastAsia" w:ascii="仿宋" w:hAnsi="仿宋" w:eastAsia="仿宋"/>
          <w:sz w:val="32"/>
          <w:szCs w:val="32"/>
          <w:highlight w:val="none"/>
          <w:lang w:val="en-US" w:eastAsia="zh-CN"/>
        </w:rPr>
        <w:t>2.04</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25.95</w:t>
      </w:r>
      <w:r>
        <w:rPr>
          <w:rFonts w:hint="eastAsia" w:ascii="仿宋" w:hAnsi="仿宋" w:eastAsia="仿宋"/>
          <w:sz w:val="32"/>
          <w:szCs w:val="32"/>
          <w:highlight w:val="none"/>
        </w:rPr>
        <w:t>%。主要原因是2023年公务用车运行维护费</w:t>
      </w:r>
      <w:r>
        <w:rPr>
          <w:rFonts w:hint="eastAsia" w:ascii="仿宋" w:hAnsi="仿宋" w:eastAsia="仿宋"/>
          <w:sz w:val="32"/>
          <w:szCs w:val="32"/>
          <w:highlight w:val="none"/>
          <w:lang w:eastAsia="zh-CN"/>
        </w:rPr>
        <w:t>支出增加</w:t>
      </w:r>
      <w:r>
        <w:rPr>
          <w:rFonts w:hint="eastAsia" w:ascii="仿宋" w:hAnsi="仿宋" w:eastAsia="仿宋"/>
          <w:sz w:val="32"/>
          <w:szCs w:val="32"/>
          <w:highlight w:val="none"/>
        </w:rPr>
        <w:t>。</w:t>
      </w:r>
    </w:p>
    <w:p>
      <w:pPr>
        <w:spacing w:line="600" w:lineRule="exact"/>
        <w:ind w:firstLine="640"/>
        <w:outlineLvl w:val="2"/>
        <w:rPr>
          <w:rFonts w:ascii="仿宋" w:hAnsi="仿宋" w:eastAsia="仿宋"/>
          <w:b/>
          <w:sz w:val="32"/>
          <w:szCs w:val="32"/>
          <w:highlight w:val="none"/>
        </w:rPr>
      </w:pPr>
      <w:bookmarkStart w:id="50" w:name="_Toc15377217"/>
      <w:r>
        <w:rPr>
          <w:rFonts w:hint="eastAsia" w:ascii="仿宋" w:hAnsi="仿宋" w:eastAsia="仿宋"/>
          <w:b/>
          <w:sz w:val="32"/>
          <w:szCs w:val="32"/>
          <w:highlight w:val="none"/>
        </w:rPr>
        <w:t>（二）“三公”经费财政拨款支出决算具体情况说明</w:t>
      </w:r>
      <w:bookmarkEnd w:id="50"/>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2023年度“三公”经费财政拨款支出决算中，因公出国（境）费支出决算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w:t>
      </w:r>
      <w:r>
        <w:rPr>
          <w:rFonts w:ascii="仿宋" w:hAnsi="仿宋" w:eastAsia="仿宋"/>
          <w:b/>
          <w:sz w:val="32"/>
          <w:szCs w:val="32"/>
          <w:highlight w:val="none"/>
        </w:rPr>
        <w:t>9.9</w:t>
      </w:r>
      <w:r>
        <w:rPr>
          <w:rFonts w:hint="eastAsia" w:ascii="仿宋" w:hAnsi="仿宋" w:eastAsia="仿宋"/>
          <w:sz w:val="32"/>
          <w:szCs w:val="32"/>
          <w:highlight w:val="none"/>
        </w:rPr>
        <w:t>万元，占</w:t>
      </w:r>
      <w:r>
        <w:rPr>
          <w:rFonts w:ascii="仿宋" w:hAnsi="仿宋" w:eastAsia="仿宋"/>
          <w:b/>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；公务接待费支出决算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。具体情况如下：</w:t>
      </w:r>
    </w:p>
    <w:p>
      <w:pPr>
        <w:pStyle w:val="19"/>
        <w:jc w:val="center"/>
        <w:outlineLvl w:val="9"/>
        <w:rPr>
          <w:rFonts w:hint="eastAsia" w:eastAsia="黑体"/>
          <w:highlight w:val="none"/>
          <w:lang w:eastAsia="zh-CN"/>
        </w:rPr>
      </w:pPr>
      <w:r>
        <w:rPr>
          <w:rFonts w:hint="eastAsia" w:eastAsia="黑体"/>
          <w:highlight w:val="none"/>
          <w:lang w:eastAsia="zh-CN"/>
        </w:rPr>
        <w:drawing>
          <wp:inline distT="0" distB="0" distL="114300" distR="114300">
            <wp:extent cx="3781425" cy="2355215"/>
            <wp:effectExtent l="0" t="0" r="9525" b="6985"/>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12"/>
                    <a:stretch>
                      <a:fillRect/>
                    </a:stretch>
                  </pic:blipFill>
                  <pic:spPr>
                    <a:xfrm>
                      <a:off x="0" y="0"/>
                      <a:ext cx="3781425" cy="2355215"/>
                    </a:xfrm>
                    <a:prstGeom prst="rect">
                      <a:avLst/>
                    </a:prstGeom>
                  </pic:spPr>
                </pic:pic>
              </a:graphicData>
            </a:graphic>
          </wp:inline>
        </w:drawing>
      </w:r>
      <w:bookmarkStart w:id="51" w:name="_Toc15377218"/>
      <w:bookmarkStart w:id="52" w:name="_Toc15396610"/>
    </w:p>
    <w:p>
      <w:pPr>
        <w:rPr>
          <w:highlight w:val="none"/>
        </w:rPr>
      </w:pPr>
    </w:p>
    <w:p>
      <w:pPr>
        <w:spacing w:line="600" w:lineRule="exact"/>
        <w:ind w:firstLine="640"/>
        <w:rPr>
          <w:rFonts w:ascii="仿宋_GB2312" w:eastAsia="仿宋_GB2312"/>
          <w:b/>
          <w:sz w:val="32"/>
          <w:szCs w:val="32"/>
          <w:highlight w:val="none"/>
        </w:rPr>
      </w:pPr>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Cs/>
          <w:sz w:val="32"/>
          <w:szCs w:val="32"/>
          <w:highlight w:val="none"/>
        </w:rPr>
        <w:t>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全年安排因公出国（境）团组</w:t>
      </w:r>
      <w:r>
        <w:rPr>
          <w:rFonts w:ascii="仿宋_GB2312" w:eastAsia="仿宋_GB2312"/>
          <w:b/>
          <w:sz w:val="32"/>
          <w:szCs w:val="32"/>
          <w:highlight w:val="none"/>
        </w:rPr>
        <w:t>0</w:t>
      </w:r>
      <w:r>
        <w:rPr>
          <w:rFonts w:hint="eastAsia" w:ascii="仿宋_GB2312" w:eastAsia="仿宋_GB2312"/>
          <w:sz w:val="32"/>
          <w:szCs w:val="32"/>
          <w:highlight w:val="none"/>
        </w:rPr>
        <w:t>次，出国（境）</w:t>
      </w:r>
      <w:r>
        <w:rPr>
          <w:rFonts w:ascii="仿宋_GB2312" w:eastAsia="仿宋_GB2312"/>
          <w:b/>
          <w:sz w:val="32"/>
          <w:szCs w:val="32"/>
          <w:highlight w:val="none"/>
        </w:rPr>
        <w:t>0</w:t>
      </w:r>
      <w:r>
        <w:rPr>
          <w:rFonts w:hint="eastAsia" w:ascii="仿宋_GB2312" w:eastAsia="仿宋_GB2312"/>
          <w:sz w:val="32"/>
          <w:szCs w:val="32"/>
          <w:highlight w:val="none"/>
        </w:rPr>
        <w:t>人。因公出国（境）支出决算比2022年增加</w:t>
      </w:r>
      <w:r>
        <w:rPr>
          <w:rFonts w:ascii="仿宋_GB2312" w:eastAsia="仿宋_GB2312"/>
          <w:sz w:val="32"/>
          <w:szCs w:val="32"/>
          <w:highlight w:val="none"/>
        </w:rPr>
        <w:t>/</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ascii="仿宋_GB2312" w:eastAsia="仿宋_GB2312"/>
          <w:sz w:val="32"/>
          <w:szCs w:val="32"/>
          <w:highlight w:val="none"/>
        </w:rPr>
        <w:t>/</w:t>
      </w:r>
      <w:r>
        <w:rPr>
          <w:rFonts w:hint="eastAsia" w:ascii="仿宋_GB2312" w:eastAsia="仿宋_GB2312"/>
          <w:sz w:val="32"/>
          <w:szCs w:val="32"/>
          <w:highlight w:val="none"/>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ascii="仿宋" w:hAnsi="仿宋" w:eastAsia="仿宋"/>
          <w:b/>
          <w:sz w:val="32"/>
          <w:szCs w:val="32"/>
          <w:highlight w:val="none"/>
        </w:rPr>
        <w:t>9.9</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Cs/>
          <w:sz w:val="32"/>
          <w:szCs w:val="32"/>
          <w:highlight w:val="none"/>
        </w:rPr>
        <w:t>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公务用车购置及运行维护费支出决算比2022年度增加</w:t>
      </w:r>
      <w:r>
        <w:rPr>
          <w:rFonts w:hint="eastAsia" w:ascii="仿宋_GB2312" w:eastAsia="仿宋_GB2312"/>
          <w:sz w:val="32"/>
          <w:szCs w:val="32"/>
          <w:highlight w:val="none"/>
          <w:lang w:val="en-US" w:eastAsia="zh-CN"/>
        </w:rPr>
        <w:t>2.08</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26.60</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 w:hAnsi="仿宋" w:eastAsia="仿宋"/>
          <w:sz w:val="32"/>
          <w:szCs w:val="32"/>
          <w:highlight w:val="none"/>
        </w:rPr>
        <w:t>2023年公务用车运行维护费</w:t>
      </w:r>
      <w:r>
        <w:rPr>
          <w:rFonts w:hint="eastAsia" w:ascii="仿宋" w:hAnsi="仿宋" w:eastAsia="仿宋"/>
          <w:sz w:val="32"/>
          <w:szCs w:val="32"/>
          <w:highlight w:val="none"/>
          <w:lang w:eastAsia="zh-CN"/>
        </w:rPr>
        <w:t>支</w:t>
      </w:r>
      <w:r>
        <w:rPr>
          <w:rFonts w:hint="eastAsia" w:ascii="仿宋" w:hAnsi="仿宋" w:eastAsia="仿宋"/>
          <w:color w:val="auto"/>
          <w:sz w:val="32"/>
          <w:szCs w:val="32"/>
          <w:highlight w:val="none"/>
          <w:lang w:eastAsia="zh-CN"/>
        </w:rPr>
        <w:t>出增加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ascii="仿宋" w:hAnsi="仿宋" w:eastAsia="仿宋"/>
          <w:b/>
          <w:color w:val="auto"/>
          <w:sz w:val="32"/>
          <w:szCs w:val="32"/>
          <w:highlight w:val="none"/>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月31日，单位共有公务用车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sz w:val="32"/>
          <w:szCs w:val="32"/>
          <w:highlight w:val="none"/>
        </w:rPr>
      </w:pPr>
      <w:r>
        <w:rPr>
          <w:rFonts w:hint="eastAsia" w:ascii="仿宋_GB2312" w:eastAsia="仿宋_GB2312"/>
          <w:b/>
          <w:sz w:val="32"/>
          <w:szCs w:val="32"/>
          <w:highlight w:val="none"/>
        </w:rPr>
        <w:t>公务用车运行维护费支出</w:t>
      </w:r>
      <w:r>
        <w:rPr>
          <w:rFonts w:ascii="仿宋" w:hAnsi="仿宋" w:eastAsia="仿宋"/>
          <w:b/>
          <w:sz w:val="32"/>
          <w:szCs w:val="32"/>
          <w:highlight w:val="none"/>
        </w:rPr>
        <w:t>9.9</w:t>
      </w:r>
      <w:r>
        <w:rPr>
          <w:rFonts w:hint="eastAsia" w:ascii="仿宋_GB2312" w:eastAsia="仿宋_GB2312"/>
          <w:sz w:val="32"/>
          <w:szCs w:val="32"/>
          <w:highlight w:val="none"/>
        </w:rPr>
        <w:t>万元。主要用于</w:t>
      </w:r>
      <w:r>
        <w:rPr>
          <w:rFonts w:ascii="仿宋_GB2312" w:eastAsia="仿宋_GB2312"/>
          <w:sz w:val="32"/>
          <w:szCs w:val="32"/>
          <w:highlight w:val="none"/>
        </w:rPr>
        <w:t>…</w:t>
      </w:r>
      <w:r>
        <w:rPr>
          <w:rFonts w:hint="eastAsia" w:ascii="仿宋_GB2312" w:eastAsia="仿宋_GB2312"/>
          <w:sz w:val="32"/>
          <w:szCs w:val="32"/>
          <w:highlight w:val="none"/>
        </w:rPr>
        <w:t>（具体工作）等所需的公务用车燃料费、维修费、过路过桥费、保险费等支出。</w:t>
      </w:r>
    </w:p>
    <w:p>
      <w:pPr>
        <w:numPr>
          <w:ilvl w:val="0"/>
          <w:numId w:val="3"/>
        </w:numPr>
        <w:spacing w:line="60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公务接待费支出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0%</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公务接待费支出决算比2022年度增加</w:t>
      </w:r>
      <w:r>
        <w:rPr>
          <w:rFonts w:ascii="仿宋_GB2312" w:eastAsia="仿宋_GB2312"/>
          <w:sz w:val="32"/>
          <w:szCs w:val="32"/>
          <w:highlight w:val="none"/>
        </w:rPr>
        <w:t>/</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ascii="仿宋_GB2312" w:eastAsia="仿宋_GB2312"/>
          <w:sz w:val="32"/>
          <w:szCs w:val="32"/>
          <w:highlight w:val="none"/>
        </w:rPr>
        <w:t>/</w:t>
      </w:r>
      <w:r>
        <w:rPr>
          <w:rFonts w:hint="eastAsia" w:ascii="仿宋_GB2312" w:eastAsia="仿宋_GB2312"/>
          <w:sz w:val="32"/>
          <w:szCs w:val="32"/>
          <w:highlight w:val="none"/>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pPr>
        <w:numPr>
          <w:ilvl w:val="0"/>
          <w:numId w:val="3"/>
        </w:num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ascii="仿宋" w:hAnsi="仿宋" w:eastAsia="仿宋"/>
          <w:b/>
          <w:sz w:val="32"/>
          <w:szCs w:val="32"/>
          <w:highlight w:val="none"/>
        </w:rPr>
        <w:t>0</w:t>
      </w:r>
      <w:r>
        <w:rPr>
          <w:rFonts w:hint="eastAsia" w:ascii="仿宋_GB2312" w:eastAsia="仿宋_GB2312"/>
          <w:sz w:val="32"/>
          <w:szCs w:val="32"/>
          <w:highlight w:val="none"/>
        </w:rPr>
        <w:t>万元，主要用于执行公务、开展业务活动开支的交通费、住宿费、用餐费等。国内公务接待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3" w:firstLineChars="200"/>
        <w:rPr>
          <w:rFonts w:ascii="仿宋_GB2312" w:eastAsia="仿宋_GB2312"/>
          <w:sz w:val="32"/>
          <w:szCs w:val="32"/>
          <w:highlight w:val="none"/>
        </w:rPr>
      </w:pPr>
      <w:r>
        <w:rPr>
          <w:rFonts w:hint="eastAsia" w:ascii="仿宋" w:hAnsi="仿宋" w:eastAsia="仿宋"/>
          <w:b/>
          <w:sz w:val="32"/>
          <w:szCs w:val="32"/>
          <w:highlight w:val="none"/>
          <w:lang w:val="en-US" w:eastAsia="zh-CN"/>
        </w:rPr>
        <w:t>5.</w:t>
      </w:r>
      <w:r>
        <w:rPr>
          <w:rFonts w:hint="eastAsia" w:ascii="仿宋" w:hAnsi="仿宋" w:eastAsia="仿宋"/>
          <w:b/>
          <w:sz w:val="32"/>
          <w:szCs w:val="32"/>
          <w:highlight w:val="none"/>
        </w:rPr>
        <w:t>外事接待支出</w:t>
      </w:r>
      <w:r>
        <w:rPr>
          <w:rFonts w:ascii="仿宋" w:hAnsi="仿宋" w:eastAsia="仿宋"/>
          <w:b/>
          <w:sz w:val="32"/>
          <w:szCs w:val="32"/>
          <w:highlight w:val="none"/>
        </w:rPr>
        <w:t>0</w:t>
      </w:r>
      <w:r>
        <w:rPr>
          <w:rFonts w:hint="eastAsia" w:ascii="仿宋_GB2312" w:eastAsia="仿宋_GB2312"/>
          <w:sz w:val="32"/>
          <w:szCs w:val="32"/>
          <w:highlight w:val="none"/>
        </w:rPr>
        <w:t>万元，主要用于接待。外事接待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0"/>
        <w:outlineLvl w:val="9"/>
        <w:rPr>
          <w:rFonts w:ascii="黑体" w:eastAsia="黑体"/>
          <w:sz w:val="32"/>
          <w:szCs w:val="32"/>
          <w:highlight w:val="none"/>
        </w:rPr>
      </w:pPr>
    </w:p>
    <w:p>
      <w:pPr>
        <w:spacing w:line="600" w:lineRule="exact"/>
        <w:ind w:firstLine="640"/>
        <w:outlineLvl w:val="1"/>
        <w:rPr>
          <w:rStyle w:val="29"/>
          <w:rFonts w:ascii="黑体" w:hAnsi="黑体" w:eastAsia="黑体"/>
          <w:highlight w:val="none"/>
        </w:rPr>
      </w:pPr>
      <w:bookmarkStart w:id="53" w:name="_Toc31053"/>
      <w:r>
        <w:rPr>
          <w:rFonts w:hint="eastAsia" w:ascii="黑体" w:eastAsia="黑体"/>
          <w:sz w:val="32"/>
          <w:szCs w:val="32"/>
          <w:highlight w:val="none"/>
        </w:rPr>
        <w:t>八、</w:t>
      </w:r>
      <w:r>
        <w:rPr>
          <w:rStyle w:val="29"/>
          <w:rFonts w:hint="eastAsia" w:ascii="黑体" w:hAnsi="黑体" w:eastAsia="黑体"/>
          <w:b w:val="0"/>
          <w:highlight w:val="none"/>
        </w:rPr>
        <w:t>政府性基金预算支出决算情况说明</w:t>
      </w:r>
      <w:bookmarkEnd w:id="51"/>
      <w:bookmarkEnd w:id="52"/>
      <w:bookmarkEnd w:id="53"/>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2023年度政府性基金预算财政拨款支出</w:t>
      </w:r>
      <w:r>
        <w:rPr>
          <w:rFonts w:ascii="仿宋" w:hAnsi="仿宋" w:eastAsia="仿宋"/>
          <w:b/>
          <w:sz w:val="32"/>
          <w:szCs w:val="32"/>
          <w:highlight w:val="none"/>
        </w:rPr>
        <w:t>0</w:t>
      </w:r>
      <w:r>
        <w:rPr>
          <w:rFonts w:hint="eastAsia" w:ascii="仿宋_GB2312" w:eastAsia="仿宋_GB2312"/>
          <w:sz w:val="32"/>
          <w:szCs w:val="32"/>
          <w:highlight w:val="none"/>
        </w:rPr>
        <w:t>万元。</w:t>
      </w:r>
    </w:p>
    <w:p>
      <w:pPr>
        <w:spacing w:line="600" w:lineRule="exact"/>
        <w:ind w:firstLine="640"/>
        <w:rPr>
          <w:rFonts w:ascii="仿宋_GB2312" w:eastAsia="仿宋_GB2312"/>
          <w:sz w:val="32"/>
          <w:szCs w:val="32"/>
          <w:highlight w:val="none"/>
        </w:rPr>
      </w:pPr>
    </w:p>
    <w:p>
      <w:pPr>
        <w:numPr>
          <w:ilvl w:val="0"/>
          <w:numId w:val="4"/>
        </w:numPr>
        <w:spacing w:line="600" w:lineRule="exact"/>
        <w:ind w:firstLine="640"/>
        <w:outlineLvl w:val="1"/>
        <w:rPr>
          <w:rStyle w:val="29"/>
          <w:rFonts w:ascii="黑体" w:hAnsi="黑体" w:eastAsia="黑体"/>
          <w:b w:val="0"/>
          <w:highlight w:val="none"/>
        </w:rPr>
      </w:pPr>
      <w:bookmarkStart w:id="54" w:name="_Toc15377219"/>
      <w:bookmarkStart w:id="55" w:name="_Toc15396611"/>
      <w:bookmarkStart w:id="56" w:name="_Toc21434"/>
      <w:r>
        <w:rPr>
          <w:rStyle w:val="29"/>
          <w:rFonts w:hint="eastAsia" w:ascii="黑体" w:hAnsi="黑体" w:eastAsia="黑体"/>
          <w:b w:val="0"/>
          <w:highlight w:val="none"/>
        </w:rPr>
        <w:t>国有资本经营预算支出决算情况说明</w:t>
      </w:r>
      <w:bookmarkEnd w:id="54"/>
      <w:bookmarkEnd w:id="55"/>
      <w:bookmarkEnd w:id="56"/>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2023年度国有资本经营预算财政拨款支出</w:t>
      </w:r>
      <w:r>
        <w:rPr>
          <w:rFonts w:ascii="仿宋" w:hAnsi="仿宋" w:eastAsia="仿宋"/>
          <w:b/>
          <w:sz w:val="32"/>
          <w:szCs w:val="32"/>
          <w:highlight w:val="none"/>
        </w:rPr>
        <w:t>0</w:t>
      </w:r>
      <w:r>
        <w:rPr>
          <w:rFonts w:hint="eastAsia" w:ascii="仿宋_GB2312" w:eastAsia="仿宋_GB2312"/>
          <w:sz w:val="32"/>
          <w:szCs w:val="32"/>
          <w:highlight w:val="none"/>
        </w:rPr>
        <w:t>万元。</w:t>
      </w:r>
    </w:p>
    <w:p>
      <w:pPr>
        <w:spacing w:line="580" w:lineRule="exact"/>
        <w:jc w:val="center"/>
        <w:rPr>
          <w:rFonts w:ascii="方正小标宋简体" w:hAnsi="方正小标宋简体" w:eastAsia="方正小标宋简体" w:cs="方正小标宋简体"/>
          <w:sz w:val="44"/>
          <w:szCs w:val="44"/>
          <w:highlight w:val="none"/>
        </w:rPr>
      </w:pPr>
    </w:p>
    <w:p>
      <w:pPr>
        <w:numPr>
          <w:ilvl w:val="0"/>
          <w:numId w:val="4"/>
        </w:numPr>
        <w:spacing w:line="600" w:lineRule="exact"/>
        <w:ind w:firstLine="640"/>
        <w:outlineLvl w:val="1"/>
        <w:rPr>
          <w:rStyle w:val="29"/>
          <w:rFonts w:ascii="黑体" w:hAnsi="黑体" w:eastAsia="黑体"/>
          <w:b w:val="0"/>
          <w:highlight w:val="none"/>
        </w:rPr>
      </w:pPr>
      <w:bookmarkStart w:id="57" w:name="_Toc15377221"/>
      <w:bookmarkStart w:id="58" w:name="_Toc15396612"/>
      <w:bookmarkStart w:id="59" w:name="_Toc12418"/>
      <w:r>
        <w:rPr>
          <w:rStyle w:val="29"/>
          <w:rFonts w:hint="eastAsia" w:ascii="黑体" w:hAnsi="黑体" w:eastAsia="黑体"/>
          <w:b w:val="0"/>
          <w:highlight w:val="none"/>
        </w:rPr>
        <w:t>其他重要事项的情况说明</w:t>
      </w:r>
      <w:bookmarkEnd w:id="57"/>
      <w:bookmarkEnd w:id="58"/>
      <w:bookmarkEnd w:id="59"/>
    </w:p>
    <w:p>
      <w:pPr>
        <w:spacing w:line="600" w:lineRule="exact"/>
        <w:ind w:firstLine="643" w:firstLineChars="200"/>
        <w:outlineLvl w:val="2"/>
        <w:rPr>
          <w:rFonts w:ascii="仿宋" w:hAnsi="仿宋" w:eastAsia="仿宋"/>
          <w:sz w:val="32"/>
          <w:szCs w:val="32"/>
          <w:highlight w:val="none"/>
        </w:rPr>
      </w:pPr>
      <w:bookmarkStart w:id="60" w:name="_Toc15377222"/>
      <w:r>
        <w:rPr>
          <w:rFonts w:hint="eastAsia" w:ascii="仿宋" w:hAnsi="仿宋" w:eastAsia="仿宋"/>
          <w:b/>
          <w:sz w:val="32"/>
          <w:szCs w:val="32"/>
          <w:highlight w:val="none"/>
        </w:rPr>
        <w:t>（一）机关运行经费支出情况</w:t>
      </w:r>
      <w:bookmarkEnd w:id="60"/>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2023年度，</w:t>
      </w:r>
      <w:r>
        <w:rPr>
          <w:rFonts w:ascii="仿宋_GB2312" w:eastAsia="仿宋_GB2312"/>
          <w:b/>
          <w:sz w:val="32"/>
          <w:szCs w:val="32"/>
          <w:highlight w:val="none"/>
        </w:rPr>
        <w:t>峨眉山市民政服务中心</w:t>
      </w:r>
      <w:r>
        <w:rPr>
          <w:rFonts w:hint="eastAsia" w:ascii="仿宋_GB2312" w:eastAsia="仿宋_GB2312"/>
          <w:sz w:val="32"/>
          <w:szCs w:val="32"/>
          <w:highlight w:val="none"/>
        </w:rPr>
        <w:t>机关运行经费支出</w:t>
      </w:r>
      <w:r>
        <w:rPr>
          <w:rFonts w:ascii="仿宋" w:hAnsi="仿宋" w:eastAsia="仿宋"/>
          <w:b/>
          <w:sz w:val="32"/>
          <w:szCs w:val="32"/>
          <w:highlight w:val="none"/>
        </w:rPr>
        <w:t>0</w:t>
      </w:r>
      <w:r>
        <w:rPr>
          <w:rFonts w:hint="eastAsia" w:ascii="仿宋_GB2312" w:eastAsia="仿宋_GB2312"/>
          <w:sz w:val="32"/>
          <w:szCs w:val="32"/>
          <w:highlight w:val="none"/>
        </w:rPr>
        <w:t>万元，比2022年度增加</w:t>
      </w:r>
      <w:r>
        <w:rPr>
          <w:rFonts w:ascii="仿宋_GB2312" w:eastAsia="仿宋_GB2312"/>
          <w:sz w:val="32"/>
          <w:szCs w:val="32"/>
          <w:highlight w:val="none"/>
        </w:rPr>
        <w:t>/</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ascii="仿宋_GB2312" w:eastAsia="仿宋_GB2312"/>
          <w:sz w:val="32"/>
          <w:szCs w:val="32"/>
          <w:highlight w:val="none"/>
        </w:rPr>
        <w:t>/</w:t>
      </w:r>
      <w:r>
        <w:rPr>
          <w:rFonts w:hint="eastAsia" w:ascii="仿宋_GB2312" w:eastAsia="仿宋_GB2312"/>
          <w:sz w:val="32"/>
          <w:szCs w:val="32"/>
          <w:highlight w:val="none"/>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61" w:name="_Toc15377223"/>
      <w:r>
        <w:rPr>
          <w:rFonts w:hint="eastAsia" w:ascii="仿宋" w:hAnsi="仿宋" w:eastAsia="仿宋"/>
          <w:b/>
          <w:sz w:val="32"/>
          <w:szCs w:val="32"/>
          <w:highlight w:val="none"/>
        </w:rPr>
        <w:t>（二）政府采购支出情况</w:t>
      </w:r>
      <w:bookmarkEnd w:id="61"/>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2023年度，</w:t>
      </w:r>
      <w:r>
        <w:rPr>
          <w:rFonts w:ascii="仿宋_GB2312" w:eastAsia="仿宋_GB2312"/>
          <w:b/>
          <w:sz w:val="32"/>
          <w:szCs w:val="32"/>
          <w:highlight w:val="none"/>
        </w:rPr>
        <w:t>峨眉山市民政服务中心</w:t>
      </w:r>
      <w:r>
        <w:rPr>
          <w:rFonts w:hint="eastAsia" w:ascii="仿宋_GB2312" w:eastAsia="仿宋_GB2312"/>
          <w:sz w:val="32"/>
          <w:szCs w:val="32"/>
          <w:highlight w:val="none"/>
        </w:rPr>
        <w:t>政府采购支出总额</w:t>
      </w:r>
      <w:r>
        <w:rPr>
          <w:rFonts w:ascii="仿宋" w:hAnsi="仿宋" w:eastAsia="仿宋"/>
          <w:b/>
          <w:sz w:val="32"/>
          <w:szCs w:val="32"/>
          <w:highlight w:val="none"/>
        </w:rPr>
        <w:t>0</w:t>
      </w:r>
      <w:r>
        <w:rPr>
          <w:rFonts w:hint="eastAsia" w:ascii="仿宋_GB2312" w:eastAsia="仿宋_GB2312"/>
          <w:sz w:val="32"/>
          <w:szCs w:val="32"/>
          <w:highlight w:val="none"/>
        </w:rPr>
        <w:t>万元，其中：政府采购货物支出</w:t>
      </w:r>
      <w:r>
        <w:rPr>
          <w:rFonts w:ascii="仿宋" w:hAnsi="仿宋" w:eastAsia="仿宋"/>
          <w:b/>
          <w:sz w:val="32"/>
          <w:szCs w:val="32"/>
          <w:highlight w:val="none"/>
        </w:rPr>
        <w:t>0</w:t>
      </w:r>
      <w:r>
        <w:rPr>
          <w:rFonts w:hint="eastAsia" w:ascii="仿宋_GB2312" w:eastAsia="仿宋_GB2312"/>
          <w:sz w:val="32"/>
          <w:szCs w:val="32"/>
          <w:highlight w:val="none"/>
        </w:rPr>
        <w:t>万元、政府采购工程支出</w:t>
      </w:r>
      <w:r>
        <w:rPr>
          <w:rFonts w:ascii="仿宋" w:hAnsi="仿宋" w:eastAsia="仿宋"/>
          <w:b/>
          <w:sz w:val="32"/>
          <w:szCs w:val="32"/>
          <w:highlight w:val="none"/>
        </w:rPr>
        <w:t>0</w:t>
      </w:r>
      <w:r>
        <w:rPr>
          <w:rFonts w:hint="eastAsia" w:ascii="仿宋_GB2312" w:eastAsia="仿宋_GB2312"/>
          <w:sz w:val="32"/>
          <w:szCs w:val="32"/>
          <w:highlight w:val="none"/>
        </w:rPr>
        <w:t>万元、政府采购服务支出</w:t>
      </w:r>
      <w:r>
        <w:rPr>
          <w:rFonts w:ascii="仿宋" w:hAnsi="仿宋" w:eastAsia="仿宋"/>
          <w:b/>
          <w:sz w:val="32"/>
          <w:szCs w:val="32"/>
          <w:highlight w:val="none"/>
        </w:rPr>
        <w:t>0</w:t>
      </w:r>
      <w:r>
        <w:rPr>
          <w:rFonts w:hint="eastAsia" w:ascii="仿宋_GB2312" w:eastAsia="仿宋_GB2312"/>
          <w:sz w:val="32"/>
          <w:szCs w:val="32"/>
          <w:highlight w:val="none"/>
        </w:rPr>
        <w:t>万元。授予中小企业合同金额</w:t>
      </w:r>
      <w:r>
        <w:rPr>
          <w:rFonts w:ascii="仿宋" w:hAnsi="仿宋" w:eastAsia="仿宋"/>
          <w:b/>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sz w:val="32"/>
          <w:szCs w:val="32"/>
          <w:highlight w:val="none"/>
        </w:rPr>
        <w:t>0%</w:t>
      </w:r>
      <w:r>
        <w:rPr>
          <w:rFonts w:hint="eastAsia" w:ascii="仿宋_GB2312" w:eastAsia="仿宋_GB2312"/>
          <w:sz w:val="32"/>
          <w:szCs w:val="32"/>
          <w:highlight w:val="none"/>
        </w:rPr>
        <w:t>，其中：授予小微企业合同金额</w:t>
      </w:r>
      <w:r>
        <w:rPr>
          <w:rFonts w:ascii="仿宋" w:hAnsi="仿宋" w:eastAsia="仿宋"/>
          <w:b/>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b/>
          <w:sz w:val="32"/>
          <w:szCs w:val="32"/>
          <w:highlight w:val="none"/>
        </w:rPr>
        <w:t>0</w:t>
      </w:r>
      <w:r>
        <w:rPr>
          <w:rFonts w:ascii="仿宋_GB2312" w:eastAsia="仿宋_GB2312"/>
          <w:sz w:val="32"/>
          <w:szCs w:val="32"/>
          <w:highlight w:val="none"/>
        </w:rPr>
        <w:t>%</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62" w:name="_Toc15377224"/>
      <w:r>
        <w:rPr>
          <w:rFonts w:hint="eastAsia" w:ascii="仿宋" w:hAnsi="仿宋" w:eastAsia="仿宋"/>
          <w:b/>
          <w:sz w:val="32"/>
          <w:szCs w:val="32"/>
          <w:highlight w:val="none"/>
        </w:rPr>
        <w:t>（三）国有资产占有使用情况</w:t>
      </w:r>
      <w:bookmarkEnd w:id="62"/>
    </w:p>
    <w:p>
      <w:pPr>
        <w:autoSpaceDE w:val="0"/>
        <w:autoSpaceDN w:val="0"/>
        <w:adjustRightInd w:val="0"/>
        <w:spacing w:line="60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w:t>
      </w:r>
      <w:r>
        <w:rPr>
          <w:rFonts w:hint="eastAsia" w:ascii="仿宋_GB2312" w:eastAsia="仿宋_GB2312"/>
          <w:color w:val="auto"/>
          <w:sz w:val="32"/>
          <w:szCs w:val="32"/>
          <w:highlight w:val="none"/>
        </w:rPr>
        <w:t>至2023年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ascii="仿宋_GB2312" w:eastAsia="仿宋_GB2312"/>
          <w:b/>
          <w:color w:val="auto"/>
          <w:sz w:val="32"/>
          <w:szCs w:val="32"/>
          <w:highlight w:val="none"/>
        </w:rPr>
        <w:t>峨眉山市民政服务中心</w:t>
      </w:r>
      <w:r>
        <w:rPr>
          <w:rFonts w:hint="eastAsia" w:ascii="仿宋_GB2312" w:eastAsia="仿宋_GB2312"/>
          <w:color w:val="auto"/>
          <w:sz w:val="32"/>
          <w:szCs w:val="32"/>
          <w:highlight w:val="none"/>
        </w:rPr>
        <w:t>共有车辆</w:t>
      </w:r>
      <w:r>
        <w:rPr>
          <w:rFonts w:hint="eastAsia" w:ascii="仿宋_GB2312" w:eastAsia="仿宋_GB2312"/>
          <w:b/>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辆，其他用车主要是用于流浪乞讨救助。单价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万元以上设备（不含车辆）</w:t>
      </w:r>
      <w:r>
        <w:rPr>
          <w:rFonts w:ascii="仿宋_GB2312" w:eastAsia="仿宋_GB2312"/>
          <w:b/>
          <w:color w:val="auto"/>
          <w:sz w:val="32"/>
          <w:szCs w:val="32"/>
          <w:highlight w:val="none"/>
        </w:rPr>
        <w:t>0</w:t>
      </w:r>
      <w:r>
        <w:rPr>
          <w:rFonts w:hint="eastAsia" w:ascii="仿宋_GB2312" w:eastAsia="仿宋_GB2312"/>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根据预算绩效管理要求，本单位在2023年度预算编制阶段，组织对劳务派遣人员经费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流浪乞讨救助支出</w:t>
      </w:r>
      <w:r>
        <w:rPr>
          <w:rFonts w:hint="eastAsia" w:ascii="仿宋_GB2312" w:eastAsia="仿宋_GB2312"/>
          <w:sz w:val="32"/>
          <w:szCs w:val="32"/>
          <w:highlight w:val="none"/>
          <w:lang w:eastAsia="zh-CN"/>
        </w:rPr>
        <w:t>资金等</w:t>
      </w:r>
      <w:r>
        <w:rPr>
          <w:rFonts w:hint="eastAsia" w:ascii="仿宋_GB2312" w:eastAsia="仿宋_GB2312"/>
          <w:sz w:val="32"/>
          <w:szCs w:val="32"/>
          <w:highlight w:val="none"/>
        </w:rPr>
        <w:t>等项目开展了预算事前绩效评估，</w:t>
      </w:r>
      <w:r>
        <w:rPr>
          <w:rFonts w:hint="eastAsia" w:ascii="仿宋_GB2312" w:eastAsia="仿宋_GB2312"/>
          <w:sz w:val="32"/>
          <w:szCs w:val="32"/>
          <w:highlight w:val="none"/>
          <w:lang w:eastAsia="zh-CN"/>
        </w:rPr>
        <w:t>对</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编制了绩效目标，预算执行过程中，选取</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个项目开展绩效自评，绩效自评表详见第四部分附件。</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br w:type="page"/>
      </w:r>
    </w:p>
    <w:p>
      <w:pPr>
        <w:numPr>
          <w:ilvl w:val="0"/>
          <w:numId w:val="5"/>
        </w:numPr>
        <w:spacing w:line="600" w:lineRule="exact"/>
        <w:ind w:firstLine="660" w:firstLineChars="150"/>
        <w:jc w:val="center"/>
        <w:outlineLvl w:val="0"/>
        <w:rPr>
          <w:rStyle w:val="28"/>
          <w:rFonts w:ascii="黑体" w:hAnsi="黑体" w:eastAsia="黑体"/>
          <w:b w:val="0"/>
          <w:highlight w:val="none"/>
        </w:rPr>
      </w:pPr>
      <w:bookmarkStart w:id="63" w:name="_Toc15396613"/>
      <w:bookmarkStart w:id="64" w:name="_Toc15377225"/>
      <w:bookmarkStart w:id="65" w:name="_Toc20976"/>
      <w:r>
        <w:rPr>
          <w:rFonts w:hint="eastAsia" w:ascii="黑体" w:hAnsi="黑体" w:eastAsia="黑体"/>
          <w:sz w:val="44"/>
          <w:szCs w:val="44"/>
          <w:highlight w:val="none"/>
        </w:rPr>
        <w:t>名</w:t>
      </w:r>
      <w:r>
        <w:rPr>
          <w:rStyle w:val="28"/>
          <w:rFonts w:hint="eastAsia" w:ascii="黑体" w:hAnsi="黑体" w:eastAsia="黑体"/>
          <w:b w:val="0"/>
          <w:highlight w:val="none"/>
        </w:rPr>
        <w:t>词解释</w:t>
      </w:r>
      <w:bookmarkEnd w:id="63"/>
      <w:bookmarkEnd w:id="64"/>
      <w:bookmarkEnd w:id="65"/>
    </w:p>
    <w:p>
      <w:pPr>
        <w:spacing w:line="600" w:lineRule="exact"/>
        <w:jc w:val="left"/>
        <w:rPr>
          <w:rFonts w:ascii="宋体"/>
          <w:b/>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highlight w:val="none"/>
        </w:rPr>
        <w:t>使用非财政拨款结余（含专用结余）</w:t>
      </w:r>
      <w:r>
        <w:rPr>
          <w:rFonts w:hint="eastAsia" w:ascii="仿宋_GB2312" w:eastAsia="仿宋_GB2312"/>
          <w:color w:val="auto"/>
          <w:sz w:val="32"/>
          <w:szCs w:val="32"/>
          <w:highlight w:val="none"/>
        </w:rPr>
        <w:t>：指事业单位使用以前年度积累的非财政拨款结余弥补当年收支差额的金额。</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eastAsia="zh-CN"/>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 2080505--机关事业单位基本养老保险缴费支出：是指反映机关事业单位实施养老保险制度由单位缴纳的基本养老保险费支出。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2080506--机关事业单位职业年金缴费支出：是指反映机关事业单位实施养老保险制度由单位实际缴纳的职业年金支出。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2081005--社会福利事业单位：:是指反映民政部门举办的社会福利事业单位的支出，以及对集体社会福利事业单位的补助费。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2082002--流浪乞讨人员救助支出:是指反映用于生活无着的流浪乞讨人员的救助支出和救助管理机构的运转支出。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2080299-其他社会保障和就业支出（项）：反映除上述项目以外其他用于社会保障和就业方面的支出。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卫生健康支出：2101102--事业单位医疗:反映财政部门安排的行政单位（包括实行公务员管理的事业单位）基本医疗保险缴费经费，未参加医疗保险的行政单位的公费医疗经费，按国家规定享受离退休人员、红军老战士待遇人员的医疗经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住房保障支出：2210201--住房公积金:是指反映行政事业单位按人力资源和社会保障部、财政部规定的基本工资和津贴补贴以及规定比例为职工缴纳的住房公积金。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基本支出：指为保障机构正常运转、完成日常工作任务而发生的人员支出和公用支出。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项目支出：指在基本支出之外为完成特定行政任务和事业发展目标所发生的支出。</w:t>
      </w:r>
      <w:r>
        <w:rPr>
          <w:rFonts w:ascii="仿宋_GB2312" w:eastAsia="仿宋_GB2312"/>
          <w:sz w:val="32"/>
          <w:szCs w:val="32"/>
          <w:highlight w:val="none"/>
        </w:rPr>
        <w:t xml:space="preserve"> </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highlight w:val="none"/>
        </w:rPr>
      </w:pPr>
      <w:bookmarkStart w:id="66" w:name="_Toc15377226"/>
      <w:r>
        <w:rPr>
          <w:rFonts w:ascii="宋体"/>
          <w:b/>
          <w:sz w:val="44"/>
          <w:szCs w:val="44"/>
          <w:highlight w:val="none"/>
        </w:rPr>
        <w:br w:type="page"/>
      </w:r>
      <w:bookmarkStart w:id="67" w:name="_Toc15396614"/>
      <w:bookmarkStart w:id="68" w:name="_Toc4742"/>
      <w:r>
        <w:rPr>
          <w:rFonts w:hint="eastAsia" w:ascii="黑体" w:hAnsi="黑体" w:eastAsia="黑体"/>
          <w:sz w:val="44"/>
          <w:szCs w:val="44"/>
          <w:highlight w:val="none"/>
        </w:rPr>
        <w:t>第</w:t>
      </w:r>
      <w:r>
        <w:rPr>
          <w:rStyle w:val="28"/>
          <w:rFonts w:hint="eastAsia" w:ascii="黑体" w:hAnsi="黑体" w:eastAsia="黑体"/>
          <w:b w:val="0"/>
          <w:highlight w:val="none"/>
        </w:rPr>
        <w:t>四部分 附件</w:t>
      </w:r>
      <w:bookmarkEnd w:id="67"/>
      <w:bookmarkEnd w:id="68"/>
    </w:p>
    <w:p>
      <w:pPr>
        <w:spacing w:line="572" w:lineRule="exact"/>
        <w:jc w:val="left"/>
        <w:outlineLvl w:val="9"/>
        <w:rPr>
          <w:rFonts w:ascii="仿宋_GB2312" w:hAnsi="仿宋_GB2312" w:eastAsia="仿宋_GB2312" w:cs="仿宋_GB2312"/>
          <w:sz w:val="32"/>
          <w:szCs w:val="32"/>
          <w:highlight w:val="none"/>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85"/>
        <w:gridCol w:w="798"/>
        <w:gridCol w:w="1125"/>
        <w:gridCol w:w="464"/>
        <w:gridCol w:w="701"/>
        <w:gridCol w:w="462"/>
        <w:gridCol w:w="907"/>
        <w:gridCol w:w="496"/>
        <w:gridCol w:w="496"/>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highlight w:val="none"/>
                <w:u w:val="none"/>
              </w:rPr>
            </w:pPr>
            <w:bookmarkStart w:id="69" w:name="_Toc15396618"/>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51118123T000007969057-2023年劳务派遣人员经费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保障劳务派遣人员福利待遇：工资发放、五险一金等缴纳。</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按月及时工资发放、五险一金等缴纳。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6.59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6.59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发放人数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按标准发放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完成时间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保障劳务派遣人员福利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长期保障劳务派遣人员福利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51118123T000007977333-2023年流浪乞讨救助支出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切实保障生活无着流浪乞讨人员、未成年人：生活救助、医疗救助、返乡救助、临时安置救助、主动救助、教育矫治救助正常有序开展；保障救助管理站、未成年人社会保护中心机构正常运转。</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及时发放、切实保障生活无着流浪乞讨人员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2023年度就住流浪乞讨人员300人以上，困境儿童走访500户以上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保障流浪乞讨人员、未成年人生活救助质量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51118123T000009174481-流浪乞讨资金（主动救助）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开展界面巡回救助，“源头预防”等工作，保护生活无着流浪乞讨人员合法权利。</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及时发放资金、切实保障生活无着流浪乞讨人员，开展界面巡回救助，“源头预防”等工作，保护生活无着流浪乞讨人员合法权利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保证受助人员街面巡查救助服务质量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51118123T000009174503-流浪乞讨救助（返乡救助）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为受助人员提供返乡救助服务，保护流浪乞讨人员、未成年人合法权益。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及时发放资金、为受助人员提供返乡救助服务，保护流浪乞讨人员、未成年人合法权益。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保证返乡受助人员救助服务质量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51118123T000009174517-流浪乞讨救助（医疗救助）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提供疾病救治、卫生防疫、医疗康复等医疗服务，保护生活无着流浪乞讨人员、未成年人合法权益。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及时发放资金、提供疾病救治、卫生防疫、医疗康复等医疗服务，保护生活无着流浪乞讨人员、未成年人合法权益。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保证受助人员医疗救助服务质量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51118123T000009175028-流浪乞讨救助（临时安置）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为暂时找不到户籍、无家可归的受助人员提供临时安置服务，保障其合法权益。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及时发放资金、为暂时找不到户籍、无家可归的受助人员提供临时安置服务，保障其合法权益。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保证临时安置受助人员生活服务质量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51118123T000009175042-流浪乞讨救助（未成年保护支出）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强化未成年人源头预防和治理，保护未成年人合法权益。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及时发放资金、强化未成年人源头预防和治理，保护未成年人合法权益。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保证受助人员“源头预防”及救助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51118123T000009175054-流浪乞讨救助（生活救助）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提供生活所需救助，保护生活无着流浪乞讨人员、未成年人合法权益。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严格执行相关政策，预算执行率为99.36%，全面完成预期目标。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保障受助人员生活服务质量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预算执行率99.36%，年末结算未及时支付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bl>
    <w:p>
      <w:pPr>
        <w:pStyle w:val="3"/>
        <w:spacing w:line="560" w:lineRule="exact"/>
        <w:ind w:left="0" w:leftChars="0" w:firstLine="640"/>
        <w:rPr>
          <w:sz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ascii="仿宋" w:hAnsi="仿宋" w:eastAsia="仿宋"/>
        </w:rPr>
      </w:pPr>
      <w:bookmarkStart w:id="70" w:name="_Toc15764"/>
      <w:r>
        <w:rPr>
          <w:rFonts w:hint="eastAsia" w:ascii="黑体" w:hAnsi="黑体" w:eastAsia="黑体"/>
          <w:sz w:val="44"/>
          <w:szCs w:val="44"/>
        </w:rPr>
        <w:t>第</w:t>
      </w:r>
      <w:r>
        <w:rPr>
          <w:rStyle w:val="28"/>
          <w:rFonts w:hint="eastAsia" w:ascii="黑体" w:hAnsi="黑体" w:eastAsia="黑体"/>
          <w:b w:val="0"/>
        </w:rPr>
        <w:t>五部分 附表</w:t>
      </w:r>
      <w:bookmarkEnd w:id="66"/>
      <w:bookmarkEnd w:id="69"/>
      <w:bookmarkEnd w:id="70"/>
      <w:bookmarkStart w:id="71" w:name="_Toc15396619"/>
    </w:p>
    <w:p>
      <w:pPr>
        <w:pStyle w:val="6"/>
        <w:rPr>
          <w:rFonts w:ascii="仿宋" w:hAnsi="仿宋" w:eastAsia="仿宋"/>
        </w:rPr>
      </w:pPr>
      <w:bookmarkStart w:id="72" w:name="_Toc9130"/>
      <w:r>
        <w:rPr>
          <w:rFonts w:hint="eastAsia" w:ascii="仿宋" w:hAnsi="仿宋" w:eastAsia="仿宋"/>
          <w:b w:val="0"/>
        </w:rPr>
        <w:t>一、收</w:t>
      </w:r>
      <w:r>
        <w:rPr>
          <w:rStyle w:val="29"/>
          <w:rFonts w:hint="eastAsia" w:ascii="仿宋" w:hAnsi="仿宋" w:eastAsia="仿宋"/>
          <w:b w:val="0"/>
          <w:bCs w:val="0"/>
        </w:rPr>
        <w:t>入支出决算总表</w:t>
      </w:r>
      <w:bookmarkEnd w:id="71"/>
      <w:bookmarkEnd w:id="72"/>
    </w:p>
    <w:p>
      <w:pPr>
        <w:pStyle w:val="6"/>
        <w:rPr>
          <w:rFonts w:ascii="仿宋" w:hAnsi="仿宋" w:eastAsia="仿宋"/>
        </w:rPr>
      </w:pPr>
      <w:bookmarkStart w:id="73" w:name="_Toc15396620"/>
      <w:bookmarkStart w:id="74" w:name="_Toc29334"/>
      <w:r>
        <w:rPr>
          <w:rFonts w:hint="eastAsia" w:ascii="仿宋" w:hAnsi="仿宋" w:eastAsia="仿宋"/>
          <w:b w:val="0"/>
        </w:rPr>
        <w:t>二、收</w:t>
      </w:r>
      <w:r>
        <w:rPr>
          <w:rStyle w:val="29"/>
          <w:rFonts w:hint="eastAsia" w:ascii="仿宋" w:hAnsi="仿宋" w:eastAsia="仿宋"/>
          <w:b w:val="0"/>
          <w:bCs w:val="0"/>
        </w:rPr>
        <w:t>入决算表</w:t>
      </w:r>
      <w:bookmarkEnd w:id="73"/>
      <w:bookmarkEnd w:id="74"/>
    </w:p>
    <w:p>
      <w:pPr>
        <w:pStyle w:val="6"/>
        <w:rPr>
          <w:rFonts w:ascii="仿宋" w:hAnsi="仿宋" w:eastAsia="仿宋"/>
        </w:rPr>
      </w:pPr>
      <w:bookmarkStart w:id="75" w:name="_Toc15396621"/>
      <w:bookmarkStart w:id="76" w:name="_Toc7545"/>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75"/>
      <w:bookmarkEnd w:id="76"/>
    </w:p>
    <w:p>
      <w:pPr>
        <w:pStyle w:val="6"/>
        <w:rPr>
          <w:rFonts w:ascii="仿宋" w:hAnsi="仿宋" w:eastAsia="仿宋"/>
          <w:b w:val="0"/>
        </w:rPr>
      </w:pPr>
      <w:bookmarkStart w:id="77" w:name="_Toc15396622"/>
      <w:bookmarkStart w:id="78" w:name="_Toc17479"/>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77"/>
      <w:bookmarkEnd w:id="78"/>
    </w:p>
    <w:p>
      <w:pPr>
        <w:pStyle w:val="6"/>
        <w:rPr>
          <w:rStyle w:val="29"/>
          <w:rFonts w:ascii="仿宋" w:hAnsi="仿宋" w:eastAsia="仿宋"/>
          <w:b w:val="0"/>
          <w:bCs w:val="0"/>
        </w:rPr>
      </w:pPr>
      <w:bookmarkStart w:id="79" w:name="_Toc15396623"/>
      <w:bookmarkStart w:id="80" w:name="_Toc20014"/>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79"/>
      <w:bookmarkEnd w:id="80"/>
      <w:bookmarkStart w:id="81" w:name="_Toc15396624"/>
    </w:p>
    <w:p>
      <w:pPr>
        <w:pStyle w:val="6"/>
        <w:rPr>
          <w:rFonts w:ascii="仿宋" w:hAnsi="仿宋" w:eastAsia="仿宋"/>
        </w:rPr>
      </w:pPr>
      <w:bookmarkStart w:id="82" w:name="_Toc6009"/>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1"/>
      <w:bookmarkEnd w:id="82"/>
    </w:p>
    <w:p>
      <w:pPr>
        <w:pStyle w:val="6"/>
        <w:rPr>
          <w:rFonts w:ascii="仿宋" w:hAnsi="仿宋" w:eastAsia="仿宋"/>
        </w:rPr>
      </w:pPr>
      <w:bookmarkStart w:id="83" w:name="_Toc15396625"/>
      <w:bookmarkStart w:id="84" w:name="_Toc8390"/>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3"/>
      <w:bookmarkEnd w:id="84"/>
    </w:p>
    <w:p>
      <w:pPr>
        <w:pStyle w:val="6"/>
        <w:rPr>
          <w:rFonts w:ascii="仿宋" w:hAnsi="仿宋" w:eastAsia="仿宋"/>
        </w:rPr>
      </w:pPr>
      <w:bookmarkStart w:id="85" w:name="_Toc15396626"/>
      <w:bookmarkStart w:id="86" w:name="_Toc18118"/>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85"/>
      <w:bookmarkEnd w:id="86"/>
    </w:p>
    <w:p>
      <w:pPr>
        <w:pStyle w:val="6"/>
        <w:rPr>
          <w:rFonts w:ascii="仿宋" w:hAnsi="仿宋" w:eastAsia="仿宋"/>
        </w:rPr>
      </w:pPr>
      <w:bookmarkStart w:id="87" w:name="_Toc15396627"/>
      <w:bookmarkStart w:id="88" w:name="_Toc31425"/>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87"/>
      <w:bookmarkEnd w:id="88"/>
    </w:p>
    <w:p>
      <w:pPr>
        <w:pStyle w:val="6"/>
        <w:rPr>
          <w:rFonts w:ascii="仿宋" w:hAnsi="仿宋" w:eastAsia="仿宋"/>
        </w:rPr>
      </w:pPr>
      <w:bookmarkStart w:id="89" w:name="_Toc15396628"/>
      <w:bookmarkStart w:id="90" w:name="_Toc27089"/>
      <w:r>
        <w:rPr>
          <w:rStyle w:val="29"/>
          <w:rFonts w:hint="eastAsia" w:ascii="仿宋" w:hAnsi="仿宋" w:eastAsia="仿宋"/>
          <w:b w:val="0"/>
          <w:bCs w:val="0"/>
        </w:rPr>
        <w:t>十、</w:t>
      </w:r>
      <w:bookmarkEnd w:id="89"/>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0"/>
    </w:p>
    <w:p>
      <w:pPr>
        <w:pStyle w:val="6"/>
        <w:rPr>
          <w:rFonts w:ascii="仿宋" w:hAnsi="仿宋" w:eastAsia="仿宋"/>
        </w:rPr>
      </w:pPr>
      <w:bookmarkStart w:id="91" w:name="_Toc15396629"/>
      <w:bookmarkStart w:id="92" w:name="_Toc17615"/>
      <w:r>
        <w:rPr>
          <w:rStyle w:val="29"/>
          <w:rFonts w:hint="eastAsia" w:ascii="仿宋" w:hAnsi="仿宋" w:eastAsia="仿宋"/>
          <w:b w:val="0"/>
          <w:bCs w:val="0"/>
        </w:rPr>
        <w:t>十一、</w:t>
      </w:r>
      <w:bookmarkEnd w:id="91"/>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2"/>
    </w:p>
    <w:p>
      <w:pPr>
        <w:pStyle w:val="6"/>
        <w:rPr>
          <w:rFonts w:ascii="仿宋" w:hAnsi="仿宋" w:eastAsia="仿宋"/>
        </w:rPr>
      </w:pPr>
      <w:bookmarkStart w:id="93" w:name="_Toc15396630"/>
      <w:bookmarkStart w:id="94" w:name="_Toc8122"/>
      <w:r>
        <w:rPr>
          <w:rStyle w:val="29"/>
          <w:rFonts w:hint="eastAsia" w:ascii="仿宋" w:hAnsi="仿宋" w:eastAsia="仿宋"/>
          <w:b w:val="0"/>
          <w:bCs w:val="0"/>
        </w:rPr>
        <w:t>十二、</w:t>
      </w:r>
      <w:bookmarkEnd w:id="93"/>
      <w:r>
        <w:rPr>
          <w:rStyle w:val="29"/>
          <w:rFonts w:hint="eastAsia" w:ascii="仿宋" w:hAnsi="仿宋" w:eastAsia="仿宋"/>
          <w:b w:val="0"/>
          <w:bCs w:val="0"/>
        </w:rPr>
        <w:t>国有资本经营预算财政拨款支出决算表</w:t>
      </w:r>
      <w:bookmarkEnd w:id="94"/>
    </w:p>
    <w:p>
      <w:pPr>
        <w:pStyle w:val="6"/>
        <w:rPr>
          <w:rFonts w:eastAsia="仿宋"/>
        </w:rPr>
      </w:pPr>
      <w:bookmarkStart w:id="95" w:name="_Toc15396631"/>
      <w:bookmarkStart w:id="96" w:name="_Toc24058"/>
      <w:r>
        <w:rPr>
          <w:rStyle w:val="29"/>
          <w:rFonts w:hint="eastAsia" w:ascii="仿宋" w:hAnsi="仿宋" w:eastAsia="仿宋"/>
          <w:b w:val="0"/>
          <w:bCs w:val="0"/>
        </w:rPr>
        <w:t>十三、</w:t>
      </w:r>
      <w:bookmarkEnd w:id="95"/>
      <w:r>
        <w:rPr>
          <w:rStyle w:val="29"/>
          <w:rFonts w:hint="eastAsia" w:ascii="仿宋" w:hAnsi="仿宋" w:eastAsia="仿宋"/>
          <w:b w:val="0"/>
          <w:bCs w:val="0"/>
        </w:rPr>
        <w:t>财政拨款“三公”经费支出决算表</w:t>
      </w:r>
      <w:bookmarkEnd w:id="96"/>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1D8C7"/>
    <w:multiLevelType w:val="singleLevel"/>
    <w:tmpl w:val="8B51D8C7"/>
    <w:lvl w:ilvl="0" w:tentative="0">
      <w:start w:val="3"/>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TMwOGYwN2QzOWZiN2ZlNjE1MWE2NTZlNWYxM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77C69"/>
    <w:rsid w:val="034725CB"/>
    <w:rsid w:val="03810E94"/>
    <w:rsid w:val="03DC2831"/>
    <w:rsid w:val="04DC744B"/>
    <w:rsid w:val="081B5E94"/>
    <w:rsid w:val="0A2032A3"/>
    <w:rsid w:val="0B000AC3"/>
    <w:rsid w:val="0B4240C4"/>
    <w:rsid w:val="0B8A37D8"/>
    <w:rsid w:val="0CDE445D"/>
    <w:rsid w:val="0F5FFB2F"/>
    <w:rsid w:val="0FFFCF60"/>
    <w:rsid w:val="10C055FF"/>
    <w:rsid w:val="118107EC"/>
    <w:rsid w:val="119C0F61"/>
    <w:rsid w:val="11DD6519"/>
    <w:rsid w:val="155C2AC7"/>
    <w:rsid w:val="16BB723D"/>
    <w:rsid w:val="179761F4"/>
    <w:rsid w:val="18015F3F"/>
    <w:rsid w:val="1BE8440E"/>
    <w:rsid w:val="1D155CEE"/>
    <w:rsid w:val="1FDBBF84"/>
    <w:rsid w:val="2086332B"/>
    <w:rsid w:val="20F57F95"/>
    <w:rsid w:val="213C32B6"/>
    <w:rsid w:val="23FF04F4"/>
    <w:rsid w:val="240371BF"/>
    <w:rsid w:val="25711CC6"/>
    <w:rsid w:val="25C741E6"/>
    <w:rsid w:val="26364DD3"/>
    <w:rsid w:val="276F80C0"/>
    <w:rsid w:val="27842671"/>
    <w:rsid w:val="29FD04D3"/>
    <w:rsid w:val="2ABE7A3E"/>
    <w:rsid w:val="2AFF09B6"/>
    <w:rsid w:val="2CA234A8"/>
    <w:rsid w:val="2CFF1F60"/>
    <w:rsid w:val="2EFA178C"/>
    <w:rsid w:val="2EFDF86C"/>
    <w:rsid w:val="2F9D17E1"/>
    <w:rsid w:val="30B005FB"/>
    <w:rsid w:val="30B46D73"/>
    <w:rsid w:val="319F7F4E"/>
    <w:rsid w:val="356A28F1"/>
    <w:rsid w:val="357C035A"/>
    <w:rsid w:val="368E000D"/>
    <w:rsid w:val="36911921"/>
    <w:rsid w:val="383D272C"/>
    <w:rsid w:val="39AE70AB"/>
    <w:rsid w:val="3A4DCE41"/>
    <w:rsid w:val="3B6870D6"/>
    <w:rsid w:val="3BCB56FA"/>
    <w:rsid w:val="3C0C0783"/>
    <w:rsid w:val="3E171AC4"/>
    <w:rsid w:val="3EE7C2F4"/>
    <w:rsid w:val="3F371B56"/>
    <w:rsid w:val="3F792ED8"/>
    <w:rsid w:val="3F8B1994"/>
    <w:rsid w:val="3F9F3A96"/>
    <w:rsid w:val="3FECA4B2"/>
    <w:rsid w:val="3FF58C48"/>
    <w:rsid w:val="42FF6694"/>
    <w:rsid w:val="478A3A40"/>
    <w:rsid w:val="48BF60AB"/>
    <w:rsid w:val="493C0699"/>
    <w:rsid w:val="493C27E9"/>
    <w:rsid w:val="496F39ED"/>
    <w:rsid w:val="49FF41D3"/>
    <w:rsid w:val="4AFC777D"/>
    <w:rsid w:val="4BE068DB"/>
    <w:rsid w:val="4BF6002B"/>
    <w:rsid w:val="4BFFC6BE"/>
    <w:rsid w:val="4CCC3C6F"/>
    <w:rsid w:val="4ECE2238"/>
    <w:rsid w:val="51DB4B86"/>
    <w:rsid w:val="51F64DB0"/>
    <w:rsid w:val="5353308A"/>
    <w:rsid w:val="55333C3E"/>
    <w:rsid w:val="56F60B17"/>
    <w:rsid w:val="5DD72473"/>
    <w:rsid w:val="5F67802D"/>
    <w:rsid w:val="5F7DC4F2"/>
    <w:rsid w:val="5FB36814"/>
    <w:rsid w:val="5FBB8E56"/>
    <w:rsid w:val="5FFB5535"/>
    <w:rsid w:val="64CA39A1"/>
    <w:rsid w:val="69630ADE"/>
    <w:rsid w:val="69980654"/>
    <w:rsid w:val="69BD5F13"/>
    <w:rsid w:val="69FB0B4B"/>
    <w:rsid w:val="6BFFE1FB"/>
    <w:rsid w:val="6C4A05C8"/>
    <w:rsid w:val="6C9A68F0"/>
    <w:rsid w:val="6D3B1A89"/>
    <w:rsid w:val="6D712BBB"/>
    <w:rsid w:val="6DB7D8A3"/>
    <w:rsid w:val="6EC78701"/>
    <w:rsid w:val="6F7A5481"/>
    <w:rsid w:val="6FFE07A9"/>
    <w:rsid w:val="705C4CCE"/>
    <w:rsid w:val="71BF4EC2"/>
    <w:rsid w:val="72734D90"/>
    <w:rsid w:val="73E75B71"/>
    <w:rsid w:val="7412278C"/>
    <w:rsid w:val="75DDCDA9"/>
    <w:rsid w:val="75FF44B1"/>
    <w:rsid w:val="77670518"/>
    <w:rsid w:val="777FA627"/>
    <w:rsid w:val="77DF1B5F"/>
    <w:rsid w:val="77EF2D9D"/>
    <w:rsid w:val="781F488D"/>
    <w:rsid w:val="79E7B28D"/>
    <w:rsid w:val="7ACFF0C2"/>
    <w:rsid w:val="7AFB9108"/>
    <w:rsid w:val="7B147065"/>
    <w:rsid w:val="7BD17064"/>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qFormat/>
    <w:uiPriority w:val="0"/>
    <w:pPr>
      <w:spacing w:after="120"/>
      <w:ind w:left="200" w:leftChars="200"/>
    </w:pPr>
    <w:rPr>
      <w:rFonts w:ascii="仿宋_GB2312"/>
      <w:szCs w:val="32"/>
    </w:rPr>
  </w:style>
  <w:style w:type="paragraph" w:styleId="8">
    <w:name w:val="Body Text"/>
    <w:basedOn w:val="1"/>
    <w:link w:val="25"/>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字符"/>
    <w:link w:val="12"/>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字符"/>
    <w:link w:val="11"/>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字符"/>
    <w:link w:val="8"/>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字符"/>
    <w:basedOn w:val="16"/>
    <w:link w:val="5"/>
    <w:autoRedefine/>
    <w:qFormat/>
    <w:uiPriority w:val="9"/>
    <w:rPr>
      <w:rFonts w:ascii="Times New Roman" w:hAnsi="Times New Roman"/>
      <w:b/>
      <w:bCs/>
      <w:kern w:val="44"/>
      <w:sz w:val="44"/>
      <w:szCs w:val="44"/>
    </w:rPr>
  </w:style>
  <w:style w:type="character" w:customStyle="1" w:styleId="29">
    <w:name w:val="标题 2 字符"/>
    <w:basedOn w:val="16"/>
    <w:link w:val="6"/>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autoRedefine/>
    <w:semiHidden/>
    <w:qFormat/>
    <w:uiPriority w:val="99"/>
    <w:rPr>
      <w:rFonts w:ascii="Times New Roman" w:hAnsi="Times New Roman"/>
      <w:kern w:val="2"/>
      <w:sz w:val="18"/>
      <w:szCs w:val="18"/>
    </w:rPr>
  </w:style>
  <w:style w:type="character" w:customStyle="1" w:styleId="32">
    <w:name w:val="标题 3 字符"/>
    <w:basedOn w:val="16"/>
    <w:link w:val="7"/>
    <w:autoRedefine/>
    <w:qFormat/>
    <w:uiPriority w:val="9"/>
    <w:rPr>
      <w:rFonts w:ascii="Times New Roman" w:hAnsi="Times New Roman"/>
      <w:b/>
      <w:bCs/>
      <w:kern w:val="2"/>
      <w:sz w:val="32"/>
      <w:szCs w:val="32"/>
    </w:rPr>
  </w:style>
  <w:style w:type="paragraph" w:customStyle="1" w:styleId="33">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uiPriority w:val="0"/>
    <w:pPr>
      <w:ind w:leftChars="0"/>
    </w:pPr>
    <w:rPr>
      <w:rFonts w:ascii="Times New Roman" w:hAnsi="Times New Roman" w:eastAsia="宋体" w:cs="Times New Roman"/>
      <w:sz w:val="20"/>
      <w:szCs w:val="20"/>
    </w:rPr>
  </w:style>
  <w:style w:type="paragraph" w:customStyle="1" w:styleId="3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1</TotalTime>
  <ScaleCrop>false</ScaleCrop>
  <LinksUpToDate>false</LinksUpToDate>
  <CharactersWithSpaces>7641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2024-12-10T02:49:21Z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08CABF5F7D3A40BE9BB2D2ADCFBD240B_12</vt:lpwstr>
  </property>
</Properties>
</file>