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BD5C">
      <w:pPr>
        <w:spacing w:line="600" w:lineRule="exact"/>
        <w:jc w:val="center"/>
        <w:outlineLvl w:val="0"/>
        <w:rPr>
          <w:rFonts w:ascii="方正小标宋简体" w:hAnsi="宋体" w:eastAsia="方正小标宋简体"/>
          <w:color w:val="000000"/>
          <w:sz w:val="72"/>
          <w:szCs w:val="72"/>
        </w:rPr>
      </w:pPr>
      <w:bookmarkStart w:id="0" w:name="_Toc15306267"/>
    </w:p>
    <w:p w14:paraId="1B33107E">
      <w:pPr>
        <w:spacing w:line="600" w:lineRule="exact"/>
        <w:jc w:val="center"/>
        <w:outlineLvl w:val="0"/>
        <w:rPr>
          <w:rFonts w:ascii="方正小标宋简体" w:hAnsi="宋体" w:eastAsia="方正小标宋简体"/>
          <w:color w:val="000000"/>
          <w:sz w:val="72"/>
          <w:szCs w:val="72"/>
        </w:rPr>
      </w:pPr>
    </w:p>
    <w:p w14:paraId="1F8511B0">
      <w:pPr>
        <w:spacing w:line="600" w:lineRule="exact"/>
        <w:jc w:val="center"/>
        <w:outlineLvl w:val="0"/>
        <w:rPr>
          <w:rFonts w:ascii="方正小标宋简体" w:hAnsi="宋体" w:eastAsia="方正小标宋简体"/>
          <w:color w:val="000000"/>
          <w:sz w:val="72"/>
          <w:szCs w:val="72"/>
        </w:rPr>
      </w:pPr>
    </w:p>
    <w:p w14:paraId="5621C47B">
      <w:pPr>
        <w:spacing w:line="600" w:lineRule="exact"/>
        <w:jc w:val="center"/>
        <w:outlineLvl w:val="0"/>
        <w:rPr>
          <w:rFonts w:ascii="方正小标宋简体" w:hAnsi="宋体" w:eastAsia="方正小标宋简体"/>
          <w:color w:val="000000"/>
          <w:sz w:val="72"/>
          <w:szCs w:val="72"/>
        </w:rPr>
      </w:pPr>
    </w:p>
    <w:p w14:paraId="00AE5D1C">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1" w:name="_Toc15396475"/>
      <w:bookmarkStart w:id="2" w:name="_Toc15396597"/>
      <w:bookmarkStart w:id="3" w:name="_Toc15378441"/>
      <w:bookmarkStart w:id="4" w:name="_Toc15377193"/>
      <w:bookmarkStart w:id="5" w:name="_Toc15377425"/>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14:paraId="1EC398E5">
      <w:pPr>
        <w:adjustRightInd w:val="0"/>
        <w:snapToGrid w:val="0"/>
        <w:spacing w:line="360" w:lineRule="auto"/>
        <w:jc w:val="center"/>
        <w:outlineLvl w:val="0"/>
        <w:rPr>
          <w:rFonts w:ascii="方正小标宋简体" w:hAnsi="宋体" w:eastAsia="方正小标宋简体"/>
          <w:color w:val="000000"/>
          <w:sz w:val="44"/>
          <w:szCs w:val="44"/>
        </w:rPr>
      </w:pPr>
      <w:bookmarkStart w:id="6" w:name="_Toc15396476"/>
      <w:bookmarkStart w:id="7" w:name="_Toc15378442"/>
      <w:bookmarkStart w:id="8" w:name="_Toc15377194"/>
      <w:bookmarkStart w:id="9" w:name="_Toc15396598"/>
      <w:bookmarkStart w:id="10" w:name="_Toc15377426"/>
      <w:r>
        <w:rPr>
          <w:rFonts w:hint="eastAsia" w:ascii="方正小标宋简体" w:hAnsi="宋体" w:eastAsia="方正小标宋简体"/>
          <w:color w:val="000000"/>
          <w:sz w:val="44"/>
          <w:szCs w:val="44"/>
        </w:rPr>
        <w:t>四川省</w:t>
      </w:r>
      <w:bookmarkEnd w:id="0"/>
      <w:bookmarkStart w:id="11" w:name="_Toc15306268"/>
      <w:r>
        <w:rPr>
          <w:rFonts w:hint="eastAsia" w:ascii="方正小标宋简体" w:hAnsi="宋体" w:eastAsia="方正小标宋简体"/>
          <w:color w:val="000000"/>
          <w:sz w:val="44"/>
          <w:szCs w:val="44"/>
        </w:rPr>
        <w:t>峨眉山市殡葬</w:t>
      </w:r>
      <w:r>
        <w:rPr>
          <w:rFonts w:hint="eastAsia" w:ascii="方正小标宋简体" w:hAnsi="宋体" w:eastAsia="方正小标宋简体"/>
          <w:color w:val="000000"/>
          <w:sz w:val="44"/>
          <w:szCs w:val="44"/>
          <w:lang w:eastAsia="zh-CN"/>
        </w:rPr>
        <w:t>事务</w:t>
      </w:r>
      <w:r>
        <w:rPr>
          <w:rFonts w:hint="eastAsia" w:ascii="方正小标宋简体" w:hAnsi="宋体" w:eastAsia="方正小标宋简体"/>
          <w:color w:val="000000"/>
          <w:sz w:val="44"/>
          <w:szCs w:val="44"/>
        </w:rPr>
        <w:t>服务中心</w:t>
      </w:r>
    </w:p>
    <w:p w14:paraId="0D38C624">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决算</w:t>
      </w:r>
      <w:bookmarkEnd w:id="6"/>
      <w:bookmarkEnd w:id="7"/>
      <w:bookmarkEnd w:id="8"/>
      <w:bookmarkEnd w:id="9"/>
      <w:bookmarkEnd w:id="10"/>
      <w:bookmarkEnd w:id="11"/>
      <w:r>
        <w:rPr>
          <w:rFonts w:hint="eastAsia" w:ascii="方正小标宋简体" w:hAnsi="宋体" w:eastAsia="方正小标宋简体"/>
          <w:color w:val="000000"/>
          <w:sz w:val="44"/>
          <w:szCs w:val="44"/>
        </w:rPr>
        <w:t>公开编制说明</w:t>
      </w:r>
    </w:p>
    <w:p w14:paraId="74B3DD49">
      <w:pPr>
        <w:widowControl/>
        <w:spacing w:line="440" w:lineRule="exact"/>
        <w:jc w:val="left"/>
        <w:rPr>
          <w:rFonts w:ascii="仿宋" w:hAnsi="仿宋" w:eastAsia="仿宋"/>
          <w:bCs/>
          <w:kern w:val="44"/>
          <w:sz w:val="24"/>
        </w:rPr>
      </w:pPr>
      <w:r>
        <w:rPr>
          <w:rFonts w:ascii="方正小标宋简体" w:hAnsi="宋体" w:eastAsia="方正小标宋简体"/>
          <w:color w:val="000000"/>
          <w:sz w:val="36"/>
          <w:szCs w:val="36"/>
        </w:rPr>
        <w:br w:type="page"/>
      </w:r>
      <w:bookmarkStart w:id="12" w:name="_Toc15377196"/>
      <w:bookmarkStart w:id="13" w:name="_Toc15396599"/>
    </w:p>
    <w:p w14:paraId="0FA98EC4">
      <w:pPr>
        <w:widowControl/>
        <w:jc w:val="center"/>
        <w:rPr>
          <w:rFonts w:ascii="黑体" w:hAnsi="黑体" w:eastAsia="黑体"/>
          <w:sz w:val="48"/>
          <w:szCs w:val="48"/>
        </w:rPr>
      </w:pPr>
      <w:r>
        <w:rPr>
          <w:rFonts w:hint="eastAsia" w:ascii="黑体" w:hAnsi="黑体" w:eastAsia="黑体"/>
          <w:sz w:val="48"/>
          <w:szCs w:val="48"/>
        </w:rPr>
        <w:t>目录</w:t>
      </w:r>
    </w:p>
    <w:p w14:paraId="2FAEACF7">
      <w:pPr>
        <w:widowControl/>
        <w:jc w:val="center"/>
        <w:rPr>
          <w:rFonts w:ascii="黑体" w:hAnsi="黑体" w:eastAsia="黑体" w:cstheme="minorBidi"/>
          <w:sz w:val="28"/>
          <w:szCs w:val="28"/>
        </w:rPr>
      </w:pPr>
      <w:bookmarkStart w:id="61" w:name="_GoBack"/>
      <w:bookmarkEnd w:id="61"/>
    </w:p>
    <w:p w14:paraId="034B9D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 xml:space="preserve">月 </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日</w:t>
      </w:r>
    </w:p>
    <w:p w14:paraId="7BFA8D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30697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w:t>
      </w:r>
    </w:p>
    <w:p w14:paraId="069641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rPr>
        <w:t>一、主要职责</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p>
    <w:p w14:paraId="4A2BE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..................................1</w:t>
      </w:r>
    </w:p>
    <w:p w14:paraId="49EB5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 2023年度单位决算情况说明</w:t>
      </w:r>
      <w:r>
        <w:rPr>
          <w:rFonts w:hint="eastAsia" w:ascii="仿宋" w:hAnsi="仿宋" w:eastAsia="仿宋" w:cs="仿宋"/>
          <w:sz w:val="32"/>
          <w:szCs w:val="32"/>
          <w:lang w:val="en-US" w:eastAsia="zh-CN"/>
        </w:rPr>
        <w:t>............2</w:t>
      </w:r>
    </w:p>
    <w:p w14:paraId="11E6D4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..................2</w:t>
      </w:r>
    </w:p>
    <w:p w14:paraId="3C6F84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..........................2</w:t>
      </w:r>
    </w:p>
    <w:p w14:paraId="20AF3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..........................3</w:t>
      </w:r>
    </w:p>
    <w:p w14:paraId="517F8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..........3</w:t>
      </w:r>
    </w:p>
    <w:p w14:paraId="7C5209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......4</w:t>
      </w:r>
    </w:p>
    <w:p w14:paraId="164600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..6</w:t>
      </w:r>
    </w:p>
    <w:p w14:paraId="1B907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......7</w:t>
      </w:r>
    </w:p>
    <w:p w14:paraId="05087D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............9</w:t>
      </w:r>
    </w:p>
    <w:p w14:paraId="427B6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..........9</w:t>
      </w:r>
    </w:p>
    <w:p w14:paraId="78A18D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....................9</w:t>
      </w:r>
    </w:p>
    <w:p w14:paraId="0E3FB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10</w:t>
      </w:r>
    </w:p>
    <w:p w14:paraId="3FDBAD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.13</w:t>
      </w:r>
    </w:p>
    <w:p w14:paraId="56E06F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.18</w:t>
      </w:r>
    </w:p>
    <w:p w14:paraId="47502B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.........................18</w:t>
      </w:r>
    </w:p>
    <w:p w14:paraId="6BD4D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...............................18</w:t>
      </w:r>
    </w:p>
    <w:p w14:paraId="6714A0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...............................18</w:t>
      </w:r>
    </w:p>
    <w:p w14:paraId="41A059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.................18</w:t>
      </w:r>
    </w:p>
    <w:p w14:paraId="65DA4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...................18</w:t>
      </w:r>
    </w:p>
    <w:p w14:paraId="685467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...........18</w:t>
      </w:r>
    </w:p>
    <w:p w14:paraId="3D7B2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.......18</w:t>
      </w:r>
    </w:p>
    <w:p w14:paraId="30835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val="en-US" w:eastAsia="zh-CN"/>
        </w:rPr>
        <w:t>...18</w:t>
      </w:r>
    </w:p>
    <w:p w14:paraId="5C24B2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.......18</w:t>
      </w:r>
    </w:p>
    <w:p w14:paraId="4F49E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val="en-US" w:eastAsia="zh-CN"/>
        </w:rPr>
        <w:t>.....18</w:t>
      </w:r>
    </w:p>
    <w:p w14:paraId="648597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val="en-US" w:eastAsia="zh-CN"/>
        </w:rPr>
        <w:t>.18</w:t>
      </w:r>
    </w:p>
    <w:p w14:paraId="0B725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val="en-US" w:eastAsia="zh-CN"/>
        </w:rPr>
        <w:t>.....19</w:t>
      </w:r>
    </w:p>
    <w:p w14:paraId="565A9E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val="en-US" w:eastAsia="zh-CN"/>
        </w:rPr>
        <w:t>.........19</w:t>
      </w:r>
    </w:p>
    <w:p w14:paraId="29AB16B3">
      <w:pPr>
        <w:pStyle w:val="5"/>
        <w:ind w:firstLine="1320" w:firstLineChars="300"/>
        <w:rPr>
          <w:rFonts w:hint="default" w:ascii="方正小标宋简体" w:hAnsi="方正小标宋简体" w:eastAsia="方正小标宋简体" w:cs="方正小标宋简体"/>
          <w:b w:val="0"/>
          <w:lang w:val="en-US" w:eastAsia="zh-CN"/>
        </w:rPr>
        <w:sectPr>
          <w:headerReference r:id="rId4" w:type="first"/>
          <w:footerReference r:id="rId6" w:type="first"/>
          <w:headerReference r:id="rId3" w:type="default"/>
          <w:footerReference r:id="rId5" w:type="default"/>
          <w:pgSz w:w="11906" w:h="16838"/>
          <w:pgMar w:top="1547" w:right="1800" w:bottom="1538" w:left="1800" w:header="851" w:footer="992" w:gutter="0"/>
          <w:pgNumType w:fmt="decimal" w:start="1"/>
          <w:cols w:space="425" w:num="1"/>
          <w:docGrid w:type="lines" w:linePitch="312" w:charSpace="0"/>
        </w:sectPr>
      </w:pPr>
    </w:p>
    <w:p w14:paraId="03C8CD45">
      <w:pPr>
        <w:pStyle w:val="5"/>
        <w:ind w:firstLine="2200" w:firstLineChars="500"/>
        <w:rPr>
          <w:rStyle w:val="27"/>
          <w:rFonts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Fonts w:hint="eastAsia" w:ascii="方正小标宋简体" w:hAnsi="方正小标宋简体" w:eastAsia="方正小标宋简体" w:cs="方正小标宋简体"/>
          <w:b w:val="0"/>
          <w:lang w:eastAsia="zh-CN"/>
        </w:rPr>
        <w:t>单位</w:t>
      </w:r>
      <w:r>
        <w:rPr>
          <w:rStyle w:val="27"/>
          <w:rFonts w:hint="eastAsia" w:ascii="方正小标宋简体" w:hAnsi="方正小标宋简体" w:eastAsia="方正小标宋简体" w:cs="方正小标宋简体"/>
          <w:b w:val="0"/>
          <w:bCs w:val="0"/>
        </w:rPr>
        <w:t>概况</w:t>
      </w:r>
      <w:bookmarkEnd w:id="12"/>
      <w:bookmarkEnd w:id="13"/>
    </w:p>
    <w:p w14:paraId="1E03B830">
      <w:pPr>
        <w:pStyle w:val="6"/>
        <w:ind w:firstLine="640" w:firstLineChars="200"/>
        <w:rPr>
          <w:rStyle w:val="28"/>
          <w:rFonts w:ascii="黑体" w:hAnsi="黑体" w:eastAsia="黑体"/>
          <w:b w:val="0"/>
          <w:bCs w:val="0"/>
        </w:rPr>
      </w:pPr>
      <w:bookmarkStart w:id="14" w:name="_Toc15377197"/>
      <w:bookmarkStart w:id="15" w:name="_Toc15396600"/>
      <w:bookmarkStart w:id="16" w:name="_Toc15377198"/>
      <w:bookmarkStart w:id="17" w:name="_Toc15378445"/>
      <w:r>
        <w:rPr>
          <w:rStyle w:val="28"/>
          <w:rFonts w:hint="eastAsia" w:ascii="黑体" w:hAnsi="黑体" w:eastAsia="黑体"/>
          <w:b w:val="0"/>
          <w:bCs w:val="0"/>
        </w:rPr>
        <w:t>一、主要职责</w:t>
      </w:r>
    </w:p>
    <w:p w14:paraId="664260C5">
      <w:pPr>
        <w:ind w:firstLine="640"/>
        <w:rPr>
          <w:rFonts w:ascii="仿宋" w:hAnsi="仿宋" w:eastAsia="仿宋"/>
          <w:bCs/>
          <w:color w:val="000000"/>
          <w:sz w:val="32"/>
          <w:szCs w:val="32"/>
        </w:rPr>
      </w:pPr>
      <w:r>
        <w:rPr>
          <w:rFonts w:hint="eastAsia" w:ascii="仿宋_GB2312" w:hAnsi="仿宋" w:eastAsia="仿宋_GB2312"/>
          <w:bCs/>
          <w:sz w:val="32"/>
          <w:szCs w:val="32"/>
          <w:lang w:eastAsia="zh-CN"/>
        </w:rPr>
        <w:t>中心</w:t>
      </w:r>
      <w:r>
        <w:rPr>
          <w:rFonts w:hint="eastAsia" w:ascii="仿宋_GB2312" w:hAnsi="仿宋" w:eastAsia="仿宋_GB2312"/>
          <w:bCs/>
          <w:sz w:val="32"/>
          <w:szCs w:val="32"/>
        </w:rPr>
        <w:t>隶属于民政局下属全额拨款事业单位，</w:t>
      </w:r>
      <w:r>
        <w:rPr>
          <w:rFonts w:hint="eastAsia" w:ascii="仿宋" w:hAnsi="仿宋" w:eastAsia="仿宋"/>
          <w:bCs/>
          <w:color w:val="000000"/>
          <w:sz w:val="32"/>
          <w:szCs w:val="32"/>
        </w:rPr>
        <w:t>承担基本殡葬工作，负责遗体接运、遗体抬尸、遗体火化、骨灰寄存、遗体冷藏等基本服务。</w:t>
      </w:r>
    </w:p>
    <w:p w14:paraId="6E7D779D">
      <w:pPr>
        <w:pStyle w:val="6"/>
        <w:ind w:firstLine="640" w:firstLineChars="200"/>
        <w:rPr>
          <w:rFonts w:ascii="黑体" w:hAnsi="黑体" w:eastAsia="黑体"/>
          <w:b w:val="0"/>
        </w:rPr>
      </w:pPr>
      <w:r>
        <w:rPr>
          <w:rFonts w:hint="eastAsia" w:ascii="黑体" w:hAnsi="黑体" w:eastAsia="黑体"/>
          <w:b w:val="0"/>
        </w:rPr>
        <w:t>二、机构设置</w:t>
      </w:r>
    </w:p>
    <w:p w14:paraId="5856486F">
      <w:pPr>
        <w:ind w:firstLine="640" w:firstLineChars="200"/>
        <w:rPr>
          <w:rFonts w:hint="eastAsia" w:ascii="仿宋" w:hAnsi="仿宋" w:eastAsia="仿宋"/>
          <w:sz w:val="32"/>
          <w:szCs w:val="32"/>
        </w:rPr>
      </w:pPr>
      <w:r>
        <w:rPr>
          <w:rFonts w:hint="eastAsia" w:ascii="仿宋" w:hAnsi="仿宋" w:eastAsia="仿宋"/>
          <w:sz w:val="32"/>
          <w:szCs w:val="32"/>
          <w:lang w:eastAsia="zh-CN"/>
        </w:rPr>
        <w:t>中心</w:t>
      </w:r>
      <w:r>
        <w:rPr>
          <w:rFonts w:hint="eastAsia" w:ascii="仿宋" w:hAnsi="仿宋" w:eastAsia="仿宋"/>
          <w:sz w:val="32"/>
          <w:szCs w:val="32"/>
        </w:rPr>
        <w:t>属于峨眉山市民政局部门下属的二级预算单位，下设独立编制机构1个，其中行政机构0个，参照公务员法管理的事业机构0个，其他事业机构1个。</w:t>
      </w:r>
    </w:p>
    <w:p w14:paraId="48BDBF62">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
          <w:bCs/>
          <w:sz w:val="32"/>
          <w:szCs w:val="32"/>
          <w:lang w:eastAsia="zh-CN"/>
        </w:rPr>
        <w:t>中心设管理组、生产组和后勤组。管理组负责中心全面工作；生产组负责遗体接运、遗体火化、遗体冷冻等；后勤组负责办公室、业务室和财务室工作。</w:t>
      </w:r>
      <w:r>
        <w:rPr>
          <w:rFonts w:hint="eastAsia" w:hAnsi="仿宋"/>
          <w:bCs/>
          <w:sz w:val="32"/>
          <w:szCs w:val="32"/>
        </w:rPr>
        <w:t>202</w:t>
      </w:r>
      <w:r>
        <w:rPr>
          <w:rFonts w:hint="eastAsia" w:hAnsi="仿宋"/>
          <w:bCs/>
          <w:sz w:val="32"/>
          <w:szCs w:val="32"/>
          <w:lang w:val="en-US" w:eastAsia="zh-CN"/>
        </w:rPr>
        <w:t>3</w:t>
      </w:r>
      <w:r>
        <w:rPr>
          <w:rFonts w:hint="eastAsia" w:hAnsi="仿宋"/>
          <w:bCs/>
          <w:sz w:val="32"/>
          <w:szCs w:val="32"/>
        </w:rPr>
        <w:t>年有在编职工12人（其中领导职数2人），会议纪要3人，长聘人员</w:t>
      </w:r>
      <w:r>
        <w:rPr>
          <w:rFonts w:hint="eastAsia" w:hAnsi="仿宋"/>
          <w:bCs/>
          <w:sz w:val="32"/>
          <w:szCs w:val="32"/>
          <w:lang w:val="en-US" w:eastAsia="zh-CN"/>
        </w:rPr>
        <w:t>2</w:t>
      </w:r>
      <w:r>
        <w:rPr>
          <w:rFonts w:hint="eastAsia" w:hAnsi="仿宋"/>
          <w:bCs/>
          <w:sz w:val="32"/>
          <w:szCs w:val="32"/>
        </w:rPr>
        <w:t>人。一直担负着峨眉、夹江、沙湾、峨边、金口河等各地区县的火化和遗体接运任务，火化遗体</w:t>
      </w:r>
      <w:r>
        <w:rPr>
          <w:rFonts w:hint="eastAsia" w:hAnsi="仿宋"/>
          <w:bCs/>
          <w:sz w:val="32"/>
          <w:szCs w:val="32"/>
          <w:lang w:val="en-US" w:eastAsia="zh-CN"/>
        </w:rPr>
        <w:t>4235</w:t>
      </w:r>
      <w:r>
        <w:rPr>
          <w:rFonts w:hint="eastAsia" w:hAnsi="仿宋"/>
          <w:bCs/>
          <w:sz w:val="32"/>
          <w:szCs w:val="32"/>
        </w:rPr>
        <w:t>具。</w:t>
      </w:r>
    </w:p>
    <w:p w14:paraId="3A2B0034">
      <w:pPr>
        <w:pStyle w:val="2"/>
        <w:rPr>
          <w:rFonts w:hint="eastAsia"/>
        </w:rPr>
      </w:pPr>
    </w:p>
    <w:p w14:paraId="0A4C4E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纳入2023年度单位决算编制范围的独立编制机构</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w:t>
      </w:r>
    </w:p>
    <w:p w14:paraId="0C8B7AF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峨眉山市殡葬事务服务中心。</w:t>
      </w:r>
    </w:p>
    <w:p w14:paraId="550A6F58">
      <w:pPr>
        <w:pStyle w:val="2"/>
      </w:pPr>
    </w:p>
    <w:bookmarkEnd w:id="14"/>
    <w:bookmarkEnd w:id="15"/>
    <w:bookmarkEnd w:id="16"/>
    <w:bookmarkEnd w:id="17"/>
    <w:p w14:paraId="605D08E6">
      <w:pPr>
        <w:widowControl/>
        <w:jc w:val="left"/>
        <w:rPr>
          <w:rFonts w:ascii="黑体" w:hAnsi="黑体" w:eastAsia="黑体"/>
          <w:color w:val="000000"/>
        </w:rPr>
      </w:pPr>
      <w:bookmarkStart w:id="18" w:name="_Toc15396602"/>
      <w:bookmarkStart w:id="19" w:name="_Toc15377204"/>
    </w:p>
    <w:p w14:paraId="5E5B338D">
      <w:pPr>
        <w:widowControl/>
        <w:ind w:firstLine="440" w:firstLineChars="100"/>
        <w:jc w:val="left"/>
        <w:rPr>
          <w:rFonts w:ascii="黑体" w:hAnsi="黑体" w:eastAsia="黑体"/>
          <w:color w:val="000000"/>
          <w:sz w:val="44"/>
          <w:szCs w:val="44"/>
        </w:rPr>
      </w:pPr>
    </w:p>
    <w:p w14:paraId="61E3BC9D">
      <w:pPr>
        <w:widowControl/>
        <w:ind w:firstLine="440" w:firstLineChars="100"/>
        <w:jc w:val="left"/>
        <w:rPr>
          <w:rFonts w:ascii="方正小标宋简体" w:hAnsi="方正小标宋简体" w:eastAsia="方正小标宋简体" w:cs="方正小标宋简体"/>
          <w:color w:val="000000"/>
          <w:sz w:val="44"/>
          <w:szCs w:val="44"/>
        </w:rPr>
      </w:pPr>
    </w:p>
    <w:p w14:paraId="5049C6AE">
      <w:pPr>
        <w:widowControl/>
        <w:ind w:firstLine="440" w:firstLineChars="100"/>
        <w:jc w:val="left"/>
        <w:rPr>
          <w:rStyle w:val="27"/>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color w:val="000000"/>
          <w:sz w:val="44"/>
          <w:szCs w:val="44"/>
        </w:rPr>
        <w:t>第二部分</w:t>
      </w:r>
      <w:r>
        <w:rPr>
          <w:rFonts w:hint="eastAsia" w:ascii="方正小标宋简体" w:hAnsi="方正小标宋简体" w:eastAsia="方正小标宋简体" w:cs="方正小标宋简体"/>
          <w:color w:val="000000"/>
        </w:rPr>
        <w:t xml:space="preserve"> </w:t>
      </w:r>
      <w:r>
        <w:rPr>
          <w:rStyle w:val="27"/>
          <w:rFonts w:hint="eastAsia" w:ascii="方正小标宋简体" w:hAnsi="方正小标宋简体" w:eastAsia="方正小标宋简体" w:cs="方正小标宋简体"/>
          <w:b w:val="0"/>
          <w:bCs w:val="0"/>
        </w:rPr>
        <w:t>202</w:t>
      </w:r>
      <w:r>
        <w:rPr>
          <w:rStyle w:val="27"/>
          <w:rFonts w:hint="eastAsia" w:ascii="方正小标宋简体" w:hAnsi="方正小标宋简体" w:eastAsia="方正小标宋简体" w:cs="方正小标宋简体"/>
          <w:b w:val="0"/>
          <w:bCs w:val="0"/>
          <w:lang w:val="en-US" w:eastAsia="zh-CN"/>
        </w:rPr>
        <w:t>3</w:t>
      </w:r>
      <w:r>
        <w:rPr>
          <w:rStyle w:val="27"/>
          <w:rFonts w:hint="eastAsia" w:ascii="方正小标宋简体" w:hAnsi="方正小标宋简体" w:eastAsia="方正小标宋简体" w:cs="方正小标宋简体"/>
          <w:b w:val="0"/>
          <w:bCs w:val="0"/>
        </w:rPr>
        <w:t>年度部门决算情况说明</w:t>
      </w:r>
      <w:bookmarkEnd w:id="18"/>
      <w:bookmarkEnd w:id="19"/>
    </w:p>
    <w:p w14:paraId="53219E88"/>
    <w:p w14:paraId="73116686">
      <w:pPr>
        <w:pStyle w:val="26"/>
        <w:numPr>
          <w:ilvl w:val="0"/>
          <w:numId w:val="1"/>
        </w:numPr>
        <w:spacing w:line="600" w:lineRule="exact"/>
        <w:ind w:firstLineChars="0"/>
        <w:outlineLvl w:val="1"/>
        <w:rPr>
          <w:rStyle w:val="28"/>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0"/>
      <w:bookmarkEnd w:id="21"/>
    </w:p>
    <w:p w14:paraId="6285E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2023年度收、支总计均为</w:t>
      </w:r>
      <w:r>
        <w:rPr>
          <w:rFonts w:hint="eastAsia" w:ascii="仿宋_GB2312" w:hAnsi="仿宋_GB2312" w:eastAsia="仿宋_GB2312" w:cs="仿宋_GB2312"/>
          <w:sz w:val="32"/>
          <w:szCs w:val="32"/>
          <w:lang w:val="en-US" w:eastAsia="zh-CN"/>
        </w:rPr>
        <w:t>420.86</w:t>
      </w:r>
      <w:r>
        <w:rPr>
          <w:rFonts w:hint="eastAsia" w:ascii="仿宋_GB2312" w:hAnsi="仿宋_GB2312" w:eastAsia="仿宋_GB2312" w:cs="仿宋_GB2312"/>
          <w:sz w:val="32"/>
          <w:szCs w:val="32"/>
        </w:rPr>
        <w:t>万元。与2022年度相比，</w:t>
      </w:r>
      <w:r>
        <w:rPr>
          <w:rFonts w:hint="eastAsia" w:ascii="仿宋_GB2312" w:hAnsi="仿宋_GB2312" w:eastAsia="仿宋_GB2312" w:cs="仿宋_GB2312"/>
          <w:sz w:val="32"/>
          <w:szCs w:val="32"/>
          <w:lang w:eastAsia="zh-CN"/>
        </w:rPr>
        <w:t>收支总计各</w:t>
      </w:r>
      <w:r>
        <w:rPr>
          <w:rFonts w:hint="eastAsia" w:ascii="仿宋_GB2312" w:hAnsi="仿宋_GB2312" w:eastAsia="仿宋_GB2312" w:cs="仿宋_GB2312"/>
          <w:sz w:val="32"/>
          <w:szCs w:val="32"/>
          <w:lang w:val="en-US" w:eastAsia="zh-CN"/>
        </w:rPr>
        <w:t>减少1.85万元，下降0.4%，基本持平。</w:t>
      </w:r>
    </w:p>
    <w:p w14:paraId="55903D7F">
      <w:pPr>
        <w:pStyle w:val="3"/>
        <w:ind w:left="0" w:leftChars="0" w:firstLine="0" w:firstLineChars="0"/>
        <w:rPr>
          <w:rFonts w:hint="eastAsia"/>
          <w:lang w:val="en-US" w:eastAsia="zh-CN"/>
        </w:rPr>
      </w:pPr>
    </w:p>
    <w:p w14:paraId="24AFEE9D">
      <w:pPr>
        <w:pStyle w:val="2"/>
        <w:rPr>
          <w:rFonts w:hint="eastAsia" w:hAnsi="仿宋"/>
          <w:sz w:val="32"/>
          <w:szCs w:val="32"/>
          <w:lang w:val="en-US" w:eastAsia="zh-CN"/>
        </w:rPr>
      </w:pPr>
      <w:r>
        <w:rPr>
          <w:rFonts w:hint="eastAsia"/>
          <w:lang w:val="en-US" w:eastAsia="zh-CN"/>
        </w:rPr>
        <w:t xml:space="preserve">          </w:t>
      </w:r>
      <w:r>
        <w:rPr>
          <w:rFonts w:hint="eastAsia"/>
          <w:lang w:val="en-US" w:eastAsia="zh-CN"/>
        </w:rPr>
        <w:drawing>
          <wp:inline distT="0" distB="0" distL="114300" distR="114300">
            <wp:extent cx="4029075" cy="2762250"/>
            <wp:effectExtent l="0" t="0" r="9525" b="0"/>
            <wp:docPr id="1" name="图片 1" descr="收支对比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支对比饼状图"/>
                    <pic:cNvPicPr>
                      <a:picLocks noChangeAspect="1"/>
                    </pic:cNvPicPr>
                  </pic:nvPicPr>
                  <pic:blipFill>
                    <a:blip r:embed="rId9"/>
                    <a:stretch>
                      <a:fillRect/>
                    </a:stretch>
                  </pic:blipFill>
                  <pic:spPr>
                    <a:xfrm>
                      <a:off x="0" y="0"/>
                      <a:ext cx="4029075" cy="2762250"/>
                    </a:xfrm>
                    <a:prstGeom prst="rect">
                      <a:avLst/>
                    </a:prstGeom>
                  </pic:spPr>
                </pic:pic>
              </a:graphicData>
            </a:graphic>
          </wp:inline>
        </w:drawing>
      </w:r>
    </w:p>
    <w:p w14:paraId="4B4435ED">
      <w:pPr>
        <w:pStyle w:val="8"/>
      </w:pPr>
      <w:r>
        <w:rPr>
          <w:rFonts w:hint="eastAsia" w:hAnsi="仿宋"/>
          <w:sz w:val="32"/>
          <w:szCs w:val="32"/>
          <w:lang w:val="en-US" w:eastAsia="zh-CN"/>
        </w:rPr>
        <w:t xml:space="preserve">    </w:t>
      </w:r>
      <w:r>
        <w:rPr>
          <w:rFonts w:hint="eastAsia" w:hAnsi="仿宋"/>
          <w:sz w:val="32"/>
          <w:szCs w:val="32"/>
        </w:rPr>
        <w:t xml:space="preserve">       </w:t>
      </w:r>
    </w:p>
    <w:p w14:paraId="59CBEEB6">
      <w:pPr>
        <w:pStyle w:val="26"/>
        <w:numPr>
          <w:ilvl w:val="0"/>
          <w:numId w:val="1"/>
        </w:numPr>
        <w:spacing w:line="600" w:lineRule="exact"/>
        <w:ind w:firstLineChars="0"/>
        <w:outlineLvl w:val="1"/>
        <w:rPr>
          <w:rStyle w:val="28"/>
          <w:rFonts w:ascii="黑体" w:hAnsi="黑体" w:eastAsia="黑体"/>
          <w:b w:val="0"/>
        </w:rPr>
      </w:pPr>
      <w:bookmarkStart w:id="22" w:name="_Toc15396604"/>
      <w:bookmarkStart w:id="23"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2"/>
      <w:bookmarkEnd w:id="23"/>
    </w:p>
    <w:p w14:paraId="48B0E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2023年度本年收入合计</w:t>
      </w:r>
      <w:r>
        <w:rPr>
          <w:rFonts w:hint="eastAsia" w:ascii="仿宋_GB2312" w:hAnsi="仿宋_GB2312" w:eastAsia="仿宋_GB2312" w:cs="仿宋_GB2312"/>
          <w:sz w:val="32"/>
          <w:szCs w:val="32"/>
          <w:lang w:val="en-US" w:eastAsia="zh-CN"/>
        </w:rPr>
        <w:t>420.86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420.86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655F454">
      <w:pPr>
        <w:pStyle w:val="2"/>
        <w:rPr>
          <w:rFonts w:hint="eastAsia" w:eastAsia="仿宋_GB2312"/>
          <w:lang w:eastAsia="zh-CN"/>
        </w:rPr>
      </w:pPr>
      <w:r>
        <w:rPr>
          <w:rFonts w:hint="eastAsia" w:eastAsia="仿宋_GB2312"/>
          <w:lang w:val="en-US" w:eastAsia="zh-CN"/>
        </w:rPr>
        <w:t xml:space="preserve">       </w:t>
      </w:r>
      <w:r>
        <w:rPr>
          <w:rFonts w:hint="eastAsia" w:eastAsia="仿宋_GB2312"/>
          <w:lang w:eastAsia="zh-CN"/>
        </w:rPr>
        <w:drawing>
          <wp:inline distT="0" distB="0" distL="114300" distR="114300">
            <wp:extent cx="4048125" cy="2781300"/>
            <wp:effectExtent l="0" t="0" r="9525" b="0"/>
            <wp:docPr id="3" name="图片 3" descr="一般公共预算拨款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般公共预算拨款饼状图"/>
                    <pic:cNvPicPr>
                      <a:picLocks noChangeAspect="1"/>
                    </pic:cNvPicPr>
                  </pic:nvPicPr>
                  <pic:blipFill>
                    <a:blip r:embed="rId10"/>
                    <a:stretch>
                      <a:fillRect/>
                    </a:stretch>
                  </pic:blipFill>
                  <pic:spPr>
                    <a:xfrm>
                      <a:off x="0" y="0"/>
                      <a:ext cx="4048125" cy="2781300"/>
                    </a:xfrm>
                    <a:prstGeom prst="rect">
                      <a:avLst/>
                    </a:prstGeom>
                  </pic:spPr>
                </pic:pic>
              </a:graphicData>
            </a:graphic>
          </wp:inline>
        </w:drawing>
      </w:r>
    </w:p>
    <w:p w14:paraId="60C29B02">
      <w:pPr>
        <w:pStyle w:val="8"/>
      </w:pPr>
      <w:r>
        <w:rPr>
          <w:rFonts w:hint="eastAsia" w:eastAsia="仿宋"/>
          <w:lang w:val="en-US" w:eastAsia="zh-CN"/>
        </w:rPr>
        <w:t xml:space="preserve">    </w:t>
      </w:r>
    </w:p>
    <w:p w14:paraId="72E5B42B">
      <w:pPr>
        <w:pStyle w:val="26"/>
        <w:numPr>
          <w:ilvl w:val="0"/>
          <w:numId w:val="1"/>
        </w:numPr>
        <w:spacing w:line="600" w:lineRule="exact"/>
        <w:ind w:firstLineChars="0"/>
        <w:outlineLvl w:val="1"/>
        <w:rPr>
          <w:rStyle w:val="28"/>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4"/>
      <w:bookmarkEnd w:id="25"/>
    </w:p>
    <w:p w14:paraId="1388E5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2023年度本年支出合计</w:t>
      </w:r>
      <w:r>
        <w:rPr>
          <w:rFonts w:hint="eastAsia" w:ascii="仿宋_GB2312" w:hAnsi="仿宋_GB2312" w:eastAsia="仿宋_GB2312" w:cs="仿宋_GB2312"/>
          <w:sz w:val="32"/>
          <w:szCs w:val="32"/>
          <w:lang w:val="en-US" w:eastAsia="zh-CN"/>
        </w:rPr>
        <w:t>420.86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269.23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63.97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151.63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A842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0FEF86D4">
      <w:pPr>
        <w:pStyle w:val="8"/>
      </w:pPr>
      <w:r>
        <w:rPr>
          <w:rFonts w:hint="eastAsia" w:eastAsia="仿宋"/>
          <w:lang w:val="en-US" w:eastAsia="zh-CN"/>
        </w:rPr>
        <w:t xml:space="preserve">     </w:t>
      </w:r>
      <w:r>
        <w:rPr>
          <w:rFonts w:hint="eastAsia" w:ascii="仿宋_GB2312" w:hAnsi="仿宋_GB2312" w:eastAsia="仿宋_GB2312" w:cs="仿宋_GB2312"/>
          <w:sz w:val="32"/>
          <w:szCs w:val="32"/>
          <w:lang w:eastAsia="zh-CN"/>
        </w:rPr>
        <w:drawing>
          <wp:inline distT="0" distB="0" distL="114300" distR="114300">
            <wp:extent cx="4048125" cy="2790825"/>
            <wp:effectExtent l="0" t="0" r="9525" b="9525"/>
            <wp:docPr id="5" name="图片 5" descr="基本项目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基本项目饼状图"/>
                    <pic:cNvPicPr>
                      <a:picLocks noChangeAspect="1"/>
                    </pic:cNvPicPr>
                  </pic:nvPicPr>
                  <pic:blipFill>
                    <a:blip r:embed="rId11"/>
                    <a:stretch>
                      <a:fillRect/>
                    </a:stretch>
                  </pic:blipFill>
                  <pic:spPr>
                    <a:xfrm>
                      <a:off x="0" y="0"/>
                      <a:ext cx="4048125" cy="2790825"/>
                    </a:xfrm>
                    <a:prstGeom prst="rect">
                      <a:avLst/>
                    </a:prstGeom>
                  </pic:spPr>
                </pic:pic>
              </a:graphicData>
            </a:graphic>
          </wp:inline>
        </w:drawing>
      </w:r>
    </w:p>
    <w:p w14:paraId="5C28F218">
      <w:pPr>
        <w:spacing w:line="600" w:lineRule="exact"/>
        <w:ind w:firstLine="640" w:firstLineChars="200"/>
        <w:outlineLvl w:val="1"/>
        <w:rPr>
          <w:rStyle w:val="28"/>
          <w:rFonts w:ascii="黑体" w:hAnsi="黑体" w:eastAsia="黑体"/>
          <w:b w:val="0"/>
        </w:rPr>
      </w:pPr>
      <w:bookmarkStart w:id="26" w:name="_Toc15396606"/>
      <w:bookmarkStart w:id="27"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6"/>
      <w:bookmarkEnd w:id="27"/>
    </w:p>
    <w:p w14:paraId="47E68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2023年度财政拨款收、支总计均为</w:t>
      </w:r>
      <w:r>
        <w:rPr>
          <w:rFonts w:hint="eastAsia" w:ascii="仿宋_GB2312" w:hAnsi="仿宋_GB2312" w:eastAsia="仿宋_GB2312" w:cs="仿宋_GB2312"/>
          <w:sz w:val="32"/>
          <w:szCs w:val="32"/>
          <w:lang w:val="en-US" w:eastAsia="zh-CN"/>
        </w:rPr>
        <w:t>420.86</w:t>
      </w:r>
      <w:r>
        <w:rPr>
          <w:rFonts w:hint="eastAsia" w:ascii="仿宋_GB2312" w:hAnsi="仿宋_GB2312" w:eastAsia="仿宋_GB2312" w:cs="仿宋_GB2312"/>
          <w:sz w:val="32"/>
          <w:szCs w:val="32"/>
        </w:rPr>
        <w:t>万元。与2022年度相比，与2022年度相比，财政拨款收、支总计</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减少1.85万元，下降0.4%，基本持平。</w:t>
      </w:r>
    </w:p>
    <w:p w14:paraId="692C27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458263A">
      <w:pPr>
        <w:pStyle w:val="8"/>
        <w:rPr>
          <w:rFonts w:hint="eastAsia" w:ascii="仿宋_GB2312" w:hAnsi="仿宋_GB2312" w:eastAsia="仿宋_GB2312" w:cs="仿宋_GB2312"/>
          <w:sz w:val="32"/>
          <w:szCs w:val="32"/>
          <w:lang w:eastAsia="zh-CN"/>
        </w:rPr>
      </w:pP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drawing>
          <wp:inline distT="0" distB="0" distL="114300" distR="114300">
            <wp:extent cx="4229100" cy="2886075"/>
            <wp:effectExtent l="0" t="0" r="0" b="9525"/>
            <wp:docPr id="10" name="图片 10" descr="财收支对比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财收支对比饼状图"/>
                    <pic:cNvPicPr>
                      <a:picLocks noChangeAspect="1"/>
                    </pic:cNvPicPr>
                  </pic:nvPicPr>
                  <pic:blipFill>
                    <a:blip r:embed="rId12"/>
                    <a:stretch>
                      <a:fillRect/>
                    </a:stretch>
                  </pic:blipFill>
                  <pic:spPr>
                    <a:xfrm>
                      <a:off x="0" y="0"/>
                      <a:ext cx="4229100" cy="2886075"/>
                    </a:xfrm>
                    <a:prstGeom prst="rect">
                      <a:avLst/>
                    </a:prstGeom>
                  </pic:spPr>
                </pic:pic>
              </a:graphicData>
            </a:graphic>
          </wp:inline>
        </w:drawing>
      </w:r>
    </w:p>
    <w:p w14:paraId="70E2D2F9">
      <w:pPr>
        <w:pStyle w:val="8"/>
      </w:pPr>
      <w:r>
        <w:rPr>
          <w:rFonts w:hint="eastAsia"/>
          <w:lang w:val="en-US" w:eastAsia="zh-CN"/>
        </w:rPr>
        <w:t xml:space="preserve">      </w:t>
      </w:r>
    </w:p>
    <w:p w14:paraId="1465802F">
      <w:pPr>
        <w:spacing w:line="600" w:lineRule="exact"/>
        <w:ind w:firstLine="640" w:firstLineChars="200"/>
        <w:outlineLvl w:val="1"/>
        <w:rPr>
          <w:rStyle w:val="28"/>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28"/>
      <w:bookmarkEnd w:id="29"/>
    </w:p>
    <w:p w14:paraId="55CBECE4">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36C1AB92">
      <w:pPr>
        <w:snapToGrid w:val="0"/>
        <w:spacing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420.86</w:t>
      </w:r>
      <w:r>
        <w:rPr>
          <w:rFonts w:hint="eastAsia" w:ascii="仿宋" w:hAnsi="仿宋" w:eastAsia="仿宋"/>
          <w:color w:val="000000"/>
          <w:sz w:val="32"/>
          <w:szCs w:val="32"/>
        </w:rPr>
        <w:t>万元，占全年支出的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278.94万元，</w:t>
      </w:r>
      <w:r>
        <w:rPr>
          <w:rFonts w:hint="eastAsia" w:ascii="仿宋" w:hAnsi="仿宋" w:eastAsia="仿宋"/>
          <w:color w:val="000000"/>
          <w:sz w:val="32"/>
          <w:szCs w:val="32"/>
          <w:lang w:eastAsia="zh-CN"/>
        </w:rPr>
        <w:t>增加</w:t>
      </w:r>
      <w:r>
        <w:rPr>
          <w:rFonts w:hint="eastAsia" w:ascii="仿宋_GB2312" w:hAnsi="仿宋" w:eastAsia="仿宋_GB2312"/>
          <w:sz w:val="32"/>
          <w:szCs w:val="32"/>
          <w:lang w:val="en-US" w:eastAsia="zh-CN"/>
        </w:rPr>
        <w:t>141.92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50.88</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2022年</w:t>
      </w:r>
      <w:r>
        <w:rPr>
          <w:rFonts w:hint="eastAsia" w:ascii="仿宋" w:hAnsi="仿宋" w:eastAsia="仿宋"/>
          <w:color w:val="000000"/>
          <w:sz w:val="32"/>
          <w:szCs w:val="32"/>
        </w:rPr>
        <w:t>项目</w:t>
      </w:r>
      <w:r>
        <w:rPr>
          <w:rFonts w:hint="eastAsia" w:ascii="仿宋" w:hAnsi="仿宋" w:eastAsia="仿宋"/>
          <w:color w:val="000000"/>
          <w:sz w:val="32"/>
          <w:szCs w:val="32"/>
          <w:lang w:eastAsia="zh-CN"/>
        </w:rPr>
        <w:t>全部</w:t>
      </w:r>
      <w:r>
        <w:rPr>
          <w:rFonts w:hint="eastAsia" w:ascii="仿宋" w:hAnsi="仿宋" w:eastAsia="仿宋"/>
          <w:color w:val="000000"/>
          <w:sz w:val="32"/>
          <w:szCs w:val="32"/>
        </w:rPr>
        <w:t>作为政府性基金预算。</w:t>
      </w:r>
    </w:p>
    <w:p w14:paraId="4578BBE4">
      <w:pPr>
        <w:pStyle w:val="2"/>
        <w:rPr>
          <w:rFonts w:hint="eastAsia" w:ascii="仿宋" w:hAnsi="仿宋" w:eastAsia="仿宋"/>
          <w:color w:val="000000"/>
          <w:sz w:val="32"/>
          <w:szCs w:val="32"/>
        </w:rPr>
      </w:pPr>
    </w:p>
    <w:p w14:paraId="18F0733D">
      <w:pPr>
        <w:pStyle w:val="3"/>
        <w:rPr>
          <w:rFonts w:hint="eastAsia" w:ascii="仿宋" w:hAnsi="仿宋" w:eastAsia="仿宋"/>
          <w:color w:val="000000"/>
          <w:sz w:val="32"/>
          <w:szCs w:val="32"/>
        </w:rPr>
      </w:pPr>
    </w:p>
    <w:p w14:paraId="1A28307D">
      <w:r>
        <w:rPr>
          <w:rFonts w:hint="eastAsia" w:eastAsia="仿宋"/>
          <w:lang w:val="en-US" w:eastAsia="zh-CN"/>
        </w:rPr>
        <w:t xml:space="preserve">    </w:t>
      </w:r>
      <w:r>
        <w:rPr>
          <w:rFonts w:hint="eastAsia" w:eastAsia="仿宋"/>
          <w:lang w:eastAsia="zh-CN"/>
        </w:rPr>
        <w:drawing>
          <wp:inline distT="0" distB="0" distL="114300" distR="114300">
            <wp:extent cx="4591050" cy="2781300"/>
            <wp:effectExtent l="0" t="0" r="0" b="0"/>
            <wp:docPr id="11" name="图片 11" descr="一般公共预算拨款对比柱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一般公共预算拨款对比柱状图"/>
                    <pic:cNvPicPr>
                      <a:picLocks noChangeAspect="1"/>
                    </pic:cNvPicPr>
                  </pic:nvPicPr>
                  <pic:blipFill>
                    <a:blip r:embed="rId13"/>
                    <a:stretch>
                      <a:fillRect/>
                    </a:stretch>
                  </pic:blipFill>
                  <pic:spPr>
                    <a:xfrm>
                      <a:off x="0" y="0"/>
                      <a:ext cx="4591050" cy="2781300"/>
                    </a:xfrm>
                    <a:prstGeom prst="rect">
                      <a:avLst/>
                    </a:prstGeom>
                  </pic:spPr>
                </pic:pic>
              </a:graphicData>
            </a:graphic>
          </wp:inline>
        </w:drawing>
      </w:r>
    </w:p>
    <w:p w14:paraId="16AC89B8">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2E8475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420.86</w:t>
      </w:r>
      <w:r>
        <w:rPr>
          <w:rFonts w:hint="eastAsia" w:ascii="仿宋" w:hAnsi="仿宋" w:eastAsia="仿宋"/>
          <w:color w:val="000000" w:themeColor="text1"/>
          <w:sz w:val="32"/>
          <w:szCs w:val="32"/>
          <w14:textFill>
            <w14:solidFill>
              <w14:schemeClr w14:val="tx1"/>
            </w14:solidFill>
          </w14:textFill>
        </w:rPr>
        <w:t>元，主要用于以下三个方面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397.34</w:t>
      </w:r>
      <w:r>
        <w:rPr>
          <w:rFonts w:hint="eastAsia" w:ascii="仿宋" w:hAnsi="仿宋" w:eastAsia="仿宋"/>
          <w:color w:val="000000" w:themeColor="text1"/>
          <w:sz w:val="32"/>
          <w:szCs w:val="32"/>
          <w14:textFill>
            <w14:solidFill>
              <w14:schemeClr w14:val="tx1"/>
            </w14:solidFill>
          </w14:textFill>
        </w:rPr>
        <w:t>万元，占9</w:t>
      </w:r>
      <w:r>
        <w:rPr>
          <w:rFonts w:hint="eastAsia" w:ascii="仿宋" w:hAnsi="仿宋" w:eastAsia="仿宋"/>
          <w:color w:val="000000" w:themeColor="text1"/>
          <w:sz w:val="32"/>
          <w:szCs w:val="32"/>
          <w:lang w:val="en-US" w:eastAsia="zh-CN"/>
          <w14:textFill>
            <w14:solidFill>
              <w14:schemeClr w14:val="tx1"/>
            </w14:solidFill>
          </w14:textFill>
        </w:rPr>
        <w:t>4.41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7.28</w:t>
      </w:r>
      <w:r>
        <w:rPr>
          <w:rFonts w:hint="eastAsia" w:ascii="仿宋" w:hAnsi="仿宋" w:eastAsia="仿宋"/>
          <w:color w:val="000000" w:themeColor="text1"/>
          <w:sz w:val="32"/>
          <w:szCs w:val="32"/>
          <w14:textFill>
            <w14:solidFill>
              <w14:schemeClr w14:val="tx1"/>
            </w14:solidFill>
          </w14:textFill>
        </w:rPr>
        <w:t>万元，占1.</w:t>
      </w:r>
      <w:r>
        <w:rPr>
          <w:rFonts w:hint="eastAsia" w:ascii="仿宋" w:hAnsi="仿宋" w:eastAsia="仿宋"/>
          <w:color w:val="000000" w:themeColor="text1"/>
          <w:sz w:val="32"/>
          <w:szCs w:val="32"/>
          <w:lang w:val="en-US" w:eastAsia="zh-CN"/>
          <w14:textFill>
            <w14:solidFill>
              <w14:schemeClr w14:val="tx1"/>
            </w14:solidFill>
          </w14:textFill>
        </w:rPr>
        <w:t>73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；住房保障支出16.</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4万元，占</w:t>
      </w:r>
      <w:r>
        <w:rPr>
          <w:rFonts w:hint="eastAsia" w:ascii="仿宋" w:hAnsi="仿宋" w:eastAsia="仿宋"/>
          <w:color w:val="000000" w:themeColor="text1"/>
          <w:sz w:val="32"/>
          <w:szCs w:val="32"/>
          <w:lang w:val="en-US" w:eastAsia="zh-CN"/>
          <w14:textFill>
            <w14:solidFill>
              <w14:schemeClr w14:val="tx1"/>
            </w14:solidFill>
          </w14:textFill>
        </w:rPr>
        <w:t>3.86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3D9F90F2">
      <w:pPr>
        <w:pStyle w:val="2"/>
        <w:rPr>
          <w:rFonts w:hint="eastAsia"/>
          <w:lang w:eastAsia="zh-CN"/>
        </w:rPr>
      </w:pPr>
    </w:p>
    <w:p w14:paraId="0F9DF89F">
      <w:pPr>
        <w:rPr>
          <w:rFonts w:hint="eastAsia" w:eastAsia="宋体"/>
          <w:lang w:eastAsia="zh-CN"/>
        </w:rPr>
      </w:pPr>
      <w:r>
        <w:rPr>
          <w:rFonts w:hint="eastAsia" w:eastAsia="仿宋_GB2312"/>
          <w:lang w:val="en-US" w:eastAsia="zh-CN"/>
        </w:rPr>
        <w:t xml:space="preserve">                                                                         </w:t>
      </w:r>
      <w:r>
        <w:rPr>
          <w:rFonts w:hint="eastAsia" w:eastAsia="仿宋_GB2312"/>
          <w:lang w:eastAsia="zh-CN"/>
        </w:rPr>
        <w:drawing>
          <wp:inline distT="0" distB="0" distL="114300" distR="114300">
            <wp:extent cx="4761865" cy="3013710"/>
            <wp:effectExtent l="0" t="0" r="635" b="15240"/>
            <wp:docPr id="14" name="图片 14" descr="支出分类统计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支出分类统计饼状图"/>
                    <pic:cNvPicPr>
                      <a:picLocks noChangeAspect="1"/>
                    </pic:cNvPicPr>
                  </pic:nvPicPr>
                  <pic:blipFill>
                    <a:blip r:embed="rId14"/>
                    <a:stretch>
                      <a:fillRect/>
                    </a:stretch>
                  </pic:blipFill>
                  <pic:spPr>
                    <a:xfrm>
                      <a:off x="0" y="0"/>
                      <a:ext cx="4761865" cy="3013710"/>
                    </a:xfrm>
                    <a:prstGeom prst="rect">
                      <a:avLst/>
                    </a:prstGeom>
                  </pic:spPr>
                </pic:pic>
              </a:graphicData>
            </a:graphic>
          </wp:inline>
        </w:drawing>
      </w:r>
    </w:p>
    <w:p w14:paraId="59790603">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14:paraId="6732A7B8">
      <w:pPr>
        <w:spacing w:line="600" w:lineRule="exact"/>
        <w:ind w:firstLine="643" w:firstLineChars="200"/>
        <w:outlineLvl w:val="2"/>
        <w:rPr>
          <w:rFonts w:ascii="仿宋" w:hAnsi="仿宋" w:eastAsia="仿宋"/>
          <w:b/>
          <w:color w:val="000000"/>
          <w:sz w:val="32"/>
          <w:szCs w:val="32"/>
        </w:rPr>
      </w:pPr>
      <w:bookmarkStart w:id="33" w:name="_Toc15378460"/>
      <w:bookmarkStart w:id="34" w:name="_Toc15377444"/>
      <w:bookmarkStart w:id="35" w:name="_Toc15377213"/>
      <w:r>
        <w:rPr>
          <w:rFonts w:hint="eastAsia" w:ascii="仿宋" w:hAnsi="仿宋" w:eastAsia="仿宋"/>
          <w:b/>
          <w:color w:val="000000" w:themeColor="text1"/>
          <w:sz w:val="32"/>
          <w:szCs w:val="32"/>
          <w14:textFill>
            <w14:solidFill>
              <w14:schemeClr w14:val="tx1"/>
            </w14:solidFill>
          </w14:textFill>
        </w:rPr>
        <w:t>2022年一般公共预算支出决算数为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420.86</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3"/>
      <w:bookmarkEnd w:id="34"/>
      <w:bookmarkEnd w:id="35"/>
    </w:p>
    <w:p w14:paraId="3F8E5DB5">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社会保障和就业支出情况</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397.34</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465D9730">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（1）2080505机关事业单位基本养老保险缴费支出决算为</w:t>
      </w:r>
      <w:r>
        <w:rPr>
          <w:rStyle w:val="17"/>
          <w:rFonts w:hint="eastAsia" w:ascii="仿宋" w:hAnsi="仿宋" w:eastAsia="仿宋"/>
          <w:b w:val="0"/>
          <w:bCs/>
          <w:color w:val="000000"/>
          <w:sz w:val="32"/>
          <w:szCs w:val="32"/>
          <w:lang w:val="en-US" w:eastAsia="zh-CN"/>
        </w:rPr>
        <w:t>21.61</w:t>
      </w:r>
      <w:r>
        <w:rPr>
          <w:rStyle w:val="17"/>
          <w:rFonts w:hint="eastAsia" w:ascii="仿宋" w:hAnsi="仿宋" w:eastAsia="仿宋"/>
          <w:b w:val="0"/>
          <w:bCs/>
          <w:color w:val="000000"/>
          <w:sz w:val="32"/>
          <w:szCs w:val="32"/>
        </w:rPr>
        <w:t>万元，完成预算100%。</w:t>
      </w:r>
    </w:p>
    <w:p w14:paraId="40C53A59">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（2）2080506机关事业单位职业年金缴费支出决算数为</w:t>
      </w:r>
      <w:r>
        <w:rPr>
          <w:rStyle w:val="17"/>
          <w:rFonts w:hint="eastAsia" w:ascii="仿宋" w:hAnsi="仿宋" w:eastAsia="仿宋"/>
          <w:b w:val="0"/>
          <w:bCs/>
          <w:color w:val="000000"/>
          <w:sz w:val="32"/>
          <w:szCs w:val="32"/>
          <w:lang w:val="en-US" w:eastAsia="zh-CN"/>
        </w:rPr>
        <w:t>10.81</w:t>
      </w:r>
      <w:r>
        <w:rPr>
          <w:rStyle w:val="17"/>
          <w:rFonts w:hint="eastAsia" w:ascii="仿宋" w:hAnsi="仿宋" w:eastAsia="仿宋"/>
          <w:b w:val="0"/>
          <w:bCs/>
          <w:color w:val="000000"/>
          <w:sz w:val="32"/>
          <w:szCs w:val="32"/>
        </w:rPr>
        <w:t>万元，完成预算100%。</w:t>
      </w:r>
    </w:p>
    <w:p w14:paraId="405F0B41">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（3）2089999其他社会保障和就业支出决算数为</w:t>
      </w:r>
      <w:r>
        <w:rPr>
          <w:rStyle w:val="17"/>
          <w:rFonts w:hint="eastAsia" w:ascii="仿宋" w:hAnsi="仿宋" w:eastAsia="仿宋"/>
          <w:b w:val="0"/>
          <w:bCs/>
          <w:color w:val="000000"/>
          <w:sz w:val="32"/>
          <w:szCs w:val="32"/>
          <w:lang w:val="en-US" w:eastAsia="zh-CN"/>
        </w:rPr>
        <w:t>2.30</w:t>
      </w:r>
      <w:r>
        <w:rPr>
          <w:rStyle w:val="17"/>
          <w:rFonts w:hint="eastAsia" w:ascii="仿宋" w:hAnsi="仿宋" w:eastAsia="仿宋"/>
          <w:b w:val="0"/>
          <w:bCs/>
          <w:color w:val="000000"/>
          <w:sz w:val="32"/>
          <w:szCs w:val="32"/>
        </w:rPr>
        <w:t>万元，完成预算100%。</w:t>
      </w:r>
    </w:p>
    <w:p w14:paraId="78E18FC4">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（4）2081004殡葬支出决算数为</w:t>
      </w:r>
      <w:r>
        <w:rPr>
          <w:rStyle w:val="17"/>
          <w:rFonts w:hint="eastAsia" w:ascii="仿宋" w:hAnsi="仿宋" w:eastAsia="仿宋"/>
          <w:b w:val="0"/>
          <w:bCs/>
          <w:color w:val="000000"/>
          <w:sz w:val="32"/>
          <w:szCs w:val="32"/>
          <w:lang w:val="en-US" w:eastAsia="zh-CN"/>
        </w:rPr>
        <w:t>362.62</w:t>
      </w:r>
      <w:r>
        <w:rPr>
          <w:rStyle w:val="17"/>
          <w:rFonts w:hint="eastAsia" w:ascii="仿宋" w:hAnsi="仿宋" w:eastAsia="仿宋"/>
          <w:b w:val="0"/>
          <w:bCs/>
          <w:color w:val="000000"/>
          <w:sz w:val="32"/>
          <w:szCs w:val="32"/>
        </w:rPr>
        <w:t>万元，完成预算100%。</w:t>
      </w:r>
    </w:p>
    <w:p w14:paraId="5E5F99B2">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color w:val="000000"/>
          <w:sz w:val="32"/>
          <w:szCs w:val="32"/>
        </w:rPr>
        <w:t>2.卫生健康支出情况</w:t>
      </w:r>
      <w:r>
        <w:rPr>
          <w:rStyle w:val="17"/>
          <w:rFonts w:hint="eastAsia" w:ascii="仿宋" w:hAnsi="仿宋" w:eastAsia="仿宋"/>
          <w:b w:val="0"/>
          <w:bCs/>
          <w:color w:val="000000"/>
          <w:sz w:val="32"/>
          <w:szCs w:val="32"/>
        </w:rPr>
        <w:t>：2101102事业单位医疗支出决算数为</w:t>
      </w:r>
      <w:r>
        <w:rPr>
          <w:rStyle w:val="17"/>
          <w:rFonts w:hint="eastAsia" w:ascii="仿宋" w:hAnsi="仿宋" w:eastAsia="仿宋"/>
          <w:b w:val="0"/>
          <w:bCs/>
          <w:color w:val="000000"/>
          <w:sz w:val="32"/>
          <w:szCs w:val="32"/>
          <w:lang w:val="en-US" w:eastAsia="zh-CN"/>
        </w:rPr>
        <w:t>7.28</w:t>
      </w:r>
      <w:r>
        <w:rPr>
          <w:rStyle w:val="17"/>
          <w:rFonts w:hint="eastAsia" w:ascii="仿宋" w:hAnsi="仿宋" w:eastAsia="仿宋"/>
          <w:b w:val="0"/>
          <w:bCs/>
          <w:color w:val="000000"/>
          <w:sz w:val="32"/>
          <w:szCs w:val="32"/>
        </w:rPr>
        <w:t>万元，完成预算100%。</w:t>
      </w:r>
    </w:p>
    <w:p w14:paraId="2FFC0FF4">
      <w:pPr>
        <w:spacing w:line="600" w:lineRule="exact"/>
        <w:ind w:firstLine="643" w:firstLineChars="200"/>
      </w:pPr>
      <w:r>
        <w:rPr>
          <w:rStyle w:val="17"/>
          <w:rFonts w:hint="eastAsia" w:ascii="仿宋" w:hAnsi="仿宋" w:eastAsia="仿宋"/>
          <w:color w:val="000000"/>
          <w:sz w:val="32"/>
          <w:szCs w:val="32"/>
        </w:rPr>
        <w:t>3.住房保障支出情况</w:t>
      </w:r>
      <w:r>
        <w:rPr>
          <w:rStyle w:val="17"/>
          <w:rFonts w:hint="eastAsia" w:ascii="仿宋" w:hAnsi="仿宋" w:eastAsia="仿宋"/>
          <w:b w:val="0"/>
          <w:bCs/>
          <w:color w:val="000000"/>
          <w:sz w:val="32"/>
          <w:szCs w:val="32"/>
        </w:rPr>
        <w:t>：2210201住房公积金支出决算数为16.</w:t>
      </w:r>
      <w:r>
        <w:rPr>
          <w:rStyle w:val="17"/>
          <w:rFonts w:hint="eastAsia" w:ascii="仿宋" w:hAnsi="仿宋" w:eastAsia="仿宋"/>
          <w:b w:val="0"/>
          <w:bCs/>
          <w:color w:val="000000"/>
          <w:sz w:val="32"/>
          <w:szCs w:val="32"/>
          <w:lang w:val="en-US" w:eastAsia="zh-CN"/>
        </w:rPr>
        <w:t>2</w:t>
      </w:r>
      <w:r>
        <w:rPr>
          <w:rStyle w:val="17"/>
          <w:rFonts w:hint="eastAsia" w:ascii="仿宋" w:hAnsi="仿宋" w:eastAsia="仿宋"/>
          <w:b w:val="0"/>
          <w:bCs/>
          <w:color w:val="000000"/>
          <w:sz w:val="32"/>
          <w:szCs w:val="32"/>
        </w:rPr>
        <w:t>4万元，完成预算100%。</w:t>
      </w:r>
    </w:p>
    <w:p w14:paraId="722B98A2">
      <w:pPr>
        <w:tabs>
          <w:tab w:val="right" w:pos="8306"/>
        </w:tabs>
        <w:spacing w:line="600" w:lineRule="exact"/>
        <w:ind w:firstLine="640"/>
        <w:outlineLvl w:val="1"/>
        <w:rPr>
          <w:rStyle w:val="28"/>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6"/>
      <w:bookmarkEnd w:id="37"/>
      <w:r>
        <w:rPr>
          <w:rStyle w:val="28"/>
          <w:rFonts w:ascii="黑体" w:hAnsi="黑体" w:eastAsia="黑体"/>
          <w:b w:val="0"/>
        </w:rPr>
        <w:tab/>
      </w:r>
    </w:p>
    <w:p w14:paraId="2F9047E1">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269.23</w:t>
      </w:r>
      <w:r>
        <w:rPr>
          <w:rFonts w:hint="eastAsia" w:ascii="仿宋" w:hAnsi="仿宋" w:eastAsia="仿宋"/>
          <w:color w:val="000000"/>
          <w:sz w:val="32"/>
          <w:szCs w:val="32"/>
        </w:rPr>
        <w:t>万元，其中：</w:t>
      </w:r>
    </w:p>
    <w:p w14:paraId="2571E086">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245.21</w:t>
      </w:r>
      <w:r>
        <w:rPr>
          <w:rFonts w:hint="eastAsia" w:ascii="仿宋" w:hAnsi="仿宋" w:eastAsia="仿宋"/>
          <w:color w:val="000000"/>
          <w:sz w:val="32"/>
          <w:szCs w:val="32"/>
        </w:rPr>
        <w:t>万元，主要包括：基本工资、津贴补贴、绩效工资、机关事业单位基本养老保险缴费、职业年金缴费、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其他社会保障缴费、住房公积金、其他工资福利支出、对个人和家庭的补助、</w:t>
      </w:r>
      <w:r>
        <w:rPr>
          <w:rFonts w:hint="eastAsia" w:ascii="仿宋" w:hAnsi="仿宋" w:eastAsia="仿宋"/>
          <w:color w:val="000000"/>
          <w:sz w:val="32"/>
          <w:szCs w:val="32"/>
          <w:lang w:eastAsia="zh-CN"/>
        </w:rPr>
        <w:t>生活补助、</w:t>
      </w:r>
      <w:r>
        <w:rPr>
          <w:rFonts w:hint="eastAsia" w:ascii="仿宋" w:hAnsi="仿宋" w:eastAsia="仿宋"/>
          <w:color w:val="000000"/>
          <w:sz w:val="32"/>
          <w:szCs w:val="32"/>
        </w:rPr>
        <w:t>奖励金、其他对个人和家庭的补助。</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24.02</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eastAsia="zh-CN"/>
        </w:rPr>
        <w:t>印刷费、</w:t>
      </w:r>
      <w:r>
        <w:rPr>
          <w:rFonts w:hint="eastAsia" w:ascii="仿宋" w:hAnsi="仿宋" w:eastAsia="仿宋"/>
          <w:color w:val="000000"/>
          <w:sz w:val="32"/>
          <w:szCs w:val="32"/>
        </w:rPr>
        <w:t>水费、</w:t>
      </w:r>
      <w:r>
        <w:rPr>
          <w:rFonts w:hint="eastAsia" w:ascii="仿宋" w:hAnsi="仿宋" w:eastAsia="仿宋"/>
          <w:color w:val="000000"/>
          <w:sz w:val="32"/>
          <w:szCs w:val="32"/>
          <w:lang w:eastAsia="zh-CN"/>
        </w:rPr>
        <w:t>邮</w:t>
      </w:r>
      <w:r>
        <w:rPr>
          <w:rFonts w:hint="eastAsia" w:ascii="仿宋" w:hAnsi="仿宋" w:eastAsia="仿宋"/>
          <w:color w:val="000000"/>
          <w:sz w:val="32"/>
          <w:szCs w:val="32"/>
        </w:rPr>
        <w:t>电费、差旅费、公务接待费、工会经费、福利费、</w:t>
      </w:r>
      <w:r>
        <w:rPr>
          <w:rFonts w:hint="eastAsia" w:ascii="仿宋" w:hAnsi="仿宋" w:eastAsia="仿宋"/>
          <w:color w:val="000000"/>
          <w:sz w:val="32"/>
          <w:szCs w:val="32"/>
          <w:lang w:eastAsia="zh-CN"/>
        </w:rPr>
        <w:t>公务用车运行维护费、其他商品和服务支出</w:t>
      </w:r>
      <w:r>
        <w:rPr>
          <w:rFonts w:hint="eastAsia" w:ascii="仿宋" w:hAnsi="仿宋" w:eastAsia="仿宋"/>
          <w:color w:val="000000"/>
          <w:sz w:val="32"/>
          <w:szCs w:val="32"/>
        </w:rPr>
        <w:t>。</w:t>
      </w:r>
    </w:p>
    <w:p w14:paraId="5FF3A5BC">
      <w:pPr>
        <w:spacing w:line="600" w:lineRule="exact"/>
        <w:ind w:firstLine="640"/>
        <w:outlineLvl w:val="1"/>
        <w:rPr>
          <w:rStyle w:val="28"/>
          <w:rFonts w:ascii="黑体" w:hAnsi="黑体" w:eastAsia="黑体"/>
          <w:b w:val="0"/>
        </w:rPr>
      </w:pPr>
      <w:bookmarkStart w:id="38" w:name="_Toc15396609"/>
      <w:bookmarkStart w:id="39" w:name="_Toc15377215"/>
      <w:r>
        <w:rPr>
          <w:rFonts w:hint="eastAsia" w:ascii="黑体" w:eastAsia="黑体"/>
          <w:color w:val="000000"/>
          <w:sz w:val="32"/>
          <w:szCs w:val="32"/>
          <w:lang w:eastAsia="zh-CN"/>
        </w:rPr>
        <w:t>七</w:t>
      </w:r>
      <w:r>
        <w:rPr>
          <w:rFonts w:hint="eastAsia" w:ascii="黑体" w:eastAsia="黑体"/>
          <w:color w:val="000000"/>
          <w:sz w:val="32"/>
          <w:szCs w:val="32"/>
        </w:rPr>
        <w:t>、</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w:t>
      </w:r>
      <w:r>
        <w:rPr>
          <w:rStyle w:val="28"/>
          <w:rFonts w:hint="eastAsia" w:ascii="黑体" w:hAnsi="黑体" w:eastAsia="黑体"/>
          <w:b w:val="0"/>
          <w:lang w:eastAsia="zh-CN"/>
        </w:rPr>
        <w:t>经费</w:t>
      </w:r>
      <w:r>
        <w:rPr>
          <w:rStyle w:val="28"/>
          <w:rFonts w:hint="eastAsia" w:ascii="黑体" w:hAnsi="黑体" w:eastAsia="黑体"/>
          <w:b w:val="0"/>
        </w:rPr>
        <w:t>支出决算情况说明</w:t>
      </w:r>
      <w:bookmarkEnd w:id="38"/>
      <w:bookmarkEnd w:id="39"/>
    </w:p>
    <w:p w14:paraId="6AE3A042">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17375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度</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15.02</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115E756">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0F63AE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14.90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99.20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%。具体情况如下：</w:t>
      </w:r>
    </w:p>
    <w:p w14:paraId="1E75B087">
      <w:pPr>
        <w:pStyle w:val="2"/>
        <w:rPr>
          <w:rFonts w:hint="eastAsia" w:ascii="仿宋_GB2312" w:hAnsi="仿宋_GB2312" w:eastAsia="仿宋_GB2312" w:cs="仿宋_GB2312"/>
          <w:sz w:val="32"/>
          <w:szCs w:val="32"/>
        </w:rPr>
      </w:pPr>
    </w:p>
    <w:p w14:paraId="459F7AA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drawing>
          <wp:inline distT="0" distB="0" distL="114300" distR="114300">
            <wp:extent cx="4372610" cy="2720975"/>
            <wp:effectExtent l="0" t="0" r="8890" b="3175"/>
            <wp:docPr id="16" name="图片 16" descr="三公经费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三公经费饼状图"/>
                    <pic:cNvPicPr>
                      <a:picLocks noChangeAspect="1"/>
                    </pic:cNvPicPr>
                  </pic:nvPicPr>
                  <pic:blipFill>
                    <a:blip r:embed="rId15"/>
                    <a:stretch>
                      <a:fillRect/>
                    </a:stretch>
                  </pic:blipFill>
                  <pic:spPr>
                    <a:xfrm>
                      <a:off x="0" y="0"/>
                      <a:ext cx="4372610" cy="2720975"/>
                    </a:xfrm>
                    <a:prstGeom prst="rect">
                      <a:avLst/>
                    </a:prstGeom>
                  </pic:spPr>
                </pic:pic>
              </a:graphicData>
            </a:graphic>
          </wp:inline>
        </w:drawing>
      </w:r>
      <w:bookmarkStart w:id="42" w:name="_Toc15396612"/>
      <w:bookmarkStart w:id="43" w:name="_Toc15377221"/>
    </w:p>
    <w:p w14:paraId="6F4676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人。因公出国（境）支出决算比2022年度增加/减少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C7C6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w:t>
      </w:r>
      <w:r>
        <w:rPr>
          <w:rFonts w:hint="eastAsia" w:ascii="仿宋_GB2312" w:hAnsi="仿宋_GB2312" w:eastAsia="仿宋_GB2312" w:cs="仿宋_GB2312"/>
          <w:sz w:val="32"/>
          <w:szCs w:val="32"/>
          <w:lang w:val="en-US" w:eastAsia="zh-CN"/>
        </w:rPr>
        <w:t>14.90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%。公务用车购置及运行维护费支出决算比2022年度减少</w:t>
      </w:r>
      <w:r>
        <w:rPr>
          <w:rFonts w:hint="eastAsia" w:ascii="仿宋_GB2312" w:hAnsi="仿宋_GB2312" w:eastAsia="仿宋_GB2312" w:cs="仿宋_GB2312"/>
          <w:sz w:val="32"/>
          <w:szCs w:val="32"/>
          <w:lang w:val="en-US" w:eastAsia="zh-CN"/>
        </w:rPr>
        <w:t>15.70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105.37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2022年用中央福彩基金购置殡仪车一台</w:t>
      </w:r>
      <w:r>
        <w:rPr>
          <w:rFonts w:hint="eastAsia" w:ascii="仿宋_GB2312" w:hAnsi="仿宋_GB2312" w:eastAsia="仿宋_GB2312" w:cs="仿宋_GB2312"/>
          <w:sz w:val="32"/>
          <w:szCs w:val="32"/>
        </w:rPr>
        <w:t>。</w:t>
      </w:r>
    </w:p>
    <w:p w14:paraId="37B30B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万元。截至2023年12月31日，单位共有公务用车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应急保障用车</w:t>
      </w:r>
      <w:r>
        <w:rPr>
          <w:rFonts w:hint="eastAsia" w:ascii="仿宋_GB2312" w:hAnsi="仿宋_GB2312" w:eastAsia="仿宋_GB2312" w:cs="仿宋_GB2312"/>
          <w:sz w:val="32"/>
          <w:szCs w:val="32"/>
          <w:lang w:val="en-US" w:eastAsia="zh-CN"/>
        </w:rPr>
        <w:t>1辆、特种专业技术用车6辆</w:t>
      </w:r>
      <w:r>
        <w:rPr>
          <w:rFonts w:hint="eastAsia" w:ascii="仿宋_GB2312" w:hAnsi="仿宋_GB2312" w:eastAsia="仿宋_GB2312" w:cs="仿宋_GB2312"/>
          <w:sz w:val="32"/>
          <w:szCs w:val="32"/>
        </w:rPr>
        <w:t>。</w:t>
      </w:r>
    </w:p>
    <w:p w14:paraId="027CD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val="en-US" w:eastAsia="zh-CN"/>
        </w:rPr>
        <w:t>14.90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殡葬车接运遗体、接送丧属等</w:t>
      </w:r>
      <w:r>
        <w:rPr>
          <w:rFonts w:hint="eastAsia" w:ascii="仿宋_GB2312" w:hAnsi="仿宋_GB2312" w:eastAsia="仿宋_GB2312" w:cs="仿宋_GB2312"/>
          <w:sz w:val="32"/>
          <w:szCs w:val="32"/>
        </w:rPr>
        <w:t>所需的公务用车燃料费、维修费、过路过桥费、保险费</w:t>
      </w:r>
      <w:r>
        <w:rPr>
          <w:rFonts w:hint="eastAsia" w:ascii="仿宋_GB2312" w:hAnsi="仿宋_GB2312" w:eastAsia="仿宋_GB2312" w:cs="仿宋_GB2312"/>
          <w:sz w:val="32"/>
          <w:szCs w:val="32"/>
          <w:lang w:eastAsia="zh-CN"/>
        </w:rPr>
        <w:t>、洗车费</w:t>
      </w:r>
      <w:r>
        <w:rPr>
          <w:rFonts w:hint="eastAsia" w:ascii="仿宋_GB2312" w:hAnsi="仿宋_GB2312" w:eastAsia="仿宋_GB2312" w:cs="仿宋_GB2312"/>
          <w:sz w:val="32"/>
          <w:szCs w:val="32"/>
        </w:rPr>
        <w:t>等支出。</w:t>
      </w:r>
    </w:p>
    <w:p w14:paraId="383EAB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3．公务接待费支出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%。公务接待费支出决算比2022年度减少</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基本持平。</w:t>
      </w:r>
      <w:r>
        <w:rPr>
          <w:rFonts w:hint="eastAsia" w:ascii="仿宋_GB2312" w:hAnsi="仿宋_GB2312" w:eastAsia="仿宋_GB2312" w:cs="仿宋_GB2312"/>
          <w:sz w:val="32"/>
          <w:szCs w:val="32"/>
        </w:rPr>
        <w:t>其中：国内公务接待支出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接待同行交流学习</w:t>
      </w:r>
      <w:r>
        <w:rPr>
          <w:rFonts w:hint="eastAsia" w:ascii="仿宋_GB2312" w:hAnsi="仿宋_GB2312" w:eastAsia="仿宋_GB2312" w:cs="仿宋_GB2312"/>
          <w:sz w:val="32"/>
          <w:szCs w:val="32"/>
        </w:rPr>
        <w:t>用餐费。国内公务接待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万元，具体内容包括：</w:t>
      </w:r>
      <w:r>
        <w:rPr>
          <w:rFonts w:hint="eastAsia" w:ascii="仿宋_GB2312" w:hAnsi="仿宋_GB2312" w:eastAsia="仿宋_GB2312" w:cs="仿宋_GB2312"/>
          <w:sz w:val="32"/>
          <w:szCs w:val="32"/>
          <w:lang w:eastAsia="zh-CN"/>
        </w:rPr>
        <w:t>接待绵阳同行交流学习餐费。</w:t>
      </w:r>
    </w:p>
    <w:p w14:paraId="7C69B083">
      <w:pPr>
        <w:spacing w:line="600" w:lineRule="exact"/>
        <w:ind w:firstLine="800" w:firstLineChars="2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85093C9">
      <w:pPr>
        <w:spacing w:line="600" w:lineRule="exact"/>
        <w:ind w:firstLine="800" w:firstLineChars="250"/>
        <w:outlineLvl w:val="1"/>
        <w:rPr>
          <w:rStyle w:val="28"/>
          <w:rFonts w:ascii="黑体" w:hAnsi="黑体" w:eastAsia="黑体"/>
          <w:b w:val="0"/>
          <w:bCs w:val="0"/>
        </w:rPr>
      </w:pPr>
      <w:r>
        <w:rPr>
          <w:rStyle w:val="28"/>
          <w:rFonts w:hint="eastAsia" w:ascii="黑体" w:hAnsi="黑体" w:eastAsia="黑体"/>
          <w:b w:val="0"/>
          <w:bCs w:val="0"/>
          <w:lang w:eastAsia="zh-CN"/>
        </w:rPr>
        <w:t>八</w:t>
      </w:r>
      <w:r>
        <w:rPr>
          <w:rStyle w:val="28"/>
          <w:rFonts w:hint="eastAsia" w:ascii="黑体" w:hAnsi="黑体" w:eastAsia="黑体"/>
          <w:b w:val="0"/>
          <w:bCs w:val="0"/>
        </w:rPr>
        <w:t>、政府性基金预算支出决算情况说明</w:t>
      </w:r>
    </w:p>
    <w:p w14:paraId="0F5573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rPr>
      </w:pPr>
      <w:r>
        <w:rPr>
          <w:rFonts w:hint="eastAsia" w:ascii="仿宋_GB2312" w:hAnsi="仿宋_GB2312" w:eastAsia="仿宋_GB2312" w:cs="仿宋_GB2312"/>
          <w:sz w:val="32"/>
          <w:szCs w:val="32"/>
        </w:rPr>
        <w:t>2023年度政府性基金预算财政拨款支出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628A267">
      <w:pPr>
        <w:numPr>
          <w:ilvl w:val="0"/>
          <w:numId w:val="2"/>
        </w:numPr>
        <w:spacing w:line="600" w:lineRule="exact"/>
        <w:ind w:firstLine="800" w:firstLineChars="250"/>
        <w:outlineLvl w:val="1"/>
        <w:rPr>
          <w:rStyle w:val="28"/>
          <w:rFonts w:hint="eastAsia" w:ascii="黑体" w:hAnsi="黑体" w:eastAsia="黑体"/>
          <w:b w:val="0"/>
          <w:bCs w:val="0"/>
        </w:rPr>
      </w:pPr>
      <w:r>
        <w:rPr>
          <w:rStyle w:val="28"/>
          <w:rFonts w:hint="eastAsia" w:ascii="黑体" w:hAnsi="黑体" w:eastAsia="黑体"/>
          <w:b w:val="0"/>
          <w:bCs w:val="0"/>
        </w:rPr>
        <w:t>国有资本经营预算支出决算情况说明</w:t>
      </w:r>
    </w:p>
    <w:p w14:paraId="6E8D14A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rPr>
        <w:t>2023年度国有资本经营预算财政拨款支出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1B43E101">
      <w:pPr>
        <w:spacing w:line="600" w:lineRule="exact"/>
        <w:ind w:firstLine="803" w:firstLineChars="250"/>
        <w:outlineLvl w:val="1"/>
        <w:rPr>
          <w:rFonts w:ascii="仿宋" w:hAnsi="仿宋" w:eastAsia="仿宋"/>
          <w:b/>
          <w:color w:val="FF0000"/>
          <w:sz w:val="32"/>
          <w:szCs w:val="32"/>
        </w:rPr>
      </w:pPr>
      <w:r>
        <w:rPr>
          <w:rStyle w:val="28"/>
          <w:rFonts w:hint="eastAsia" w:ascii="黑体" w:hAnsi="黑体" w:eastAsia="黑体"/>
        </w:rPr>
        <w:t>十、</w:t>
      </w:r>
      <w:r>
        <w:rPr>
          <w:rStyle w:val="28"/>
          <w:rFonts w:hint="eastAsia" w:ascii="黑体" w:hAnsi="黑体" w:eastAsia="黑体"/>
          <w:b w:val="0"/>
        </w:rPr>
        <w:t>其他重要事项的情况说明</w:t>
      </w:r>
      <w:bookmarkEnd w:id="42"/>
      <w:bookmarkEnd w:id="43"/>
    </w:p>
    <w:p w14:paraId="69FEA90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4" w:name="_Toc15377223"/>
      <w:r>
        <w:rPr>
          <w:rFonts w:hint="eastAsia" w:ascii="仿宋" w:hAnsi="仿宋" w:eastAsia="仿宋"/>
          <w:b/>
          <w:color w:val="000000"/>
          <w:sz w:val="32"/>
          <w:szCs w:val="32"/>
        </w:rPr>
        <w:t>（一）政府采购支出情况</w:t>
      </w:r>
      <w:bookmarkEnd w:id="44"/>
    </w:p>
    <w:p w14:paraId="160B5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bookmarkStart w:id="45" w:name="_Toc15377224"/>
      <w:r>
        <w:rPr>
          <w:rFonts w:hint="eastAsia" w:ascii="仿宋_GB2312" w:hAnsi="仿宋_GB2312" w:eastAsia="仿宋_GB2312" w:cs="仿宋_GB2312"/>
          <w:sz w:val="32"/>
          <w:szCs w:val="32"/>
        </w:rPr>
        <w:t>2023年度，</w:t>
      </w:r>
      <w:r>
        <w:rPr>
          <w:rFonts w:hint="eastAsia" w:ascii="仿宋_GB2312" w:hAnsi="仿宋_GB2312" w:eastAsia="仿宋_GB2312" w:cs="仿宋_GB2312"/>
          <w:sz w:val="32"/>
          <w:szCs w:val="32"/>
          <w:lang w:eastAsia="zh-CN"/>
        </w:rPr>
        <w:t>峨眉山市</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10.40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10.40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殡葬车维修保养费</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1C020FC">
      <w:pPr>
        <w:pStyle w:val="2"/>
        <w:rPr>
          <w:rFonts w:hint="eastAsia"/>
        </w:rPr>
      </w:pPr>
    </w:p>
    <w:p w14:paraId="3F81367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（二）国有资产占有使用情况</w:t>
      </w:r>
      <w:bookmarkEnd w:id="45"/>
    </w:p>
    <w:p w14:paraId="5DC43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w:t>
      </w:r>
      <w:r>
        <w:rPr>
          <w:rFonts w:hint="eastAsia" w:ascii="仿宋_GB2312" w:hAnsi="仿宋_GB2312" w:eastAsia="仿宋_GB2312" w:cs="仿宋_GB2312"/>
          <w:sz w:val="32"/>
          <w:szCs w:val="32"/>
          <w:lang w:eastAsia="zh-CN"/>
        </w:rPr>
        <w:t>峨眉山市殡葬事务服务中心</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特种专业技术用车</w:t>
      </w:r>
      <w:r>
        <w:rPr>
          <w:rFonts w:hint="eastAsia" w:ascii="仿宋_GB2312" w:hAnsi="仿宋_GB2312" w:eastAsia="仿宋_GB2312" w:cs="仿宋_GB2312"/>
          <w:sz w:val="32"/>
          <w:szCs w:val="32"/>
          <w:lang w:val="en-US" w:eastAsia="zh-CN"/>
        </w:rPr>
        <w:t>6辆，</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台（套），单价100万元以上专用设备（不含车辆）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771AF6F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（三）预算绩效管理情况。</w:t>
      </w:r>
    </w:p>
    <w:p w14:paraId="5F8374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根据预算绩效管理要求，本单位在2023年度预算编制阶段，组织对</w:t>
      </w:r>
      <w:r>
        <w:rPr>
          <w:rFonts w:hint="eastAsia" w:ascii="仿宋_GB2312" w:hAnsi="仿宋_GB2312" w:eastAsia="仿宋_GB2312" w:cs="仿宋_GB2312"/>
          <w:sz w:val="32"/>
          <w:szCs w:val="32"/>
          <w:lang w:val="en-US" w:eastAsia="zh-CN"/>
        </w:rPr>
        <w:t>聘用人员经费、劳务绩效补偿、生产成本和无名尸、特困人员火化经费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个项目开展绩效自评，绩效自评表详见第四部分附件。</w:t>
      </w:r>
    </w:p>
    <w:p w14:paraId="33AEED5B">
      <w:pPr>
        <w:autoSpaceDE w:val="0"/>
        <w:autoSpaceDN w:val="0"/>
        <w:adjustRightInd w:val="0"/>
        <w:spacing w:line="600" w:lineRule="exact"/>
        <w:ind w:firstLine="640" w:firstLineChars="200"/>
        <w:rPr>
          <w:rFonts w:ascii="仿宋_GB2312" w:hAnsi="仿宋_GB2312" w:eastAsia="仿宋_GB2312" w:cs="仿宋_GB2312"/>
          <w:sz w:val="32"/>
          <w:szCs w:val="32"/>
        </w:rPr>
      </w:pPr>
    </w:p>
    <w:p w14:paraId="3F9F12D2">
      <w:pPr>
        <w:pStyle w:val="8"/>
        <w:spacing w:before="93"/>
      </w:pPr>
    </w:p>
    <w:p w14:paraId="7448EE86">
      <w:pPr>
        <w:numPr>
          <w:ilvl w:val="0"/>
          <w:numId w:val="3"/>
        </w:numPr>
        <w:spacing w:line="600" w:lineRule="exact"/>
        <w:ind w:firstLine="660"/>
        <w:outlineLvl w:val="0"/>
        <w:rPr>
          <w:rStyle w:val="27"/>
          <w:rFonts w:ascii="黑体" w:hAnsi="黑体" w:eastAsia="黑体"/>
          <w:b w:val="0"/>
        </w:rPr>
      </w:pPr>
      <w:bookmarkStart w:id="46" w:name="_Toc15377225"/>
      <w:bookmarkStart w:id="47" w:name="_Toc15396613"/>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 xml:space="preserve">  名</w:t>
      </w:r>
      <w:r>
        <w:rPr>
          <w:rStyle w:val="27"/>
          <w:rFonts w:hint="eastAsia" w:ascii="黑体" w:hAnsi="黑体" w:eastAsia="黑体"/>
          <w:b w:val="0"/>
        </w:rPr>
        <w:t>词解释</w:t>
      </w:r>
      <w:bookmarkEnd w:id="46"/>
      <w:bookmarkEnd w:id="47"/>
    </w:p>
    <w:p w14:paraId="35284303">
      <w:pPr>
        <w:spacing w:line="600" w:lineRule="exact"/>
        <w:jc w:val="left"/>
        <w:rPr>
          <w:rFonts w:ascii="宋体"/>
          <w:b/>
          <w:color w:val="000000"/>
          <w:sz w:val="44"/>
          <w:szCs w:val="44"/>
        </w:rPr>
      </w:pPr>
    </w:p>
    <w:p w14:paraId="3193F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财政拨款收入：指单位从同级财政部门取得的财政预算资金。</w:t>
      </w:r>
    </w:p>
    <w:p w14:paraId="37C3E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事业收入：指事业单位开展专业业务活动及辅助活动取得的收入。如…（二级预算单位事业收入情况）等。</w:t>
      </w:r>
    </w:p>
    <w:p w14:paraId="58D91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经营收入：指事业单位在专业业务活动及其辅助活动之外开展非独立核算经营活动取得的收入。如…（二级预算单位经营收入情况）等。</w:t>
      </w:r>
    </w:p>
    <w:p w14:paraId="6549A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其他收入：指单位取得的除上述收入以外的各项收入。主要是…（收入类型）等。 </w:t>
      </w:r>
    </w:p>
    <w:p w14:paraId="216E3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 xml:space="preserve">使用非财政拨款结余（含专用结余）：指事业单位使用以前年度积累的非财政拨款结余弥补当年收支差额的金额。 </w:t>
      </w:r>
    </w:p>
    <w:p w14:paraId="1969D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 xml:space="preserve">年初结转和结余：指以前年度尚未完成、结转到本年按有关规定继续使用的资金。 </w:t>
      </w:r>
    </w:p>
    <w:p w14:paraId="44CB2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726B4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年末结转和结余：指单位按有关规定结转到下年或以后年度继续使用的资金。</w:t>
      </w:r>
    </w:p>
    <w:p w14:paraId="38B85EAE">
      <w:pPr>
        <w:spacing w:line="60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lang w:eastAsia="zh-CN"/>
        </w:rPr>
        <w:t>九</w:t>
      </w:r>
      <w:r>
        <w:rPr>
          <w:rFonts w:hint="eastAsia" w:ascii="仿宋_GB2312" w:eastAsia="仿宋_GB2312"/>
          <w:color w:val="000000"/>
          <w:sz w:val="32"/>
          <w:szCs w:val="32"/>
        </w:rPr>
        <w:t>、</w:t>
      </w:r>
      <w:r>
        <w:rPr>
          <w:rFonts w:hint="eastAsia" w:ascii="仿宋_GB2312" w:eastAsia="仿宋_GB2312"/>
          <w:b/>
          <w:bCs/>
          <w:color w:val="000000"/>
          <w:sz w:val="32"/>
          <w:szCs w:val="32"/>
        </w:rPr>
        <w:t>社会保障和就业支出</w:t>
      </w:r>
    </w:p>
    <w:p w14:paraId="07F0CC02">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1.</w:t>
      </w:r>
      <w:r>
        <w:rPr>
          <w:rStyle w:val="17"/>
          <w:rFonts w:hint="eastAsia" w:ascii="仿宋" w:hAnsi="仿宋" w:eastAsia="仿宋"/>
          <w:b w:val="0"/>
          <w:bCs/>
          <w:color w:val="000000"/>
          <w:sz w:val="32"/>
          <w:szCs w:val="32"/>
        </w:rPr>
        <w:t>2080505机关事业单位基本养老保险缴费支出：用于事业人员</w:t>
      </w:r>
      <w:r>
        <w:rPr>
          <w:rStyle w:val="17"/>
          <w:rFonts w:hint="eastAsia" w:ascii="仿宋" w:hAnsi="仿宋" w:eastAsia="仿宋"/>
          <w:b w:val="0"/>
          <w:bCs/>
          <w:color w:val="000000"/>
          <w:sz w:val="32"/>
          <w:szCs w:val="32"/>
          <w:lang w:eastAsia="zh-CN"/>
        </w:rPr>
        <w:t>基本</w:t>
      </w:r>
      <w:r>
        <w:rPr>
          <w:rStyle w:val="17"/>
          <w:rFonts w:hint="eastAsia" w:ascii="仿宋" w:hAnsi="仿宋" w:eastAsia="仿宋"/>
          <w:b w:val="0"/>
          <w:bCs/>
          <w:color w:val="000000"/>
          <w:sz w:val="32"/>
          <w:szCs w:val="32"/>
        </w:rPr>
        <w:t>养老保险缴费。</w:t>
      </w:r>
    </w:p>
    <w:p w14:paraId="756A1DAE">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2.</w:t>
      </w:r>
      <w:r>
        <w:rPr>
          <w:rStyle w:val="17"/>
          <w:rFonts w:hint="eastAsia" w:ascii="仿宋" w:hAnsi="仿宋" w:eastAsia="仿宋"/>
          <w:b w:val="0"/>
          <w:bCs/>
          <w:color w:val="000000"/>
          <w:sz w:val="32"/>
          <w:szCs w:val="32"/>
        </w:rPr>
        <w:t>2080506机关事业单位职业年金缴费支出：用于事业人员职业年金缴费。</w:t>
      </w:r>
    </w:p>
    <w:p w14:paraId="1906B33E">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3.</w:t>
      </w:r>
      <w:r>
        <w:rPr>
          <w:rStyle w:val="17"/>
          <w:rFonts w:hint="eastAsia" w:ascii="仿宋" w:hAnsi="仿宋" w:eastAsia="仿宋"/>
          <w:b w:val="0"/>
          <w:bCs/>
          <w:color w:val="000000"/>
          <w:sz w:val="32"/>
          <w:szCs w:val="32"/>
        </w:rPr>
        <w:t>2089999其他社会保障和就业支出：用于事业人员工伤保险支出</w:t>
      </w:r>
      <w:r>
        <w:rPr>
          <w:rStyle w:val="17"/>
          <w:rFonts w:hint="eastAsia" w:ascii="仿宋" w:hAnsi="仿宋" w:eastAsia="仿宋"/>
          <w:b w:val="0"/>
          <w:bCs/>
          <w:color w:val="000000"/>
          <w:sz w:val="32"/>
          <w:szCs w:val="32"/>
          <w:lang w:eastAsia="zh-CN"/>
        </w:rPr>
        <w:t>和</w:t>
      </w:r>
      <w:r>
        <w:rPr>
          <w:rStyle w:val="17"/>
          <w:rFonts w:hint="eastAsia" w:ascii="仿宋" w:hAnsi="仿宋" w:eastAsia="仿宋"/>
          <w:b w:val="0"/>
          <w:bCs/>
          <w:color w:val="000000"/>
          <w:sz w:val="32"/>
          <w:szCs w:val="32"/>
          <w:lang w:val="en-US" w:eastAsia="zh-CN"/>
        </w:rPr>
        <w:t>2023年</w:t>
      </w:r>
      <w:r>
        <w:rPr>
          <w:rStyle w:val="17"/>
          <w:rFonts w:hint="eastAsia" w:ascii="仿宋" w:hAnsi="仿宋" w:eastAsia="仿宋"/>
          <w:b w:val="0"/>
          <w:bCs/>
          <w:color w:val="000000"/>
          <w:sz w:val="32"/>
          <w:szCs w:val="32"/>
          <w:lang w:eastAsia="zh-CN"/>
        </w:rPr>
        <w:t>残保金支出</w:t>
      </w:r>
      <w:r>
        <w:rPr>
          <w:rStyle w:val="17"/>
          <w:rFonts w:hint="eastAsia" w:ascii="仿宋" w:hAnsi="仿宋" w:eastAsia="仿宋"/>
          <w:b w:val="0"/>
          <w:bCs/>
          <w:color w:val="000000"/>
          <w:sz w:val="32"/>
          <w:szCs w:val="32"/>
        </w:rPr>
        <w:t>。</w:t>
      </w:r>
    </w:p>
    <w:p w14:paraId="105001F3">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4.</w:t>
      </w:r>
      <w:r>
        <w:rPr>
          <w:rStyle w:val="17"/>
          <w:rFonts w:hint="eastAsia" w:ascii="仿宋" w:hAnsi="仿宋" w:eastAsia="仿宋"/>
          <w:b w:val="0"/>
          <w:bCs/>
          <w:color w:val="000000"/>
          <w:sz w:val="32"/>
          <w:szCs w:val="32"/>
        </w:rPr>
        <w:t>2081004殡葬支出：用于全体职工工资</w:t>
      </w:r>
      <w:r>
        <w:rPr>
          <w:rStyle w:val="17"/>
          <w:rFonts w:hint="eastAsia" w:ascii="仿宋" w:hAnsi="仿宋" w:eastAsia="仿宋"/>
          <w:b w:val="0"/>
          <w:bCs/>
          <w:color w:val="000000"/>
          <w:sz w:val="32"/>
          <w:szCs w:val="32"/>
          <w:lang w:eastAsia="zh-CN"/>
        </w:rPr>
        <w:t>、津贴、绩效</w:t>
      </w:r>
      <w:r>
        <w:rPr>
          <w:rStyle w:val="17"/>
          <w:rFonts w:hint="eastAsia" w:ascii="仿宋" w:hAnsi="仿宋" w:eastAsia="仿宋"/>
          <w:b w:val="0"/>
          <w:bCs/>
          <w:color w:val="000000"/>
          <w:sz w:val="32"/>
          <w:szCs w:val="32"/>
        </w:rPr>
        <w:t>支出，日常</w:t>
      </w:r>
      <w:r>
        <w:rPr>
          <w:rStyle w:val="17"/>
          <w:rFonts w:hint="eastAsia" w:ascii="仿宋" w:hAnsi="仿宋" w:eastAsia="仿宋"/>
          <w:b w:val="0"/>
          <w:bCs/>
          <w:color w:val="000000"/>
          <w:sz w:val="32"/>
          <w:szCs w:val="32"/>
          <w:lang w:eastAsia="zh-CN"/>
        </w:rPr>
        <w:t>公用经费、生产成本和劳务绩效支出</w:t>
      </w:r>
      <w:r>
        <w:rPr>
          <w:rStyle w:val="17"/>
          <w:rFonts w:hint="eastAsia" w:ascii="仿宋" w:hAnsi="仿宋" w:eastAsia="仿宋"/>
          <w:b w:val="0"/>
          <w:bCs/>
          <w:color w:val="000000"/>
          <w:sz w:val="32"/>
          <w:szCs w:val="32"/>
        </w:rPr>
        <w:t>。</w:t>
      </w:r>
    </w:p>
    <w:p w14:paraId="51BD403E">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color w:val="000000"/>
          <w:sz w:val="32"/>
          <w:szCs w:val="32"/>
          <w:lang w:eastAsia="zh-CN"/>
        </w:rPr>
        <w:t>十</w:t>
      </w:r>
      <w:r>
        <w:rPr>
          <w:rStyle w:val="17"/>
          <w:rFonts w:hint="eastAsia" w:ascii="仿宋" w:hAnsi="仿宋" w:eastAsia="仿宋"/>
          <w:color w:val="000000"/>
          <w:sz w:val="32"/>
          <w:szCs w:val="32"/>
        </w:rPr>
        <w:t>、卫生健康支出</w:t>
      </w:r>
      <w:r>
        <w:rPr>
          <w:rStyle w:val="17"/>
          <w:rFonts w:hint="eastAsia" w:ascii="仿宋" w:hAnsi="仿宋" w:eastAsia="仿宋"/>
          <w:b w:val="0"/>
          <w:bCs/>
          <w:color w:val="000000"/>
          <w:sz w:val="32"/>
          <w:szCs w:val="32"/>
        </w:rPr>
        <w:t>：2101102事业单位医疗支出：用于事业人员医疗保险支出。</w:t>
      </w:r>
    </w:p>
    <w:p w14:paraId="0E9722B9">
      <w:pPr>
        <w:spacing w:line="600" w:lineRule="exact"/>
        <w:ind w:firstLine="643" w:firstLineChars="200"/>
        <w:rPr>
          <w:rFonts w:ascii="仿宋" w:hAnsi="仿宋" w:eastAsia="仿宋"/>
          <w:b/>
          <w:color w:val="000000"/>
          <w:sz w:val="32"/>
          <w:szCs w:val="32"/>
        </w:rPr>
      </w:pPr>
      <w:r>
        <w:rPr>
          <w:rStyle w:val="17"/>
          <w:rFonts w:hint="eastAsia" w:ascii="仿宋" w:hAnsi="仿宋" w:eastAsia="仿宋"/>
          <w:color w:val="000000"/>
          <w:sz w:val="32"/>
          <w:szCs w:val="32"/>
          <w:lang w:eastAsia="zh-CN"/>
        </w:rPr>
        <w:t>十一</w:t>
      </w:r>
      <w:r>
        <w:rPr>
          <w:rStyle w:val="17"/>
          <w:rFonts w:hint="eastAsia" w:ascii="仿宋" w:hAnsi="仿宋" w:eastAsia="仿宋"/>
          <w:color w:val="000000"/>
          <w:sz w:val="32"/>
          <w:szCs w:val="32"/>
        </w:rPr>
        <w:t>、住房保障支出</w:t>
      </w:r>
      <w:r>
        <w:rPr>
          <w:rStyle w:val="17"/>
          <w:rFonts w:hint="eastAsia" w:ascii="仿宋" w:hAnsi="仿宋" w:eastAsia="仿宋"/>
          <w:b w:val="0"/>
          <w:bCs/>
          <w:color w:val="000000"/>
          <w:sz w:val="32"/>
          <w:szCs w:val="32"/>
        </w:rPr>
        <w:t>：2210201住房公积金支出：用于事业人员住房公积金支出。</w:t>
      </w:r>
    </w:p>
    <w:p w14:paraId="2AA1615A">
      <w:pPr>
        <w:pStyle w:val="8"/>
        <w:spacing w:before="93"/>
        <w:ind w:firstLine="642"/>
        <w:rPr>
          <w:rFonts w:hint="eastAsia" w:ascii="仿宋" w:hAnsi="仿宋" w:eastAsia="仿宋"/>
          <w:bCs/>
          <w:color w:val="000000"/>
          <w:sz w:val="32"/>
          <w:szCs w:val="32"/>
        </w:rPr>
      </w:pPr>
      <w:r>
        <w:rPr>
          <w:rFonts w:hint="eastAsia" w:ascii="仿宋_GB2312" w:hAnsi="仿宋_GB2312" w:eastAsia="仿宋_GB2312" w:cs="仿宋_GB2312"/>
          <w:b/>
          <w:bCs/>
          <w:sz w:val="32"/>
          <w:szCs w:val="32"/>
        </w:rPr>
        <w:t>（解释本单位决算报表中涉及的全部功能分类科目至项级，不涉及的科目请自行删除。请参照《2023年政府收支分类科目》增减内容。）</w:t>
      </w:r>
    </w:p>
    <w:p w14:paraId="10E39C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基本支出：指为保障机构正常运转、完成日常工作任务而发生的人员支出和公用支出。</w:t>
      </w:r>
    </w:p>
    <w:p w14:paraId="05FCA6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项目支出：指在基本支出之外为完成特定</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 xml:space="preserve">任务和事业发展目标所发生的支出。 </w:t>
      </w:r>
    </w:p>
    <w:p w14:paraId="67FFC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33156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0112BE">
      <w:pPr>
        <w:pStyle w:val="25"/>
        <w:spacing w:line="560" w:lineRule="exact"/>
        <w:ind w:firstLine="640" w:firstLineChars="200"/>
        <w:rPr>
          <w:rFonts w:ascii="仿宋_GB2312" w:eastAsia="仿宋_GB2312" w:cs="黑体"/>
          <w:sz w:val="32"/>
          <w:szCs w:val="32"/>
        </w:rPr>
      </w:pP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51A37A">
      <w:pPr>
        <w:spacing w:line="600" w:lineRule="exact"/>
        <w:jc w:val="center"/>
        <w:outlineLvl w:val="0"/>
        <w:rPr>
          <w:rFonts w:ascii="方正小标宋_GBK" w:hAnsi="方正小标宋_GBK" w:eastAsia="方正小标宋_GBK" w:cs="方正小标宋_GBK"/>
          <w:sz w:val="44"/>
          <w:szCs w:val="44"/>
        </w:rPr>
      </w:pPr>
    </w:p>
    <w:p w14:paraId="00BDA0E9">
      <w:pPr>
        <w:spacing w:line="600" w:lineRule="exact"/>
        <w:ind w:firstLine="2640" w:firstLineChars="600"/>
        <w:outlineLvl w:val="0"/>
        <w:rPr>
          <w:rFonts w:hint="eastAsia" w:ascii="方正小标宋_GBK" w:hAnsi="方正小标宋_GBK" w:eastAsia="方正小标宋_GBK" w:cs="方正小标宋_GBK"/>
          <w:sz w:val="44"/>
          <w:szCs w:val="44"/>
        </w:rPr>
      </w:pPr>
    </w:p>
    <w:p w14:paraId="466BDA4A">
      <w:pPr>
        <w:numPr>
          <w:ilvl w:val="0"/>
          <w:numId w:val="0"/>
        </w:numPr>
        <w:spacing w:line="600" w:lineRule="exact"/>
        <w:ind w:firstLine="2640" w:firstLineChars="600"/>
        <w:outlineLvl w:val="0"/>
        <w:rPr>
          <w:rStyle w:val="33"/>
          <w:rFonts w:hint="eastAsia" w:ascii="方正小标宋_GBK" w:hAnsi="方正小标宋_GBK" w:eastAsia="方正小标宋_GBK" w:cs="方正小标宋_GBK"/>
          <w:b w:val="0"/>
          <w:lang w:eastAsia="zh-CN"/>
        </w:rPr>
      </w:pPr>
    </w:p>
    <w:p w14:paraId="17FF9B6E">
      <w:pPr>
        <w:numPr>
          <w:ilvl w:val="0"/>
          <w:numId w:val="0"/>
        </w:numPr>
        <w:spacing w:line="600" w:lineRule="exact"/>
        <w:ind w:firstLine="2640" w:firstLineChars="600"/>
        <w:outlineLvl w:val="0"/>
        <w:rPr>
          <w:rStyle w:val="33"/>
          <w:rFonts w:hint="eastAsia" w:ascii="方正小标宋_GBK" w:hAnsi="方正小标宋_GBK" w:eastAsia="方正小标宋_GBK" w:cs="方正小标宋_GBK"/>
          <w:b w:val="0"/>
          <w:lang w:eastAsia="zh-CN"/>
        </w:rPr>
      </w:pPr>
    </w:p>
    <w:p w14:paraId="70D49FE2">
      <w:pPr>
        <w:numPr>
          <w:ilvl w:val="0"/>
          <w:numId w:val="0"/>
        </w:numPr>
        <w:spacing w:line="600" w:lineRule="exact"/>
        <w:ind w:firstLine="2640" w:firstLineChars="600"/>
        <w:outlineLvl w:val="0"/>
        <w:rPr>
          <w:rStyle w:val="33"/>
          <w:rFonts w:hint="eastAsia" w:ascii="方正小标宋_GBK" w:hAnsi="方正小标宋_GBK" w:eastAsia="方正小标宋_GBK" w:cs="方正小标宋_GBK"/>
          <w:b w:val="0"/>
        </w:rPr>
      </w:pPr>
      <w:r>
        <w:rPr>
          <w:rStyle w:val="33"/>
          <w:rFonts w:hint="eastAsia" w:ascii="方正小标宋_GBK" w:hAnsi="方正小标宋_GBK" w:eastAsia="方正小标宋_GBK" w:cs="方正小标宋_GBK"/>
          <w:b w:val="0"/>
          <w:lang w:eastAsia="zh-CN"/>
        </w:rPr>
        <w:t>第四部分</w:t>
      </w:r>
      <w:r>
        <w:rPr>
          <w:rStyle w:val="33"/>
          <w:rFonts w:hint="eastAsia" w:ascii="方正小标宋_GBK" w:hAnsi="方正小标宋_GBK" w:eastAsia="方正小标宋_GBK" w:cs="方正小标宋_GBK"/>
          <w:b w:val="0"/>
        </w:rPr>
        <w:t>附  件</w:t>
      </w:r>
    </w:p>
    <w:p w14:paraId="0B00D00D">
      <w:pPr>
        <w:pStyle w:val="2"/>
        <w:numPr>
          <w:ilvl w:val="0"/>
          <w:numId w:val="0"/>
        </w:numPr>
        <w:rPr>
          <w:rFonts w:hint="eastAsia"/>
        </w:rPr>
      </w:pPr>
    </w:p>
    <w:p w14:paraId="4488E25D">
      <w:pPr>
        <w:pStyle w:val="3"/>
        <w:ind w:left="0" w:leftChars="0" w:firstLine="0" w:firstLineChars="0"/>
        <w:rPr>
          <w:rFonts w:hint="eastAsia"/>
        </w:rPr>
      </w:pPr>
    </w:p>
    <w:tbl>
      <w:tblPr>
        <w:tblStyle w:val="15"/>
        <w:tblpPr w:leftFromText="180" w:rightFromText="180" w:vertAnchor="text" w:horzAnchor="page" w:tblpX="1275" w:tblpY="304"/>
        <w:tblOverlap w:val="never"/>
        <w:tblW w:w="9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955"/>
        <w:gridCol w:w="1091"/>
        <w:gridCol w:w="1297"/>
        <w:gridCol w:w="519"/>
        <w:gridCol w:w="973"/>
        <w:gridCol w:w="435"/>
        <w:gridCol w:w="929"/>
        <w:gridCol w:w="505"/>
        <w:gridCol w:w="486"/>
        <w:gridCol w:w="2001"/>
      </w:tblGrid>
      <w:tr w14:paraId="4E61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344AE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13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gridSpan w:val="2"/>
            <w:tcBorders>
              <w:top w:val="nil"/>
              <w:left w:val="single" w:color="000000" w:sz="4" w:space="0"/>
              <w:bottom w:val="single" w:color="000000" w:sz="4" w:space="0"/>
              <w:right w:val="single" w:color="000000" w:sz="4" w:space="0"/>
            </w:tcBorders>
            <w:shd w:val="clear" w:color="auto" w:fill="auto"/>
            <w:vAlign w:val="center"/>
          </w:tcPr>
          <w:p w14:paraId="1F579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nil"/>
              <w:left w:val="single" w:color="000000" w:sz="4" w:space="0"/>
              <w:bottom w:val="single" w:color="000000" w:sz="4" w:space="0"/>
              <w:right w:val="single" w:color="000000" w:sz="4" w:space="0"/>
            </w:tcBorders>
            <w:shd w:val="clear" w:color="auto" w:fill="auto"/>
            <w:vAlign w:val="center"/>
          </w:tcPr>
          <w:p w14:paraId="5CC11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51118121T000000059053-劳务绩效补偿</w:t>
            </w:r>
          </w:p>
        </w:tc>
      </w:tr>
      <w:tr w14:paraId="5F7B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E3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17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14:paraId="721C161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72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5FBA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245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F14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96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03CE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01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5334">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7708">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EA6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职工参与延伸服务，按2.5倍核定绩效工资</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006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653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398E">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6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307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严格按文件要求，职工参与延伸服务，按月发放劳务绩效。</w:t>
            </w:r>
          </w:p>
        </w:tc>
      </w:tr>
      <w:tr w14:paraId="0A28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A4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5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D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A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D4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D7A2">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A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6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FD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2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D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6F6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8E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0D6A">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2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3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94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C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5027">
            <w:pPr>
              <w:rPr>
                <w:rFonts w:hint="eastAsia" w:ascii="黑体" w:hAnsi="黑体" w:eastAsia="黑体" w:cs="黑体"/>
                <w:i/>
                <w:iCs/>
                <w:color w:val="000000"/>
                <w:sz w:val="18"/>
                <w:szCs w:val="18"/>
                <w:u w:val="none"/>
              </w:rPr>
            </w:pPr>
          </w:p>
        </w:tc>
      </w:tr>
      <w:tr w14:paraId="6D1A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FD1E">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3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54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4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1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A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B3E8">
            <w:pPr>
              <w:rPr>
                <w:rFonts w:hint="eastAsia" w:ascii="黑体" w:hAnsi="黑体" w:eastAsia="黑体" w:cs="黑体"/>
                <w:i/>
                <w:iCs/>
                <w:color w:val="000000"/>
                <w:sz w:val="18"/>
                <w:szCs w:val="18"/>
                <w:u w:val="none"/>
              </w:rPr>
            </w:pPr>
          </w:p>
        </w:tc>
      </w:tr>
      <w:tr w14:paraId="7232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60CB">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E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F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2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C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5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D56D">
            <w:pPr>
              <w:rPr>
                <w:rFonts w:hint="eastAsia" w:ascii="黑体" w:hAnsi="黑体" w:eastAsia="黑体" w:cs="黑体"/>
                <w:i/>
                <w:iCs/>
                <w:color w:val="000000"/>
                <w:sz w:val="18"/>
                <w:szCs w:val="18"/>
                <w:u w:val="none"/>
              </w:rPr>
            </w:pPr>
          </w:p>
        </w:tc>
      </w:tr>
      <w:tr w14:paraId="4E86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95DA">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2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62B8">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40E7">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6EE6A">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FF4">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B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F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A854">
            <w:pPr>
              <w:rPr>
                <w:rFonts w:hint="eastAsia" w:ascii="黑体" w:hAnsi="黑体" w:eastAsia="黑体" w:cs="黑体"/>
                <w:i/>
                <w:iCs/>
                <w:color w:val="000000"/>
                <w:sz w:val="18"/>
                <w:szCs w:val="18"/>
                <w:u w:val="none"/>
              </w:rPr>
            </w:pPr>
          </w:p>
        </w:tc>
      </w:tr>
      <w:tr w14:paraId="015F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C3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B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1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3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D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A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5F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2AF3">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C8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职工参与延伸服务，领取2.5倍绩效工资</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F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3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888069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E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2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8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人员减少</w:t>
            </w:r>
          </w:p>
        </w:tc>
      </w:tr>
      <w:tr w14:paraId="19AC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A43E">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181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0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配合好企业参与延伸服务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B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4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A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B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D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F73">
            <w:pPr>
              <w:jc w:val="center"/>
              <w:rPr>
                <w:rFonts w:hint="eastAsia" w:ascii="微软雅黑" w:hAnsi="微软雅黑" w:eastAsia="微软雅黑" w:cs="微软雅黑"/>
                <w:i/>
                <w:iCs/>
                <w:color w:val="000000"/>
                <w:sz w:val="16"/>
                <w:szCs w:val="16"/>
                <w:u w:val="none"/>
              </w:rPr>
            </w:pPr>
          </w:p>
        </w:tc>
      </w:tr>
      <w:tr w14:paraId="0CEA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47795">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5B89">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C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2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9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C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9874">
            <w:pPr>
              <w:jc w:val="center"/>
              <w:rPr>
                <w:rFonts w:hint="eastAsia" w:ascii="微软雅黑" w:hAnsi="微软雅黑" w:eastAsia="微软雅黑" w:cs="微软雅黑"/>
                <w:i/>
                <w:iCs/>
                <w:color w:val="000000"/>
                <w:sz w:val="16"/>
                <w:szCs w:val="16"/>
                <w:u w:val="none"/>
              </w:rPr>
            </w:pPr>
          </w:p>
        </w:tc>
      </w:tr>
      <w:tr w14:paraId="2013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D600">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D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3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F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配合延伸服务满足群众需求</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2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3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A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B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9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7C6">
            <w:pPr>
              <w:jc w:val="center"/>
              <w:rPr>
                <w:rFonts w:hint="eastAsia" w:ascii="微软雅黑" w:hAnsi="微软雅黑" w:eastAsia="微软雅黑" w:cs="微软雅黑"/>
                <w:i/>
                <w:iCs/>
                <w:color w:val="000000"/>
                <w:sz w:val="16"/>
                <w:szCs w:val="16"/>
                <w:u w:val="none"/>
              </w:rPr>
            </w:pPr>
          </w:p>
        </w:tc>
      </w:tr>
      <w:tr w14:paraId="2F5B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B936">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2A7B">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9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B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B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9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D1E">
            <w:pPr>
              <w:jc w:val="center"/>
              <w:rPr>
                <w:rFonts w:hint="eastAsia" w:ascii="微软雅黑" w:hAnsi="微软雅黑" w:eastAsia="微软雅黑" w:cs="微软雅黑"/>
                <w:i/>
                <w:iCs/>
                <w:color w:val="000000"/>
                <w:sz w:val="16"/>
                <w:szCs w:val="16"/>
                <w:u w:val="none"/>
              </w:rPr>
            </w:pPr>
          </w:p>
        </w:tc>
      </w:tr>
      <w:tr w14:paraId="05BE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A738">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93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8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7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1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5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D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AF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D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4792">
            <w:pPr>
              <w:jc w:val="center"/>
              <w:rPr>
                <w:rFonts w:hint="eastAsia" w:ascii="微软雅黑" w:hAnsi="微软雅黑" w:eastAsia="微软雅黑" w:cs="微软雅黑"/>
                <w:i/>
                <w:iCs/>
                <w:color w:val="000000"/>
                <w:sz w:val="16"/>
                <w:szCs w:val="16"/>
                <w:u w:val="none"/>
              </w:rPr>
            </w:pPr>
          </w:p>
        </w:tc>
      </w:tr>
      <w:tr w14:paraId="2AD4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B740">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895A">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6CD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2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3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2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C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9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D984">
            <w:pPr>
              <w:jc w:val="center"/>
              <w:rPr>
                <w:rFonts w:hint="eastAsia" w:ascii="微软雅黑" w:hAnsi="微软雅黑" w:eastAsia="微软雅黑" w:cs="微软雅黑"/>
                <w:i/>
                <w:iCs/>
                <w:color w:val="000000"/>
                <w:sz w:val="16"/>
                <w:szCs w:val="16"/>
                <w:u w:val="none"/>
              </w:rPr>
            </w:pPr>
          </w:p>
        </w:tc>
      </w:tr>
      <w:tr w14:paraId="4281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240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4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FE7">
            <w:pPr>
              <w:rPr>
                <w:rFonts w:hint="eastAsia" w:ascii="宋体" w:hAnsi="宋体" w:eastAsia="宋体" w:cs="宋体"/>
                <w:i w:val="0"/>
                <w:iCs w:val="0"/>
                <w:color w:val="000000"/>
                <w:sz w:val="18"/>
                <w:szCs w:val="18"/>
                <w:u w:val="none"/>
              </w:rPr>
            </w:pPr>
          </w:p>
        </w:tc>
      </w:tr>
      <w:tr w14:paraId="01A6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3042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18B3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EF4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BC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6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B24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60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214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41D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4482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D4A4D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7E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A6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2466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51118122T000000331231-无名尸、特困人员火化经费</w:t>
            </w:r>
          </w:p>
        </w:tc>
      </w:tr>
      <w:tr w14:paraId="4835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F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064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14:paraId="529B89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9D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69A5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00A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B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6F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0C7F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1A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F0C3">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3AFF">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67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保障建档立卡人员、无名尸、特困人员及符合减免人员死亡后基本火化、冷冻、运费、存放费及其他基本服务费等</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7B4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336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4EA0">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41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070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按财政要求，无名尸、特困人员火化经费每年按2万元预算。</w:t>
            </w:r>
          </w:p>
        </w:tc>
      </w:tr>
      <w:tr w14:paraId="3DD6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00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2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5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6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11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1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D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90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2878">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1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A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5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38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E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0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1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879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DE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000F">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E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7D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E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2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B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6CDA0">
            <w:pPr>
              <w:rPr>
                <w:rFonts w:hint="eastAsia" w:ascii="黑体" w:hAnsi="黑体" w:eastAsia="黑体" w:cs="黑体"/>
                <w:i/>
                <w:iCs/>
                <w:color w:val="000000"/>
                <w:sz w:val="18"/>
                <w:szCs w:val="18"/>
                <w:u w:val="none"/>
              </w:rPr>
            </w:pPr>
          </w:p>
        </w:tc>
      </w:tr>
      <w:tr w14:paraId="1C97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C867">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9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2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6A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03D4">
            <w:pPr>
              <w:rPr>
                <w:rFonts w:hint="eastAsia" w:ascii="黑体" w:hAnsi="黑体" w:eastAsia="黑体" w:cs="黑体"/>
                <w:i/>
                <w:iCs/>
                <w:color w:val="000000"/>
                <w:sz w:val="18"/>
                <w:szCs w:val="18"/>
                <w:u w:val="none"/>
              </w:rPr>
            </w:pPr>
          </w:p>
        </w:tc>
      </w:tr>
      <w:tr w14:paraId="091F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B752">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6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34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0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A844">
            <w:pPr>
              <w:rPr>
                <w:rFonts w:hint="eastAsia" w:ascii="黑体" w:hAnsi="黑体" w:eastAsia="黑体" w:cs="黑体"/>
                <w:i/>
                <w:iCs/>
                <w:color w:val="000000"/>
                <w:sz w:val="18"/>
                <w:szCs w:val="18"/>
                <w:u w:val="none"/>
              </w:rPr>
            </w:pPr>
          </w:p>
        </w:tc>
      </w:tr>
      <w:tr w14:paraId="4D0C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582D">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D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CC1">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B03">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0C77A">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D2A7">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89AB">
            <w:pPr>
              <w:rPr>
                <w:rFonts w:hint="eastAsia" w:ascii="黑体" w:hAnsi="黑体" w:eastAsia="黑体" w:cs="黑体"/>
                <w:i/>
                <w:iCs/>
                <w:color w:val="000000"/>
                <w:sz w:val="18"/>
                <w:szCs w:val="18"/>
                <w:u w:val="none"/>
              </w:rPr>
            </w:pPr>
          </w:p>
        </w:tc>
      </w:tr>
      <w:tr w14:paraId="2FB0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A2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5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1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5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A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E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0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F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6E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2F53">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31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火化无名尸、特困人员和符合减免人员火化经费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4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A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2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6C65">
            <w:pPr>
              <w:jc w:val="center"/>
              <w:rPr>
                <w:rFonts w:hint="eastAsia" w:ascii="微软雅黑" w:hAnsi="微软雅黑" w:eastAsia="微软雅黑" w:cs="微软雅黑"/>
                <w:i/>
                <w:iCs/>
                <w:color w:val="000000"/>
                <w:sz w:val="16"/>
                <w:szCs w:val="16"/>
                <w:u w:val="none"/>
              </w:rPr>
            </w:pPr>
          </w:p>
        </w:tc>
      </w:tr>
      <w:tr w14:paraId="0B9D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C834">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D68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C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配合政府完成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5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D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0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2636">
            <w:pPr>
              <w:jc w:val="center"/>
              <w:rPr>
                <w:rFonts w:hint="eastAsia" w:ascii="微软雅黑" w:hAnsi="微软雅黑" w:eastAsia="微软雅黑" w:cs="微软雅黑"/>
                <w:i/>
                <w:iCs/>
                <w:color w:val="000000"/>
                <w:sz w:val="16"/>
                <w:szCs w:val="16"/>
                <w:u w:val="none"/>
              </w:rPr>
            </w:pPr>
          </w:p>
        </w:tc>
      </w:tr>
      <w:tr w14:paraId="22E2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F18E">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C6E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2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9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9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5A2">
            <w:pPr>
              <w:jc w:val="center"/>
              <w:rPr>
                <w:rFonts w:hint="eastAsia" w:ascii="微软雅黑" w:hAnsi="微软雅黑" w:eastAsia="微软雅黑" w:cs="微软雅黑"/>
                <w:i/>
                <w:iCs/>
                <w:color w:val="000000"/>
                <w:sz w:val="16"/>
                <w:szCs w:val="16"/>
                <w:u w:val="none"/>
              </w:rPr>
            </w:pPr>
          </w:p>
        </w:tc>
      </w:tr>
      <w:tr w14:paraId="4A7E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AEED">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75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F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有效保障无名尸、特困人员火化</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7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8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AB7A">
            <w:pPr>
              <w:jc w:val="center"/>
              <w:rPr>
                <w:rFonts w:hint="eastAsia" w:ascii="微软雅黑" w:hAnsi="微软雅黑" w:eastAsia="微软雅黑" w:cs="微软雅黑"/>
                <w:i/>
                <w:iCs/>
                <w:color w:val="000000"/>
                <w:sz w:val="16"/>
                <w:szCs w:val="16"/>
                <w:u w:val="none"/>
              </w:rPr>
            </w:pPr>
          </w:p>
        </w:tc>
      </w:tr>
      <w:tr w14:paraId="37D5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2BA8">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B8B0">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3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A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4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A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3F03">
            <w:pPr>
              <w:jc w:val="center"/>
              <w:rPr>
                <w:rFonts w:hint="eastAsia" w:ascii="微软雅黑" w:hAnsi="微软雅黑" w:eastAsia="微软雅黑" w:cs="微软雅黑"/>
                <w:i/>
                <w:iCs/>
                <w:color w:val="000000"/>
                <w:sz w:val="16"/>
                <w:szCs w:val="16"/>
                <w:u w:val="none"/>
              </w:rPr>
            </w:pPr>
          </w:p>
        </w:tc>
      </w:tr>
      <w:tr w14:paraId="3272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0B48">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86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BA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D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9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B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F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3F0C">
            <w:pPr>
              <w:jc w:val="center"/>
              <w:rPr>
                <w:rFonts w:hint="eastAsia" w:ascii="微软雅黑" w:hAnsi="微软雅黑" w:eastAsia="微软雅黑" w:cs="微软雅黑"/>
                <w:i/>
                <w:iCs/>
                <w:color w:val="000000"/>
                <w:sz w:val="16"/>
                <w:szCs w:val="16"/>
                <w:u w:val="none"/>
              </w:rPr>
            </w:pPr>
          </w:p>
        </w:tc>
      </w:tr>
      <w:tr w14:paraId="2FF7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C58F">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D4D6">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9E3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1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1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6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1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F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7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FC1">
            <w:pPr>
              <w:jc w:val="center"/>
              <w:rPr>
                <w:rFonts w:hint="eastAsia" w:ascii="微软雅黑" w:hAnsi="微软雅黑" w:eastAsia="微软雅黑" w:cs="微软雅黑"/>
                <w:i/>
                <w:iCs/>
                <w:color w:val="000000"/>
                <w:sz w:val="16"/>
                <w:szCs w:val="16"/>
                <w:u w:val="none"/>
              </w:rPr>
            </w:pPr>
          </w:p>
        </w:tc>
      </w:tr>
      <w:tr w14:paraId="0161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F61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5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5C2">
            <w:pPr>
              <w:rPr>
                <w:rFonts w:hint="eastAsia" w:ascii="宋体" w:hAnsi="宋体" w:eastAsia="宋体" w:cs="宋体"/>
                <w:i w:val="0"/>
                <w:iCs w:val="0"/>
                <w:color w:val="000000"/>
                <w:sz w:val="18"/>
                <w:szCs w:val="18"/>
                <w:u w:val="none"/>
              </w:rPr>
            </w:pPr>
          </w:p>
        </w:tc>
      </w:tr>
      <w:tr w14:paraId="7939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0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D79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4CDD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649E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67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32EC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FB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E2A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F97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24C2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14:paraId="7AB1DD1B">
            <w:pPr>
              <w:rPr>
                <w:rFonts w:hint="eastAsia"/>
              </w:rPr>
            </w:pPr>
          </w:p>
          <w:p w14:paraId="2AE699DB">
            <w:pPr>
              <w:pStyle w:val="2"/>
              <w:rPr>
                <w:rFonts w:hint="eastAsia"/>
              </w:rPr>
            </w:pPr>
          </w:p>
          <w:p w14:paraId="55B5079F">
            <w:pPr>
              <w:pStyle w:val="3"/>
              <w:rPr>
                <w:rFonts w:hint="eastAsia"/>
              </w:rPr>
            </w:pPr>
          </w:p>
        </w:tc>
        <w:tc>
          <w:tcPr>
            <w:tcW w:w="955" w:type="dxa"/>
            <w:tcBorders>
              <w:top w:val="nil"/>
              <w:left w:val="nil"/>
              <w:bottom w:val="nil"/>
              <w:right w:val="nil"/>
            </w:tcBorders>
            <w:shd w:val="clear" w:color="auto" w:fill="auto"/>
            <w:vAlign w:val="center"/>
          </w:tcPr>
          <w:p w14:paraId="3608BD8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12CF566A">
            <w:pPr>
              <w:rPr>
                <w:rFonts w:hint="eastAsia" w:ascii="宋体" w:hAnsi="宋体" w:eastAsia="宋体" w:cs="宋体"/>
                <w:i w:val="0"/>
                <w:iCs w:val="0"/>
                <w:color w:val="000000"/>
                <w:sz w:val="18"/>
                <w:szCs w:val="18"/>
                <w:u w:val="none"/>
              </w:rPr>
            </w:pPr>
          </w:p>
        </w:tc>
        <w:tc>
          <w:tcPr>
            <w:tcW w:w="1297" w:type="dxa"/>
            <w:tcBorders>
              <w:top w:val="nil"/>
              <w:left w:val="nil"/>
              <w:bottom w:val="nil"/>
              <w:right w:val="nil"/>
            </w:tcBorders>
            <w:shd w:val="clear" w:color="auto" w:fill="auto"/>
            <w:vAlign w:val="center"/>
          </w:tcPr>
          <w:p w14:paraId="4200C0CF">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4D995D64">
            <w:pPr>
              <w:rPr>
                <w:rFonts w:hint="eastAsia" w:ascii="宋体" w:hAnsi="宋体" w:eastAsia="宋体" w:cs="宋体"/>
                <w:i w:val="0"/>
                <w:iCs w:val="0"/>
                <w:color w:val="000000"/>
                <w:sz w:val="18"/>
                <w:szCs w:val="18"/>
                <w:u w:val="none"/>
              </w:rPr>
            </w:pPr>
          </w:p>
        </w:tc>
        <w:tc>
          <w:tcPr>
            <w:tcW w:w="973" w:type="dxa"/>
            <w:tcBorders>
              <w:top w:val="nil"/>
              <w:left w:val="nil"/>
              <w:bottom w:val="nil"/>
              <w:right w:val="nil"/>
            </w:tcBorders>
            <w:shd w:val="clear" w:color="auto" w:fill="auto"/>
            <w:vAlign w:val="center"/>
          </w:tcPr>
          <w:p w14:paraId="15A92CC3">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5C208E70">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204028A5">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3A1E64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C0D0FC5">
            <w:pPr>
              <w:rPr>
                <w:rFonts w:hint="eastAsia" w:ascii="宋体" w:hAnsi="宋体" w:eastAsia="宋体" w:cs="宋体"/>
                <w:i w:val="0"/>
                <w:iCs w:val="0"/>
                <w:color w:val="000000"/>
                <w:sz w:val="18"/>
                <w:szCs w:val="18"/>
                <w:u w:val="none"/>
              </w:rPr>
            </w:pPr>
          </w:p>
        </w:tc>
        <w:tc>
          <w:tcPr>
            <w:tcW w:w="2001" w:type="dxa"/>
            <w:tcBorders>
              <w:top w:val="nil"/>
              <w:left w:val="nil"/>
              <w:bottom w:val="nil"/>
              <w:right w:val="nil"/>
            </w:tcBorders>
            <w:shd w:val="clear" w:color="auto" w:fill="auto"/>
            <w:vAlign w:val="center"/>
          </w:tcPr>
          <w:p w14:paraId="78B49450">
            <w:pPr>
              <w:rPr>
                <w:rFonts w:hint="eastAsia" w:ascii="宋体" w:hAnsi="宋体" w:eastAsia="宋体" w:cs="宋体"/>
                <w:i w:val="0"/>
                <w:iCs w:val="0"/>
                <w:color w:val="000000"/>
                <w:sz w:val="18"/>
                <w:szCs w:val="18"/>
                <w:u w:val="none"/>
              </w:rPr>
            </w:pPr>
          </w:p>
        </w:tc>
      </w:tr>
      <w:tr w14:paraId="2EC6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5897F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C2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87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DC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51118122T000000333779-生产成本</w:t>
            </w:r>
          </w:p>
        </w:tc>
      </w:tr>
      <w:tr w14:paraId="1101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F7F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74B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14:paraId="020D48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FD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4F54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3F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639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F1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833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BF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82F7">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3488">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DA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完成火化遗体3300具，接运遗体800具，基本殡葬收入达到200万元，按厂家技术考核油耗，保证殡葬工作正常运行。</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D6B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797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1DD9">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5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655F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完成火化、接运遗体所需柴油、汽油、劳保用品、消毒防护用品、设备维修费、殡葬车辆运行费等。</w:t>
            </w:r>
          </w:p>
        </w:tc>
      </w:tr>
      <w:tr w14:paraId="4CC6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EE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5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2E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7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B3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19A93">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E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C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57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5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4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83D2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2D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0C3F">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E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A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28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B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1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5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DF77">
            <w:pPr>
              <w:rPr>
                <w:rFonts w:hint="eastAsia" w:ascii="黑体" w:hAnsi="黑体" w:eastAsia="黑体" w:cs="黑体"/>
                <w:i/>
                <w:iCs/>
                <w:color w:val="000000"/>
                <w:sz w:val="18"/>
                <w:szCs w:val="18"/>
                <w:u w:val="none"/>
              </w:rPr>
            </w:pPr>
          </w:p>
        </w:tc>
      </w:tr>
      <w:tr w14:paraId="235B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D141">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C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A3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2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D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A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1EFE">
            <w:pPr>
              <w:rPr>
                <w:rFonts w:hint="eastAsia" w:ascii="黑体" w:hAnsi="黑体" w:eastAsia="黑体" w:cs="黑体"/>
                <w:i/>
                <w:iCs/>
                <w:color w:val="000000"/>
                <w:sz w:val="18"/>
                <w:szCs w:val="18"/>
                <w:u w:val="none"/>
              </w:rPr>
            </w:pPr>
          </w:p>
        </w:tc>
      </w:tr>
      <w:tr w14:paraId="794E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6ED9">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2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D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82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A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1139">
            <w:pPr>
              <w:rPr>
                <w:rFonts w:hint="eastAsia" w:ascii="黑体" w:hAnsi="黑体" w:eastAsia="黑体" w:cs="黑体"/>
                <w:i/>
                <w:iCs/>
                <w:color w:val="000000"/>
                <w:sz w:val="18"/>
                <w:szCs w:val="18"/>
                <w:u w:val="none"/>
              </w:rPr>
            </w:pPr>
          </w:p>
        </w:tc>
      </w:tr>
      <w:tr w14:paraId="1030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FAFC">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9B3E">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A14">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BDD74">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CAEB">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4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D99E">
            <w:pPr>
              <w:rPr>
                <w:rFonts w:hint="eastAsia" w:ascii="黑体" w:hAnsi="黑体" w:eastAsia="黑体" w:cs="黑体"/>
                <w:i/>
                <w:iCs/>
                <w:color w:val="000000"/>
                <w:sz w:val="18"/>
                <w:szCs w:val="18"/>
                <w:u w:val="none"/>
              </w:rPr>
            </w:pPr>
          </w:p>
        </w:tc>
      </w:tr>
      <w:tr w14:paraId="602D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5A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A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8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5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4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6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E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A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2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DE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3CA70">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AF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A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火化遗体3300具，接运遗体800具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C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D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3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7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40C">
            <w:pPr>
              <w:jc w:val="center"/>
              <w:rPr>
                <w:rFonts w:hint="eastAsia" w:ascii="微软雅黑" w:hAnsi="微软雅黑" w:eastAsia="微软雅黑" w:cs="微软雅黑"/>
                <w:i/>
                <w:iCs/>
                <w:color w:val="000000"/>
                <w:sz w:val="16"/>
                <w:szCs w:val="16"/>
                <w:u w:val="none"/>
              </w:rPr>
            </w:pPr>
          </w:p>
        </w:tc>
      </w:tr>
      <w:tr w14:paraId="46B2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1203">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C43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C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2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保质保量完成火化遗体和接运遗体</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5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D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2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4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B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4CD1">
            <w:pPr>
              <w:jc w:val="center"/>
              <w:rPr>
                <w:rFonts w:hint="eastAsia" w:ascii="微软雅黑" w:hAnsi="微软雅黑" w:eastAsia="微软雅黑" w:cs="微软雅黑"/>
                <w:i/>
                <w:iCs/>
                <w:color w:val="000000"/>
                <w:sz w:val="16"/>
                <w:szCs w:val="16"/>
                <w:u w:val="none"/>
              </w:rPr>
            </w:pPr>
          </w:p>
        </w:tc>
      </w:tr>
      <w:tr w14:paraId="4FE8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4366">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535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E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6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9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F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6E5">
            <w:pPr>
              <w:jc w:val="center"/>
              <w:rPr>
                <w:rFonts w:hint="eastAsia" w:ascii="微软雅黑" w:hAnsi="微软雅黑" w:eastAsia="微软雅黑" w:cs="微软雅黑"/>
                <w:i/>
                <w:iCs/>
                <w:color w:val="000000"/>
                <w:sz w:val="16"/>
                <w:szCs w:val="16"/>
                <w:u w:val="none"/>
              </w:rPr>
            </w:pPr>
          </w:p>
        </w:tc>
      </w:tr>
      <w:tr w14:paraId="7D29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80CD">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46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2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绿色惠民殡葬</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6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D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7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FD73">
            <w:pPr>
              <w:jc w:val="center"/>
              <w:rPr>
                <w:rFonts w:hint="eastAsia" w:ascii="微软雅黑" w:hAnsi="微软雅黑" w:eastAsia="微软雅黑" w:cs="微软雅黑"/>
                <w:i/>
                <w:iCs/>
                <w:color w:val="000000"/>
                <w:sz w:val="16"/>
                <w:szCs w:val="16"/>
                <w:u w:val="none"/>
              </w:rPr>
            </w:pPr>
          </w:p>
        </w:tc>
      </w:tr>
      <w:tr w14:paraId="00AC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9680">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216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1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殡葬工作每年持续开展</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D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D886">
            <w:pPr>
              <w:jc w:val="center"/>
              <w:rPr>
                <w:rFonts w:hint="eastAsia" w:ascii="微软雅黑" w:hAnsi="微软雅黑" w:eastAsia="微软雅黑" w:cs="微软雅黑"/>
                <w:i/>
                <w:iCs/>
                <w:color w:val="000000"/>
                <w:sz w:val="16"/>
                <w:szCs w:val="16"/>
                <w:u w:val="none"/>
              </w:rPr>
            </w:pPr>
          </w:p>
        </w:tc>
      </w:tr>
      <w:tr w14:paraId="28FE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50DF">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E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CF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E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3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7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4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1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C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67D">
            <w:pPr>
              <w:jc w:val="center"/>
              <w:rPr>
                <w:rFonts w:hint="eastAsia" w:ascii="微软雅黑" w:hAnsi="微软雅黑" w:eastAsia="微软雅黑" w:cs="微软雅黑"/>
                <w:i/>
                <w:iCs/>
                <w:color w:val="000000"/>
                <w:sz w:val="16"/>
                <w:szCs w:val="16"/>
                <w:u w:val="none"/>
              </w:rPr>
            </w:pPr>
          </w:p>
        </w:tc>
      </w:tr>
      <w:tr w14:paraId="55E5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CB6C">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63AC">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4E84">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3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5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9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EDB2">
            <w:pPr>
              <w:jc w:val="center"/>
              <w:rPr>
                <w:rFonts w:hint="eastAsia" w:ascii="微软雅黑" w:hAnsi="微软雅黑" w:eastAsia="微软雅黑" w:cs="微软雅黑"/>
                <w:i/>
                <w:iCs/>
                <w:color w:val="000000"/>
                <w:sz w:val="16"/>
                <w:szCs w:val="16"/>
                <w:u w:val="none"/>
              </w:rPr>
            </w:pPr>
          </w:p>
        </w:tc>
      </w:tr>
      <w:tr w14:paraId="391B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32E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EBF">
            <w:pPr>
              <w:rPr>
                <w:rFonts w:hint="eastAsia" w:ascii="宋体" w:hAnsi="宋体" w:eastAsia="宋体" w:cs="宋体"/>
                <w:i w:val="0"/>
                <w:iCs w:val="0"/>
                <w:color w:val="000000"/>
                <w:sz w:val="18"/>
                <w:szCs w:val="18"/>
                <w:u w:val="none"/>
              </w:rPr>
            </w:pPr>
          </w:p>
        </w:tc>
      </w:tr>
      <w:tr w14:paraId="0477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1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BB52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72E1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0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0D2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9D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C6A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FD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977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865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2202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14:paraId="7DFC103B">
            <w:pPr>
              <w:rPr>
                <w:rFonts w:hint="eastAsia"/>
              </w:rPr>
            </w:pPr>
          </w:p>
          <w:p w14:paraId="67E50BB5">
            <w:pPr>
              <w:pStyle w:val="2"/>
              <w:rPr>
                <w:rFonts w:hint="eastAsia"/>
              </w:rPr>
            </w:pPr>
          </w:p>
          <w:p w14:paraId="050CF4B1">
            <w:pPr>
              <w:pStyle w:val="3"/>
              <w:rPr>
                <w:rFonts w:hint="eastAsia"/>
              </w:rPr>
            </w:pPr>
          </w:p>
        </w:tc>
        <w:tc>
          <w:tcPr>
            <w:tcW w:w="955" w:type="dxa"/>
            <w:tcBorders>
              <w:top w:val="nil"/>
              <w:left w:val="nil"/>
              <w:bottom w:val="nil"/>
              <w:right w:val="nil"/>
            </w:tcBorders>
            <w:shd w:val="clear" w:color="auto" w:fill="auto"/>
            <w:vAlign w:val="center"/>
          </w:tcPr>
          <w:p w14:paraId="2B3B01F8">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988893D">
            <w:pPr>
              <w:rPr>
                <w:rFonts w:hint="eastAsia" w:ascii="宋体" w:hAnsi="宋体" w:eastAsia="宋体" w:cs="宋体"/>
                <w:i w:val="0"/>
                <w:iCs w:val="0"/>
                <w:color w:val="000000"/>
                <w:sz w:val="18"/>
                <w:szCs w:val="18"/>
                <w:u w:val="none"/>
              </w:rPr>
            </w:pPr>
          </w:p>
        </w:tc>
        <w:tc>
          <w:tcPr>
            <w:tcW w:w="1297" w:type="dxa"/>
            <w:tcBorders>
              <w:top w:val="nil"/>
              <w:left w:val="nil"/>
              <w:bottom w:val="nil"/>
              <w:right w:val="nil"/>
            </w:tcBorders>
            <w:shd w:val="clear" w:color="auto" w:fill="auto"/>
            <w:vAlign w:val="center"/>
          </w:tcPr>
          <w:p w14:paraId="47AED97B">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396F8E2D">
            <w:pPr>
              <w:rPr>
                <w:rFonts w:hint="eastAsia" w:ascii="宋体" w:hAnsi="宋体" w:eastAsia="宋体" w:cs="宋体"/>
                <w:i w:val="0"/>
                <w:iCs w:val="0"/>
                <w:color w:val="000000"/>
                <w:sz w:val="18"/>
                <w:szCs w:val="18"/>
                <w:u w:val="none"/>
              </w:rPr>
            </w:pPr>
          </w:p>
        </w:tc>
        <w:tc>
          <w:tcPr>
            <w:tcW w:w="973" w:type="dxa"/>
            <w:tcBorders>
              <w:top w:val="nil"/>
              <w:left w:val="nil"/>
              <w:bottom w:val="nil"/>
              <w:right w:val="nil"/>
            </w:tcBorders>
            <w:shd w:val="clear" w:color="auto" w:fill="auto"/>
            <w:vAlign w:val="center"/>
          </w:tcPr>
          <w:p w14:paraId="0D88B938">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36F71FA3">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7B3F68E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DDABEC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377CE3">
            <w:pPr>
              <w:rPr>
                <w:rFonts w:hint="eastAsia" w:ascii="宋体" w:hAnsi="宋体" w:eastAsia="宋体" w:cs="宋体"/>
                <w:i w:val="0"/>
                <w:iCs w:val="0"/>
                <w:color w:val="000000"/>
                <w:sz w:val="18"/>
                <w:szCs w:val="18"/>
                <w:u w:val="none"/>
              </w:rPr>
            </w:pPr>
          </w:p>
        </w:tc>
        <w:tc>
          <w:tcPr>
            <w:tcW w:w="2001" w:type="dxa"/>
            <w:tcBorders>
              <w:top w:val="nil"/>
              <w:left w:val="nil"/>
              <w:bottom w:val="nil"/>
              <w:right w:val="nil"/>
            </w:tcBorders>
            <w:shd w:val="clear" w:color="auto" w:fill="auto"/>
            <w:vAlign w:val="center"/>
          </w:tcPr>
          <w:p w14:paraId="777AC047">
            <w:pPr>
              <w:rPr>
                <w:rFonts w:hint="eastAsia" w:ascii="宋体" w:hAnsi="宋体" w:eastAsia="宋体" w:cs="宋体"/>
                <w:i w:val="0"/>
                <w:iCs w:val="0"/>
                <w:color w:val="000000"/>
                <w:sz w:val="18"/>
                <w:szCs w:val="18"/>
                <w:u w:val="none"/>
              </w:rPr>
            </w:pPr>
          </w:p>
        </w:tc>
      </w:tr>
      <w:tr w14:paraId="4F9D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9932D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10E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50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783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51118123T000008501455-聘用人员经费</w:t>
            </w:r>
          </w:p>
        </w:tc>
      </w:tr>
      <w:tr w14:paraId="18A5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BA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94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14:paraId="51DA5A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B0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6DF0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5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6D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EE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A918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3B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D83F">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0D57">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24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2DC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4AFF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3EBA">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FE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E7E2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年初按人员预算聘用人员工资和保险，按实发放1月后按财政要求将该人员项目调为特定目标类，按月发放工资和缴纳保险，预算执行率100%。</w:t>
            </w:r>
          </w:p>
        </w:tc>
      </w:tr>
      <w:tr w14:paraId="2155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9C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0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3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6C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4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F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3A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FA47">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5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7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7C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D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C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D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EF0C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6B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76FE">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6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C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ED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A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B494">
            <w:pPr>
              <w:rPr>
                <w:rFonts w:hint="eastAsia" w:ascii="黑体" w:hAnsi="黑体" w:eastAsia="黑体" w:cs="黑体"/>
                <w:i/>
                <w:iCs/>
                <w:color w:val="000000"/>
                <w:sz w:val="18"/>
                <w:szCs w:val="18"/>
                <w:u w:val="none"/>
              </w:rPr>
            </w:pPr>
          </w:p>
        </w:tc>
      </w:tr>
      <w:tr w14:paraId="769D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9ADB">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9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5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FB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8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8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C2DE">
            <w:pPr>
              <w:rPr>
                <w:rFonts w:hint="eastAsia" w:ascii="黑体" w:hAnsi="黑体" w:eastAsia="黑体" w:cs="黑体"/>
                <w:i/>
                <w:iCs/>
                <w:color w:val="000000"/>
                <w:sz w:val="18"/>
                <w:szCs w:val="18"/>
                <w:u w:val="none"/>
              </w:rPr>
            </w:pPr>
          </w:p>
        </w:tc>
      </w:tr>
      <w:tr w14:paraId="587F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04BB">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F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C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83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A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9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EB3C">
            <w:pPr>
              <w:rPr>
                <w:rFonts w:hint="eastAsia" w:ascii="黑体" w:hAnsi="黑体" w:eastAsia="黑体" w:cs="黑体"/>
                <w:i/>
                <w:iCs/>
                <w:color w:val="000000"/>
                <w:sz w:val="18"/>
                <w:szCs w:val="18"/>
                <w:u w:val="none"/>
              </w:rPr>
            </w:pPr>
          </w:p>
        </w:tc>
      </w:tr>
      <w:tr w14:paraId="5602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B64A">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EA2">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6318">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4C5D1">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8CA8">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5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C55F">
            <w:pPr>
              <w:rPr>
                <w:rFonts w:hint="eastAsia" w:ascii="黑体" w:hAnsi="黑体" w:eastAsia="黑体" w:cs="黑体"/>
                <w:i/>
                <w:iCs/>
                <w:color w:val="000000"/>
                <w:sz w:val="18"/>
                <w:szCs w:val="18"/>
                <w:u w:val="none"/>
              </w:rPr>
            </w:pPr>
          </w:p>
        </w:tc>
      </w:tr>
      <w:tr w14:paraId="2F56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EE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4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6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A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3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9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2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D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5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3D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34AB">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1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E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F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FF12">
            <w:pPr>
              <w:jc w:val="center"/>
              <w:rPr>
                <w:rFonts w:hint="eastAsia" w:ascii="微软雅黑" w:hAnsi="微软雅黑" w:eastAsia="微软雅黑" w:cs="微软雅黑"/>
                <w:i/>
                <w:iCs/>
                <w:color w:val="000000"/>
                <w:sz w:val="16"/>
                <w:szCs w:val="16"/>
                <w:u w:val="none"/>
              </w:rPr>
            </w:pPr>
          </w:p>
        </w:tc>
      </w:tr>
      <w:tr w14:paraId="005C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CC1B">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C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1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F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8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A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8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F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6C6F">
            <w:pPr>
              <w:jc w:val="center"/>
              <w:rPr>
                <w:rFonts w:hint="eastAsia" w:ascii="微软雅黑" w:hAnsi="微软雅黑" w:eastAsia="微软雅黑" w:cs="微软雅黑"/>
                <w:i/>
                <w:iCs/>
                <w:color w:val="000000"/>
                <w:sz w:val="16"/>
                <w:szCs w:val="16"/>
                <w:u w:val="none"/>
              </w:rPr>
            </w:pPr>
          </w:p>
        </w:tc>
      </w:tr>
      <w:tr w14:paraId="3578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DF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D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7D6">
            <w:pPr>
              <w:rPr>
                <w:rFonts w:hint="eastAsia" w:ascii="宋体" w:hAnsi="宋体" w:eastAsia="宋体" w:cs="宋体"/>
                <w:i w:val="0"/>
                <w:iCs w:val="0"/>
                <w:color w:val="000000"/>
                <w:sz w:val="18"/>
                <w:szCs w:val="18"/>
                <w:u w:val="none"/>
              </w:rPr>
            </w:pPr>
          </w:p>
        </w:tc>
      </w:tr>
      <w:tr w14:paraId="17D2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694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7B70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0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D64B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ED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1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385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81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5B98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AD39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bl>
    <w:p w14:paraId="2DBAE63D">
      <w:pPr>
        <w:rPr>
          <w:rFonts w:hint="eastAsia"/>
        </w:rPr>
      </w:pPr>
    </w:p>
    <w:p w14:paraId="6B71640B">
      <w:pPr>
        <w:pStyle w:val="2"/>
        <w:numPr>
          <w:ilvl w:val="0"/>
          <w:numId w:val="0"/>
        </w:numPr>
      </w:pPr>
    </w:p>
    <w:p w14:paraId="6F8DD9D8">
      <w:pPr>
        <w:pStyle w:val="8"/>
        <w:spacing w:before="93"/>
      </w:pPr>
    </w:p>
    <w:p w14:paraId="658DE1D0">
      <w:pPr>
        <w:pStyle w:val="8"/>
        <w:spacing w:before="93"/>
      </w:pPr>
    </w:p>
    <w:p w14:paraId="0DBBCF9E">
      <w:pPr>
        <w:widowControl/>
        <w:ind w:firstLine="1760" w:firstLineChars="400"/>
        <w:jc w:val="left"/>
        <w:rPr>
          <w:rFonts w:ascii="仿宋" w:hAnsi="仿宋" w:eastAsia="仿宋"/>
        </w:rPr>
      </w:pPr>
      <w:r>
        <w:rPr>
          <w:rFonts w:hint="eastAsia" w:ascii="黑体" w:hAnsi="黑体" w:eastAsia="黑体"/>
          <w:sz w:val="44"/>
          <w:szCs w:val="44"/>
        </w:rPr>
        <w:t>第</w:t>
      </w:r>
      <w:r>
        <w:rPr>
          <w:rStyle w:val="33"/>
          <w:rFonts w:hint="eastAsia" w:ascii="黑体" w:hAnsi="黑体" w:eastAsia="黑体"/>
          <w:b w:val="0"/>
        </w:rPr>
        <w:t>五部分 附表</w:t>
      </w:r>
      <w:bookmarkStart w:id="48" w:name="_Toc15396619"/>
    </w:p>
    <w:bookmarkEnd w:id="48"/>
    <w:p w14:paraId="2E24A0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以下13张附表在政府网站上以附件EXCEL版本形式上传，应完整公开13张公开附表，注意单位为万元！！！且无数据的表格不得删除，应在表中注明“本表无数据”字样，同时删除表格内注释。</w:t>
      </w:r>
    </w:p>
    <w:p w14:paraId="0418D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1925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388CD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49" w:name="_Toc15396620"/>
      <w:r>
        <w:rPr>
          <w:rFonts w:hint="eastAsia" w:ascii="仿宋_GB2312" w:hAnsi="仿宋_GB2312" w:eastAsia="仿宋_GB2312" w:cs="仿宋_GB2312"/>
          <w:sz w:val="32"/>
          <w:szCs w:val="32"/>
        </w:rPr>
        <w:t>二、收入决算表</w:t>
      </w:r>
      <w:bookmarkEnd w:id="49"/>
    </w:p>
    <w:p w14:paraId="571178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0" w:name="_Toc15396621"/>
      <w:r>
        <w:rPr>
          <w:rFonts w:hint="eastAsia" w:ascii="仿宋_GB2312" w:hAnsi="仿宋_GB2312" w:eastAsia="仿宋_GB2312" w:cs="仿宋_GB2312"/>
          <w:sz w:val="32"/>
          <w:szCs w:val="32"/>
        </w:rPr>
        <w:t>三、支出决算表</w:t>
      </w:r>
      <w:bookmarkEnd w:id="50"/>
    </w:p>
    <w:p w14:paraId="7E5E5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1" w:name="_Toc15396622"/>
      <w:r>
        <w:rPr>
          <w:rFonts w:hint="eastAsia" w:ascii="仿宋_GB2312" w:hAnsi="仿宋_GB2312" w:eastAsia="仿宋_GB2312" w:cs="仿宋_GB2312"/>
          <w:sz w:val="32"/>
          <w:szCs w:val="32"/>
        </w:rPr>
        <w:t>四、财政拨款收入支出决算总表</w:t>
      </w:r>
      <w:bookmarkEnd w:id="51"/>
    </w:p>
    <w:p w14:paraId="7A78A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2" w:name="_Toc15396623"/>
      <w:r>
        <w:rPr>
          <w:rFonts w:hint="eastAsia" w:ascii="仿宋_GB2312" w:hAnsi="仿宋_GB2312" w:eastAsia="仿宋_GB2312" w:cs="仿宋_GB2312"/>
          <w:sz w:val="32"/>
          <w:szCs w:val="32"/>
        </w:rPr>
        <w:t>五、财政拨款支出决算明细表</w:t>
      </w:r>
      <w:bookmarkEnd w:id="52"/>
      <w:bookmarkStart w:id="53" w:name="_Toc15396624"/>
    </w:p>
    <w:p w14:paraId="3C8DF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3"/>
    </w:p>
    <w:p w14:paraId="18ADCE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4" w:name="_Toc15396625"/>
      <w:r>
        <w:rPr>
          <w:rFonts w:hint="eastAsia" w:ascii="仿宋_GB2312" w:hAnsi="仿宋_GB2312" w:eastAsia="仿宋_GB2312" w:cs="仿宋_GB2312"/>
          <w:sz w:val="32"/>
          <w:szCs w:val="32"/>
        </w:rPr>
        <w:t>七、一般公共预算财政拨款支出决算明细表</w:t>
      </w:r>
      <w:bookmarkEnd w:id="54"/>
    </w:p>
    <w:p w14:paraId="69BF0E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5" w:name="_Toc15396626"/>
      <w:r>
        <w:rPr>
          <w:rFonts w:hint="eastAsia" w:ascii="仿宋_GB2312" w:hAnsi="仿宋_GB2312" w:eastAsia="仿宋_GB2312" w:cs="仿宋_GB2312"/>
          <w:sz w:val="32"/>
          <w:szCs w:val="32"/>
        </w:rPr>
        <w:t>八、一般公共预算财政拨款基本支出决算表</w:t>
      </w:r>
      <w:bookmarkEnd w:id="55"/>
    </w:p>
    <w:p w14:paraId="56BBFA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6" w:name="_Toc15396627"/>
      <w:r>
        <w:rPr>
          <w:rFonts w:hint="eastAsia" w:ascii="仿宋_GB2312" w:hAnsi="仿宋_GB2312" w:eastAsia="仿宋_GB2312" w:cs="仿宋_GB2312"/>
          <w:sz w:val="32"/>
          <w:szCs w:val="32"/>
        </w:rPr>
        <w:t>九、一般公共预算财政拨款项目支出决算表</w:t>
      </w:r>
      <w:bookmarkEnd w:id="56"/>
    </w:p>
    <w:p w14:paraId="3F287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7" w:name="_Toc15396628"/>
      <w:r>
        <w:rPr>
          <w:rFonts w:hint="eastAsia" w:ascii="仿宋_GB2312" w:hAnsi="仿宋_GB2312" w:eastAsia="仿宋_GB2312" w:cs="仿宋_GB2312"/>
          <w:sz w:val="32"/>
          <w:szCs w:val="32"/>
        </w:rPr>
        <w:t>十、</w:t>
      </w:r>
      <w:bookmarkEnd w:id="57"/>
      <w:r>
        <w:rPr>
          <w:rFonts w:hint="eastAsia" w:ascii="仿宋_GB2312" w:hAnsi="仿宋_GB2312" w:eastAsia="仿宋_GB2312" w:cs="仿宋_GB2312"/>
          <w:sz w:val="32"/>
          <w:szCs w:val="32"/>
        </w:rPr>
        <w:t>政府性基金预算财政拨款收入支出决算表</w:t>
      </w:r>
    </w:p>
    <w:p w14:paraId="21CDE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8" w:name="_Toc15396629"/>
      <w:r>
        <w:rPr>
          <w:rFonts w:hint="eastAsia" w:ascii="仿宋_GB2312" w:hAnsi="仿宋_GB2312" w:eastAsia="仿宋_GB2312" w:cs="仿宋_GB2312"/>
          <w:sz w:val="32"/>
          <w:szCs w:val="32"/>
        </w:rPr>
        <w:t>十一、</w:t>
      </w:r>
      <w:bookmarkEnd w:id="58"/>
      <w:r>
        <w:rPr>
          <w:rFonts w:hint="eastAsia" w:ascii="仿宋_GB2312" w:hAnsi="仿宋_GB2312" w:eastAsia="仿宋_GB2312" w:cs="仿宋_GB2312"/>
          <w:sz w:val="32"/>
          <w:szCs w:val="32"/>
        </w:rPr>
        <w:t>国有资本经营预算财政拨款收入支出决算表</w:t>
      </w:r>
    </w:p>
    <w:p w14:paraId="3E0243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30"/>
      <w:r>
        <w:rPr>
          <w:rFonts w:hint="eastAsia" w:ascii="仿宋_GB2312" w:hAnsi="仿宋_GB2312" w:eastAsia="仿宋_GB2312" w:cs="仿宋_GB2312"/>
          <w:sz w:val="32"/>
          <w:szCs w:val="32"/>
        </w:rPr>
        <w:t>十二、</w:t>
      </w:r>
      <w:bookmarkEnd w:id="59"/>
      <w:r>
        <w:rPr>
          <w:rFonts w:hint="eastAsia" w:ascii="仿宋_GB2312" w:hAnsi="仿宋_GB2312" w:eastAsia="仿宋_GB2312" w:cs="仿宋_GB2312"/>
          <w:sz w:val="32"/>
          <w:szCs w:val="32"/>
        </w:rPr>
        <w:t>国有资本经营预算财政拨款支出决算表</w:t>
      </w:r>
    </w:p>
    <w:p w14:paraId="463CE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31"/>
      <w:r>
        <w:rPr>
          <w:rFonts w:hint="eastAsia" w:ascii="仿宋_GB2312" w:hAnsi="仿宋_GB2312" w:eastAsia="仿宋_GB2312" w:cs="仿宋_GB2312"/>
          <w:sz w:val="32"/>
          <w:szCs w:val="32"/>
        </w:rPr>
        <w:t>十三、</w:t>
      </w:r>
      <w:bookmarkEnd w:id="60"/>
      <w:r>
        <w:rPr>
          <w:rFonts w:hint="eastAsia" w:ascii="仿宋_GB2312" w:hAnsi="仿宋_GB2312" w:eastAsia="仿宋_GB2312" w:cs="仿宋_GB2312"/>
          <w:sz w:val="32"/>
          <w:szCs w:val="32"/>
        </w:rPr>
        <w:t>财政拨款“三公”经费支出决算表</w:t>
      </w:r>
    </w:p>
    <w:p w14:paraId="0B000FDE">
      <w:pPr>
        <w:rPr>
          <w:rFonts w:eastAsia="仿宋"/>
        </w:rPr>
      </w:pPr>
    </w:p>
    <w:sectPr>
      <w:footerReference r:id="rId7" w:type="default"/>
      <w:pgSz w:w="11906" w:h="16838"/>
      <w:pgMar w:top="1547" w:right="1800" w:bottom="1538"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3484">
    <w:pPr>
      <w:pStyle w:val="11"/>
      <w:jc w:val="center"/>
    </w:pPr>
  </w:p>
  <w:p w14:paraId="3C7E3CAD">
    <w:pPr>
      <w:pStyle w:val="11"/>
      <w:ind w:firstLine="3780" w:firstLineChars="210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480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A6B2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6A6B2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A81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0ADF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C0ADF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410C2C32">
    <w:pPr>
      <w:pStyle w:val="11"/>
      <w:ind w:firstLine="3780" w:firstLineChars="2100"/>
      <w:rPr>
        <w:rFonts w:hint="eastAsia"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74B1">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7A5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600"/>
      </w:pPr>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63709AB"/>
    <w:multiLevelType w:val="singleLevel"/>
    <w:tmpl w:val="563709AB"/>
    <w:lvl w:ilvl="0" w:tentative="0">
      <w:start w:val="9"/>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587A"/>
    <w:rsid w:val="002D19B0"/>
    <w:rsid w:val="002D6D05"/>
    <w:rsid w:val="002F1818"/>
    <w:rsid w:val="002F567B"/>
    <w:rsid w:val="003216A9"/>
    <w:rsid w:val="00335A74"/>
    <w:rsid w:val="0036561B"/>
    <w:rsid w:val="0037013F"/>
    <w:rsid w:val="003743E7"/>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2A8"/>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1DE0"/>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579F"/>
    <w:rsid w:val="00FD3085"/>
    <w:rsid w:val="00FD3CC1"/>
    <w:rsid w:val="00FF1E02"/>
    <w:rsid w:val="00FF30B4"/>
    <w:rsid w:val="0490098D"/>
    <w:rsid w:val="04D5753E"/>
    <w:rsid w:val="072E57F1"/>
    <w:rsid w:val="07CE0CF5"/>
    <w:rsid w:val="07F85CF3"/>
    <w:rsid w:val="087C6F96"/>
    <w:rsid w:val="0A064DB1"/>
    <w:rsid w:val="0BF30352"/>
    <w:rsid w:val="0CAA1664"/>
    <w:rsid w:val="0DD569E9"/>
    <w:rsid w:val="0EC70B12"/>
    <w:rsid w:val="105A0745"/>
    <w:rsid w:val="10C055FF"/>
    <w:rsid w:val="118B5D02"/>
    <w:rsid w:val="135B378E"/>
    <w:rsid w:val="16AB7DC1"/>
    <w:rsid w:val="16BB723D"/>
    <w:rsid w:val="178160CF"/>
    <w:rsid w:val="1883412B"/>
    <w:rsid w:val="18DA2887"/>
    <w:rsid w:val="1A7B4C8E"/>
    <w:rsid w:val="1AD539E1"/>
    <w:rsid w:val="1AEC7338"/>
    <w:rsid w:val="1C483AFE"/>
    <w:rsid w:val="1F7A7D9C"/>
    <w:rsid w:val="2150749B"/>
    <w:rsid w:val="240371BF"/>
    <w:rsid w:val="24635869"/>
    <w:rsid w:val="26196721"/>
    <w:rsid w:val="26F31D4D"/>
    <w:rsid w:val="27BE64E7"/>
    <w:rsid w:val="29E41618"/>
    <w:rsid w:val="29FD04D3"/>
    <w:rsid w:val="2B42705B"/>
    <w:rsid w:val="2E811DDA"/>
    <w:rsid w:val="2EE87A42"/>
    <w:rsid w:val="319F7F4E"/>
    <w:rsid w:val="32C843B5"/>
    <w:rsid w:val="32F72923"/>
    <w:rsid w:val="333C5060"/>
    <w:rsid w:val="33F643DB"/>
    <w:rsid w:val="34801060"/>
    <w:rsid w:val="3B1E68C8"/>
    <w:rsid w:val="3C684B6A"/>
    <w:rsid w:val="3D502E2F"/>
    <w:rsid w:val="3E1A3D5D"/>
    <w:rsid w:val="3EA54964"/>
    <w:rsid w:val="3F7C3982"/>
    <w:rsid w:val="3FAD7C2C"/>
    <w:rsid w:val="40247720"/>
    <w:rsid w:val="410A75C3"/>
    <w:rsid w:val="41D57F84"/>
    <w:rsid w:val="42D801CB"/>
    <w:rsid w:val="44101B08"/>
    <w:rsid w:val="478B0E36"/>
    <w:rsid w:val="48984AE5"/>
    <w:rsid w:val="49F75C98"/>
    <w:rsid w:val="4AE93245"/>
    <w:rsid w:val="4ECE2238"/>
    <w:rsid w:val="4EDA31DD"/>
    <w:rsid w:val="4F086232"/>
    <w:rsid w:val="50AA00C5"/>
    <w:rsid w:val="515B5826"/>
    <w:rsid w:val="515C4084"/>
    <w:rsid w:val="51B0106E"/>
    <w:rsid w:val="53660C72"/>
    <w:rsid w:val="538502CB"/>
    <w:rsid w:val="55571BA2"/>
    <w:rsid w:val="570054B7"/>
    <w:rsid w:val="57D404B7"/>
    <w:rsid w:val="599F0865"/>
    <w:rsid w:val="59FE52BF"/>
    <w:rsid w:val="5A410899"/>
    <w:rsid w:val="5AEA6E38"/>
    <w:rsid w:val="5F692DA2"/>
    <w:rsid w:val="61BB33E1"/>
    <w:rsid w:val="627E789F"/>
    <w:rsid w:val="636D7FB1"/>
    <w:rsid w:val="672F6CEE"/>
    <w:rsid w:val="69014EFE"/>
    <w:rsid w:val="6A7615A2"/>
    <w:rsid w:val="6AD82E47"/>
    <w:rsid w:val="6BE16374"/>
    <w:rsid w:val="6C663611"/>
    <w:rsid w:val="6D3F2827"/>
    <w:rsid w:val="71E440CC"/>
    <w:rsid w:val="72734D90"/>
    <w:rsid w:val="72DB25BD"/>
    <w:rsid w:val="73436A35"/>
    <w:rsid w:val="78997C1A"/>
    <w:rsid w:val="7A042394"/>
    <w:rsid w:val="7C0C4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5"/>
    <w:qFormat/>
    <w:uiPriority w:val="9"/>
    <w:rPr>
      <w:rFonts w:ascii="Times New Roman" w:hAnsi="Times New Roman"/>
      <w:b/>
      <w:bCs/>
      <w:kern w:val="44"/>
      <w:sz w:val="44"/>
      <w:szCs w:val="44"/>
    </w:rPr>
  </w:style>
  <w:style w:type="character" w:customStyle="1" w:styleId="28">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29">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7"/>
    <w:qFormat/>
    <w:uiPriority w:val="9"/>
    <w:rPr>
      <w:rFonts w:ascii="Times New Roman" w:hAnsi="Times New Roman"/>
      <w:b/>
      <w:bCs/>
      <w:kern w:val="2"/>
      <w:sz w:val="32"/>
      <w:szCs w:val="32"/>
    </w:rPr>
  </w:style>
  <w:style w:type="paragraph" w:customStyle="1" w:styleId="32">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1 Char1"/>
    <w:basedOn w:val="16"/>
    <w:link w:val="5"/>
    <w:qFormat/>
    <w:locked/>
    <w:uiPriority w:val="9"/>
    <w:rPr>
      <w:rFonts w:ascii="Times New Roman" w:hAnsi="Times New Roman" w:cs="Times New Roman"/>
      <w:b/>
      <w:bCs/>
      <w:kern w:val="44"/>
      <w:sz w:val="44"/>
      <w:szCs w:val="44"/>
    </w:rPr>
  </w:style>
  <w:style w:type="character" w:customStyle="1" w:styleId="34">
    <w:name w:val="标题 2 Char1"/>
    <w:basedOn w:val="16"/>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1543</Words>
  <Characters>2335</Characters>
  <Lines>53</Lines>
  <Paragraphs>15</Paragraphs>
  <TotalTime>76</TotalTime>
  <ScaleCrop>false</ScaleCrop>
  <LinksUpToDate>false</LinksUpToDate>
  <CharactersWithSpaces>2469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2023-12-07T14:35:00Z</dcterms:created>
  <dc:creator>曹颖</dc:creator>
  <cp:lastModifiedBy>WPS_1705994371</cp:lastModifiedBy>
  <cp:lastPrinted>2021-10-27T00:40:00Z</cp:lastPrinted>
  <dcterms:modified xsi:type="dcterms:W3CDTF">2024-12-10T06:25:44Z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E7D81FB1D68A4D83B3F8DFAD70AE4744</vt:lpwstr>
  </property>
</Properties>
</file>