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475"/>
      <w:bookmarkStart w:id="3" w:name="_Toc15377193"/>
      <w:bookmarkStart w:id="4" w:name="_Toc15378441"/>
      <w:bookmarkStart w:id="5"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194"/>
      <w:bookmarkStart w:id="9" w:name="_Toc15377426"/>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峨眉山市科学技术协会单位决算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t>4</w:t>
      </w:r>
      <w:r>
        <w:rPr>
          <w:rFonts w:hint="eastAsia"/>
        </w:rPr>
        <w:t>年</w:t>
      </w:r>
      <w:r>
        <w:t>12</w:t>
      </w:r>
      <w:r>
        <w:rPr>
          <w:rFonts w:hint="eastAsia"/>
        </w:rPr>
        <w:t>月</w:t>
      </w:r>
      <w:r>
        <w:rPr>
          <w:rFonts w:hint="eastAsia"/>
          <w:lang w:val="en-US" w:eastAsia="zh-CN"/>
        </w:rPr>
        <w:t>10</w:t>
      </w:r>
      <w:r>
        <w:rPr>
          <w:rFonts w:hint="eastAsia"/>
        </w:rPr>
        <w:t>日</w:t>
      </w:r>
    </w:p>
    <w:p/>
    <w:p>
      <w:pPr>
        <w:pStyle w:val="12"/>
        <w:adjustRightInd w:val="0"/>
        <w:snapToGrid w:val="0"/>
        <w:spacing w:before="0" w:line="440" w:lineRule="exact"/>
        <w:jc w:val="left"/>
        <w:rPr>
          <w:rFonts w:cstheme="minorBidi"/>
          <w:b/>
          <w:sz w:val="24"/>
          <w:szCs w:val="24"/>
        </w:rPr>
      </w:pPr>
      <w:r>
        <w:rPr>
          <w:rFonts w:hint="eastAsia"/>
          <w:b/>
          <w:sz w:val="24"/>
        </w:rPr>
        <w:t>第一部分</w:t>
      </w:r>
      <w:r>
        <w:rPr>
          <w:b/>
          <w:sz w:val="24"/>
        </w:rPr>
        <w:t xml:space="preserve"> </w:t>
      </w:r>
      <w:r>
        <w:rPr>
          <w:rFonts w:hint="eastAsia"/>
          <w:b/>
          <w:sz w:val="24"/>
        </w:rPr>
        <w:t>单位概况</w:t>
      </w:r>
      <w:r>
        <w:rPr>
          <w:b/>
          <w:sz w:val="24"/>
        </w:rPr>
        <w:tab/>
      </w:r>
      <w:r>
        <w:rPr>
          <w:sz w:val="24"/>
        </w:rPr>
        <w:t>4</w:t>
      </w:r>
    </w:p>
    <w:p>
      <w:pPr>
        <w:pStyle w:val="13"/>
        <w:adjustRightInd w:val="0"/>
        <w:snapToGrid w:val="0"/>
        <w:spacing w:line="440" w:lineRule="exact"/>
        <w:jc w:val="left"/>
        <w:rPr>
          <w:sz w:val="24"/>
        </w:rPr>
      </w:pPr>
      <w:r>
        <w:rPr>
          <w:rFonts w:hint="eastAsia"/>
          <w:sz w:val="24"/>
        </w:rPr>
        <w:t>一、主要职责</w:t>
      </w:r>
      <w:r>
        <w:rPr>
          <w:sz w:val="24"/>
        </w:rPr>
        <w:tab/>
      </w:r>
      <w:r>
        <w:rPr>
          <w:sz w:val="24"/>
        </w:rPr>
        <w:t>4</w:t>
      </w:r>
    </w:p>
    <w:p>
      <w:pPr>
        <w:pStyle w:val="13"/>
        <w:adjustRightInd w:val="0"/>
        <w:snapToGrid w:val="0"/>
        <w:spacing w:line="440" w:lineRule="exact"/>
        <w:jc w:val="left"/>
      </w:pPr>
      <w:r>
        <w:rPr>
          <w:rFonts w:hint="eastAsia"/>
          <w:sz w:val="24"/>
        </w:rPr>
        <w:t>二、机构设置</w:t>
      </w:r>
      <w:r>
        <w:rPr>
          <w:sz w:val="24"/>
        </w:rPr>
        <w:tab/>
      </w:r>
      <w:bookmarkStart w:id="68" w:name="_GoBack"/>
      <w:bookmarkEnd w:id="68"/>
      <w:r>
        <w:rPr>
          <w:sz w:val="24"/>
        </w:rPr>
        <w:t>4</w:t>
      </w:r>
    </w:p>
    <w:p>
      <w:pPr>
        <w:pStyle w:val="12"/>
        <w:adjustRightInd w:val="0"/>
        <w:snapToGrid w:val="0"/>
        <w:spacing w:before="0" w:line="440" w:lineRule="exact"/>
        <w:jc w:val="left"/>
        <w:rPr>
          <w:b/>
          <w:sz w:val="24"/>
          <w:szCs w:val="24"/>
        </w:rPr>
      </w:pPr>
      <w:r>
        <w:rPr>
          <w:rFonts w:hint="eastAsia"/>
          <w:b/>
          <w:sz w:val="24"/>
        </w:rPr>
        <w:t>第二部分 2023年度单位决算情况说明</w:t>
      </w:r>
      <w:r>
        <w:rPr>
          <w:b/>
          <w:sz w:val="24"/>
        </w:rPr>
        <w:tab/>
      </w:r>
      <w:r>
        <w:rPr>
          <w:sz w:val="24"/>
        </w:rPr>
        <w:t>5</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ab/>
      </w:r>
      <w:r>
        <w:rPr>
          <w:sz w:val="24"/>
        </w:rPr>
        <w:t>5</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ab/>
      </w:r>
      <w:r>
        <w:rPr>
          <w:sz w:val="24"/>
        </w:rPr>
        <w:t>5</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ab/>
      </w:r>
      <w:r>
        <w:rPr>
          <w:sz w:val="24"/>
        </w:rPr>
        <w:t>6</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sz w:val="24"/>
        </w:rPr>
        <w:tab/>
      </w:r>
      <w:r>
        <w:rPr>
          <w:sz w:val="24"/>
        </w:rPr>
        <w:t>7</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ab/>
      </w:r>
      <w:r>
        <w:rPr>
          <w:sz w:val="24"/>
        </w:rPr>
        <w:t>8</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sz w:val="24"/>
        </w:rPr>
        <w:tab/>
      </w:r>
      <w:r>
        <w:rPr>
          <w:sz w:val="24"/>
        </w:rPr>
        <w:t>11</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sz w:val="24"/>
        </w:rPr>
        <w:tab/>
      </w:r>
      <w:r>
        <w:rPr>
          <w:sz w:val="24"/>
        </w:rPr>
        <w:t>12</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sz w:val="24"/>
        </w:rPr>
        <w:tab/>
      </w:r>
      <w:r>
        <w:rPr>
          <w:sz w:val="24"/>
        </w:rPr>
        <w:t>14</w:t>
      </w:r>
    </w:p>
    <w:p>
      <w:pPr>
        <w:pStyle w:val="13"/>
        <w:adjustRightInd w:val="0"/>
        <w:snapToGrid w:val="0"/>
        <w:spacing w:line="440" w:lineRule="exact"/>
        <w:jc w:val="left"/>
        <w:rPr>
          <w:sz w:val="24"/>
        </w:rPr>
      </w:pPr>
      <w:r>
        <w:rPr>
          <w:rFonts w:hint="eastAsia"/>
          <w:sz w:val="24"/>
        </w:rPr>
        <w:t>九、国有资本经营预算支出决算情况说明</w:t>
      </w:r>
      <w:r>
        <w:rPr>
          <w:sz w:val="24"/>
        </w:rPr>
        <w:tab/>
      </w:r>
      <w:r>
        <w:rPr>
          <w:sz w:val="24"/>
        </w:rPr>
        <w:t>14</w:t>
      </w:r>
    </w:p>
    <w:p>
      <w:pPr>
        <w:pStyle w:val="13"/>
        <w:adjustRightInd w:val="0"/>
        <w:snapToGrid w:val="0"/>
        <w:spacing w:line="440" w:lineRule="exact"/>
        <w:jc w:val="left"/>
        <w:rPr>
          <w:sz w:val="24"/>
        </w:rPr>
      </w:pPr>
      <w:r>
        <w:rPr>
          <w:rFonts w:hint="eastAsia"/>
          <w:sz w:val="24"/>
        </w:rPr>
        <w:t>十、其他重要事项的情况说明</w:t>
      </w:r>
      <w:r>
        <w:rPr>
          <w:sz w:val="24"/>
        </w:rPr>
        <w:tab/>
      </w:r>
      <w:r>
        <w:rPr>
          <w:sz w:val="24"/>
        </w:rPr>
        <w:t>14</w:t>
      </w:r>
    </w:p>
    <w:p>
      <w:pPr>
        <w:pStyle w:val="12"/>
        <w:adjustRightInd w:val="0"/>
        <w:snapToGrid w:val="0"/>
        <w:spacing w:before="0" w:line="440" w:lineRule="exact"/>
        <w:jc w:val="left"/>
        <w:rPr>
          <w:rFonts w:cstheme="minorBidi"/>
          <w:b/>
          <w:sz w:val="24"/>
          <w:szCs w:val="24"/>
        </w:rPr>
      </w:pPr>
      <w:r>
        <w:rPr>
          <w:rFonts w:hint="eastAsia"/>
          <w:b/>
          <w:sz w:val="24"/>
        </w:rPr>
        <w:t>第三部分</w:t>
      </w:r>
      <w:r>
        <w:rPr>
          <w:b/>
          <w:sz w:val="24"/>
        </w:rPr>
        <w:t xml:space="preserve"> </w:t>
      </w:r>
      <w:r>
        <w:rPr>
          <w:rFonts w:hint="eastAsia"/>
          <w:b/>
          <w:sz w:val="24"/>
        </w:rPr>
        <w:t>名词解释</w:t>
      </w:r>
      <w:r>
        <w:rPr>
          <w:b/>
          <w:sz w:val="24"/>
        </w:rPr>
        <w:tab/>
      </w:r>
      <w:r>
        <w:rPr>
          <w:sz w:val="24"/>
        </w:rPr>
        <w:t>16</w:t>
      </w:r>
    </w:p>
    <w:p>
      <w:pPr>
        <w:pStyle w:val="12"/>
        <w:adjustRightInd w:val="0"/>
        <w:snapToGrid w:val="0"/>
        <w:spacing w:before="0" w:line="440" w:lineRule="exact"/>
        <w:jc w:val="left"/>
        <w:rPr>
          <w:rFonts w:cstheme="minorBidi"/>
          <w:b/>
          <w:sz w:val="24"/>
          <w:szCs w:val="24"/>
        </w:rPr>
      </w:pPr>
      <w:r>
        <w:rPr>
          <w:rFonts w:hint="eastAsia"/>
          <w:b/>
          <w:sz w:val="24"/>
        </w:rPr>
        <w:t>第四部分</w:t>
      </w:r>
      <w:r>
        <w:rPr>
          <w:b/>
          <w:sz w:val="24"/>
        </w:rPr>
        <w:t xml:space="preserve"> </w:t>
      </w:r>
      <w:r>
        <w:rPr>
          <w:rFonts w:hint="eastAsia"/>
          <w:b/>
          <w:sz w:val="24"/>
        </w:rPr>
        <w:t>附件</w:t>
      </w:r>
      <w:r>
        <w:rPr>
          <w:b/>
          <w:sz w:val="24"/>
        </w:rPr>
        <w:tab/>
      </w:r>
      <w:r>
        <w:rPr>
          <w:sz w:val="24"/>
        </w:rPr>
        <w:t>19</w:t>
      </w:r>
    </w:p>
    <w:p>
      <w:pPr>
        <w:pStyle w:val="12"/>
        <w:adjustRightInd w:val="0"/>
        <w:snapToGrid w:val="0"/>
        <w:spacing w:before="0" w:line="440" w:lineRule="exact"/>
        <w:jc w:val="left"/>
        <w:rPr>
          <w:rFonts w:cstheme="minorBidi"/>
          <w:b/>
          <w:sz w:val="24"/>
          <w:szCs w:val="24"/>
        </w:rPr>
      </w:pPr>
      <w:r>
        <w:rPr>
          <w:rFonts w:hint="eastAsia"/>
          <w:b/>
          <w:sz w:val="24"/>
        </w:rPr>
        <w:t>第五部分</w:t>
      </w:r>
      <w:r>
        <w:rPr>
          <w:b/>
          <w:sz w:val="24"/>
        </w:rPr>
        <w:t xml:space="preserve"> </w:t>
      </w:r>
      <w:r>
        <w:rPr>
          <w:rFonts w:hint="eastAsia"/>
          <w:b/>
          <w:sz w:val="24"/>
        </w:rPr>
        <w:t>附表</w:t>
      </w:r>
      <w:r>
        <w:rPr>
          <w:b/>
          <w:sz w:val="24"/>
        </w:rPr>
        <w:tab/>
      </w:r>
      <w:r>
        <w:rPr>
          <w:sz w:val="24"/>
        </w:rPr>
        <w:t>23</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rPr>
        <w:t>主要职责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pPr>
        <w:pStyle w:val="4"/>
        <w:rPr>
          <w:rFonts w:ascii="黑体" w:hAnsi="黑体" w:eastAsia="黑体"/>
          <w:b w:val="0"/>
        </w:rPr>
      </w:pPr>
      <w:r>
        <w:rPr>
          <w:rFonts w:hint="eastAsia" w:ascii="黑体" w:hAnsi="黑体" w:eastAsia="黑体"/>
          <w:b w:val="0"/>
        </w:rPr>
        <w:t>二、机构设置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机构情况，峨眉山市科学技术协会属参公事业单位，下属二级预算单位0个，其中行政单位0个，参照公务员法管理的事业单位0个，其他事业单位0个。内设职能股室2个：办公室、普及股。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人员情况，峨眉山市科学技术协会公务员编制</w:t>
      </w:r>
      <w:r>
        <w:rPr>
          <w:rFonts w:ascii="仿宋" w:hAnsi="仿宋" w:eastAsia="仿宋"/>
          <w:sz w:val="32"/>
          <w:szCs w:val="32"/>
        </w:rPr>
        <w:t>5</w:t>
      </w:r>
      <w:r>
        <w:rPr>
          <w:rFonts w:hint="eastAsia" w:ascii="仿宋" w:hAnsi="仿宋" w:eastAsia="仿宋"/>
          <w:sz w:val="32"/>
          <w:szCs w:val="32"/>
        </w:rPr>
        <w:t>人，年末在职人员7人：主席1人、副主席1人、办公室主任1人、普及股长1人，工作人员3人。</w:t>
      </w:r>
    </w:p>
    <w:bookmarkEnd w:id="14"/>
    <w:bookmarkEnd w:id="15"/>
    <w:p>
      <w:pPr>
        <w:pStyle w:val="6"/>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纳入2023年度</w:t>
      </w:r>
      <w:r>
        <w:rPr>
          <w:rFonts w:hint="eastAsia" w:ascii="仿宋" w:hAnsi="仿宋" w:eastAsia="仿宋"/>
          <w:sz w:val="32"/>
          <w:szCs w:val="32"/>
          <w:lang w:eastAsia="zh-CN"/>
        </w:rPr>
        <w:t>单位</w:t>
      </w:r>
      <w:r>
        <w:rPr>
          <w:rFonts w:hint="eastAsia" w:ascii="仿宋" w:hAnsi="仿宋" w:eastAsia="仿宋"/>
          <w:sz w:val="32"/>
          <w:szCs w:val="32"/>
        </w:rPr>
        <w:t>决算编制范围的</w:t>
      </w:r>
      <w:r>
        <w:rPr>
          <w:rFonts w:hint="eastAsia" w:ascii="仿宋" w:hAnsi="仿宋" w:eastAsia="仿宋"/>
          <w:sz w:val="32"/>
          <w:szCs w:val="32"/>
          <w:lang w:eastAsia="zh-CN"/>
        </w:rPr>
        <w:t>独立编制机构</w:t>
      </w:r>
      <w:r>
        <w:rPr>
          <w:rFonts w:hint="eastAsia" w:ascii="仿宋" w:hAnsi="仿宋" w:eastAsia="仿宋"/>
          <w:sz w:val="32"/>
          <w:szCs w:val="32"/>
        </w:rPr>
        <w:t>包括：</w:t>
      </w:r>
    </w:p>
    <w:p>
      <w:pPr>
        <w:widowControl/>
        <w:spacing w:line="600" w:lineRule="exact"/>
        <w:ind w:firstLine="640" w:firstLineChars="200"/>
        <w:jc w:val="left"/>
        <w:rPr>
          <w:rFonts w:ascii="仿宋" w:hAnsi="仿宋" w:eastAsia="仿宋"/>
          <w:kern w:val="0"/>
          <w:sz w:val="32"/>
          <w:szCs w:val="32"/>
        </w:rPr>
      </w:pPr>
      <w:r>
        <w:rPr>
          <w:rFonts w:hint="eastAsia" w:ascii="仿宋" w:hAnsi="仿宋" w:eastAsia="仿宋"/>
          <w:sz w:val="32"/>
          <w:szCs w:val="32"/>
          <w:lang w:eastAsia="zh-CN"/>
        </w:rPr>
        <w:t>无。</w:t>
      </w:r>
      <w:r>
        <w:rPr>
          <w:rFonts w:ascii="仿宋" w:hAnsi="仿宋" w:eastAsia="仿宋"/>
          <w:sz w:val="32"/>
          <w:szCs w:val="32"/>
        </w:rPr>
        <w:br w:type="page"/>
      </w: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2023年度收、支总计均为226.06万元。与2022年度相比，收、支总计各增加</w:t>
      </w:r>
      <w:r>
        <w:rPr>
          <w:rFonts w:ascii="仿宋" w:hAnsi="仿宋" w:eastAsia="仿宋"/>
          <w:sz w:val="32"/>
          <w:szCs w:val="32"/>
        </w:rPr>
        <w:t>7.92</w:t>
      </w:r>
      <w:r>
        <w:rPr>
          <w:rFonts w:hint="eastAsia" w:ascii="仿宋" w:hAnsi="仿宋" w:eastAsia="仿宋"/>
          <w:sz w:val="32"/>
          <w:szCs w:val="32"/>
        </w:rPr>
        <w:t>万元，增长</w:t>
      </w:r>
      <w:r>
        <w:rPr>
          <w:rFonts w:ascii="仿宋" w:hAnsi="仿宋" w:eastAsia="仿宋"/>
          <w:sz w:val="32"/>
          <w:szCs w:val="32"/>
        </w:rPr>
        <w:t>3.63%</w:t>
      </w:r>
      <w:r>
        <w:rPr>
          <w:rFonts w:hint="eastAsia" w:ascii="仿宋" w:hAnsi="仿宋" w:eastAsia="仿宋"/>
          <w:sz w:val="32"/>
          <w:szCs w:val="32"/>
        </w:rPr>
        <w:t>。主要变动原因是人员经费增加、项目经费增加。</w:t>
      </w:r>
    </w:p>
    <w:p>
      <w:r>
        <w:drawing>
          <wp:inline distT="0" distB="0" distL="0" distR="0">
            <wp:extent cx="5692775" cy="4563745"/>
            <wp:effectExtent l="0" t="0" r="317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01447" cy="457100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 w:hAnsi="仿宋" w:eastAsia="仿宋"/>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sz w:val="32"/>
          <w:szCs w:val="32"/>
        </w:rPr>
        <w:t>220.11</w:t>
      </w:r>
      <w:r>
        <w:rPr>
          <w:rFonts w:hint="eastAsia" w:ascii="仿宋" w:hAnsi="仿宋" w:eastAsia="仿宋"/>
          <w:sz w:val="32"/>
          <w:szCs w:val="32"/>
        </w:rPr>
        <w:t>万元，其中：一般公共预算财政拨款收入</w:t>
      </w:r>
      <w:r>
        <w:rPr>
          <w:rFonts w:ascii="仿宋" w:hAnsi="仿宋" w:eastAsia="仿宋"/>
          <w:sz w:val="32"/>
          <w:szCs w:val="32"/>
        </w:rPr>
        <w:t>220.11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r>
        <w:drawing>
          <wp:inline distT="0" distB="0" distL="0" distR="0">
            <wp:extent cx="5730875" cy="470662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0875" cy="4706620"/>
                    </a:xfrm>
                    <a:prstGeom prst="rect">
                      <a:avLst/>
                    </a:prstGeom>
                    <a:noFill/>
                  </pic:spPr>
                </pic:pic>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sz w:val="32"/>
          <w:szCs w:val="32"/>
        </w:rPr>
        <w:t>220.11</w:t>
      </w:r>
      <w:r>
        <w:rPr>
          <w:rFonts w:hint="eastAsia" w:ascii="仿宋" w:hAnsi="仿宋" w:eastAsia="仿宋"/>
          <w:sz w:val="32"/>
          <w:szCs w:val="32"/>
        </w:rPr>
        <w:t>万元，其中：基本支出</w:t>
      </w:r>
      <w:r>
        <w:rPr>
          <w:rFonts w:ascii="仿宋" w:hAnsi="仿宋" w:eastAsia="仿宋"/>
          <w:sz w:val="32"/>
          <w:szCs w:val="32"/>
        </w:rPr>
        <w:t>157.54</w:t>
      </w:r>
      <w:r>
        <w:rPr>
          <w:rFonts w:hint="eastAsia" w:ascii="仿宋" w:hAnsi="仿宋" w:eastAsia="仿宋"/>
          <w:sz w:val="32"/>
          <w:szCs w:val="32"/>
        </w:rPr>
        <w:t>万元，占</w:t>
      </w:r>
      <w:r>
        <w:rPr>
          <w:rFonts w:ascii="仿宋" w:hAnsi="仿宋" w:eastAsia="仿宋"/>
          <w:sz w:val="32"/>
          <w:szCs w:val="32"/>
        </w:rPr>
        <w:t>71.57%</w:t>
      </w:r>
      <w:r>
        <w:rPr>
          <w:rFonts w:hint="eastAsia" w:ascii="仿宋" w:hAnsi="仿宋" w:eastAsia="仿宋"/>
          <w:sz w:val="32"/>
          <w:szCs w:val="32"/>
        </w:rPr>
        <w:t>；项目支出</w:t>
      </w:r>
      <w:r>
        <w:rPr>
          <w:rFonts w:ascii="仿宋" w:hAnsi="仿宋" w:eastAsia="仿宋"/>
          <w:sz w:val="32"/>
          <w:szCs w:val="32"/>
        </w:rPr>
        <w:t>62.57</w:t>
      </w:r>
      <w:r>
        <w:rPr>
          <w:rFonts w:hint="eastAsia" w:ascii="仿宋" w:hAnsi="仿宋" w:eastAsia="仿宋"/>
          <w:sz w:val="32"/>
          <w:szCs w:val="32"/>
        </w:rPr>
        <w:t>万元，占</w:t>
      </w:r>
      <w:r>
        <w:rPr>
          <w:rFonts w:ascii="仿宋" w:hAnsi="仿宋" w:eastAsia="仿宋"/>
          <w:sz w:val="32"/>
          <w:szCs w:val="32"/>
        </w:rPr>
        <w:t>28.43%</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r>
        <w:drawing>
          <wp:inline distT="0" distB="0" distL="0" distR="0">
            <wp:extent cx="5382895" cy="411543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85781" cy="4117536"/>
                    </a:xfrm>
                    <a:prstGeom prst="rect">
                      <a:avLst/>
                    </a:prstGeom>
                    <a:noFill/>
                  </pic:spPr>
                </pic:pic>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sz w:val="32"/>
          <w:szCs w:val="32"/>
        </w:rPr>
        <w:t>220.23</w:t>
      </w:r>
      <w:r>
        <w:rPr>
          <w:rFonts w:hint="eastAsia" w:ascii="仿宋" w:hAnsi="仿宋" w:eastAsia="仿宋"/>
          <w:sz w:val="32"/>
          <w:szCs w:val="32"/>
        </w:rPr>
        <w:t>万元。与2022年度相比，财政拨款收、支总计各增加</w:t>
      </w:r>
      <w:r>
        <w:rPr>
          <w:rFonts w:ascii="仿宋" w:hAnsi="仿宋" w:eastAsia="仿宋"/>
          <w:sz w:val="32"/>
          <w:szCs w:val="32"/>
        </w:rPr>
        <w:t>7.93</w:t>
      </w:r>
      <w:r>
        <w:rPr>
          <w:rFonts w:hint="eastAsia" w:ascii="仿宋" w:hAnsi="仿宋" w:eastAsia="仿宋"/>
          <w:sz w:val="32"/>
          <w:szCs w:val="32"/>
        </w:rPr>
        <w:t>万元，增长</w:t>
      </w:r>
      <w:r>
        <w:rPr>
          <w:rFonts w:ascii="仿宋" w:hAnsi="仿宋" w:eastAsia="仿宋"/>
          <w:sz w:val="32"/>
          <w:szCs w:val="32"/>
        </w:rPr>
        <w:t>3.74%</w:t>
      </w:r>
      <w:r>
        <w:rPr>
          <w:rFonts w:hint="eastAsia" w:ascii="仿宋" w:hAnsi="仿宋" w:eastAsia="仿宋"/>
          <w:sz w:val="32"/>
          <w:szCs w:val="32"/>
        </w:rPr>
        <w:t>。主要变动原因是人员经费增加、项目经费增加。</w:t>
      </w:r>
    </w:p>
    <w:p>
      <w:r>
        <w:drawing>
          <wp:inline distT="0" distB="0" distL="0" distR="0">
            <wp:extent cx="5430520" cy="44208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37178" cy="4426345"/>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sz w:val="32"/>
          <w:szCs w:val="32"/>
        </w:rPr>
        <w:t>220.11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。与2022年度相比，一般公共预算财政拨款支出增加</w:t>
      </w:r>
      <w:r>
        <w:rPr>
          <w:rFonts w:ascii="仿宋" w:hAnsi="仿宋" w:eastAsia="仿宋"/>
          <w:sz w:val="32"/>
          <w:szCs w:val="32"/>
        </w:rPr>
        <w:t>7.92</w:t>
      </w:r>
      <w:r>
        <w:rPr>
          <w:rFonts w:hint="eastAsia" w:ascii="仿宋" w:hAnsi="仿宋" w:eastAsia="仿宋"/>
          <w:sz w:val="32"/>
          <w:szCs w:val="32"/>
        </w:rPr>
        <w:t>万元，增长</w:t>
      </w:r>
      <w:r>
        <w:rPr>
          <w:rFonts w:ascii="仿宋" w:hAnsi="仿宋" w:eastAsia="仿宋"/>
          <w:sz w:val="32"/>
          <w:szCs w:val="32"/>
        </w:rPr>
        <w:t>3.73%</w:t>
      </w:r>
      <w:r>
        <w:rPr>
          <w:rFonts w:hint="eastAsia" w:ascii="仿宋" w:hAnsi="仿宋" w:eastAsia="仿宋"/>
          <w:sz w:val="32"/>
          <w:szCs w:val="32"/>
        </w:rPr>
        <w:t>。主要变动原因是人员经费增加、项目经费增加。</w:t>
      </w:r>
    </w:p>
    <w:p>
      <w:r>
        <w:drawing>
          <wp:inline distT="0" distB="0" distL="0" distR="0">
            <wp:extent cx="5328285" cy="4364990"/>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28285" cy="436499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sz w:val="32"/>
          <w:szCs w:val="32"/>
        </w:rPr>
        <w:t>220.11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w:t>
      </w:r>
      <w:r>
        <w:rPr>
          <w:rFonts w:hint="eastAsia" w:ascii="仿宋" w:hAnsi="仿宋" w:eastAsia="仿宋"/>
          <w:bCs/>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；教育支出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；科学技术</w:t>
      </w:r>
      <w:r>
        <w:rPr>
          <w:rFonts w:hint="eastAsia" w:ascii="仿宋" w:hAnsi="仿宋" w:eastAsia="仿宋"/>
          <w:bCs/>
          <w:sz w:val="32"/>
          <w:szCs w:val="32"/>
        </w:rPr>
        <w:t>支出</w:t>
      </w:r>
      <w:r>
        <w:rPr>
          <w:rFonts w:ascii="仿宋" w:hAnsi="仿宋" w:eastAsia="仿宋"/>
          <w:sz w:val="32"/>
          <w:szCs w:val="32"/>
        </w:rPr>
        <w:t>180.14</w:t>
      </w:r>
      <w:r>
        <w:rPr>
          <w:rFonts w:hint="eastAsia" w:ascii="仿宋" w:hAnsi="仿宋" w:eastAsia="仿宋"/>
          <w:sz w:val="32"/>
          <w:szCs w:val="32"/>
        </w:rPr>
        <w:t>万元，占</w:t>
      </w:r>
      <w:r>
        <w:rPr>
          <w:rFonts w:ascii="仿宋" w:hAnsi="仿宋" w:eastAsia="仿宋"/>
          <w:sz w:val="32"/>
          <w:szCs w:val="32"/>
        </w:rPr>
        <w:t>81.84%</w:t>
      </w:r>
      <w:r>
        <w:rPr>
          <w:rFonts w:hint="eastAsia" w:ascii="仿宋" w:hAnsi="仿宋" w:eastAsia="仿宋"/>
          <w:sz w:val="32"/>
          <w:szCs w:val="32"/>
        </w:rPr>
        <w:t>；</w:t>
      </w:r>
      <w:r>
        <w:rPr>
          <w:rFonts w:hint="eastAsia" w:ascii="仿宋" w:hAnsi="仿宋" w:eastAsia="仿宋"/>
          <w:bCs/>
          <w:sz w:val="32"/>
          <w:szCs w:val="32"/>
        </w:rPr>
        <w:t>文化旅游体育与传媒支出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sz w:val="32"/>
          <w:szCs w:val="32"/>
        </w:rPr>
        <w:t>；社会保障和就业</w:t>
      </w:r>
      <w:r>
        <w:rPr>
          <w:rFonts w:hint="eastAsia" w:ascii="仿宋" w:hAnsi="仿宋" w:eastAsia="仿宋"/>
          <w:bCs/>
          <w:sz w:val="32"/>
          <w:szCs w:val="32"/>
        </w:rPr>
        <w:t>支出</w:t>
      </w:r>
      <w:r>
        <w:rPr>
          <w:rFonts w:ascii="仿宋" w:hAnsi="仿宋" w:eastAsia="仿宋"/>
          <w:sz w:val="32"/>
          <w:szCs w:val="32"/>
        </w:rPr>
        <w:t>24.59</w:t>
      </w:r>
      <w:r>
        <w:rPr>
          <w:rFonts w:hint="eastAsia" w:ascii="仿宋" w:hAnsi="仿宋" w:eastAsia="仿宋"/>
          <w:sz w:val="32"/>
          <w:szCs w:val="32"/>
        </w:rPr>
        <w:t>万元，占</w:t>
      </w:r>
      <w:r>
        <w:rPr>
          <w:rFonts w:ascii="仿宋" w:hAnsi="仿宋" w:eastAsia="仿宋"/>
          <w:sz w:val="32"/>
          <w:szCs w:val="32"/>
        </w:rPr>
        <w:t>11.17%</w:t>
      </w:r>
      <w:r>
        <w:rPr>
          <w:rFonts w:hint="eastAsia" w:ascii="仿宋" w:hAnsi="仿宋" w:eastAsia="仿宋"/>
          <w:sz w:val="32"/>
          <w:szCs w:val="32"/>
        </w:rPr>
        <w:t>；</w:t>
      </w:r>
      <w:r>
        <w:rPr>
          <w:rFonts w:hint="eastAsia" w:ascii="仿宋" w:hAnsi="仿宋" w:eastAsia="仿宋"/>
          <w:bCs/>
          <w:sz w:val="32"/>
          <w:szCs w:val="32"/>
        </w:rPr>
        <w:t>卫生健康支出</w:t>
      </w:r>
      <w:r>
        <w:rPr>
          <w:rFonts w:ascii="仿宋" w:hAnsi="仿宋" w:eastAsia="仿宋"/>
          <w:sz w:val="32"/>
          <w:szCs w:val="32"/>
        </w:rPr>
        <w:t>4.05</w:t>
      </w:r>
      <w:r>
        <w:rPr>
          <w:rFonts w:hint="eastAsia" w:ascii="仿宋" w:hAnsi="仿宋" w:eastAsia="仿宋"/>
          <w:sz w:val="32"/>
          <w:szCs w:val="32"/>
        </w:rPr>
        <w:t>万元，占</w:t>
      </w:r>
      <w:r>
        <w:rPr>
          <w:rFonts w:ascii="仿宋" w:hAnsi="仿宋" w:eastAsia="仿宋"/>
          <w:sz w:val="32"/>
          <w:szCs w:val="32"/>
        </w:rPr>
        <w:t>1.84%</w:t>
      </w:r>
      <w:r>
        <w:rPr>
          <w:rFonts w:hint="eastAsia" w:ascii="仿宋" w:hAnsi="仿宋" w:eastAsia="仿宋"/>
          <w:sz w:val="32"/>
          <w:szCs w:val="32"/>
        </w:rPr>
        <w:t>；</w:t>
      </w:r>
      <w:r>
        <w:rPr>
          <w:rFonts w:hint="eastAsia" w:ascii="仿宋" w:hAnsi="仿宋" w:eastAsia="仿宋"/>
          <w:bCs/>
          <w:sz w:val="32"/>
          <w:szCs w:val="32"/>
        </w:rPr>
        <w:t>住房保障支出</w:t>
      </w:r>
      <w:r>
        <w:rPr>
          <w:rFonts w:ascii="仿宋" w:hAnsi="仿宋" w:eastAsia="仿宋"/>
          <w:sz w:val="32"/>
          <w:szCs w:val="32"/>
        </w:rPr>
        <w:t>11.33</w:t>
      </w:r>
      <w:r>
        <w:rPr>
          <w:rFonts w:hint="eastAsia" w:ascii="仿宋" w:hAnsi="仿宋" w:eastAsia="仿宋"/>
          <w:sz w:val="32"/>
          <w:szCs w:val="32"/>
        </w:rPr>
        <w:t>万元，占</w:t>
      </w:r>
      <w:r>
        <w:rPr>
          <w:rFonts w:ascii="仿宋" w:hAnsi="仿宋" w:eastAsia="仿宋"/>
          <w:sz w:val="32"/>
          <w:szCs w:val="32"/>
        </w:rPr>
        <w:t>5.15%</w:t>
      </w:r>
      <w:r>
        <w:rPr>
          <w:rFonts w:hint="eastAsia" w:ascii="仿宋" w:hAnsi="仿宋" w:eastAsia="仿宋"/>
          <w:sz w:val="32"/>
          <w:szCs w:val="32"/>
        </w:rPr>
        <w:t>。</w:t>
      </w:r>
    </w:p>
    <w:p>
      <w:r>
        <w:drawing>
          <wp:inline distT="0" distB="0" distL="0" distR="0">
            <wp:extent cx="5319395" cy="4419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42793" cy="4439480"/>
                    </a:xfrm>
                    <a:prstGeom prst="rect">
                      <a:avLst/>
                    </a:prstGeom>
                    <a:noFill/>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220.11</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ascii="仿宋" w:hAnsi="仿宋" w:eastAsia="仿宋"/>
          <w:bCs/>
          <w:sz w:val="32"/>
          <w:szCs w:val="32"/>
        </w:rPr>
        <w:t>99.95%</w:t>
      </w:r>
      <w:r>
        <w:rPr>
          <w:rStyle w:val="17"/>
          <w:rFonts w:hint="eastAsia" w:ascii="仿宋" w:hAnsi="仿宋" w:eastAsia="仿宋"/>
          <w:bCs/>
          <w:sz w:val="32"/>
          <w:szCs w:val="32"/>
        </w:rPr>
        <w:t>。其中：</w:t>
      </w:r>
      <w:bookmarkEnd w:id="31"/>
      <w:bookmarkEnd w:id="32"/>
      <w:bookmarkEnd w:id="33"/>
    </w:p>
    <w:p>
      <w:pPr>
        <w:spacing w:line="600" w:lineRule="exact"/>
        <w:ind w:firstLine="640" w:firstLineChars="200"/>
        <w:rPr>
          <w:rStyle w:val="17"/>
          <w:rFonts w:ascii="仿宋" w:hAnsi="仿宋" w:eastAsia="仿宋"/>
          <w:b w:val="0"/>
          <w:sz w:val="32"/>
          <w:szCs w:val="32"/>
        </w:rPr>
      </w:pPr>
      <w:r>
        <w:rPr>
          <w:rStyle w:val="17"/>
          <w:rFonts w:ascii="仿宋" w:hAnsi="仿宋" w:eastAsia="仿宋"/>
          <w:b w:val="0"/>
          <w:bCs/>
          <w:sz w:val="32"/>
          <w:szCs w:val="32"/>
        </w:rPr>
        <w:t>1.</w:t>
      </w:r>
      <w:r>
        <w:rPr>
          <w:rStyle w:val="17"/>
          <w:rFonts w:hint="eastAsia" w:ascii="仿宋" w:hAnsi="仿宋" w:eastAsia="仿宋"/>
          <w:b w:val="0"/>
          <w:sz w:val="32"/>
          <w:szCs w:val="32"/>
        </w:rPr>
        <w:t>科学技术支出（类）科学技术管理事务（款）行政运行（项）:支出决算数为</w:t>
      </w:r>
      <w:r>
        <w:rPr>
          <w:rStyle w:val="17"/>
          <w:rFonts w:ascii="仿宋" w:hAnsi="仿宋" w:eastAsia="仿宋"/>
          <w:b w:val="0"/>
          <w:sz w:val="32"/>
          <w:szCs w:val="32"/>
        </w:rPr>
        <w:t>117.57</w:t>
      </w:r>
      <w:r>
        <w:rPr>
          <w:rStyle w:val="17"/>
          <w:rFonts w:hint="eastAsia" w:ascii="仿宋" w:hAnsi="仿宋" w:eastAsia="仿宋"/>
          <w:b w:val="0"/>
          <w:sz w:val="32"/>
          <w:szCs w:val="32"/>
        </w:rPr>
        <w:t>万元，完成预算</w:t>
      </w:r>
      <w:r>
        <w:rPr>
          <w:rStyle w:val="17"/>
          <w:rFonts w:ascii="仿宋" w:hAnsi="仿宋" w:eastAsia="仿宋"/>
          <w:b w:val="0"/>
          <w:sz w:val="32"/>
          <w:szCs w:val="32"/>
        </w:rPr>
        <w:t>99.91</w:t>
      </w:r>
      <w:r>
        <w:rPr>
          <w:rStyle w:val="17"/>
          <w:rFonts w:hint="eastAsia" w:ascii="仿宋" w:hAnsi="仿宋" w:eastAsia="仿宋"/>
          <w:b w:val="0"/>
          <w:sz w:val="32"/>
          <w:szCs w:val="32"/>
        </w:rPr>
        <w:t>%，决算数小于预算数的主要原因是</w:t>
      </w:r>
      <w:r>
        <w:rPr>
          <w:rFonts w:hint="eastAsia" w:ascii="仿宋" w:hAnsi="仿宋" w:eastAsia="仿宋"/>
          <w:bCs/>
          <w:color w:val="000000"/>
          <w:sz w:val="32"/>
          <w:szCs w:val="32"/>
        </w:rPr>
        <w:t>以前年度累计结转资金</w:t>
      </w:r>
      <w:r>
        <w:rPr>
          <w:rStyle w:val="17"/>
          <w:rFonts w:hint="eastAsia" w:ascii="仿宋" w:hAnsi="仿宋" w:eastAsia="仿宋"/>
          <w:b w:val="0"/>
          <w:sz w:val="32"/>
          <w:szCs w:val="32"/>
        </w:rPr>
        <w:t>。</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2.</w:t>
      </w:r>
      <w:r>
        <w:rPr>
          <w:rStyle w:val="17"/>
          <w:rFonts w:hint="eastAsia" w:ascii="仿宋" w:hAnsi="仿宋" w:eastAsia="仿宋"/>
          <w:b w:val="0"/>
          <w:sz w:val="32"/>
          <w:szCs w:val="32"/>
        </w:rPr>
        <w:t>科学技术支出（类）科学技术管理事务（款）一般行政管理事务（项）:支出决算数为</w:t>
      </w:r>
      <w:r>
        <w:rPr>
          <w:rStyle w:val="17"/>
          <w:rFonts w:ascii="仿宋" w:hAnsi="仿宋" w:eastAsia="仿宋"/>
          <w:b w:val="0"/>
          <w:sz w:val="32"/>
          <w:szCs w:val="32"/>
        </w:rPr>
        <w:t>8.24</w:t>
      </w:r>
      <w:r>
        <w:rPr>
          <w:rStyle w:val="17"/>
          <w:rFonts w:hint="eastAsia" w:ascii="仿宋" w:hAnsi="仿宋" w:eastAsia="仿宋"/>
          <w:b w:val="0"/>
          <w:sz w:val="32"/>
          <w:szCs w:val="32"/>
        </w:rPr>
        <w:t>万元，完成预算100%，决算数与预算数持平。</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3.</w:t>
      </w:r>
      <w:r>
        <w:rPr>
          <w:rStyle w:val="17"/>
          <w:rFonts w:hint="eastAsia" w:ascii="仿宋" w:hAnsi="仿宋" w:eastAsia="仿宋"/>
          <w:b w:val="0"/>
          <w:sz w:val="32"/>
          <w:szCs w:val="32"/>
        </w:rPr>
        <w:t>科学技术（类）科学技术普及（款）其他科学技术普及支出（项）:支出决算数为</w:t>
      </w:r>
      <w:r>
        <w:rPr>
          <w:rStyle w:val="17"/>
          <w:rFonts w:ascii="仿宋" w:hAnsi="仿宋" w:eastAsia="仿宋"/>
          <w:b w:val="0"/>
          <w:sz w:val="32"/>
          <w:szCs w:val="32"/>
        </w:rPr>
        <w:t>54.33</w:t>
      </w:r>
      <w:r>
        <w:rPr>
          <w:rStyle w:val="17"/>
          <w:rFonts w:hint="eastAsia" w:ascii="仿宋" w:hAnsi="仿宋" w:eastAsia="仿宋"/>
          <w:b w:val="0"/>
          <w:sz w:val="32"/>
          <w:szCs w:val="32"/>
        </w:rPr>
        <w:t>万元，完成预算100%，决算数与预算数持平。</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4.</w:t>
      </w:r>
      <w:r>
        <w:rPr>
          <w:rStyle w:val="17"/>
          <w:rFonts w:hint="eastAsia" w:ascii="仿宋" w:hAnsi="仿宋" w:eastAsia="仿宋"/>
          <w:b w:val="0"/>
          <w:sz w:val="32"/>
          <w:szCs w:val="32"/>
        </w:rPr>
        <w:t>社会保障和就业（类）行政事业单位养老支出（款）机关事业单位基本养老保险缴费（项）:支出决算数为</w:t>
      </w:r>
      <w:r>
        <w:rPr>
          <w:rStyle w:val="17"/>
          <w:rFonts w:ascii="仿宋" w:hAnsi="仿宋" w:eastAsia="仿宋"/>
          <w:b w:val="0"/>
          <w:sz w:val="32"/>
          <w:szCs w:val="32"/>
        </w:rPr>
        <w:t>14.88</w:t>
      </w:r>
      <w:r>
        <w:rPr>
          <w:rStyle w:val="17"/>
          <w:rFonts w:hint="eastAsia" w:ascii="仿宋" w:hAnsi="仿宋" w:eastAsia="仿宋"/>
          <w:b w:val="0"/>
          <w:sz w:val="32"/>
          <w:szCs w:val="32"/>
        </w:rPr>
        <w:t>万元，完成预算100%，决算数与预算数持平。</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5.</w:t>
      </w:r>
      <w:r>
        <w:rPr>
          <w:rStyle w:val="17"/>
          <w:rFonts w:hint="eastAsia" w:ascii="仿宋" w:hAnsi="仿宋" w:eastAsia="仿宋"/>
          <w:b w:val="0"/>
          <w:sz w:val="32"/>
          <w:szCs w:val="32"/>
        </w:rPr>
        <w:t>社会保障和就业（类）行政事业单位养老支出（款）机关事业单位职业年金缴费（项）:支出决算数为</w:t>
      </w:r>
      <w:r>
        <w:rPr>
          <w:rStyle w:val="17"/>
          <w:rFonts w:ascii="仿宋" w:hAnsi="仿宋" w:eastAsia="仿宋"/>
          <w:b w:val="0"/>
          <w:sz w:val="32"/>
          <w:szCs w:val="32"/>
        </w:rPr>
        <w:t>7.4</w:t>
      </w:r>
      <w:r>
        <w:rPr>
          <w:rStyle w:val="17"/>
          <w:rFonts w:hint="eastAsia" w:ascii="仿宋" w:hAnsi="仿宋" w:eastAsia="仿宋"/>
          <w:b w:val="0"/>
          <w:sz w:val="32"/>
          <w:szCs w:val="32"/>
        </w:rPr>
        <w:t>万元，完成预算1</w:t>
      </w:r>
      <w:r>
        <w:rPr>
          <w:rStyle w:val="17"/>
          <w:rFonts w:ascii="仿宋" w:hAnsi="仿宋" w:eastAsia="仿宋"/>
          <w:b w:val="0"/>
          <w:sz w:val="32"/>
          <w:szCs w:val="32"/>
        </w:rPr>
        <w:t>00%,</w:t>
      </w:r>
      <w:r>
        <w:rPr>
          <w:rStyle w:val="17"/>
          <w:rFonts w:hint="eastAsia" w:ascii="仿宋" w:hAnsi="仿宋" w:eastAsia="仿宋"/>
          <w:b w:val="0"/>
          <w:sz w:val="32"/>
          <w:szCs w:val="32"/>
        </w:rPr>
        <w:t>决算数与预算数持平。</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6.</w:t>
      </w:r>
      <w:r>
        <w:rPr>
          <w:rStyle w:val="17"/>
          <w:rFonts w:hint="eastAsia" w:ascii="仿宋" w:hAnsi="仿宋" w:eastAsia="仿宋"/>
          <w:b w:val="0"/>
          <w:sz w:val="32"/>
          <w:szCs w:val="32"/>
        </w:rPr>
        <w:t>社会保障和就业（类）其他社会保障和就业支出（款）其他社会保障和就业支出（项）:支出决算数为</w:t>
      </w:r>
      <w:r>
        <w:rPr>
          <w:rStyle w:val="17"/>
          <w:rFonts w:ascii="仿宋" w:hAnsi="仿宋" w:eastAsia="仿宋"/>
          <w:b w:val="0"/>
          <w:sz w:val="32"/>
          <w:szCs w:val="32"/>
        </w:rPr>
        <w:t>2.31</w:t>
      </w:r>
      <w:r>
        <w:rPr>
          <w:rStyle w:val="17"/>
          <w:rFonts w:hint="eastAsia" w:ascii="仿宋" w:hAnsi="仿宋" w:eastAsia="仿宋"/>
          <w:b w:val="0"/>
          <w:sz w:val="32"/>
          <w:szCs w:val="32"/>
        </w:rPr>
        <w:t>万元，完成预算100%，决算数与预算数持平。</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7.</w:t>
      </w:r>
      <w:r>
        <w:rPr>
          <w:rStyle w:val="17"/>
          <w:rFonts w:hint="eastAsia" w:ascii="仿宋" w:hAnsi="仿宋" w:eastAsia="仿宋"/>
          <w:b w:val="0"/>
          <w:sz w:val="32"/>
          <w:szCs w:val="32"/>
        </w:rPr>
        <w:t>卫生健康（类）行政事业单位医疗（款）行政单位医疗（项）:支出决算数为3.</w:t>
      </w:r>
      <w:r>
        <w:rPr>
          <w:rStyle w:val="17"/>
          <w:rFonts w:ascii="仿宋" w:hAnsi="仿宋" w:eastAsia="仿宋"/>
          <w:b w:val="0"/>
          <w:sz w:val="32"/>
          <w:szCs w:val="32"/>
        </w:rPr>
        <w:t>3</w:t>
      </w:r>
      <w:r>
        <w:rPr>
          <w:rStyle w:val="17"/>
          <w:rFonts w:hint="eastAsia" w:ascii="仿宋" w:hAnsi="仿宋" w:eastAsia="仿宋"/>
          <w:b w:val="0"/>
          <w:sz w:val="32"/>
          <w:szCs w:val="32"/>
        </w:rPr>
        <w:t>万元，完成预算100%，决算数与预算数持平。</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8.</w:t>
      </w:r>
      <w:r>
        <w:rPr>
          <w:rStyle w:val="17"/>
          <w:rFonts w:hint="eastAsia" w:ascii="仿宋" w:hAnsi="仿宋" w:eastAsia="仿宋"/>
          <w:b w:val="0"/>
          <w:sz w:val="32"/>
          <w:szCs w:val="32"/>
        </w:rPr>
        <w:t>卫生健康（类）行政事业单位医疗（款）公务员医疗补助（项）:支出决算数为</w:t>
      </w:r>
      <w:r>
        <w:rPr>
          <w:rStyle w:val="17"/>
          <w:rFonts w:ascii="仿宋" w:hAnsi="仿宋" w:eastAsia="仿宋"/>
          <w:b w:val="0"/>
          <w:sz w:val="32"/>
          <w:szCs w:val="32"/>
        </w:rPr>
        <w:t>0.75</w:t>
      </w:r>
      <w:r>
        <w:rPr>
          <w:rStyle w:val="17"/>
          <w:rFonts w:hint="eastAsia" w:ascii="仿宋" w:hAnsi="仿宋" w:eastAsia="仿宋"/>
          <w:b w:val="0"/>
          <w:sz w:val="32"/>
          <w:szCs w:val="32"/>
        </w:rPr>
        <w:t>万元，完成预算100%，决算数与预算数持平。</w:t>
      </w:r>
    </w:p>
    <w:p>
      <w:pPr>
        <w:spacing w:line="600" w:lineRule="exact"/>
        <w:ind w:firstLine="640" w:firstLineChars="200"/>
        <w:rPr>
          <w:rFonts w:ascii="仿宋" w:hAnsi="仿宋" w:eastAsia="仿宋"/>
          <w:sz w:val="32"/>
          <w:szCs w:val="32"/>
        </w:rPr>
      </w:pPr>
      <w:r>
        <w:rPr>
          <w:rStyle w:val="17"/>
          <w:rFonts w:ascii="仿宋" w:hAnsi="仿宋" w:eastAsia="仿宋"/>
          <w:b w:val="0"/>
          <w:sz w:val="32"/>
          <w:szCs w:val="32"/>
        </w:rPr>
        <w:t>9.</w:t>
      </w:r>
      <w:r>
        <w:rPr>
          <w:rStyle w:val="17"/>
          <w:rFonts w:hint="eastAsia" w:ascii="仿宋" w:hAnsi="仿宋" w:eastAsia="仿宋"/>
          <w:b w:val="0"/>
          <w:sz w:val="32"/>
          <w:szCs w:val="32"/>
        </w:rPr>
        <w:t>住房保障支出（类）住房改革支出（款）住房公积金（项）:支出决算数为11.</w:t>
      </w:r>
      <w:r>
        <w:rPr>
          <w:rStyle w:val="17"/>
          <w:rFonts w:ascii="仿宋" w:hAnsi="仿宋" w:eastAsia="仿宋"/>
          <w:b w:val="0"/>
          <w:sz w:val="32"/>
          <w:szCs w:val="32"/>
        </w:rPr>
        <w:t>33</w:t>
      </w:r>
      <w:r>
        <w:rPr>
          <w:rStyle w:val="17"/>
          <w:rFonts w:hint="eastAsia" w:ascii="仿宋" w:hAnsi="仿宋" w:eastAsia="仿宋"/>
          <w:b w:val="0"/>
          <w:sz w:val="32"/>
          <w:szCs w:val="32"/>
        </w:rPr>
        <w:t xml:space="preserve">万元, </w:t>
      </w:r>
      <w:bookmarkStart w:id="34" w:name="_Hlk151882307"/>
      <w:r>
        <w:rPr>
          <w:rStyle w:val="17"/>
          <w:rFonts w:hint="eastAsia" w:ascii="仿宋" w:hAnsi="仿宋" w:eastAsia="仿宋"/>
          <w:b w:val="0"/>
          <w:sz w:val="32"/>
          <w:szCs w:val="32"/>
        </w:rPr>
        <w:t>完成预算100%，</w:t>
      </w:r>
      <w:bookmarkEnd w:id="34"/>
      <w:r>
        <w:rPr>
          <w:rStyle w:val="17"/>
          <w:rFonts w:hint="eastAsia" w:ascii="仿宋" w:hAnsi="仿宋" w:eastAsia="仿宋"/>
          <w:b w:val="0"/>
          <w:sz w:val="32"/>
          <w:szCs w:val="32"/>
        </w:rPr>
        <w:t>决算数与预算数持平。</w:t>
      </w:r>
    </w:p>
    <w:p>
      <w:pPr>
        <w:tabs>
          <w:tab w:val="right" w:pos="8306"/>
        </w:tabs>
        <w:spacing w:line="600" w:lineRule="exact"/>
        <w:ind w:firstLine="640"/>
        <w:outlineLvl w:val="1"/>
        <w:rPr>
          <w:rStyle w:val="28"/>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5"/>
      <w:bookmarkEnd w:id="36"/>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sz w:val="32"/>
          <w:szCs w:val="32"/>
        </w:rPr>
        <w:t>157.54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135.06</w:t>
      </w:r>
      <w:r>
        <w:rPr>
          <w:rFonts w:hint="eastAsia" w:ascii="仿宋" w:hAnsi="仿宋" w:eastAsia="仿宋"/>
          <w:sz w:val="32"/>
          <w:szCs w:val="32"/>
        </w:rPr>
        <w:t>万元，主要包括：基本工资、津贴补贴、奖金、机关事业单位基本养老保险缴费、职业年金缴费、其他社会保障缴费、职工基本医疗保险缴费、公务员医疗补助缴费、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22.48</w:t>
      </w:r>
      <w:r>
        <w:rPr>
          <w:rFonts w:hint="eastAsia" w:ascii="仿宋" w:hAnsi="仿宋" w:eastAsia="仿宋"/>
          <w:sz w:val="32"/>
          <w:szCs w:val="32"/>
        </w:rPr>
        <w:t>万元，主要包括：办公费、水费、电费、邮电费、差旅费、因公出国（境）费用、维修（护）费、公务接待费、劳务费、委托业务费、工会经费、公务用车运行维护费、其他交通费、其他商品和服务支出等。</w:t>
      </w:r>
    </w:p>
    <w:p>
      <w:pPr>
        <w:spacing w:line="600" w:lineRule="exact"/>
        <w:ind w:firstLine="640"/>
        <w:outlineLvl w:val="1"/>
        <w:rPr>
          <w:rStyle w:val="28"/>
          <w:rFonts w:ascii="黑体" w:hAnsi="黑体" w:eastAsia="黑体"/>
          <w:b w:val="0"/>
        </w:rPr>
      </w:pPr>
      <w:bookmarkStart w:id="37" w:name="_Toc15377215"/>
      <w:bookmarkStart w:id="38"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sz w:val="32"/>
          <w:szCs w:val="32"/>
        </w:rPr>
        <w:t>2.96</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，较上年度减少</w:t>
      </w:r>
      <w:r>
        <w:rPr>
          <w:rFonts w:ascii="仿宋" w:hAnsi="仿宋" w:eastAsia="仿宋"/>
          <w:sz w:val="32"/>
          <w:szCs w:val="32"/>
        </w:rPr>
        <w:t>0.04</w:t>
      </w:r>
      <w:r>
        <w:rPr>
          <w:rFonts w:hint="eastAsia" w:ascii="仿宋" w:hAnsi="仿宋" w:eastAsia="仿宋"/>
          <w:sz w:val="32"/>
          <w:szCs w:val="32"/>
        </w:rPr>
        <w:t>万元，下降</w:t>
      </w:r>
      <w:r>
        <w:rPr>
          <w:rFonts w:ascii="仿宋" w:hAnsi="仿宋" w:eastAsia="仿宋"/>
          <w:sz w:val="32"/>
          <w:szCs w:val="32"/>
        </w:rPr>
        <w:t>1.33</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2.85</w:t>
      </w:r>
      <w:r>
        <w:rPr>
          <w:rFonts w:hint="eastAsia" w:ascii="仿宋" w:hAnsi="仿宋" w:eastAsia="仿宋"/>
          <w:sz w:val="32"/>
          <w:szCs w:val="32"/>
        </w:rPr>
        <w:t>万元，占</w:t>
      </w:r>
      <w:r>
        <w:rPr>
          <w:rFonts w:ascii="仿宋" w:hAnsi="仿宋" w:eastAsia="仿宋"/>
          <w:sz w:val="32"/>
          <w:szCs w:val="32"/>
        </w:rPr>
        <w:t>96.28%</w:t>
      </w:r>
      <w:r>
        <w:rPr>
          <w:rFonts w:hint="eastAsia" w:ascii="仿宋" w:hAnsi="仿宋" w:eastAsia="仿宋"/>
          <w:sz w:val="32"/>
          <w:szCs w:val="32"/>
        </w:rPr>
        <w:t>；公务接待费支出决算</w:t>
      </w:r>
      <w:r>
        <w:rPr>
          <w:rFonts w:ascii="仿宋" w:hAnsi="仿宋" w:eastAsia="仿宋"/>
          <w:sz w:val="32"/>
          <w:szCs w:val="32"/>
        </w:rPr>
        <w:t>0.11</w:t>
      </w:r>
      <w:r>
        <w:rPr>
          <w:rFonts w:hint="eastAsia" w:ascii="仿宋" w:hAnsi="仿宋" w:eastAsia="仿宋"/>
          <w:sz w:val="32"/>
          <w:szCs w:val="32"/>
        </w:rPr>
        <w:t>万元，占</w:t>
      </w:r>
      <w:r>
        <w:rPr>
          <w:rFonts w:ascii="仿宋" w:hAnsi="仿宋" w:eastAsia="仿宋"/>
          <w:sz w:val="32"/>
          <w:szCs w:val="32"/>
        </w:rPr>
        <w:t>3.72%</w:t>
      </w:r>
      <w:r>
        <w:rPr>
          <w:rFonts w:hint="eastAsia" w:ascii="仿宋" w:hAnsi="仿宋" w:eastAsia="仿宋"/>
          <w:sz w:val="32"/>
          <w:szCs w:val="32"/>
        </w:rPr>
        <w:t>。具体情况如下：</w:t>
      </w:r>
    </w:p>
    <w:p>
      <w:r>
        <w:drawing>
          <wp:inline distT="0" distB="0" distL="0" distR="0">
            <wp:extent cx="5279390" cy="45237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87348" cy="4531112"/>
                    </a:xfrm>
                    <a:prstGeom prst="rect">
                      <a:avLst/>
                    </a:prstGeom>
                    <a:noFill/>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 w:hAnsi="仿宋" w:eastAsia="仿宋"/>
          <w:sz w:val="32"/>
          <w:szCs w:val="32"/>
        </w:rPr>
      </w:pPr>
      <w:bookmarkStart w:id="41" w:name="_Toc15396610"/>
      <w:bookmarkStart w:id="42" w:name="_Toc15377218"/>
      <w:r>
        <w:rPr>
          <w:rFonts w:ascii="仿宋" w:hAnsi="仿宋" w:eastAsia="仿宋"/>
          <w:sz w:val="32"/>
          <w:szCs w:val="32"/>
        </w:rPr>
        <w:t>1.</w:t>
      </w:r>
      <w:r>
        <w:rPr>
          <w:rFonts w:hint="eastAsia" w:ascii="仿宋" w:hAnsi="仿宋" w:eastAsia="仿宋"/>
          <w:sz w:val="32"/>
          <w:szCs w:val="32"/>
        </w:rPr>
        <w:t>因公出国（境）经费支出</w:t>
      </w:r>
      <w:r>
        <w:rPr>
          <w:rFonts w:ascii="仿宋" w:hAnsi="仿宋" w:eastAsia="仿宋"/>
          <w:sz w:val="32"/>
          <w:szCs w:val="32"/>
        </w:rPr>
        <w:t>0</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人。本年无此项业务发生。</w:t>
      </w:r>
    </w:p>
    <w:p>
      <w:pPr>
        <w:spacing w:line="60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公务用车购置及运行维护费支出</w:t>
      </w:r>
      <w:r>
        <w:rPr>
          <w:rFonts w:ascii="仿宋" w:hAnsi="仿宋" w:eastAsia="仿宋"/>
          <w:sz w:val="32"/>
          <w:szCs w:val="32"/>
        </w:rPr>
        <w:t>2.85</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 w:hAnsi="仿宋" w:eastAsia="仿宋"/>
          <w:sz w:val="32"/>
          <w:szCs w:val="32"/>
        </w:rPr>
        <w:t>公务用车购置及运行维护费支出决算比2022年度减少</w:t>
      </w:r>
      <w:r>
        <w:rPr>
          <w:rFonts w:ascii="仿宋" w:hAnsi="仿宋" w:eastAsia="仿宋"/>
          <w:sz w:val="32"/>
          <w:szCs w:val="32"/>
        </w:rPr>
        <w:t>0.11</w:t>
      </w:r>
      <w:r>
        <w:rPr>
          <w:rFonts w:hint="eastAsia" w:ascii="仿宋" w:hAnsi="仿宋" w:eastAsia="仿宋"/>
          <w:sz w:val="32"/>
          <w:szCs w:val="32"/>
        </w:rPr>
        <w:t>万元，下降</w:t>
      </w:r>
      <w:r>
        <w:rPr>
          <w:rFonts w:ascii="仿宋" w:hAnsi="仿宋" w:eastAsia="仿宋"/>
          <w:sz w:val="32"/>
          <w:szCs w:val="32"/>
        </w:rPr>
        <w:t>3.72%</w:t>
      </w:r>
      <w:r>
        <w:rPr>
          <w:rFonts w:hint="eastAsia" w:ascii="仿宋" w:hAnsi="仿宋" w:eastAsia="仿宋"/>
          <w:sz w:val="32"/>
          <w:szCs w:val="32"/>
        </w:rPr>
        <w:t>。主要原因是</w:t>
      </w:r>
      <w:r>
        <w:rPr>
          <w:rFonts w:hint="eastAsia" w:ascii="仿宋_GB2312" w:hAnsi="仿宋" w:eastAsia="仿宋_GB2312"/>
          <w:sz w:val="32"/>
          <w:szCs w:val="32"/>
        </w:rPr>
        <w:t>节能降耗，减少公务车运行费</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其中：公务用车购置支出</w:t>
      </w:r>
      <w:r>
        <w:rPr>
          <w:rFonts w:ascii="仿宋" w:hAnsi="仿宋" w:eastAsia="仿宋"/>
          <w:sz w:val="32"/>
          <w:szCs w:val="32"/>
        </w:rPr>
        <w:t>0</w:t>
      </w:r>
      <w:r>
        <w:rPr>
          <w:rFonts w:hint="eastAsia" w:ascii="仿宋" w:hAnsi="仿宋" w:eastAsia="仿宋"/>
          <w:sz w:val="32"/>
          <w:szCs w:val="32"/>
        </w:rPr>
        <w:t>万元。全年按规定更新购置公务用车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万元，越野车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万元，载客汽车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万元。截至2023年</w:t>
      </w:r>
      <w:r>
        <w:rPr>
          <w:rFonts w:ascii="仿宋" w:hAnsi="仿宋" w:eastAsia="仿宋"/>
          <w:sz w:val="32"/>
          <w:szCs w:val="32"/>
        </w:rPr>
        <w:t>12</w:t>
      </w:r>
      <w:r>
        <w:rPr>
          <w:rFonts w:hint="eastAsia" w:ascii="仿宋" w:hAnsi="仿宋" w:eastAsia="仿宋"/>
          <w:sz w:val="32"/>
          <w:szCs w:val="32"/>
        </w:rPr>
        <w:t>月31日，单位共有公务用车</w:t>
      </w:r>
      <w:r>
        <w:rPr>
          <w:rFonts w:ascii="仿宋" w:hAnsi="仿宋" w:eastAsia="仿宋"/>
          <w:sz w:val="32"/>
          <w:szCs w:val="32"/>
        </w:rPr>
        <w:t>1</w:t>
      </w:r>
      <w:r>
        <w:rPr>
          <w:rFonts w:hint="eastAsia" w:ascii="仿宋" w:hAnsi="仿宋" w:eastAsia="仿宋"/>
          <w:sz w:val="32"/>
          <w:szCs w:val="32"/>
        </w:rPr>
        <w:t>辆，其中：轿车</w:t>
      </w:r>
      <w:r>
        <w:rPr>
          <w:rFonts w:ascii="仿宋" w:hAnsi="仿宋" w:eastAsia="仿宋"/>
          <w:sz w:val="32"/>
          <w:szCs w:val="32"/>
        </w:rPr>
        <w:t>1</w:t>
      </w:r>
      <w:r>
        <w:rPr>
          <w:rFonts w:hint="eastAsia" w:ascii="仿宋" w:hAnsi="仿宋" w:eastAsia="仿宋"/>
          <w:sz w:val="32"/>
          <w:szCs w:val="32"/>
        </w:rPr>
        <w:t>辆、越野车</w:t>
      </w:r>
      <w:r>
        <w:rPr>
          <w:rFonts w:ascii="仿宋" w:hAnsi="仿宋" w:eastAsia="仿宋"/>
          <w:sz w:val="32"/>
          <w:szCs w:val="32"/>
        </w:rPr>
        <w:t>0</w:t>
      </w:r>
      <w:r>
        <w:rPr>
          <w:rFonts w:hint="eastAsia" w:ascii="仿宋" w:hAnsi="仿宋" w:eastAsia="仿宋"/>
          <w:sz w:val="32"/>
          <w:szCs w:val="32"/>
        </w:rPr>
        <w:t>辆、载客汽车</w:t>
      </w:r>
      <w:r>
        <w:rPr>
          <w:rFonts w:ascii="仿宋" w:hAnsi="仿宋" w:eastAsia="仿宋"/>
          <w:sz w:val="32"/>
          <w:szCs w:val="32"/>
        </w:rPr>
        <w:t>0</w:t>
      </w:r>
      <w:r>
        <w:rPr>
          <w:rFonts w:hint="eastAsia" w:ascii="仿宋" w:hAnsi="仿宋" w:eastAsia="仿宋"/>
          <w:sz w:val="32"/>
          <w:szCs w:val="32"/>
        </w:rPr>
        <w:t>辆。</w:t>
      </w:r>
    </w:p>
    <w:p>
      <w:pPr>
        <w:spacing w:line="600" w:lineRule="exact"/>
        <w:ind w:firstLine="640"/>
        <w:rPr>
          <w:rFonts w:ascii="仿宋" w:hAnsi="仿宋" w:eastAsia="仿宋"/>
          <w:sz w:val="32"/>
          <w:szCs w:val="32"/>
        </w:rPr>
      </w:pPr>
      <w:r>
        <w:rPr>
          <w:rFonts w:hint="eastAsia" w:ascii="仿宋" w:hAnsi="仿宋" w:eastAsia="仿宋"/>
          <w:sz w:val="32"/>
          <w:szCs w:val="32"/>
        </w:rPr>
        <w:t>公务用车运行维护费支出</w:t>
      </w:r>
      <w:r>
        <w:rPr>
          <w:rFonts w:ascii="仿宋" w:hAnsi="仿宋" w:eastAsia="仿宋"/>
          <w:sz w:val="32"/>
          <w:szCs w:val="32"/>
        </w:rPr>
        <w:t>2.85</w:t>
      </w:r>
      <w:r>
        <w:rPr>
          <w:rFonts w:hint="eastAsia" w:ascii="仿宋" w:hAnsi="仿宋" w:eastAsia="仿宋"/>
          <w:sz w:val="32"/>
          <w:szCs w:val="32"/>
        </w:rPr>
        <w:t>万元。主要用于下乡走访、开展科技宣传等所需的公务用车燃料费、维修费、过路过桥费、保险费等支出。</w:t>
      </w:r>
    </w:p>
    <w:p>
      <w:pPr>
        <w:spacing w:line="600" w:lineRule="exact"/>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w:t>
      </w:r>
      <w:r>
        <w:rPr>
          <w:rFonts w:ascii="仿宋" w:hAnsi="仿宋" w:eastAsia="仿宋"/>
          <w:sz w:val="32"/>
          <w:szCs w:val="32"/>
        </w:rPr>
        <w:t>0.11</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 w:hAnsi="仿宋" w:eastAsia="仿宋"/>
          <w:sz w:val="32"/>
          <w:szCs w:val="32"/>
        </w:rPr>
        <w:t>公务接待费支出决算比2022年度增加</w:t>
      </w:r>
      <w:r>
        <w:rPr>
          <w:rFonts w:ascii="仿宋" w:hAnsi="仿宋" w:eastAsia="仿宋"/>
          <w:sz w:val="32"/>
          <w:szCs w:val="32"/>
        </w:rPr>
        <w:t>0.07</w:t>
      </w:r>
      <w:r>
        <w:rPr>
          <w:rFonts w:hint="eastAsia" w:ascii="仿宋" w:hAnsi="仿宋" w:eastAsia="仿宋"/>
          <w:sz w:val="32"/>
          <w:szCs w:val="32"/>
        </w:rPr>
        <w:t>万元，增长</w:t>
      </w:r>
      <w:r>
        <w:rPr>
          <w:rFonts w:ascii="仿宋" w:hAnsi="仿宋" w:eastAsia="仿宋"/>
          <w:sz w:val="32"/>
          <w:szCs w:val="32"/>
        </w:rPr>
        <w:t>175%</w:t>
      </w:r>
      <w:r>
        <w:rPr>
          <w:rFonts w:hint="eastAsia" w:ascii="仿宋" w:hAnsi="仿宋" w:eastAsia="仿宋"/>
          <w:sz w:val="32"/>
          <w:szCs w:val="32"/>
        </w:rPr>
        <w:t>。主要原因是本年上级单位来峨交流学习、调研增加。其中：</w:t>
      </w:r>
    </w:p>
    <w:p>
      <w:pPr>
        <w:spacing w:line="600" w:lineRule="exact"/>
        <w:rPr>
          <w:rFonts w:ascii="仿宋" w:hAnsi="仿宋" w:eastAsia="仿宋"/>
          <w:sz w:val="32"/>
          <w:szCs w:val="32"/>
        </w:rPr>
      </w:pPr>
      <w:r>
        <w:rPr>
          <w:rFonts w:hint="eastAsia" w:ascii="仿宋" w:hAnsi="仿宋" w:eastAsia="仿宋"/>
          <w:sz w:val="32"/>
          <w:szCs w:val="32"/>
        </w:rPr>
        <w:t>国内公务接待支出</w:t>
      </w:r>
      <w:r>
        <w:rPr>
          <w:rFonts w:ascii="仿宋" w:hAnsi="仿宋" w:eastAsia="仿宋"/>
          <w:sz w:val="32"/>
          <w:szCs w:val="32"/>
        </w:rPr>
        <w:t>0.11</w:t>
      </w:r>
      <w:r>
        <w:rPr>
          <w:rFonts w:hint="eastAsia" w:ascii="仿宋" w:hAnsi="仿宋" w:eastAsia="仿宋"/>
          <w:sz w:val="32"/>
          <w:szCs w:val="32"/>
        </w:rPr>
        <w:t>万元，主要用于开展业务活动开支的住宿费、用餐费。国内公务接待</w:t>
      </w:r>
      <w:r>
        <w:rPr>
          <w:rFonts w:ascii="仿宋" w:hAnsi="仿宋" w:eastAsia="仿宋"/>
          <w:sz w:val="32"/>
          <w:szCs w:val="32"/>
        </w:rPr>
        <w:t>2</w:t>
      </w:r>
      <w:r>
        <w:rPr>
          <w:rFonts w:hint="eastAsia" w:ascii="仿宋" w:hAnsi="仿宋" w:eastAsia="仿宋"/>
          <w:sz w:val="32"/>
          <w:szCs w:val="32"/>
        </w:rPr>
        <w:t>批次，</w:t>
      </w:r>
      <w:r>
        <w:rPr>
          <w:rFonts w:ascii="仿宋" w:hAnsi="仿宋" w:eastAsia="仿宋"/>
          <w:sz w:val="32"/>
          <w:szCs w:val="32"/>
        </w:rPr>
        <w:t>14</w:t>
      </w:r>
      <w:r>
        <w:rPr>
          <w:rFonts w:hint="eastAsia" w:ascii="仿宋" w:hAnsi="仿宋" w:eastAsia="仿宋"/>
          <w:sz w:val="32"/>
          <w:szCs w:val="32"/>
        </w:rPr>
        <w:t>人次（不包括陪同人员），共计支出</w:t>
      </w:r>
      <w:r>
        <w:rPr>
          <w:rFonts w:ascii="仿宋" w:hAnsi="仿宋" w:eastAsia="仿宋"/>
          <w:sz w:val="32"/>
          <w:szCs w:val="32"/>
        </w:rPr>
        <w:t>0.11</w:t>
      </w:r>
      <w:r>
        <w:rPr>
          <w:rFonts w:hint="eastAsia" w:ascii="仿宋" w:hAnsi="仿宋" w:eastAsia="仿宋"/>
          <w:sz w:val="32"/>
          <w:szCs w:val="32"/>
        </w:rPr>
        <w:t>万元，具体内容包括：接待四川省科协调研支出</w:t>
      </w:r>
      <w:r>
        <w:rPr>
          <w:rFonts w:ascii="仿宋" w:hAnsi="仿宋" w:eastAsia="仿宋"/>
          <w:sz w:val="32"/>
          <w:szCs w:val="32"/>
        </w:rPr>
        <w:t>0.07</w:t>
      </w:r>
      <w:r>
        <w:rPr>
          <w:rFonts w:hint="eastAsia" w:ascii="仿宋" w:hAnsi="仿宋" w:eastAsia="仿宋"/>
          <w:sz w:val="32"/>
          <w:szCs w:val="32"/>
        </w:rPr>
        <w:t>元，接待乐山市科协调研支出</w:t>
      </w:r>
      <w:r>
        <w:rPr>
          <w:rFonts w:ascii="仿宋" w:hAnsi="仿宋" w:eastAsia="仿宋"/>
          <w:sz w:val="32"/>
          <w:szCs w:val="32"/>
        </w:rPr>
        <w:t>0.04</w:t>
      </w:r>
      <w:r>
        <w:rPr>
          <w:rFonts w:hint="eastAsia" w:ascii="仿宋" w:hAnsi="仿宋" w:eastAsia="仿宋"/>
          <w:sz w:val="32"/>
          <w:szCs w:val="32"/>
        </w:rPr>
        <w:t>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 w:hAnsi="仿宋" w:eastAsia="仿宋"/>
          <w:sz w:val="32"/>
          <w:szCs w:val="32"/>
        </w:rPr>
        <w:t>万元。外事接待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outlineLvl w:val="1"/>
        <w:rPr>
          <w:rFonts w:ascii="黑体" w:eastAsia="黑体"/>
          <w:sz w:val="32"/>
          <w:szCs w:val="32"/>
        </w:rPr>
      </w:pP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1"/>
      <w:bookmarkEnd w:id="42"/>
    </w:p>
    <w:p>
      <w:pPr>
        <w:spacing w:line="600" w:lineRule="exact"/>
        <w:ind w:firstLine="640"/>
        <w:rPr>
          <w:rFonts w:ascii="仿宋" w:hAnsi="仿宋" w:eastAsia="仿宋"/>
          <w:sz w:val="32"/>
          <w:szCs w:val="32"/>
        </w:rPr>
      </w:pPr>
      <w:r>
        <w:rPr>
          <w:rFonts w:hint="eastAsia" w:ascii="仿宋" w:hAnsi="仿宋" w:eastAsia="仿宋"/>
          <w:sz w:val="32"/>
          <w:szCs w:val="32"/>
        </w:rPr>
        <w:t>2023年度政府性基金预算财政拨款支出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3" w:name="_Toc15377219"/>
      <w:bookmarkStart w:id="44" w:name="_Toc15396611"/>
      <w:r>
        <w:rPr>
          <w:rStyle w:val="28"/>
          <w:rFonts w:hint="eastAsia" w:ascii="黑体" w:hAnsi="黑体" w:eastAsia="黑体"/>
          <w:b w:val="0"/>
        </w:rPr>
        <w:t>国有资本经营预算支出决算情况说明</w:t>
      </w:r>
      <w:bookmarkEnd w:id="43"/>
      <w:bookmarkEnd w:id="44"/>
    </w:p>
    <w:p>
      <w:pPr>
        <w:spacing w:line="600" w:lineRule="exact"/>
        <w:ind w:firstLine="640"/>
        <w:rPr>
          <w:rFonts w:ascii="仿宋" w:hAnsi="仿宋" w:eastAsia="仿宋"/>
          <w:sz w:val="32"/>
          <w:szCs w:val="32"/>
        </w:rPr>
      </w:pPr>
      <w:r>
        <w:rPr>
          <w:rFonts w:hint="eastAsia" w:ascii="仿宋" w:hAnsi="仿宋" w:eastAsia="仿宋"/>
          <w:sz w:val="32"/>
          <w:szCs w:val="32"/>
        </w:rPr>
        <w:t>2023年度国有资本经营预算财政拨款支出</w:t>
      </w:r>
      <w:r>
        <w:rPr>
          <w:rFonts w:ascii="仿宋" w:hAnsi="仿宋" w:eastAsia="仿宋"/>
          <w:sz w:val="32"/>
          <w:szCs w:val="32"/>
        </w:rPr>
        <w:t>0</w:t>
      </w:r>
      <w:r>
        <w:rPr>
          <w:rFonts w:hint="eastAsia" w:ascii="仿宋" w:hAnsi="仿宋" w:eastAsia="仿宋"/>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5" w:name="_Toc15377221"/>
      <w:bookmarkStart w:id="46" w:name="_Toc15396612"/>
      <w:r>
        <w:rPr>
          <w:rStyle w:val="28"/>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w:t>
      </w:r>
      <w:r>
        <w:rPr>
          <w:rFonts w:ascii="仿宋" w:hAnsi="仿宋" w:eastAsia="仿宋"/>
          <w:sz w:val="32"/>
          <w:szCs w:val="32"/>
        </w:rPr>
        <w:t>峨眉山市科学技术协会</w:t>
      </w:r>
      <w:r>
        <w:rPr>
          <w:rFonts w:hint="eastAsia" w:ascii="仿宋" w:hAnsi="仿宋" w:eastAsia="仿宋"/>
          <w:sz w:val="32"/>
          <w:szCs w:val="32"/>
        </w:rPr>
        <w:t>机关运行经费支出</w:t>
      </w:r>
      <w:r>
        <w:rPr>
          <w:rFonts w:ascii="仿宋" w:hAnsi="仿宋" w:eastAsia="仿宋"/>
          <w:sz w:val="32"/>
          <w:szCs w:val="32"/>
        </w:rPr>
        <w:t>22.48</w:t>
      </w:r>
      <w:r>
        <w:rPr>
          <w:rFonts w:hint="eastAsia" w:ascii="仿宋" w:hAnsi="仿宋" w:eastAsia="仿宋"/>
          <w:sz w:val="32"/>
          <w:szCs w:val="32"/>
        </w:rPr>
        <w:t>万元，比2022年度减少</w:t>
      </w:r>
      <w:r>
        <w:rPr>
          <w:rFonts w:ascii="仿宋" w:hAnsi="仿宋" w:eastAsia="仿宋"/>
          <w:sz w:val="32"/>
          <w:szCs w:val="32"/>
        </w:rPr>
        <w:t>1.58</w:t>
      </w:r>
      <w:r>
        <w:rPr>
          <w:rFonts w:hint="eastAsia" w:ascii="仿宋" w:hAnsi="仿宋" w:eastAsia="仿宋"/>
          <w:sz w:val="32"/>
          <w:szCs w:val="32"/>
        </w:rPr>
        <w:t>万元，下降</w:t>
      </w:r>
      <w:r>
        <w:rPr>
          <w:rFonts w:ascii="仿宋" w:hAnsi="仿宋" w:eastAsia="仿宋"/>
          <w:sz w:val="32"/>
          <w:szCs w:val="32"/>
        </w:rPr>
        <w:t>6.57%</w:t>
      </w:r>
      <w:r>
        <w:rPr>
          <w:rFonts w:hint="eastAsia" w:ascii="仿宋" w:hAnsi="仿宋" w:eastAsia="仿宋"/>
          <w:sz w:val="32"/>
          <w:szCs w:val="32"/>
        </w:rPr>
        <w:t>。主要原因是严格执行党政机关过紧日子要求，厉行节约。</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sz w:val="32"/>
          <w:szCs w:val="32"/>
        </w:rPr>
        <w:t>峨眉山市科学技术协会</w:t>
      </w:r>
      <w:r>
        <w:rPr>
          <w:rFonts w:hint="eastAsia" w:ascii="仿宋_GB2312" w:eastAsia="仿宋_GB2312"/>
          <w:sz w:val="32"/>
          <w:szCs w:val="32"/>
        </w:rPr>
        <w:t>政府采购支出总额</w:t>
      </w:r>
      <w:r>
        <w:rPr>
          <w:rFonts w:ascii="仿宋" w:hAnsi="仿宋" w:eastAsia="仿宋"/>
          <w:b/>
          <w:sz w:val="32"/>
          <w:szCs w:val="32"/>
        </w:rPr>
        <w:t>1.1</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1.1</w:t>
      </w:r>
      <w:r>
        <w:rPr>
          <w:rFonts w:hint="eastAsia" w:ascii="仿宋_GB2312" w:eastAsia="仿宋_GB2312"/>
          <w:sz w:val="32"/>
          <w:szCs w:val="32"/>
        </w:rPr>
        <w:t>万元。主要用于公务车维修保养。授予中小企业合同金额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截至2023年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w:t>
      </w:r>
      <w:r>
        <w:rPr>
          <w:rFonts w:ascii="仿宋" w:hAnsi="仿宋" w:eastAsia="仿宋"/>
          <w:sz w:val="32"/>
          <w:szCs w:val="32"/>
        </w:rPr>
        <w:t>峨眉山市科学技术协会</w:t>
      </w:r>
      <w:r>
        <w:rPr>
          <w:rFonts w:hint="eastAsia" w:ascii="仿宋" w:hAnsi="仿宋" w:eastAsia="仿宋"/>
          <w:sz w:val="32"/>
          <w:szCs w:val="32"/>
        </w:rPr>
        <w:t>共有车辆1辆，其中：主要领导干部用车</w:t>
      </w:r>
      <w:r>
        <w:rPr>
          <w:rFonts w:ascii="仿宋" w:hAnsi="仿宋" w:eastAsia="仿宋"/>
          <w:sz w:val="32"/>
          <w:szCs w:val="32"/>
        </w:rPr>
        <w:t>0</w:t>
      </w:r>
      <w:r>
        <w:rPr>
          <w:rFonts w:hint="eastAsia" w:ascii="仿宋" w:hAnsi="仿宋" w:eastAsia="仿宋"/>
          <w:sz w:val="32"/>
          <w:szCs w:val="32"/>
        </w:rPr>
        <w:t>辆、机要通信用车</w:t>
      </w:r>
      <w:r>
        <w:rPr>
          <w:rFonts w:ascii="仿宋" w:hAnsi="仿宋" w:eastAsia="仿宋"/>
          <w:sz w:val="32"/>
          <w:szCs w:val="32"/>
        </w:rPr>
        <w:t>0</w:t>
      </w:r>
      <w:r>
        <w:rPr>
          <w:rFonts w:hint="eastAsia" w:ascii="仿宋" w:hAnsi="仿宋" w:eastAsia="仿宋"/>
          <w:sz w:val="32"/>
          <w:szCs w:val="32"/>
        </w:rPr>
        <w:t>辆、应急保障用车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1</w:t>
      </w:r>
      <w:r>
        <w:rPr>
          <w:rFonts w:hint="eastAsia" w:ascii="仿宋" w:hAnsi="仿宋" w:eastAsia="仿宋"/>
          <w:sz w:val="32"/>
          <w:szCs w:val="32"/>
        </w:rPr>
        <w:t>辆，其他用车主要是用于机关日常运行。单价</w:t>
      </w:r>
      <w:r>
        <w:rPr>
          <w:rFonts w:ascii="仿宋" w:hAnsi="仿宋" w:eastAsia="仿宋"/>
          <w:sz w:val="32"/>
          <w:szCs w:val="32"/>
        </w:rPr>
        <w:t>100</w:t>
      </w:r>
      <w:r>
        <w:rPr>
          <w:rFonts w:hint="eastAsia" w:ascii="仿宋" w:hAnsi="仿宋" w:eastAsia="仿宋"/>
          <w:sz w:val="32"/>
          <w:szCs w:val="32"/>
        </w:rPr>
        <w:t>万元以上设备（不含车辆）</w:t>
      </w:r>
      <w:r>
        <w:rPr>
          <w:rFonts w:ascii="仿宋" w:hAnsi="仿宋" w:eastAsia="仿宋"/>
          <w:sz w:val="32"/>
          <w:szCs w:val="32"/>
        </w:rPr>
        <w:t>0</w:t>
      </w:r>
      <w:r>
        <w:rPr>
          <w:rFonts w:hint="eastAsia" w:ascii="仿宋" w:hAnsi="仿宋" w:eastAsia="仿宋"/>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hAnsi="仿宋" w:eastAsia="仿宋_GB2312"/>
          <w:sz w:val="32"/>
          <w:szCs w:val="32"/>
        </w:rPr>
        <w:t>全市科普活动、全市老年科普活动、省科普专项资金</w:t>
      </w:r>
      <w:r>
        <w:rPr>
          <w:rFonts w:hint="eastAsia" w:ascii="仿宋_GB2312" w:eastAsia="仿宋_GB2312"/>
          <w:sz w:val="32"/>
          <w:szCs w:val="32"/>
        </w:rPr>
        <w:t>3个项目开展了预算事前绩效评估，对3个项目编制了绩效目标，预算执行过程中，选取3个项目开展绩效监控，组织3个项目开展绩效自评，绩效自评表详见第四部分附件。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7"/>
          <w:rFonts w:hint="eastAsia" w:ascii="黑体" w:hAnsi="黑体" w:eastAsia="黑体"/>
          <w:b w:val="0"/>
        </w:rPr>
        <w:t>词解释</w:t>
      </w:r>
      <w:bookmarkEnd w:id="50"/>
      <w:bookmarkEnd w:id="51"/>
    </w:p>
    <w:p>
      <w:pPr>
        <w:spacing w:line="600" w:lineRule="exact"/>
        <w:jc w:val="left"/>
        <w:rPr>
          <w:rFonts w:ascii="宋体"/>
          <w:b/>
          <w:sz w:val="44"/>
          <w:szCs w:val="44"/>
        </w:rPr>
      </w:pPr>
    </w:p>
    <w:p>
      <w:pPr>
        <w:pStyle w:val="25"/>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5"/>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5"/>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5.</w:t>
      </w:r>
      <w:r>
        <w:rPr>
          <w:rFonts w:hint="eastAsia" w:hAnsi="仿宋"/>
          <w:sz w:val="32"/>
          <w:szCs w:val="32"/>
        </w:rPr>
        <w:t>使用非财政拨款结余（含专用结余）</w:t>
      </w:r>
      <w:r>
        <w:rPr>
          <w:rFonts w:hint="eastAsia" w:hAnsi="仿宋"/>
          <w:color w:val="auto"/>
          <w:sz w:val="32"/>
          <w:szCs w:val="32"/>
        </w:rPr>
        <w:t>：指事业单位使用以前年度积累的非财政拨款结余弥补当年收支差额的金额。</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5"/>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pStyle w:val="25"/>
        <w:spacing w:line="560" w:lineRule="exact"/>
        <w:ind w:firstLine="640" w:firstLineChars="200"/>
        <w:rPr>
          <w:rFonts w:hAnsi="仿宋"/>
          <w:color w:val="auto"/>
          <w:sz w:val="32"/>
          <w:szCs w:val="32"/>
        </w:rPr>
      </w:pPr>
      <w:r>
        <w:rPr>
          <w:rFonts w:hAnsi="仿宋"/>
          <w:color w:val="auto"/>
          <w:sz w:val="32"/>
          <w:szCs w:val="32"/>
        </w:rPr>
        <w:t>9.</w:t>
      </w:r>
      <w:r>
        <w:rPr>
          <w:rFonts w:hint="eastAsia" w:hAnsi="仿宋"/>
          <w:color w:val="auto"/>
          <w:sz w:val="32"/>
          <w:szCs w:val="32"/>
        </w:rPr>
        <w:t>科学技术支出（类）科学技术管理事务（款）行政运行（项）：是指反映行政单位（包括实行公务员管理的事业单位）的基本支出。</w:t>
      </w:r>
    </w:p>
    <w:p>
      <w:pPr>
        <w:pStyle w:val="25"/>
        <w:spacing w:line="560" w:lineRule="exact"/>
        <w:ind w:firstLine="640" w:firstLineChars="200"/>
        <w:rPr>
          <w:rFonts w:hAnsi="仿宋"/>
          <w:color w:val="auto"/>
          <w:sz w:val="32"/>
          <w:szCs w:val="32"/>
        </w:rPr>
      </w:pPr>
      <w:r>
        <w:rPr>
          <w:rFonts w:hint="eastAsia" w:hAnsi="仿宋"/>
          <w:color w:val="auto"/>
          <w:sz w:val="32"/>
          <w:szCs w:val="32"/>
        </w:rPr>
        <w:t>1</w:t>
      </w:r>
      <w:r>
        <w:rPr>
          <w:rFonts w:hAnsi="仿宋"/>
          <w:color w:val="auto"/>
          <w:sz w:val="32"/>
          <w:szCs w:val="32"/>
        </w:rPr>
        <w:t>0.</w:t>
      </w:r>
      <w:r>
        <w:rPr>
          <w:rFonts w:hint="eastAsia" w:hAnsi="仿宋"/>
          <w:color w:val="auto"/>
          <w:sz w:val="32"/>
          <w:szCs w:val="32"/>
        </w:rPr>
        <w:t>科学技术支出（类）科学技术管理事务（款）一般行政管理事务（项）：是指反映行政单位（包括实行公务员管理的事业单位）未单独设置项级科目的其他项目支出。</w:t>
      </w:r>
    </w:p>
    <w:p>
      <w:pPr>
        <w:pStyle w:val="25"/>
        <w:spacing w:line="560" w:lineRule="exact"/>
        <w:ind w:firstLine="640" w:firstLineChars="200"/>
        <w:rPr>
          <w:rFonts w:hAnsi="仿宋"/>
          <w:color w:val="auto"/>
          <w:sz w:val="32"/>
          <w:szCs w:val="32"/>
        </w:rPr>
      </w:pPr>
      <w:r>
        <w:rPr>
          <w:rFonts w:hint="eastAsia" w:hAnsi="仿宋"/>
          <w:color w:val="auto"/>
          <w:sz w:val="32"/>
          <w:szCs w:val="32"/>
        </w:rPr>
        <w:t>1</w:t>
      </w:r>
      <w:r>
        <w:rPr>
          <w:rFonts w:hAnsi="仿宋"/>
          <w:color w:val="auto"/>
          <w:sz w:val="32"/>
          <w:szCs w:val="32"/>
        </w:rPr>
        <w:t>1.</w:t>
      </w:r>
      <w:r>
        <w:rPr>
          <w:rFonts w:hint="eastAsia" w:hAnsi="仿宋"/>
          <w:color w:val="auto"/>
          <w:sz w:val="32"/>
          <w:szCs w:val="32"/>
        </w:rPr>
        <w:t>科学技术支出（类）科学技术普及（款）其他科学技术普及支出（项）：是指反映除上述项目以外其他用于科学技术普及方面的支出。</w:t>
      </w:r>
    </w:p>
    <w:p>
      <w:pPr>
        <w:pStyle w:val="25"/>
        <w:spacing w:line="560" w:lineRule="exact"/>
        <w:ind w:firstLine="640" w:firstLineChars="200"/>
        <w:rPr>
          <w:rFonts w:hAnsi="仿宋"/>
          <w:color w:val="auto"/>
          <w:sz w:val="32"/>
          <w:szCs w:val="32"/>
        </w:rPr>
      </w:pPr>
      <w:r>
        <w:rPr>
          <w:rFonts w:hint="eastAsia" w:hAnsi="仿宋"/>
          <w:color w:val="auto"/>
          <w:sz w:val="32"/>
          <w:szCs w:val="32"/>
        </w:rPr>
        <w:t>1</w:t>
      </w:r>
      <w:r>
        <w:rPr>
          <w:rFonts w:hAnsi="仿宋"/>
          <w:color w:val="auto"/>
          <w:sz w:val="32"/>
          <w:szCs w:val="32"/>
        </w:rPr>
        <w:t>2.</w:t>
      </w:r>
      <w:r>
        <w:rPr>
          <w:rFonts w:hint="eastAsia" w:hAnsi="仿宋"/>
          <w:color w:val="auto"/>
          <w:sz w:val="32"/>
          <w:szCs w:val="32"/>
        </w:rPr>
        <w:t>社会保障和就业（类）行政事业单位养老支出（款）机关事业单位基本养老保险缴费支出（项）：是指反映机关事业单位实施养老保险制度由单位缴纳的职业年金支出。</w:t>
      </w:r>
    </w:p>
    <w:p>
      <w:pPr>
        <w:pStyle w:val="25"/>
        <w:spacing w:line="560" w:lineRule="exact"/>
        <w:ind w:firstLine="640" w:firstLineChars="200"/>
        <w:rPr>
          <w:rFonts w:hAnsi="仿宋"/>
          <w:color w:val="auto"/>
          <w:sz w:val="32"/>
          <w:szCs w:val="32"/>
        </w:rPr>
      </w:pPr>
      <w:r>
        <w:rPr>
          <w:rFonts w:hint="eastAsia" w:hAnsi="仿宋"/>
          <w:color w:val="auto"/>
          <w:sz w:val="32"/>
          <w:szCs w:val="32"/>
        </w:rPr>
        <w:t>1</w:t>
      </w:r>
      <w:r>
        <w:rPr>
          <w:rFonts w:hAnsi="仿宋"/>
          <w:color w:val="auto"/>
          <w:sz w:val="32"/>
          <w:szCs w:val="32"/>
        </w:rPr>
        <w:t>3.</w:t>
      </w:r>
      <w:r>
        <w:rPr>
          <w:rFonts w:hint="eastAsia" w:hAnsi="仿宋"/>
          <w:color w:val="auto"/>
          <w:sz w:val="32"/>
          <w:szCs w:val="32"/>
        </w:rPr>
        <w:t>社会保障和就业（类）行政事业单位养老支出（款）机关事业单位职业年金缴费支出（项）：是指反映机关事业单位实施养老保险制度由单位缴纳的职业年金支出。</w:t>
      </w:r>
    </w:p>
    <w:p>
      <w:pPr>
        <w:pStyle w:val="25"/>
        <w:spacing w:line="560" w:lineRule="exact"/>
        <w:ind w:firstLine="640" w:firstLineChars="200"/>
        <w:rPr>
          <w:rFonts w:hAnsi="仿宋"/>
          <w:color w:val="auto"/>
          <w:sz w:val="32"/>
          <w:szCs w:val="32"/>
        </w:rPr>
      </w:pPr>
      <w:r>
        <w:rPr>
          <w:rFonts w:hint="eastAsia" w:hAnsi="仿宋"/>
          <w:color w:val="auto"/>
          <w:sz w:val="32"/>
          <w:szCs w:val="32"/>
        </w:rPr>
        <w:t>1</w:t>
      </w:r>
      <w:r>
        <w:rPr>
          <w:rFonts w:hAnsi="仿宋"/>
          <w:color w:val="auto"/>
          <w:sz w:val="32"/>
          <w:szCs w:val="32"/>
        </w:rPr>
        <w:t>4.</w:t>
      </w:r>
      <w:r>
        <w:rPr>
          <w:rFonts w:hint="eastAsia" w:hAnsi="仿宋"/>
          <w:color w:val="auto"/>
          <w:sz w:val="32"/>
          <w:szCs w:val="32"/>
        </w:rPr>
        <w:t>社会保障和就业（类）其他社会保障和就业支出（款）其他社会保障和就业支出（项）：反映除上述项目以外其他用于社会保障和就业方面的支出。</w:t>
      </w:r>
    </w:p>
    <w:p>
      <w:pPr>
        <w:pStyle w:val="25"/>
        <w:spacing w:line="560" w:lineRule="exact"/>
        <w:ind w:firstLine="640" w:firstLineChars="200"/>
        <w:rPr>
          <w:rFonts w:hAnsi="仿宋"/>
          <w:color w:val="auto"/>
          <w:sz w:val="32"/>
          <w:szCs w:val="32"/>
        </w:rPr>
      </w:pPr>
      <w:r>
        <w:rPr>
          <w:rFonts w:hint="eastAsia" w:hAnsi="仿宋"/>
          <w:color w:val="auto"/>
          <w:sz w:val="32"/>
          <w:szCs w:val="32"/>
        </w:rPr>
        <w:t>1</w:t>
      </w:r>
      <w:r>
        <w:rPr>
          <w:rFonts w:hAnsi="仿宋"/>
          <w:color w:val="auto"/>
          <w:sz w:val="32"/>
          <w:szCs w:val="32"/>
        </w:rPr>
        <w:t>5.</w:t>
      </w:r>
      <w:r>
        <w:rPr>
          <w:rFonts w:hint="eastAsia" w:hAnsi="仿宋"/>
          <w:color w:val="auto"/>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5"/>
        <w:spacing w:line="560" w:lineRule="exact"/>
        <w:ind w:firstLine="640" w:firstLineChars="200"/>
        <w:rPr>
          <w:rFonts w:hAnsi="仿宋"/>
          <w:color w:val="auto"/>
          <w:sz w:val="32"/>
          <w:szCs w:val="32"/>
        </w:rPr>
      </w:pPr>
      <w:r>
        <w:rPr>
          <w:rFonts w:hAnsi="仿宋"/>
          <w:color w:val="auto"/>
          <w:sz w:val="32"/>
          <w:szCs w:val="32"/>
        </w:rPr>
        <w:t>16.</w:t>
      </w:r>
      <w:r>
        <w:rPr>
          <w:rFonts w:hint="eastAsia" w:hAnsi="仿宋"/>
          <w:color w:val="auto"/>
          <w:sz w:val="32"/>
          <w:szCs w:val="32"/>
        </w:rPr>
        <w:t>卫生健康支出（类）行政事业单位医疗（款）公务员医疗补助（项）:反映财政部门安排的公务员医疗补助经费。</w:t>
      </w:r>
    </w:p>
    <w:p>
      <w:pPr>
        <w:pStyle w:val="25"/>
        <w:spacing w:line="560" w:lineRule="exact"/>
        <w:ind w:firstLine="640" w:firstLineChars="200"/>
        <w:rPr>
          <w:rFonts w:hAnsi="仿宋"/>
          <w:color w:val="auto"/>
          <w:sz w:val="32"/>
          <w:szCs w:val="32"/>
        </w:rPr>
      </w:pPr>
      <w:r>
        <w:rPr>
          <w:rFonts w:hAnsi="仿宋"/>
          <w:color w:val="auto"/>
          <w:sz w:val="32"/>
          <w:szCs w:val="32"/>
        </w:rPr>
        <w:t>17.</w:t>
      </w:r>
      <w:r>
        <w:rPr>
          <w:rFonts w:hint="eastAsia" w:hAnsi="仿宋"/>
          <w:color w:val="auto"/>
          <w:sz w:val="32"/>
          <w:szCs w:val="32"/>
        </w:rPr>
        <w:t>住房保障支出（类）住房改革支出（款）住房公积金（项）:是指反映行政事业单位按人力资源和社会保障部、财政部规定的基本工资和津贴补贴以及规定比例为职工缴纳的住房公积金。</w:t>
      </w:r>
    </w:p>
    <w:p>
      <w:pPr>
        <w:pStyle w:val="25"/>
        <w:spacing w:line="560" w:lineRule="exact"/>
        <w:ind w:firstLine="640" w:firstLineChars="200"/>
        <w:rPr>
          <w:rFonts w:hAnsi="仿宋"/>
          <w:color w:val="auto"/>
          <w:sz w:val="32"/>
          <w:szCs w:val="32"/>
        </w:rPr>
      </w:pPr>
      <w:r>
        <w:rPr>
          <w:rFonts w:hAnsi="仿宋"/>
          <w:color w:val="auto"/>
          <w:sz w:val="32"/>
          <w:szCs w:val="32"/>
        </w:rPr>
        <w:t>18.</w:t>
      </w:r>
      <w:r>
        <w:rPr>
          <w:rFonts w:hint="eastAsia" w:hAnsi="仿宋"/>
          <w:color w:val="auto"/>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经营支出：指事业单位在专业业务活动及其辅助活动之外开展非独立核算经营活动发生的支出。</w:t>
      </w:r>
    </w:p>
    <w:p>
      <w:pPr>
        <w:pStyle w:val="25"/>
        <w:spacing w:line="560" w:lineRule="exact"/>
        <w:ind w:firstLine="640" w:firstLineChars="200"/>
        <w:rPr>
          <w:rFonts w:hAnsi="仿宋"/>
          <w:color w:val="auto"/>
          <w:sz w:val="32"/>
          <w:szCs w:val="32"/>
        </w:rPr>
      </w:pPr>
      <w:r>
        <w:rPr>
          <w:rFonts w:hAnsi="仿宋"/>
          <w:color w:val="auto"/>
          <w:sz w:val="32"/>
          <w:szCs w:val="32"/>
        </w:rPr>
        <w:t>21.</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Ansi="仿宋"/>
          <w:color w:val="auto"/>
          <w:sz w:val="32"/>
          <w:szCs w:val="32"/>
        </w:rPr>
        <w:t>22.</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Fonts w:ascii="仿宋" w:hAnsi="仿宋" w:eastAsia="仿宋"/>
          <w:b/>
          <w:sz w:val="32"/>
          <w:szCs w:val="32"/>
        </w:rPr>
      </w:pPr>
      <w:bookmarkStart w:id="52" w:name="_Toc15396614"/>
      <w:bookmarkStart w:id="53" w:name="_Toc15377226"/>
    </w:p>
    <w:p>
      <w:pPr>
        <w:spacing w:line="600" w:lineRule="exact"/>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黑体" w:hAnsi="黑体" w:eastAsia="黑体"/>
          <w:bCs/>
          <w:kern w:val="44"/>
          <w:sz w:val="44"/>
          <w:szCs w:val="44"/>
        </w:rPr>
      </w:pPr>
      <w:r>
        <w:rPr>
          <w:rFonts w:hint="eastAsia" w:ascii="黑体" w:hAnsi="黑体" w:eastAsia="黑体"/>
          <w:sz w:val="44"/>
          <w:szCs w:val="44"/>
        </w:rPr>
        <w:t>第</w:t>
      </w:r>
      <w:r>
        <w:rPr>
          <w:rStyle w:val="27"/>
          <w:rFonts w:hint="eastAsia" w:ascii="黑体" w:hAnsi="黑体" w:eastAsia="黑体"/>
          <w:b w:val="0"/>
        </w:rPr>
        <w:t>四部分 附件</w:t>
      </w:r>
      <w:bookmarkEnd w:id="52"/>
      <w:bookmarkStart w:id="54" w:name="_Toc15396618"/>
    </w:p>
    <w:tbl>
      <w:tblPr>
        <w:tblStyle w:val="15"/>
        <w:tblW w:w="11199" w:type="dxa"/>
        <w:tblInd w:w="-1452" w:type="dxa"/>
        <w:tblLayout w:type="fixed"/>
        <w:tblCellMar>
          <w:top w:w="0" w:type="dxa"/>
          <w:left w:w="108" w:type="dxa"/>
          <w:bottom w:w="0" w:type="dxa"/>
          <w:right w:w="108" w:type="dxa"/>
        </w:tblCellMar>
      </w:tblPr>
      <w:tblGrid>
        <w:gridCol w:w="709"/>
        <w:gridCol w:w="993"/>
        <w:gridCol w:w="2718"/>
        <w:gridCol w:w="1393"/>
        <w:gridCol w:w="567"/>
        <w:gridCol w:w="789"/>
        <w:gridCol w:w="345"/>
        <w:gridCol w:w="1025"/>
        <w:gridCol w:w="486"/>
        <w:gridCol w:w="486"/>
        <w:gridCol w:w="1688"/>
      </w:tblGrid>
      <w:tr>
        <w:tblPrEx>
          <w:tblCellMar>
            <w:top w:w="0" w:type="dxa"/>
            <w:left w:w="108" w:type="dxa"/>
            <w:bottom w:w="0" w:type="dxa"/>
            <w:right w:w="108" w:type="dxa"/>
          </w:tblCellMar>
        </w:tblPrEx>
        <w:trPr>
          <w:trHeight w:val="382" w:hRule="atLeast"/>
        </w:trPr>
        <w:tc>
          <w:tcPr>
            <w:tcW w:w="111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4" w:hRule="atLeast"/>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9497"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51118121T000000057473-全市科普活动</w:t>
            </w:r>
          </w:p>
        </w:tc>
      </w:tr>
      <w:tr>
        <w:tblPrEx>
          <w:tblCellMar>
            <w:top w:w="0" w:type="dxa"/>
            <w:left w:w="108" w:type="dxa"/>
            <w:bottom w:w="0" w:type="dxa"/>
            <w:right w:w="108" w:type="dxa"/>
          </w:tblCellMar>
        </w:tblPrEx>
        <w:trPr>
          <w:trHeight w:val="423" w:hRule="atLeast"/>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主管部门</w:t>
            </w: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峨眉山市科协</w:t>
            </w:r>
          </w:p>
        </w:tc>
        <w:tc>
          <w:tcPr>
            <w:tcW w:w="1025" w:type="dxa"/>
            <w:tcBorders>
              <w:top w:val="nil"/>
              <w:left w:val="nil"/>
              <w:bottom w:val="nil"/>
              <w:right w:val="nil"/>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实施单位 （盖章）</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峨眉山市科学技术协会</w:t>
            </w:r>
          </w:p>
        </w:tc>
      </w:tr>
      <w:tr>
        <w:tblPrEx>
          <w:tblCellMar>
            <w:top w:w="0" w:type="dxa"/>
            <w:left w:w="108" w:type="dxa"/>
            <w:bottom w:w="0" w:type="dxa"/>
            <w:right w:w="108" w:type="dxa"/>
          </w:tblCellMar>
        </w:tblPrEx>
        <w:trPr>
          <w:trHeight w:val="284"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1.项目年度目标完成情况</w:t>
            </w: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项目年度目标</w:t>
            </w:r>
          </w:p>
        </w:tc>
        <w:tc>
          <w:tcPr>
            <w:tcW w:w="368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年度目标完成情况</w:t>
            </w:r>
          </w:p>
        </w:tc>
      </w:tr>
      <w:tr>
        <w:tblPrEx>
          <w:tblCellMar>
            <w:top w:w="0" w:type="dxa"/>
            <w:left w:w="108" w:type="dxa"/>
            <w:bottom w:w="0" w:type="dxa"/>
            <w:right w:w="108" w:type="dxa"/>
          </w:tblCellMar>
        </w:tblPrEx>
        <w:trPr>
          <w:trHeight w:val="1301"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普及科学知识，弘扬科学精神、传播科学思想和科学方法，提高公众科学素质，大力实施全民科学素质行动计划纲要，抓好重点人群科学素质的提高，开展有实效有特色的科普活动，使科普工作不断适应社会公众对科普的新需求，推动当地经济社会发展，促进物质文明、精神文明和政治文明建设。</w:t>
            </w:r>
          </w:p>
        </w:tc>
        <w:tc>
          <w:tcPr>
            <w:tcW w:w="368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认真贯彻落实《四川省全民科学素质行动实施方案》，重点围绕青少年、老年人、产业工人、农民、领导干部和公务员等五大人群开展有针对性的科普活动。推动科普“双减”深入融合，青少年科技创新大赛、机器人大赛等赛事成绩优异。</w:t>
            </w:r>
          </w:p>
        </w:tc>
      </w:tr>
      <w:tr>
        <w:tblPrEx>
          <w:tblCellMar>
            <w:top w:w="0" w:type="dxa"/>
            <w:left w:w="108" w:type="dxa"/>
            <w:bottom w:w="0" w:type="dxa"/>
            <w:right w:w="108" w:type="dxa"/>
          </w:tblCellMar>
        </w:tblPrEx>
        <w:trPr>
          <w:trHeight w:val="728"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2.项目实施内容及过程概述</w:t>
            </w:r>
          </w:p>
        </w:tc>
        <w:tc>
          <w:tcPr>
            <w:tcW w:w="9497"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认真贯彻落实《四川省全民科学素质行动实施方案》，重点围绕青少年、老年人、产业工人、农民、领导干部和公务员等五大人群开展有针对性的科普活动。推动科普“双减”深入融合，青少年科技创新大赛、机器人大赛等赛事成绩优异。</w:t>
            </w: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9"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预算执行情况（10分）</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年度预算数（万元）</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调整后预算数</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预算执行数</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原因</w:t>
            </w:r>
          </w:p>
        </w:tc>
      </w:tr>
      <w:tr>
        <w:tblPrEx>
          <w:tblCellMar>
            <w:top w:w="0" w:type="dxa"/>
            <w:left w:w="108" w:type="dxa"/>
            <w:bottom w:w="0" w:type="dxa"/>
            <w:right w:w="108" w:type="dxa"/>
          </w:tblCellMar>
        </w:tblPrEx>
        <w:trPr>
          <w:trHeight w:val="141"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总额</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35.00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10.20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10.20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16"/>
                <w:szCs w:val="16"/>
              </w:rPr>
            </w:pPr>
            <w:r>
              <w:rPr>
                <w:rFonts w:ascii="宋体" w:hAnsi="宋体" w:cs="宋体"/>
                <w:i/>
                <w:iCs/>
                <w:color w:val="000000"/>
                <w:kern w:val="0"/>
                <w:sz w:val="16"/>
                <w:szCs w:val="16"/>
              </w:rPr>
              <w:t>　</w:t>
            </w:r>
          </w:p>
        </w:tc>
      </w:tr>
      <w:tr>
        <w:tblPrEx>
          <w:tblCellMar>
            <w:top w:w="0" w:type="dxa"/>
            <w:left w:w="108" w:type="dxa"/>
            <w:bottom w:w="0" w:type="dxa"/>
            <w:right w:w="108" w:type="dxa"/>
          </w:tblCellMar>
        </w:tblPrEx>
        <w:trPr>
          <w:trHeight w:val="38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35.00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10.20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10.20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295"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159"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单位资金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221"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371"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绩效指标（90分）</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指标性质</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指标值</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度量单位</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未完成原因分析</w:t>
            </w:r>
          </w:p>
        </w:tc>
      </w:tr>
      <w:tr>
        <w:tblPrEx>
          <w:tblCellMar>
            <w:top w:w="0" w:type="dxa"/>
            <w:left w:w="108" w:type="dxa"/>
            <w:bottom w:w="0" w:type="dxa"/>
            <w:right w:w="108" w:type="dxa"/>
          </w:tblCellMar>
        </w:tblPrEx>
        <w:trPr>
          <w:trHeight w:val="1041"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产出指标</w:t>
            </w:r>
          </w:p>
        </w:tc>
        <w:tc>
          <w:tcPr>
            <w:tcW w:w="27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开展科普示范学校建设，在校参与科普活动的学生不少于80%</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80</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人</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80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1059"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组织全市青少年科创大赛，推荐50件以上作品到乐山和省上参赛</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件</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50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67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做好惠农兴村，支持下属农技协技开展农技培训，推广新品种新技术</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1</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60"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效益指标</w:t>
            </w:r>
          </w:p>
        </w:tc>
        <w:tc>
          <w:tcPr>
            <w:tcW w:w="27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开展提高农民科学素质工作，让3.7%以上村干部和农民党员每年接受培训</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452"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充分发挥好社区科普学校在科普教育工作中的作用</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67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发挥农村专业技术协会、科普示范基地和科普带头人在农民科技培训的作用</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67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组织群众性、社会性、经常性科普活动，形成科普工作的良好社会环境</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284" w:hRule="atLeast"/>
        </w:trPr>
        <w:tc>
          <w:tcPr>
            <w:tcW w:w="85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w:t>
            </w:r>
          </w:p>
        </w:tc>
        <w:tc>
          <w:tcPr>
            <w:tcW w:w="168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60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评价结论</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自评分1</w:t>
            </w:r>
            <w:r>
              <w:rPr>
                <w:rFonts w:ascii="宋体" w:hAnsi="宋体" w:cs="宋体"/>
                <w:iCs/>
                <w:color w:val="000000"/>
                <w:kern w:val="0"/>
                <w:sz w:val="16"/>
                <w:szCs w:val="16"/>
              </w:rPr>
              <w:t>00分，</w:t>
            </w:r>
            <w:r>
              <w:rPr>
                <w:rFonts w:hint="eastAsia" w:ascii="宋体" w:hAnsi="宋体" w:cs="宋体"/>
                <w:iCs/>
                <w:color w:val="000000"/>
                <w:kern w:val="0"/>
                <w:sz w:val="16"/>
                <w:szCs w:val="16"/>
              </w:rPr>
              <w:t>普及科学知识，弘扬科学精神、传播科学思想和科学方法，提高公众科学素质，大力实施全民科学素质行动计划纲要，抓好重点人群科学素质的提高，开展有实效有特色的科普活动，使科普工作不断适应社会公众对科普的新需求，推动当地经济社会发展，促进物质文明、精神文明和政治文明建设。</w:t>
            </w:r>
          </w:p>
        </w:tc>
      </w:tr>
      <w:tr>
        <w:tblPrEx>
          <w:tblCellMar>
            <w:top w:w="0" w:type="dxa"/>
            <w:left w:w="108" w:type="dxa"/>
            <w:bottom w:w="0" w:type="dxa"/>
            <w:right w:w="108" w:type="dxa"/>
          </w:tblCellMar>
        </w:tblPrEx>
        <w:trPr>
          <w:trHeight w:val="57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存在问题</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无</w:t>
            </w:r>
          </w:p>
        </w:tc>
      </w:tr>
      <w:tr>
        <w:tblPrEx>
          <w:tblCellMar>
            <w:top w:w="0" w:type="dxa"/>
            <w:left w:w="108" w:type="dxa"/>
            <w:bottom w:w="0" w:type="dxa"/>
            <w:right w:w="108" w:type="dxa"/>
          </w:tblCellMar>
        </w:tblPrEx>
        <w:trPr>
          <w:trHeight w:val="63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改进措施</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无</w:t>
            </w:r>
          </w:p>
        </w:tc>
      </w:tr>
      <w:tr>
        <w:tblPrEx>
          <w:tblCellMar>
            <w:top w:w="0" w:type="dxa"/>
            <w:left w:w="108" w:type="dxa"/>
            <w:bottom w:w="0" w:type="dxa"/>
            <w:right w:w="108" w:type="dxa"/>
          </w:tblCellMar>
        </w:tblPrEx>
        <w:trPr>
          <w:trHeight w:val="284" w:hRule="atLeast"/>
        </w:trPr>
        <w:tc>
          <w:tcPr>
            <w:tcW w:w="6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项目负责人：卢锋</w:t>
            </w:r>
          </w:p>
        </w:tc>
        <w:tc>
          <w:tcPr>
            <w:tcW w:w="4819"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财务负责人：卢锋</w:t>
            </w:r>
          </w:p>
        </w:tc>
      </w:tr>
      <w:tr>
        <w:tblPrEx>
          <w:tblCellMar>
            <w:top w:w="0" w:type="dxa"/>
            <w:left w:w="108" w:type="dxa"/>
            <w:bottom w:w="0" w:type="dxa"/>
            <w:right w:w="108" w:type="dxa"/>
          </w:tblCellMar>
        </w:tblPrEx>
        <w:trPr>
          <w:trHeight w:val="284" w:hRule="atLeast"/>
        </w:trPr>
        <w:tc>
          <w:tcPr>
            <w:tcW w:w="709"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6"/>
                <w:szCs w:val="18"/>
              </w:rPr>
            </w:pPr>
          </w:p>
        </w:tc>
        <w:tc>
          <w:tcPr>
            <w:tcW w:w="993"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2718"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1393"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567"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789"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345"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1025"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16"/>
                <w:szCs w:val="20"/>
              </w:rPr>
            </w:pPr>
          </w:p>
        </w:tc>
        <w:tc>
          <w:tcPr>
            <w:tcW w:w="1688" w:type="dxa"/>
            <w:tcBorders>
              <w:top w:val="nil"/>
              <w:left w:val="nil"/>
              <w:bottom w:val="nil"/>
              <w:right w:val="nil"/>
            </w:tcBorders>
            <w:shd w:val="clear" w:color="auto" w:fill="auto"/>
            <w:vAlign w:val="center"/>
          </w:tcPr>
          <w:p>
            <w:pPr>
              <w:widowControl/>
              <w:jc w:val="left"/>
              <w:rPr>
                <w:rFonts w:eastAsia="Times New Roman"/>
                <w:kern w:val="0"/>
                <w:sz w:val="16"/>
                <w:szCs w:val="20"/>
              </w:rPr>
            </w:pPr>
          </w:p>
        </w:tc>
      </w:tr>
      <w:tr>
        <w:tblPrEx>
          <w:tblCellMar>
            <w:top w:w="0" w:type="dxa"/>
            <w:left w:w="108" w:type="dxa"/>
            <w:bottom w:w="0" w:type="dxa"/>
            <w:right w:w="108" w:type="dxa"/>
          </w:tblCellMar>
        </w:tblPrEx>
        <w:trPr>
          <w:trHeight w:val="901" w:hRule="atLeast"/>
        </w:trPr>
        <w:tc>
          <w:tcPr>
            <w:tcW w:w="111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4" w:hRule="atLeast"/>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9497"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51118122T000000331534-全市老年科普活动</w:t>
            </w:r>
          </w:p>
        </w:tc>
      </w:tr>
      <w:tr>
        <w:tblPrEx>
          <w:tblCellMar>
            <w:top w:w="0" w:type="dxa"/>
            <w:left w:w="108" w:type="dxa"/>
            <w:bottom w:w="0" w:type="dxa"/>
            <w:right w:w="108" w:type="dxa"/>
          </w:tblCellMar>
        </w:tblPrEx>
        <w:trPr>
          <w:trHeight w:val="714" w:hRule="atLeast"/>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主管部门</w:t>
            </w: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峨眉山市科协</w:t>
            </w:r>
          </w:p>
        </w:tc>
        <w:tc>
          <w:tcPr>
            <w:tcW w:w="1025" w:type="dxa"/>
            <w:tcBorders>
              <w:top w:val="nil"/>
              <w:left w:val="nil"/>
              <w:bottom w:val="nil"/>
              <w:right w:val="nil"/>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实施单位 （盖章）</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峨眉山市科学技术协会</w:t>
            </w:r>
          </w:p>
        </w:tc>
      </w:tr>
      <w:tr>
        <w:tblPrEx>
          <w:tblCellMar>
            <w:top w:w="0" w:type="dxa"/>
            <w:left w:w="108" w:type="dxa"/>
            <w:bottom w:w="0" w:type="dxa"/>
            <w:right w:w="108" w:type="dxa"/>
          </w:tblCellMar>
        </w:tblPrEx>
        <w:trPr>
          <w:trHeight w:val="284"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1.项目年度目标完成情况</w:t>
            </w: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项目年度目标</w:t>
            </w:r>
          </w:p>
        </w:tc>
        <w:tc>
          <w:tcPr>
            <w:tcW w:w="368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年度目标完成情况</w:t>
            </w:r>
          </w:p>
        </w:tc>
      </w:tr>
      <w:tr>
        <w:tblPrEx>
          <w:tblCellMar>
            <w:top w:w="0" w:type="dxa"/>
            <w:left w:w="108" w:type="dxa"/>
            <w:bottom w:w="0" w:type="dxa"/>
            <w:right w:w="108" w:type="dxa"/>
          </w:tblCellMar>
        </w:tblPrEx>
        <w:trPr>
          <w:trHeight w:val="874"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开展科普活动，让广大老年朋友加入到科普活动中来</w:t>
            </w:r>
          </w:p>
        </w:tc>
        <w:tc>
          <w:tcPr>
            <w:tcW w:w="368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广泛开展针对老年群体科普活动，积极配合开展科技“三下乡”活动，组织茶叶品评大赛，让广大老年朋友加入到科普活动中来</w:t>
            </w:r>
          </w:p>
        </w:tc>
      </w:tr>
      <w:tr>
        <w:tblPrEx>
          <w:tblCellMar>
            <w:top w:w="0" w:type="dxa"/>
            <w:left w:w="108" w:type="dxa"/>
            <w:bottom w:w="0" w:type="dxa"/>
            <w:right w:w="108" w:type="dxa"/>
          </w:tblCellMar>
        </w:tblPrEx>
        <w:trPr>
          <w:trHeight w:val="692"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2.项目实施内容及过程概述</w:t>
            </w:r>
          </w:p>
        </w:tc>
        <w:tc>
          <w:tcPr>
            <w:tcW w:w="9497"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开展针对老年群体科普活动，积极配合开展科技“三下乡”活动，组织茶叶品评大赛，让广大老年朋友加入到科普活动中来。</w:t>
            </w:r>
          </w:p>
        </w:tc>
      </w:tr>
      <w:tr>
        <w:tblPrEx>
          <w:tblCellMar>
            <w:top w:w="0" w:type="dxa"/>
            <w:left w:w="108" w:type="dxa"/>
            <w:bottom w:w="0" w:type="dxa"/>
            <w:right w:w="108" w:type="dxa"/>
          </w:tblCellMar>
        </w:tblPrEx>
        <w:trPr>
          <w:trHeight w:val="274"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预算执行情况（10分）</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年度预算数（万元）</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调整后预算数</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预算执行数</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原因</w:t>
            </w:r>
          </w:p>
        </w:tc>
      </w:tr>
      <w:tr>
        <w:tblPrEx>
          <w:tblCellMar>
            <w:top w:w="0" w:type="dxa"/>
            <w:left w:w="108" w:type="dxa"/>
            <w:bottom w:w="0" w:type="dxa"/>
            <w:right w:w="108" w:type="dxa"/>
          </w:tblCellMar>
        </w:tblPrEx>
        <w:trPr>
          <w:trHeight w:val="344"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总额</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29.00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r>
              <w:rPr>
                <w:rFonts w:ascii="宋体" w:hAnsi="宋体" w:cs="宋体"/>
                <w:color w:val="000000"/>
                <w:kern w:val="0"/>
                <w:sz w:val="16"/>
                <w:szCs w:val="16"/>
              </w:rPr>
              <w:t>0</w:t>
            </w:r>
            <w:r>
              <w:rPr>
                <w:rFonts w:hint="eastAsia" w:ascii="宋体" w:hAnsi="宋体" w:cs="宋体"/>
                <w:color w:val="000000"/>
                <w:kern w:val="0"/>
                <w:sz w:val="16"/>
                <w:szCs w:val="16"/>
              </w:rPr>
              <w:t>　</w:t>
            </w:r>
          </w:p>
        </w:tc>
        <w:tc>
          <w:tcPr>
            <w:tcW w:w="16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16"/>
                <w:szCs w:val="16"/>
              </w:rPr>
            </w:pPr>
            <w:r>
              <w:rPr>
                <w:rFonts w:ascii="宋体" w:hAnsi="宋体" w:cs="宋体"/>
                <w:i/>
                <w:iCs/>
                <w:color w:val="000000"/>
                <w:kern w:val="0"/>
                <w:sz w:val="16"/>
                <w:szCs w:val="16"/>
              </w:rPr>
              <w:t>　</w:t>
            </w:r>
          </w:p>
        </w:tc>
      </w:tr>
      <w:tr>
        <w:tblPrEx>
          <w:tblCellMar>
            <w:top w:w="0" w:type="dxa"/>
            <w:left w:w="108" w:type="dxa"/>
            <w:bottom w:w="0" w:type="dxa"/>
            <w:right w:w="108" w:type="dxa"/>
          </w:tblCellMar>
        </w:tblPrEx>
        <w:trPr>
          <w:trHeight w:val="388"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29.00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7.00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40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359"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单位资金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452"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绩效指标（90分）</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指标性质</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指标值</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度量单位</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未完成原因分析</w:t>
            </w: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产出指标</w:t>
            </w:r>
          </w:p>
        </w:tc>
        <w:tc>
          <w:tcPr>
            <w:tcW w:w="27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开展活动场次</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场次</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12</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科普活动参与人数</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人</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452"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保障老年科普工资顺利开展</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效益指标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提升老年人科普素质</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90</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95.00%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可持续发展指标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让老年科普工作持续向好</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452"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开展老年科普活动</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284" w:hRule="atLeast"/>
        </w:trPr>
        <w:tc>
          <w:tcPr>
            <w:tcW w:w="85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68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60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评价结论</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自评分1</w:t>
            </w:r>
            <w:r>
              <w:rPr>
                <w:rFonts w:ascii="宋体" w:hAnsi="宋体" w:cs="宋体"/>
                <w:iCs/>
                <w:color w:val="000000"/>
                <w:kern w:val="0"/>
                <w:sz w:val="16"/>
                <w:szCs w:val="16"/>
              </w:rPr>
              <w:t>00分，</w:t>
            </w:r>
            <w:r>
              <w:rPr>
                <w:rFonts w:hint="eastAsia" w:ascii="宋体" w:hAnsi="宋体" w:cs="宋体"/>
                <w:iCs/>
                <w:color w:val="000000"/>
                <w:kern w:val="0"/>
                <w:sz w:val="16"/>
                <w:szCs w:val="16"/>
              </w:rPr>
              <w:t>开展科普活动，让广大老年朋友加入到科普活动中来，提升老年人科学素质。</w:t>
            </w:r>
          </w:p>
        </w:tc>
      </w:tr>
      <w:tr>
        <w:tblPrEx>
          <w:tblCellMar>
            <w:top w:w="0" w:type="dxa"/>
            <w:left w:w="108" w:type="dxa"/>
            <w:bottom w:w="0" w:type="dxa"/>
            <w:right w:w="108" w:type="dxa"/>
          </w:tblCellMar>
        </w:tblPrEx>
        <w:trPr>
          <w:trHeight w:val="351"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存在问题</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无</w:t>
            </w:r>
          </w:p>
        </w:tc>
      </w:tr>
      <w:tr>
        <w:tblPrEx>
          <w:tblCellMar>
            <w:top w:w="0" w:type="dxa"/>
            <w:left w:w="108" w:type="dxa"/>
            <w:bottom w:w="0" w:type="dxa"/>
            <w:right w:w="108" w:type="dxa"/>
          </w:tblCellMar>
        </w:tblPrEx>
        <w:trPr>
          <w:trHeight w:val="413"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改进措施</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无</w:t>
            </w:r>
          </w:p>
        </w:tc>
      </w:tr>
      <w:tr>
        <w:tblPrEx>
          <w:tblCellMar>
            <w:top w:w="0" w:type="dxa"/>
            <w:left w:w="108" w:type="dxa"/>
            <w:bottom w:w="0" w:type="dxa"/>
            <w:right w:w="108" w:type="dxa"/>
          </w:tblCellMar>
        </w:tblPrEx>
        <w:trPr>
          <w:trHeight w:val="284" w:hRule="atLeast"/>
        </w:trPr>
        <w:tc>
          <w:tcPr>
            <w:tcW w:w="6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项目负责人：卢锋</w:t>
            </w:r>
          </w:p>
        </w:tc>
        <w:tc>
          <w:tcPr>
            <w:tcW w:w="4819"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财务负责人：万娟</w:t>
            </w:r>
          </w:p>
        </w:tc>
      </w:tr>
      <w:tr>
        <w:tblPrEx>
          <w:tblCellMar>
            <w:top w:w="0" w:type="dxa"/>
            <w:left w:w="108" w:type="dxa"/>
            <w:bottom w:w="0" w:type="dxa"/>
            <w:right w:w="108" w:type="dxa"/>
          </w:tblCellMar>
        </w:tblPrEx>
        <w:trPr>
          <w:trHeight w:val="284" w:hRule="atLeast"/>
        </w:trPr>
        <w:tc>
          <w:tcPr>
            <w:tcW w:w="709"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p>
        </w:tc>
        <w:tc>
          <w:tcPr>
            <w:tcW w:w="993"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2718"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393"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67"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789"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34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02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8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688"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94" w:hRule="atLeast"/>
        </w:trPr>
        <w:tc>
          <w:tcPr>
            <w:tcW w:w="111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4" w:hRule="atLeast"/>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9497"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51118122T000005374813-省科普专项资金</w:t>
            </w:r>
          </w:p>
        </w:tc>
      </w:tr>
      <w:tr>
        <w:tblPrEx>
          <w:tblCellMar>
            <w:top w:w="0" w:type="dxa"/>
            <w:left w:w="108" w:type="dxa"/>
            <w:bottom w:w="0" w:type="dxa"/>
            <w:right w:w="108" w:type="dxa"/>
          </w:tblCellMar>
        </w:tblPrEx>
        <w:trPr>
          <w:trHeight w:val="512" w:hRule="atLeast"/>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主管部门</w:t>
            </w: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峨眉山市科协</w:t>
            </w:r>
          </w:p>
        </w:tc>
        <w:tc>
          <w:tcPr>
            <w:tcW w:w="1025" w:type="dxa"/>
            <w:tcBorders>
              <w:top w:val="nil"/>
              <w:left w:val="nil"/>
              <w:bottom w:val="nil"/>
              <w:right w:val="nil"/>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实施单位 （盖章）</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峨眉山市科学技术协会</w:t>
            </w:r>
          </w:p>
        </w:tc>
      </w:tr>
      <w:tr>
        <w:tblPrEx>
          <w:tblCellMar>
            <w:top w:w="0" w:type="dxa"/>
            <w:left w:w="108" w:type="dxa"/>
            <w:bottom w:w="0" w:type="dxa"/>
            <w:right w:w="108" w:type="dxa"/>
          </w:tblCellMar>
        </w:tblPrEx>
        <w:trPr>
          <w:trHeight w:val="284"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1.项目年度目标完成情况</w:t>
            </w: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项目年度目标</w:t>
            </w:r>
          </w:p>
        </w:tc>
        <w:tc>
          <w:tcPr>
            <w:tcW w:w="368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ascii="宋体" w:hAnsi="宋体" w:cs="宋体"/>
                <w:color w:val="000000"/>
                <w:kern w:val="0"/>
                <w:sz w:val="16"/>
                <w:szCs w:val="16"/>
              </w:rPr>
              <w:t>年度目标完成情况</w:t>
            </w:r>
          </w:p>
        </w:tc>
      </w:tr>
      <w:tr>
        <w:tblPrEx>
          <w:tblCellMar>
            <w:top w:w="0" w:type="dxa"/>
            <w:left w:w="108" w:type="dxa"/>
            <w:bottom w:w="0" w:type="dxa"/>
            <w:right w:w="108" w:type="dxa"/>
          </w:tblCellMar>
        </w:tblPrEx>
        <w:trPr>
          <w:trHeight w:val="159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5812"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保证云服中心正常运转，支持我市科普基地面向大众开展科普服务，促进全市中小学科创、科普工作进一步发展。积极推广农业适用技术，加强基层科普阵地，培养技术农民，促进乡村振兴。</w:t>
            </w:r>
          </w:p>
        </w:tc>
        <w:tc>
          <w:tcPr>
            <w:tcW w:w="3685"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续广泛宣传天府科技云服务，引导全市科技工作者、企事业单位和城乡群众注册入驻。建强基层科普传播体系。完成全市13个乡镇（街道）科协组织建设。“科普员”、“科普管理员”设置。扎实推进专家工作站培育和创建，成功建成乐山市专家工作站3家。</w:t>
            </w:r>
          </w:p>
        </w:tc>
      </w:tr>
      <w:tr>
        <w:tblPrEx>
          <w:tblCellMar>
            <w:top w:w="0" w:type="dxa"/>
            <w:left w:w="108" w:type="dxa"/>
            <w:bottom w:w="0" w:type="dxa"/>
            <w:right w:w="108" w:type="dxa"/>
          </w:tblCellMar>
        </w:tblPrEx>
        <w:trPr>
          <w:trHeight w:val="692"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2.项目实施内容及过程概述</w:t>
            </w:r>
          </w:p>
        </w:tc>
        <w:tc>
          <w:tcPr>
            <w:tcW w:w="9497"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59"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预算执行情况（10分）</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年度预算数（万元）</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调整后预算数</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预算执行数</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原因</w:t>
            </w:r>
          </w:p>
        </w:tc>
      </w:tr>
      <w:tr>
        <w:tblPrEx>
          <w:tblCellMar>
            <w:top w:w="0" w:type="dxa"/>
            <w:left w:w="108" w:type="dxa"/>
            <w:bottom w:w="0" w:type="dxa"/>
            <w:right w:w="108" w:type="dxa"/>
          </w:tblCellMar>
        </w:tblPrEx>
        <w:trPr>
          <w:trHeight w:val="344"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总额</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38.98</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38.98</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6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388"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38.98</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38.98</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40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359"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单位资金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0.00%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其他资金</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70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16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i/>
                <w:iCs/>
                <w:color w:val="000000"/>
                <w:kern w:val="0"/>
                <w:sz w:val="16"/>
                <w:szCs w:val="16"/>
              </w:rPr>
            </w:pPr>
          </w:p>
        </w:tc>
      </w:tr>
      <w:tr>
        <w:tblPrEx>
          <w:tblCellMar>
            <w:top w:w="0" w:type="dxa"/>
            <w:left w:w="108" w:type="dxa"/>
            <w:bottom w:w="0" w:type="dxa"/>
            <w:right w:w="108" w:type="dxa"/>
          </w:tblCellMar>
        </w:tblPrEx>
        <w:trPr>
          <w:trHeight w:val="452" w:hRule="atLeast"/>
        </w:trPr>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绩效指标（90分）</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指标性质</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指标值</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度量单位</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完成值</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权重</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得分</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未完成原因分析</w:t>
            </w: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产出指标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开展技术培训</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15</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场次</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30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337"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效益指标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支持基地开展科普服务</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8</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9</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452" w:hRule="atLeast"/>
        </w:trPr>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27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服务对象满意度指标</w:t>
            </w:r>
          </w:p>
        </w:tc>
        <w:tc>
          <w:tcPr>
            <w:tcW w:w="13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科普惠民成效</w:t>
            </w:r>
          </w:p>
        </w:tc>
        <w:tc>
          <w:tcPr>
            <w:tcW w:w="5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定性</w:t>
            </w:r>
          </w:p>
        </w:tc>
        <w:tc>
          <w:tcPr>
            <w:tcW w:w="7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优良差</w:t>
            </w:r>
          </w:p>
        </w:tc>
        <w:tc>
          <w:tcPr>
            <w:tcW w:w="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优</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1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i/>
                <w:iCs/>
                <w:color w:val="000000"/>
                <w:kern w:val="0"/>
                <w:sz w:val="16"/>
                <w:szCs w:val="16"/>
              </w:rPr>
            </w:pPr>
            <w:r>
              <w:rPr>
                <w:rFonts w:hint="eastAsia" w:ascii="宋体" w:hAnsi="宋体" w:cs="宋体"/>
                <w:i/>
                <w:iCs/>
                <w:color w:val="000000"/>
                <w:kern w:val="0"/>
                <w:sz w:val="16"/>
                <w:szCs w:val="16"/>
              </w:rPr>
              <w:t>　</w:t>
            </w:r>
          </w:p>
        </w:tc>
      </w:tr>
      <w:tr>
        <w:tblPrEx>
          <w:tblCellMar>
            <w:top w:w="0" w:type="dxa"/>
            <w:left w:w="108" w:type="dxa"/>
            <w:bottom w:w="0" w:type="dxa"/>
            <w:right w:w="108" w:type="dxa"/>
          </w:tblCellMar>
        </w:tblPrEx>
        <w:trPr>
          <w:trHeight w:val="284" w:hRule="atLeast"/>
        </w:trPr>
        <w:tc>
          <w:tcPr>
            <w:tcW w:w="85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100</w:t>
            </w:r>
          </w:p>
        </w:tc>
        <w:tc>
          <w:tcPr>
            <w:tcW w:w="168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60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评价结论</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自评分1</w:t>
            </w:r>
            <w:r>
              <w:rPr>
                <w:rFonts w:ascii="宋体" w:hAnsi="宋体" w:cs="宋体"/>
                <w:iCs/>
                <w:color w:val="000000"/>
                <w:kern w:val="0"/>
                <w:sz w:val="16"/>
                <w:szCs w:val="16"/>
              </w:rPr>
              <w:t>00分，</w:t>
            </w:r>
            <w:r>
              <w:rPr>
                <w:rFonts w:hint="eastAsia" w:ascii="宋体" w:hAnsi="宋体" w:cs="宋体"/>
                <w:iCs/>
                <w:color w:val="000000"/>
                <w:kern w:val="0"/>
                <w:sz w:val="16"/>
                <w:szCs w:val="16"/>
              </w:rPr>
              <w:t>保证云服中心正常运转，支持我市科普基地面向大众开展科普服务，促进全市中小学科创、科普工作进一步发展。积极推广农业适用技术，加强基层科普阵地，培养技术农民，促进乡村振兴。</w:t>
            </w:r>
          </w:p>
        </w:tc>
      </w:tr>
      <w:tr>
        <w:tblPrEx>
          <w:tblCellMar>
            <w:top w:w="0" w:type="dxa"/>
            <w:left w:w="108" w:type="dxa"/>
            <w:bottom w:w="0" w:type="dxa"/>
            <w:right w:w="108" w:type="dxa"/>
          </w:tblCellMar>
        </w:tblPrEx>
        <w:trPr>
          <w:trHeight w:val="57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存在问题</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无</w:t>
            </w:r>
          </w:p>
        </w:tc>
      </w:tr>
      <w:tr>
        <w:tblPrEx>
          <w:tblCellMar>
            <w:top w:w="0" w:type="dxa"/>
            <w:left w:w="108" w:type="dxa"/>
            <w:bottom w:w="0" w:type="dxa"/>
            <w:right w:w="108" w:type="dxa"/>
          </w:tblCellMar>
        </w:tblPrEx>
        <w:trPr>
          <w:trHeight w:val="632" w:hRule="atLeast"/>
        </w:trPr>
        <w:tc>
          <w:tcPr>
            <w:tcW w:w="70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改进措施</w:t>
            </w:r>
          </w:p>
        </w:tc>
        <w:tc>
          <w:tcPr>
            <w:tcW w:w="1049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iCs/>
                <w:color w:val="000000"/>
                <w:kern w:val="0"/>
                <w:sz w:val="16"/>
                <w:szCs w:val="16"/>
              </w:rPr>
            </w:pPr>
            <w:r>
              <w:rPr>
                <w:rFonts w:hint="eastAsia" w:ascii="宋体" w:hAnsi="宋体" w:cs="宋体"/>
                <w:iCs/>
                <w:color w:val="000000"/>
                <w:kern w:val="0"/>
                <w:sz w:val="16"/>
                <w:szCs w:val="16"/>
              </w:rPr>
              <w:t>无</w:t>
            </w:r>
          </w:p>
        </w:tc>
      </w:tr>
      <w:tr>
        <w:tblPrEx>
          <w:tblCellMar>
            <w:top w:w="0" w:type="dxa"/>
            <w:left w:w="108" w:type="dxa"/>
            <w:bottom w:w="0" w:type="dxa"/>
            <w:right w:w="108" w:type="dxa"/>
          </w:tblCellMar>
        </w:tblPrEx>
        <w:trPr>
          <w:trHeight w:val="284" w:hRule="atLeast"/>
        </w:trPr>
        <w:tc>
          <w:tcPr>
            <w:tcW w:w="6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项目负责人：卢锋</w:t>
            </w:r>
          </w:p>
        </w:tc>
        <w:tc>
          <w:tcPr>
            <w:tcW w:w="4819"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ascii="宋体" w:hAnsi="宋体" w:cs="宋体"/>
                <w:color w:val="000000"/>
                <w:kern w:val="0"/>
                <w:sz w:val="16"/>
                <w:szCs w:val="16"/>
              </w:rPr>
              <w:t>财务负责人：万娟</w:t>
            </w:r>
          </w:p>
        </w:tc>
      </w:tr>
    </w:tbl>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3"/>
      <w:bookmarkEnd w:id="54"/>
      <w:bookmarkStart w:id="55"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8"/>
          <w:rFonts w:hint="eastAsia" w:ascii="仿宋" w:hAnsi="仿宋" w:eastAsia="仿宋"/>
          <w:b w:val="0"/>
          <w:bCs w:val="0"/>
        </w:rPr>
        <w:t>入决算表</w:t>
      </w:r>
      <w:bookmarkEnd w:id="56"/>
    </w:p>
    <w:p>
      <w:pPr>
        <w:pStyle w:val="4"/>
        <w:rPr>
          <w:rFonts w:ascii="仿宋" w:hAnsi="仿宋" w:eastAsia="仿宋"/>
        </w:rPr>
      </w:pPr>
      <w:bookmarkStart w:id="57"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8"/>
    </w:p>
    <w:p>
      <w:pPr>
        <w:pStyle w:val="4"/>
        <w:rPr>
          <w:rStyle w:val="28"/>
          <w:rFonts w:ascii="仿宋" w:hAnsi="仿宋" w:eastAsia="仿宋"/>
          <w:b w:val="0"/>
          <w:bCs w:val="0"/>
        </w:rPr>
      </w:pPr>
      <w:bookmarkStart w:id="59"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8"/>
          <w:rFonts w:hint="eastAsia" w:ascii="仿宋" w:hAnsi="仿宋" w:eastAsia="仿宋"/>
          <w:b w:val="0"/>
          <w:bCs w:val="0"/>
        </w:rPr>
        <w:t>十、</w:t>
      </w:r>
      <w:bookmarkEnd w:id="64"/>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8"/>
          <w:rFonts w:hint="eastAsia" w:ascii="仿宋" w:hAnsi="仿宋" w:eastAsia="仿宋"/>
          <w:b w:val="0"/>
          <w:bCs w:val="0"/>
        </w:rPr>
        <w:t>十一、</w:t>
      </w:r>
      <w:bookmarkEnd w:id="65"/>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8"/>
          <w:rFonts w:hint="eastAsia" w:ascii="仿宋" w:hAnsi="仿宋" w:eastAsia="仿宋"/>
          <w:b w:val="0"/>
          <w:bCs w:val="0"/>
        </w:rPr>
        <w:t>十二、</w:t>
      </w:r>
      <w:bookmarkEnd w:id="66"/>
      <w:r>
        <w:rPr>
          <w:rStyle w:val="28"/>
          <w:rFonts w:hint="eastAsia" w:ascii="仿宋" w:hAnsi="仿宋" w:eastAsia="仿宋"/>
          <w:b w:val="0"/>
          <w:bCs w:val="0"/>
        </w:rPr>
        <w:t>国有资本经营预算财政拨款支出决算表</w:t>
      </w:r>
    </w:p>
    <w:p>
      <w:pPr>
        <w:pStyle w:val="4"/>
        <w:rPr>
          <w:rFonts w:eastAsia="仿宋"/>
        </w:rPr>
      </w:pPr>
      <w:bookmarkStart w:id="67" w:name="_Toc15396631"/>
      <w:r>
        <w:rPr>
          <w:rStyle w:val="28"/>
          <w:rFonts w:hint="eastAsia" w:ascii="仿宋" w:hAnsi="仿宋" w:eastAsia="仿宋"/>
          <w:b w:val="0"/>
          <w:bCs w:val="0"/>
        </w:rPr>
        <w:t>十三、</w:t>
      </w:r>
      <w:bookmarkEnd w:id="67"/>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3D5"/>
    <w:rsid w:val="000222C6"/>
    <w:rsid w:val="0002549F"/>
    <w:rsid w:val="000468DB"/>
    <w:rsid w:val="000556BF"/>
    <w:rsid w:val="0006487A"/>
    <w:rsid w:val="00065F8F"/>
    <w:rsid w:val="00070A43"/>
    <w:rsid w:val="000768F2"/>
    <w:rsid w:val="0009184B"/>
    <w:rsid w:val="00094236"/>
    <w:rsid w:val="0009593C"/>
    <w:rsid w:val="00097322"/>
    <w:rsid w:val="000A0439"/>
    <w:rsid w:val="000A6A92"/>
    <w:rsid w:val="000B047F"/>
    <w:rsid w:val="000B5923"/>
    <w:rsid w:val="000B5A48"/>
    <w:rsid w:val="000B6FF3"/>
    <w:rsid w:val="000C3467"/>
    <w:rsid w:val="000C3CA6"/>
    <w:rsid w:val="000D1267"/>
    <w:rsid w:val="000D1D50"/>
    <w:rsid w:val="000D1DE9"/>
    <w:rsid w:val="000D5782"/>
    <w:rsid w:val="000E6613"/>
    <w:rsid w:val="000E7119"/>
    <w:rsid w:val="00114E9B"/>
    <w:rsid w:val="0014022F"/>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1AD7"/>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85F1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0B62"/>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031A"/>
    <w:rsid w:val="00505A47"/>
    <w:rsid w:val="00512FDA"/>
    <w:rsid w:val="00520DA0"/>
    <w:rsid w:val="00526959"/>
    <w:rsid w:val="005533CF"/>
    <w:rsid w:val="005622D6"/>
    <w:rsid w:val="005664BB"/>
    <w:rsid w:val="00566FFA"/>
    <w:rsid w:val="00570E30"/>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194F"/>
    <w:rsid w:val="00614E44"/>
    <w:rsid w:val="0062270A"/>
    <w:rsid w:val="00622830"/>
    <w:rsid w:val="00623DA0"/>
    <w:rsid w:val="00630AEF"/>
    <w:rsid w:val="006315E6"/>
    <w:rsid w:val="006325F8"/>
    <w:rsid w:val="00633463"/>
    <w:rsid w:val="00634C9A"/>
    <w:rsid w:val="0064201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017"/>
    <w:rsid w:val="00746F48"/>
    <w:rsid w:val="0075404D"/>
    <w:rsid w:val="0076182A"/>
    <w:rsid w:val="00762DB2"/>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61D1"/>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E97"/>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FEE"/>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0E6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2A86"/>
    <w:rsid w:val="00E64269"/>
    <w:rsid w:val="00E7085C"/>
    <w:rsid w:val="00E7148B"/>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032581"/>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1E7BA3"/>
    <w:rsid w:val="3A4DCE41"/>
    <w:rsid w:val="3BCB56FA"/>
    <w:rsid w:val="3C0C0783"/>
    <w:rsid w:val="3EE7C2F4"/>
    <w:rsid w:val="3F371B56"/>
    <w:rsid w:val="3F792ED8"/>
    <w:rsid w:val="3F9F3A96"/>
    <w:rsid w:val="3FECA4B2"/>
    <w:rsid w:val="3FF58C48"/>
    <w:rsid w:val="42F12210"/>
    <w:rsid w:val="42FF6694"/>
    <w:rsid w:val="48BF60AB"/>
    <w:rsid w:val="493C27E9"/>
    <w:rsid w:val="496F39ED"/>
    <w:rsid w:val="49FF41D3"/>
    <w:rsid w:val="4B894912"/>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0501F1"/>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23</Pages>
  <Words>1368</Words>
  <Characters>7800</Characters>
  <Lines>65</Lines>
  <Paragraphs>18</Paragraphs>
  <TotalTime>2</TotalTime>
  <ScaleCrop>false</ScaleCrop>
  <LinksUpToDate>false</LinksUpToDate>
  <CharactersWithSpaces>9150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2024-12-10T02:13:16Z</dcterms:modified>
  <dc:title>四川省***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3E2FAB933B6A481B8D05E8005EF94ADF</vt:lpwstr>
  </property>
</Properties>
</file>