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78441"/>
      <w:bookmarkStart w:id="3" w:name="_Toc15377193"/>
      <w:bookmarkStart w:id="4" w:name="_Toc15396475"/>
      <w:bookmarkStart w:id="5"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olor w:val="000000"/>
          <w:sz w:val="72"/>
          <w:szCs w:val="72"/>
          <w:lang w:eastAsia="zh-CN"/>
        </w:rPr>
        <w:t>峨眉山市大为镇</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5"/>
        <w:adjustRightInd w:val="0"/>
        <w:snapToGrid w:val="0"/>
        <w:spacing w:line="440" w:lineRule="exact"/>
        <w:jc w:val="left"/>
        <w:rPr>
          <w:rFonts w:hint="default" w:ascii="仿宋" w:hAnsi="仿宋" w:eastAsia="仿宋"/>
          <w:sz w:val="24"/>
          <w:lang w:val="en-US"/>
        </w:rPr>
      </w:pPr>
      <w:r>
        <w:rPr>
          <w:rFonts w:hint="eastAsia"/>
          <w:sz w:val="24"/>
        </w:rPr>
        <w:t>一、部门职责</w:t>
      </w:r>
      <w:r>
        <w:rPr>
          <w:rFonts w:hint="eastAsia"/>
          <w:sz w:val="24"/>
          <w:lang w:val="en-US" w:eastAsia="zh-CN"/>
        </w:rPr>
        <w:t>..................................................................................................4</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二、机构设置</w:t>
      </w:r>
      <w:r>
        <w:rPr>
          <w:rFonts w:hint="eastAsia"/>
          <w:sz w:val="24"/>
          <w:lang w:val="en-US" w:eastAsia="zh-CN"/>
        </w:rPr>
        <w:t>..................................................................................................8</w:t>
      </w:r>
    </w:p>
    <w:p>
      <w:pPr>
        <w:pStyle w:val="13"/>
        <w:adjustRightInd w:val="0"/>
        <w:snapToGrid w:val="0"/>
        <w:spacing w:before="0" w:line="440" w:lineRule="exact"/>
        <w:jc w:val="left"/>
        <w:rPr>
          <w:sz w:val="24"/>
          <w:szCs w:val="24"/>
        </w:rPr>
      </w:pPr>
      <w:r>
        <w:rPr>
          <w:rFonts w:hint="eastAsia"/>
          <w:sz w:val="24"/>
        </w:rPr>
        <w:t>第二部分 2023年度部门决算情况说明</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.................................................................10</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.................................................................................10</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sz w:val="24"/>
          <w:lang w:val="en-US" w:eastAsia="zh-CN"/>
        </w:rPr>
        <w:t>.................................................................................11</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sz w:val="24"/>
          <w:lang w:val="en-US" w:eastAsia="zh-CN"/>
        </w:rPr>
        <w:t>.................................................12</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.........................................13</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.................................18</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.........................................18</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.....................................................21</w:t>
      </w:r>
    </w:p>
    <w:p>
      <w:pPr>
        <w:pStyle w:val="15"/>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.................................................21</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21</w:t>
      </w:r>
    </w:p>
    <w:p>
      <w:pPr>
        <w:pStyle w:val="13"/>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cs="Times New Roman"/>
          <w:kern w:val="2"/>
          <w:sz w:val="24"/>
          <w:szCs w:val="24"/>
          <w:lang w:val="en-US" w:eastAsia="zh-CN" w:bidi="ar-SA"/>
        </w:rPr>
        <w:t>..............................................................................................22</w:t>
      </w:r>
    </w:p>
    <w:p>
      <w:pPr>
        <w:pStyle w:val="13"/>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ascii="Times New Roman" w:hAnsi="Times New Roman" w:eastAsia="宋体" w:cs="Times New Roman"/>
          <w:kern w:val="2"/>
          <w:sz w:val="24"/>
          <w:szCs w:val="24"/>
          <w:lang w:val="en-US" w:eastAsia="zh-CN" w:bidi="ar-SA"/>
        </w:rPr>
        <w:t>......................................................................................................27</w:t>
      </w:r>
    </w:p>
    <w:p>
      <w:pPr>
        <w:pStyle w:val="13"/>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Times New Roman" w:hAnsi="Times New Roman" w:eastAsia="宋体" w:cs="Times New Roman"/>
          <w:kern w:val="2"/>
          <w:sz w:val="24"/>
          <w:szCs w:val="24"/>
          <w:lang w:val="en-US" w:eastAsia="zh-CN" w:bidi="ar-SA"/>
        </w:rPr>
        <w:t>......................................................................................................65</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6"/>
        <w:numPr>
          <w:ilvl w:val="0"/>
          <w:numId w:val="0"/>
        </w:numPr>
        <w:rPr>
          <w:rFonts w:hint="eastAsia" w:ascii="黑体" w:hAnsi="黑体" w:eastAsia="黑体"/>
          <w:b w:val="0"/>
        </w:rPr>
      </w:pPr>
      <w:r>
        <w:rPr>
          <w:rFonts w:hint="eastAsia" w:ascii="黑体" w:hAnsi="黑体" w:eastAsia="黑体"/>
          <w:b w:val="0"/>
          <w:lang w:eastAsia="zh-CN"/>
        </w:rPr>
        <w:t>一、</w:t>
      </w:r>
      <w:r>
        <w:rPr>
          <w:rFonts w:hint="eastAsia" w:ascii="黑体" w:hAnsi="黑体" w:eastAsia="黑体"/>
          <w:b w:val="0"/>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bookmarkStart w:id="14" w:name="_Toc15378445"/>
      <w:bookmarkStart w:id="15" w:name="_Toc15377198"/>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主要职能。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bookmarkEnd w:id="14"/>
    <w:bookmarkEnd w:id="15"/>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年重点工作完成情况。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1.聚焦乡村振兴，脱贫成色越来越足</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kern w:val="2"/>
          <w:sz w:val="32"/>
          <w:szCs w:val="32"/>
          <w:lang w:val="en-US" w:eastAsia="zh-CN" w:bidi="ar-SA"/>
        </w:rPr>
        <w:t>一是</w:t>
      </w:r>
      <w:r>
        <w:rPr>
          <w:rFonts w:hint="eastAsia" w:ascii="楷体_GB2312" w:hAnsi="楷体_GB2312" w:eastAsia="楷体_GB2312" w:cs="楷体_GB2312"/>
          <w:b w:val="0"/>
          <w:bCs w:val="0"/>
          <w:i w:val="0"/>
          <w:iCs w:val="0"/>
          <w:caps w:val="0"/>
          <w:color w:val="000000"/>
          <w:spacing w:val="0"/>
          <w:kern w:val="2"/>
          <w:sz w:val="32"/>
          <w:szCs w:val="32"/>
          <w:u w:val="none"/>
          <w:shd w:val="clear" w:fill="FFFFFF"/>
          <w:lang w:val="en-US" w:eastAsia="zh-CN" w:bidi="ar-SA"/>
        </w:rPr>
        <w:t>持续巩固脱贫成果。</w:t>
      </w:r>
      <w:r>
        <w:rPr>
          <w:rFonts w:hint="eastAsia" w:ascii="仿宋_GB2312" w:eastAsia="仿宋_GB2312" w:cs="仿宋_GB2312" w:hAnsiTheme="minorHAnsi"/>
          <w:i w:val="0"/>
          <w:iCs w:val="0"/>
          <w:caps w:val="0"/>
          <w:color w:val="000000"/>
          <w:spacing w:val="0"/>
          <w:kern w:val="2"/>
          <w:sz w:val="32"/>
          <w:szCs w:val="32"/>
          <w:u w:val="none"/>
          <w:shd w:val="clear" w:fill="FFFFFF"/>
          <w:lang w:val="en-US" w:eastAsia="zh-CN" w:bidi="ar-SA"/>
        </w:rPr>
        <w:t>严格落实“四个不摘”要求，紧盯脱贫人口和监测对象增收这个关键，抓好脱贫户和监测对</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象分类管理精准帮扶，守牢防返贫</w:t>
      </w:r>
      <w:r>
        <w:rPr>
          <w:rFonts w:hint="eastAsia" w:ascii="仿宋_GB2312" w:eastAsia="仿宋_GB2312" w:cs="仿宋_GB2312"/>
          <w:i w:val="0"/>
          <w:iCs w:val="0"/>
          <w:caps w:val="0"/>
          <w:color w:val="000000"/>
          <w:spacing w:val="0"/>
          <w:kern w:val="2"/>
          <w:sz w:val="32"/>
          <w:szCs w:val="32"/>
          <w:highlight w:val="none"/>
          <w:u w:val="none"/>
          <w:shd w:val="clear" w:fill="FFFFFF"/>
          <w:lang w:val="en-US" w:eastAsia="zh-CN" w:bidi="ar-SA"/>
        </w:rPr>
        <w:t>致贫</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底线。2023年新纳入监测对象</w:t>
      </w:r>
      <w:r>
        <w:rPr>
          <w:rFonts w:hint="eastAsia" w:ascii="仿宋_GB2312" w:hAnsi="仿宋_GB2312" w:eastAsia="仿宋_GB2312" w:cs="仿宋_GB2312"/>
          <w:color w:val="auto"/>
          <w:sz w:val="32"/>
          <w:szCs w:val="32"/>
          <w:highlight w:val="none"/>
          <w:lang w:val="en-US" w:eastAsia="zh-CN"/>
        </w:rPr>
        <w:t>4</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户</w:t>
      </w:r>
      <w:r>
        <w:rPr>
          <w:rFonts w:hint="eastAsia" w:ascii="仿宋_GB2312" w:hAnsi="仿宋_GB2312" w:eastAsia="仿宋_GB2312" w:cs="仿宋_GB2312"/>
          <w:color w:val="auto"/>
          <w:sz w:val="32"/>
          <w:szCs w:val="32"/>
          <w:highlight w:val="none"/>
          <w:lang w:val="en-US" w:eastAsia="zh-CN"/>
        </w:rPr>
        <w:t>8</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人，消除风险</w:t>
      </w:r>
      <w:r>
        <w:rPr>
          <w:rFonts w:hint="eastAsia" w:ascii="仿宋_GB2312" w:hAnsi="仿宋_GB2312" w:eastAsia="仿宋_GB2312" w:cs="仿宋_GB2312"/>
          <w:color w:val="auto"/>
          <w:sz w:val="32"/>
          <w:szCs w:val="32"/>
          <w:highlight w:val="none"/>
          <w:lang w:val="en-US" w:eastAsia="zh-CN"/>
        </w:rPr>
        <w:t>3</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户</w:t>
      </w:r>
      <w:r>
        <w:rPr>
          <w:rFonts w:hint="eastAsia" w:ascii="仿宋_GB2312" w:hAnsi="仿宋_GB2312" w:eastAsia="仿宋_GB2312" w:cs="仿宋_GB2312"/>
          <w:color w:val="auto"/>
          <w:sz w:val="32"/>
          <w:szCs w:val="32"/>
          <w:highlight w:val="none"/>
          <w:lang w:val="en-US" w:eastAsia="zh-CN"/>
        </w:rPr>
        <w:t>12</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人</w:t>
      </w:r>
      <w:r>
        <w:rPr>
          <w:rFonts w:hint="eastAsia" w:ascii="仿宋_GB2312" w:eastAsia="仿宋_GB2312" w:cs="仿宋_GB2312"/>
          <w:i w:val="0"/>
          <w:iCs w:val="0"/>
          <w:caps w:val="0"/>
          <w:color w:val="000000"/>
          <w:spacing w:val="0"/>
          <w:kern w:val="2"/>
          <w:sz w:val="32"/>
          <w:szCs w:val="32"/>
          <w:highlight w:val="none"/>
          <w:u w:val="none"/>
          <w:shd w:val="clear" w:fill="FFFFFF"/>
          <w:lang w:val="en-US" w:eastAsia="zh-CN" w:bidi="ar-SA"/>
        </w:rPr>
        <w:t>，</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脱贫人口（含监测对象）人均纯收入增速约</w:t>
      </w:r>
      <w:r>
        <w:rPr>
          <w:rFonts w:hint="eastAsia" w:ascii="仿宋_GB2312" w:hAnsi="仿宋_GB2312" w:eastAsia="仿宋_GB2312" w:cs="仿宋_GB2312"/>
          <w:color w:val="auto"/>
          <w:sz w:val="32"/>
          <w:szCs w:val="32"/>
          <w:highlight w:val="none"/>
          <w:lang w:val="en-US" w:eastAsia="zh-CN"/>
        </w:rPr>
        <w:t>16.25</w:t>
      </w:r>
      <w:r>
        <w:rPr>
          <w:rFonts w:hint="eastAsia" w:ascii="仿宋_GB2312" w:eastAsia="仿宋_GB2312" w:cs="仿宋_GB2312" w:hAnsiTheme="minorHAnsi"/>
          <w:i w:val="0"/>
          <w:iCs w:val="0"/>
          <w:caps w:val="0"/>
          <w:color w:val="000000"/>
          <w:spacing w:val="0"/>
          <w:kern w:val="2"/>
          <w:sz w:val="32"/>
          <w:szCs w:val="32"/>
          <w:highlight w:val="none"/>
          <w:u w:val="none"/>
          <w:shd w:val="clear" w:fill="FFFFFF"/>
          <w:lang w:val="en-US" w:eastAsia="zh-CN" w:bidi="ar-SA"/>
        </w:rPr>
        <w:t>%。</w:t>
      </w:r>
      <w:r>
        <w:rPr>
          <w:rFonts w:hint="eastAsia" w:ascii="仿宋_GB2312" w:hAnsi="仿宋_GB2312" w:eastAsia="仿宋_GB2312" w:cs="仿宋_GB2312"/>
          <w:color w:val="auto"/>
          <w:sz w:val="32"/>
          <w:szCs w:val="32"/>
          <w:highlight w:val="none"/>
          <w:lang w:val="en-US" w:eastAsia="zh-CN"/>
        </w:rPr>
        <w:t>2023年共为全镇脱贫户、监测户中申请产业发展、务工就业、孝老敬</w:t>
      </w:r>
      <w:r>
        <w:rPr>
          <w:rFonts w:hint="eastAsia" w:ascii="仿宋_GB2312" w:hAnsi="仿宋_GB2312" w:eastAsia="仿宋_GB2312" w:cs="仿宋_GB2312"/>
          <w:color w:val="auto"/>
          <w:sz w:val="32"/>
          <w:szCs w:val="32"/>
          <w:lang w:val="en-US" w:eastAsia="zh-CN"/>
        </w:rPr>
        <w:t>老等各项补助资金约57万元。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highlight w:val="none"/>
          <w:lang w:val="en-US" w:eastAsia="zh-CN"/>
        </w:rPr>
        <w:t>二是有效衔接乡村振兴。</w:t>
      </w:r>
      <w:r>
        <w:rPr>
          <w:rFonts w:hint="eastAsia" w:ascii="仿宋_GB2312" w:hAnsi="仿宋_GB2312" w:eastAsia="仿宋_GB2312" w:cs="仿宋_GB2312"/>
          <w:b w:val="0"/>
          <w:bCs w:val="0"/>
          <w:sz w:val="32"/>
          <w:szCs w:val="32"/>
          <w:lang w:val="en-US" w:eastAsia="zh-CN"/>
        </w:rPr>
        <w:t>强化提升村集体经济发展思路，</w:t>
      </w:r>
      <w:r>
        <w:rPr>
          <w:rFonts w:hint="default" w:ascii="仿宋_GB2312" w:hAnsi="仿宋_GB2312" w:eastAsia="仿宋_GB2312" w:cs="仿宋_GB2312"/>
          <w:b w:val="0"/>
          <w:bCs w:val="0"/>
          <w:sz w:val="32"/>
          <w:szCs w:val="32"/>
          <w:lang w:val="en-US" w:eastAsia="zh-CN"/>
        </w:rPr>
        <w:t>指导楠香村和双龙村两个重点帮扶村精心制定年度实施方案。</w:t>
      </w:r>
      <w:r>
        <w:rPr>
          <w:rFonts w:hint="eastAsia" w:ascii="仿宋_GB2312" w:hAnsi="仿宋_GB2312" w:eastAsia="仿宋_GB2312" w:cs="仿宋_GB2312"/>
          <w:sz w:val="32"/>
          <w:szCs w:val="32"/>
        </w:rPr>
        <w:t>聚焦产业发展促增收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000000" w:themeColor="text1"/>
          <w:spacing w:val="8"/>
          <w:kern w:val="0"/>
          <w:sz w:val="32"/>
          <w:szCs w:val="32"/>
          <w:shd w:val="clear" w:fill="FFFFFF"/>
          <w:lang w:val="en-US" w:eastAsia="zh-CN" w:bidi="ar"/>
          <w14:textFill>
            <w14:solidFill>
              <w14:schemeClr w14:val="tx1"/>
            </w14:solidFill>
          </w14:textFill>
        </w:rPr>
        <w:t>积极探索发展壮大各村村级集体经济的路子。楠香村开展订单式特色农副产品的销售，销售额达20万元以上。截止2023年11月，全镇集体经济收入已实现</w:t>
      </w:r>
      <w:r>
        <w:rPr>
          <w:rFonts w:hint="eastAsia" w:ascii="仿宋_GB2312" w:hAnsi="仿宋_GB2312" w:eastAsia="仿宋_GB2312" w:cs="仿宋_GB2312"/>
          <w:i w:val="0"/>
          <w:caps w:val="0"/>
          <w:color w:val="auto"/>
          <w:spacing w:val="8"/>
          <w:kern w:val="0"/>
          <w:sz w:val="32"/>
          <w:szCs w:val="32"/>
          <w:shd w:val="clear" w:fill="FFFFFF"/>
          <w:lang w:val="en-US" w:eastAsia="zh-CN" w:bidi="ar"/>
        </w:rPr>
        <w:t>60.3072</w:t>
      </w:r>
      <w:r>
        <w:rPr>
          <w:rFonts w:hint="eastAsia" w:ascii="仿宋_GB2312" w:hAnsi="仿宋_GB2312" w:eastAsia="仿宋_GB2312" w:cs="仿宋_GB2312"/>
          <w:i w:val="0"/>
          <w:caps w:val="0"/>
          <w:color w:val="000000" w:themeColor="text1"/>
          <w:spacing w:val="8"/>
          <w:kern w:val="0"/>
          <w:sz w:val="32"/>
          <w:szCs w:val="32"/>
          <w:shd w:val="clear" w:fill="FFFFFF"/>
          <w:lang w:val="en-US" w:eastAsia="zh-CN" w:bidi="ar"/>
          <w14:textFill>
            <w14:solidFill>
              <w14:schemeClr w14:val="tx1"/>
            </w14:solidFill>
          </w14:textFill>
        </w:rPr>
        <w:t>万元，</w:t>
      </w:r>
      <w:r>
        <w:rPr>
          <w:rFonts w:hint="eastAsia" w:ascii="仿宋_GB2312" w:hAnsi="仿宋_GB2312" w:eastAsia="仿宋_GB2312" w:cs="仿宋_GB2312"/>
          <w:sz w:val="32"/>
          <w:szCs w:val="32"/>
          <w:lang w:val="en-US" w:eastAsia="zh-CN"/>
        </w:rPr>
        <w:t>较去年增长40.64%，8个村全部超过5万元，其中3个村超过10万元。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highlight w:val="none"/>
          <w:lang w:val="en-US" w:eastAsia="zh-CN"/>
        </w:rPr>
        <w:t>三是全面建设基础设施。</w:t>
      </w:r>
      <w:r>
        <w:rPr>
          <w:rFonts w:hint="eastAsia" w:ascii="仿宋_GB2312" w:hAnsi="仿宋_GB2312" w:eastAsia="仿宋_GB2312" w:cs="仿宋_GB2312"/>
          <w:sz w:val="32"/>
          <w:szCs w:val="32"/>
          <w:lang w:val="en-US" w:eastAsia="zh-CN"/>
        </w:rPr>
        <w:t>全力攻坚我市重大交通项目“大垭路”建设，辖区内9栋房屋全部完成拆迁，群众实现妥善安置。实施撤并建制村畅通工程1个，投资99.2万元，加宽村道3.4公里；</w:t>
      </w:r>
      <w:r>
        <w:rPr>
          <w:rFonts w:hint="eastAsia" w:ascii="仿宋_GB2312" w:hAnsi="仿宋_GB2312" w:eastAsia="仿宋_GB2312" w:cs="仿宋_GB2312"/>
          <w:sz w:val="32"/>
          <w:szCs w:val="32"/>
          <w:highlight w:val="none"/>
          <w:lang w:val="en-US" w:eastAsia="zh-CN"/>
        </w:rPr>
        <w:t>群达村至双龙村段道路改扩建项目已全面完善设计</w:t>
      </w:r>
      <w:r>
        <w:rPr>
          <w:rFonts w:hint="eastAsia" w:ascii="仿宋_GB2312" w:hAnsi="仿宋_GB2312" w:eastAsia="仿宋_GB2312" w:cs="仿宋_GB2312"/>
          <w:sz w:val="32"/>
          <w:szCs w:val="32"/>
          <w:lang w:val="en-US" w:eastAsia="zh-CN"/>
        </w:rPr>
        <w:t>；争取乡村振兴项目1个，投资60万元，城镇提升项目顺利完成。完成投资30.84万元在楠香、射箭、林家3个村推进农村安全饮水工程，改善2480余人的饮水条件和饮水质量。投资35万元建成后溪坝白虎洞桥头口袋公园，投资73万元对辖区内滑坡点隐患、道路损毁、公共设施建设等19处问题进行彻底整治，确保群众生命安全，改善提升村民生活品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2.聚焦产业发展，特色品牌越来越亮</w:t>
      </w:r>
    </w:p>
    <w:p>
      <w:pPr>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一是特色农业有新突破。</w:t>
      </w:r>
      <w:r>
        <w:rPr>
          <w:rFonts w:hint="eastAsia" w:ascii="仿宋_GB2312" w:hAnsi="仿宋_GB2312" w:eastAsia="仿宋_GB2312" w:cs="仿宋_GB2312"/>
          <w:kern w:val="2"/>
          <w:sz w:val="32"/>
          <w:szCs w:val="32"/>
          <w:lang w:val="en-US" w:eastAsia="zh-CN" w:bidi="ar-SA"/>
        </w:rPr>
        <w:t>依托中高山区优势地理资源，建基地，抓示范，鼓励群众种植高山蔬菜向区域化、规模化、特色化、产业标准化发展。引进藏香猪、南山蓝等特色农产品牌，打造高山蔬菜、高山道地中药材、高山跑山猪等特色产业。2023年全镇高山种植蔬菜面积1.7万亩，产量1.8万吨，产业覆盖全镇8个行政村，带动800余户群众增收。</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二是工业企业有新态势。</w:t>
      </w:r>
      <w:r>
        <w:rPr>
          <w:rFonts w:hint="eastAsia" w:ascii="仿宋_GB2312" w:hAnsi="仿宋_GB2312" w:eastAsia="仿宋_GB2312" w:cs="仿宋_GB2312"/>
          <w:kern w:val="2"/>
          <w:sz w:val="32"/>
          <w:szCs w:val="32"/>
          <w:lang w:val="en-US" w:eastAsia="zh-CN" w:bidi="ar-SA"/>
        </w:rPr>
        <w:t>为抢占南山建设生产先机，保供南山片区项目建设，释放材料采购价格压力，市委市政府决定在大为镇选址建设绿色建材加工基地，目前项目已开工建设，未来将建设预拌混泥土生产线、沥混生产线、水稳生产线和砂石加工线，为我镇地区生产总值再填新的增长点，也将为我镇群众带来新一轮的就业契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黑体" w:hAnsi="黑体" w:eastAsia="黑体" w:cs="黑体"/>
          <w:kern w:val="2"/>
          <w:sz w:val="32"/>
          <w:szCs w:val="32"/>
          <w:lang w:val="en-US" w:eastAsia="zh-CN" w:bidi="ar-SA"/>
        </w:rPr>
        <w:t>3.改善民生福祉，社会事业全面进步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一是粮食安全更有</w:t>
      </w:r>
      <w:r>
        <w:rPr>
          <w:rFonts w:hint="eastAsia" w:ascii="楷体_GB2312" w:hAnsi="楷体_GB2312" w:eastAsia="楷体_GB2312" w:cs="楷体_GB2312"/>
          <w:b w:val="0"/>
          <w:bCs w:val="0"/>
          <w:sz w:val="32"/>
          <w:szCs w:val="32"/>
          <w:lang w:val="en-US" w:eastAsia="zh-CN"/>
        </w:rPr>
        <w:t>力度</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依托“农事直通APP”开展疑似撂荒地核实并在线反馈，共核实35个图斑，涉及145.88亩土地，2022年存在的撂荒地现象涉及的11户农户、8.1亩土均已整改完毕，2023年大春粮食作物播种</w:t>
      </w:r>
      <w:r>
        <w:rPr>
          <w:rFonts w:hint="eastAsia" w:ascii="仿宋_GB2312" w:hAnsi="仿宋_GB2312" w:eastAsia="仿宋_GB2312" w:cs="仿宋_GB2312"/>
          <w:sz w:val="32"/>
          <w:szCs w:val="32"/>
        </w:rPr>
        <w:t>玉米1</w:t>
      </w:r>
      <w:r>
        <w:rPr>
          <w:rFonts w:hint="eastAsia" w:ascii="仿宋_GB2312" w:hAnsi="仿宋_GB2312" w:eastAsia="仿宋_GB2312" w:cs="仿宋_GB2312"/>
          <w:sz w:val="32"/>
          <w:szCs w:val="32"/>
          <w:lang w:val="en-US" w:eastAsia="zh-CN"/>
        </w:rPr>
        <w:t>4558</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大豆种植面积</w:t>
      </w:r>
      <w:r>
        <w:rPr>
          <w:rFonts w:hint="eastAsia" w:ascii="仿宋_GB2312" w:hAnsi="仿宋_GB2312" w:eastAsia="仿宋_GB2312" w:cs="仿宋_GB2312"/>
          <w:sz w:val="32"/>
          <w:szCs w:val="32"/>
          <w:lang w:val="en-US" w:eastAsia="zh-CN"/>
        </w:rPr>
        <w:t>4635亩，</w:t>
      </w:r>
      <w:r>
        <w:rPr>
          <w:rFonts w:hint="eastAsia" w:ascii="仿宋_GB2312" w:hAnsi="仿宋_GB2312" w:eastAsia="仿宋_GB2312" w:cs="仿宋_GB2312"/>
          <w:sz w:val="32"/>
          <w:szCs w:val="32"/>
          <w:lang w:eastAsia="zh-CN"/>
        </w:rPr>
        <w:t>粮食播种面积与产量均完成年度任务</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二是社会保障更有广度。</w:t>
      </w:r>
      <w:r>
        <w:rPr>
          <w:rFonts w:hint="eastAsia" w:ascii="仿宋_GB2312" w:hAnsi="仿宋_GB2312" w:eastAsia="仿宋_GB2312" w:cs="仿宋_GB2312"/>
          <w:sz w:val="32"/>
          <w:szCs w:val="32"/>
          <w:lang w:val="en-US" w:eastAsia="zh-CN"/>
        </w:rPr>
        <w:t>全镇城乡居民基本养老保险年审工作完成率100%，办理职工养老保险退休72人，城乡居民基本养老保险新增26人，新增公益性援助岗位57个；最低生活保障政策进一步落实，实现应保尽保、应退尽退，全镇农村低保人数422户613人；全年发放临时救助30户24100元；对48名残疾人申请适合自身的辅助器具，为124名残疾人申请并发放了残疾人就业（创业）直补共计62000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rPr>
      </w:pPr>
      <w:r>
        <w:rPr>
          <w:rFonts w:hint="eastAsia" w:ascii="楷体_GB2312" w:hAnsi="楷体_GB2312" w:eastAsia="楷体_GB2312" w:cs="楷体_GB2312"/>
          <w:b w:val="0"/>
          <w:bCs w:val="0"/>
          <w:sz w:val="32"/>
          <w:szCs w:val="32"/>
          <w:lang w:val="en-US" w:eastAsia="zh-CN"/>
        </w:rPr>
        <w:t>三是民生事业更有温度。</w:t>
      </w:r>
      <w:r>
        <w:rPr>
          <w:rFonts w:hint="eastAsia" w:ascii="仿宋_GB2312" w:hAnsi="仿宋_GB2312" w:eastAsia="仿宋_GB2312" w:cs="仿宋_GB2312"/>
          <w:color w:val="auto"/>
          <w:sz w:val="32"/>
          <w:szCs w:val="32"/>
          <w:lang w:val="en-US" w:eastAsia="zh-CN"/>
        </w:rPr>
        <w:t>镇文化站、各村文化中心新增羽毛球、跳绳、象棋等文体用品4000余元，新增图书800本；大力开展文化惠民活动。建立镇业余文艺队伍4支，建立镇、村文化志愿者服务队伍9支150余人，全年开展文化下乡两场次，截止11月底免费放映公益电影187场。</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4.聚焦基层治理，社会大局和谐稳定</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shd w:val="clear" w:color="auto" w:fill="FFFFFF"/>
          <w:lang w:val="en-US" w:eastAsia="zh-CN"/>
        </w:rPr>
        <w:t>一是以如临深渊的高压态势守严安全生产红线。</w:t>
      </w:r>
      <w:r>
        <w:rPr>
          <w:rFonts w:hint="eastAsia" w:ascii="仿宋_GB2312" w:hAnsi="仿宋_GB2312" w:eastAsia="仿宋_GB2312" w:cs="仿宋_GB2312"/>
          <w:color w:val="auto"/>
          <w:kern w:val="2"/>
          <w:sz w:val="32"/>
          <w:szCs w:val="32"/>
          <w:lang w:val="en-US" w:eastAsia="zh-CN" w:bidi="ar-SA"/>
        </w:rPr>
        <w:t>抓牢森林防火、防汛抗旱、自建房安全、安全生产等重点领域安全工作，</w:t>
      </w:r>
      <w:r>
        <w:rPr>
          <w:rFonts w:hint="eastAsia" w:ascii="仿宋_GB2312" w:hAnsi="仿宋_GB2312" w:eastAsia="仿宋_GB2312" w:cs="仿宋_GB2312"/>
          <w:sz w:val="32"/>
          <w:szCs w:val="32"/>
          <w:lang w:val="en-US" w:eastAsia="zh-CN"/>
        </w:rPr>
        <w:t>以强安“2023”、重大事故隐患排查整治、“迎大运保安全”、“安全生产月活动”、安全生产隐患大排查大整治等专项行动为抓手，持续推进矿山、水电站、加油站、燃气、消防、道路交通、农业等其他行业领域安全整治，</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lang w:eastAsia="zh-CN"/>
        </w:rPr>
        <w:t>展安全大检查</w:t>
      </w:r>
      <w:r>
        <w:rPr>
          <w:rFonts w:hint="eastAsia" w:ascii="仿宋_GB2312" w:hAnsi="仿宋_GB2312" w:eastAsia="仿宋_GB2312" w:cs="仿宋_GB2312"/>
          <w:sz w:val="32"/>
          <w:szCs w:val="32"/>
          <w:lang w:val="en-US" w:eastAsia="zh-CN"/>
        </w:rPr>
        <w:t>350余次，出动检查人员930余人次，发现安全隐患56条，重大隐患1条，整改率达99%。</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shd w:val="clear" w:color="auto" w:fill="FFFFFF"/>
          <w:lang w:val="en-US" w:eastAsia="zh-CN"/>
        </w:rPr>
        <w:t>二是以久久为功的韧劲干劲深化平安建设行动。</w:t>
      </w:r>
      <w:r>
        <w:rPr>
          <w:rFonts w:hint="eastAsia" w:ascii="仿宋_GB2312" w:hAnsi="仿宋_GB2312" w:eastAsia="仿宋_GB2312" w:cs="仿宋_GB2312"/>
          <w:sz w:val="32"/>
          <w:szCs w:val="32"/>
          <w:lang w:val="en-US" w:eastAsia="zh-CN"/>
        </w:rPr>
        <w:t>全面推进防骗反诈和禁毒宣传工作，发放宣传资料3000余份，接受现场咨询50余人次，提高广大群众对毒品和电信诈骗的认识和防范意识</w:t>
      </w:r>
      <w:r>
        <w:rPr>
          <w:rFonts w:hint="eastAsia" w:ascii="仿宋_GB2312" w:hAnsi="仿宋_GB2312" w:eastAsia="仿宋_GB2312" w:cs="仿宋_GB2312"/>
          <w:b w:val="0"/>
          <w:bCs w:val="0"/>
          <w:color w:val="000000"/>
          <w:sz w:val="32"/>
          <w:szCs w:val="32"/>
          <w:shd w:val="clear" w:color="auto" w:fill="FFFFFF"/>
          <w:lang w:val="en-US" w:eastAsia="zh-CN"/>
        </w:rPr>
        <w:t>；切实落实基层调解“三三制”，成功调处矛盾纠纷</w:t>
      </w:r>
      <w:r>
        <w:rPr>
          <w:rFonts w:hint="eastAsia" w:ascii="Times New Roman" w:hAnsi="Times New Roman" w:eastAsia="仿宋_GB2312" w:cs="仿宋_GB2312"/>
          <w:b w:val="0"/>
          <w:bCs w:val="0"/>
          <w:color w:val="000000"/>
          <w:sz w:val="32"/>
          <w:szCs w:val="32"/>
          <w:shd w:val="clear" w:color="auto" w:fill="FFFFFF"/>
          <w:lang w:val="en-US" w:eastAsia="zh-CN"/>
        </w:rPr>
        <w:t>25</w:t>
      </w:r>
      <w:r>
        <w:rPr>
          <w:rFonts w:hint="eastAsia" w:ascii="仿宋_GB2312" w:hAnsi="仿宋_GB2312" w:eastAsia="仿宋_GB2312" w:cs="仿宋_GB2312"/>
          <w:b w:val="0"/>
          <w:bCs w:val="0"/>
          <w:color w:val="000000"/>
          <w:sz w:val="32"/>
          <w:szCs w:val="32"/>
          <w:shd w:val="clear" w:color="auto" w:fill="FFFFFF"/>
          <w:lang w:val="en-US" w:eastAsia="zh-CN"/>
        </w:rPr>
        <w:t>件，受理心连心热线</w:t>
      </w:r>
      <w:r>
        <w:rPr>
          <w:rFonts w:hint="eastAsia" w:ascii="Times New Roman" w:hAnsi="Times New Roman" w:eastAsia="仿宋_GB2312" w:cs="仿宋_GB2312"/>
          <w:b w:val="0"/>
          <w:bCs w:val="0"/>
          <w:color w:val="000000"/>
          <w:sz w:val="32"/>
          <w:szCs w:val="32"/>
          <w:shd w:val="clear" w:color="auto" w:fill="FFFFFF"/>
          <w:lang w:val="en-US" w:eastAsia="zh-CN"/>
        </w:rPr>
        <w:t>85</w:t>
      </w:r>
      <w:r>
        <w:rPr>
          <w:rFonts w:hint="eastAsia" w:ascii="仿宋_GB2312" w:hAnsi="仿宋_GB2312" w:eastAsia="仿宋_GB2312" w:cs="仿宋_GB2312"/>
          <w:b w:val="0"/>
          <w:bCs w:val="0"/>
          <w:color w:val="000000"/>
          <w:sz w:val="32"/>
          <w:szCs w:val="32"/>
          <w:shd w:val="clear" w:color="auto" w:fill="FFFFFF"/>
          <w:lang w:val="en-US" w:eastAsia="zh-CN"/>
        </w:rPr>
        <w:t>件，妥善处理重大信访件</w:t>
      </w:r>
      <w:r>
        <w:rPr>
          <w:rFonts w:hint="eastAsia" w:ascii="Times New Roman" w:hAnsi="Times New Roman" w:eastAsia="仿宋_GB2312" w:cs="仿宋_GB2312"/>
          <w:b w:val="0"/>
          <w:bCs w:val="0"/>
          <w:color w:val="00000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shd w:val="clear" w:color="auto" w:fill="FFFFFF"/>
          <w:lang w:val="en-US" w:eastAsia="zh-CN"/>
        </w:rPr>
        <w:t>起，劝阻涉访人数</w:t>
      </w:r>
      <w:r>
        <w:rPr>
          <w:rFonts w:hint="eastAsia" w:ascii="Times New Roman" w:hAnsi="Times New Roman" w:eastAsia="仿宋_GB2312" w:cs="仿宋_GB2312"/>
          <w:b w:val="0"/>
          <w:bCs w:val="0"/>
          <w:color w:val="000000"/>
          <w:sz w:val="32"/>
          <w:szCs w:val="32"/>
          <w:shd w:val="clear" w:color="auto" w:fill="FFFFFF"/>
          <w:lang w:val="en-US" w:eastAsia="zh-CN"/>
        </w:rPr>
        <w:t>100</w:t>
      </w:r>
      <w:r>
        <w:rPr>
          <w:rFonts w:hint="eastAsia" w:ascii="仿宋_GB2312" w:hAnsi="仿宋_GB2312" w:eastAsia="仿宋_GB2312" w:cs="仿宋_GB2312"/>
          <w:b w:val="0"/>
          <w:bCs w:val="0"/>
          <w:color w:val="000000"/>
          <w:sz w:val="32"/>
          <w:szCs w:val="32"/>
          <w:shd w:val="clear" w:color="auto" w:fill="FFFFFF"/>
          <w:lang w:val="en-US" w:eastAsia="zh-CN"/>
        </w:rPr>
        <w:t>余人次，</w:t>
      </w:r>
      <w:r>
        <w:rPr>
          <w:rFonts w:hint="eastAsia" w:ascii="仿宋_GB2312" w:hAnsi="仿宋_GB2312" w:eastAsia="仿宋_GB2312" w:cs="仿宋_GB2312"/>
          <w:color w:val="auto"/>
          <w:sz w:val="32"/>
          <w:szCs w:val="32"/>
          <w:lang w:val="en-US" w:eastAsia="zh-CN"/>
        </w:rPr>
        <w:t>成功化解</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起重点积案</w:t>
      </w:r>
      <w:r>
        <w:rPr>
          <w:rFonts w:hint="eastAsia" w:ascii="仿宋_GB2312" w:hAnsi="仿宋_GB2312" w:eastAsia="仿宋_GB2312" w:cs="仿宋_GB2312"/>
          <w:b w:val="0"/>
          <w:bCs w:val="0"/>
          <w:color w:val="000000"/>
          <w:sz w:val="32"/>
          <w:szCs w:val="32"/>
          <w:shd w:val="clear" w:color="auto" w:fill="FFFFFF"/>
          <w:lang w:val="en-US" w:eastAsia="zh-CN"/>
        </w:rPr>
        <w:t>。</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ascii="楷体_GB2312" w:hAnsi="楷体_GB2312" w:eastAsia="楷体_GB2312" w:cs="楷体_GB2312"/>
          <w:b w:val="0"/>
          <w:bCs w:val="0"/>
          <w:color w:val="000000"/>
          <w:sz w:val="32"/>
          <w:szCs w:val="32"/>
          <w:shd w:val="clear" w:color="auto" w:fill="FFFFFF"/>
          <w:lang w:val="en-US" w:eastAsia="zh-CN"/>
        </w:rPr>
        <w:t>三是以人民至上的最高理念筑牢</w:t>
      </w:r>
      <w:r>
        <w:rPr>
          <w:rFonts w:hint="eastAsia" w:ascii="楷体_GB2312" w:hAnsi="楷体_GB2312" w:eastAsia="楷体_GB2312" w:cs="楷体_GB2312"/>
          <w:b w:val="0"/>
          <w:bCs w:val="0"/>
          <w:sz w:val="32"/>
          <w:szCs w:val="32"/>
          <w:lang w:val="en-US" w:eastAsia="zh-CN"/>
        </w:rPr>
        <w:t>生态环保屏障。</w:t>
      </w:r>
      <w:r>
        <w:rPr>
          <w:rFonts w:hint="eastAsia" w:ascii="仿宋_GB2312" w:hAnsi="仿宋_GB2312" w:eastAsia="仿宋_GB2312" w:cs="仿宋_GB2312"/>
          <w:sz w:val="32"/>
          <w:szCs w:val="32"/>
        </w:rPr>
        <w:t>积极履行镇政府农产品质量监管服务，健全农产品质量安全监管体系，开展了农产品快速检测，检测合格率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加强“十年禁渔”综合巡查，</w:t>
      </w:r>
      <w:r>
        <w:rPr>
          <w:rFonts w:hint="eastAsia" w:ascii="仿宋_GB2312" w:hAnsi="仿宋_GB2312" w:eastAsia="仿宋_GB2312" w:cs="仿宋_GB2312"/>
          <w:kern w:val="0"/>
          <w:sz w:val="32"/>
          <w:szCs w:val="32"/>
          <w:lang w:val="en-US" w:eastAsia="zh-CN"/>
        </w:rPr>
        <w:t>新增</w:t>
      </w:r>
      <w:r>
        <w:rPr>
          <w:rFonts w:hint="eastAsia" w:ascii="仿宋_GB2312" w:hAnsi="仿宋_GB2312" w:eastAsia="仿宋_GB2312" w:cs="仿宋_GB2312"/>
          <w:sz w:val="32"/>
          <w:szCs w:val="32"/>
          <w:lang w:val="en-US" w:eastAsia="zh-CN"/>
        </w:rPr>
        <w:t>禁渔警示牌6个、横幅标语12副，分发300多份宣传资料，组织执法行动10次，</w:t>
      </w:r>
      <w:r>
        <w:rPr>
          <w:rFonts w:hint="eastAsia" w:ascii="仿宋_GB2312" w:hAnsi="仿宋_GB2312" w:eastAsia="仿宋_GB2312" w:cs="仿宋_GB2312"/>
          <w:kern w:val="0"/>
          <w:sz w:val="32"/>
          <w:szCs w:val="32"/>
          <w:lang w:eastAsia="zh-CN"/>
        </w:rPr>
        <w:t>劝离违规钓鱼爱好者</w:t>
      </w:r>
      <w:r>
        <w:rPr>
          <w:rFonts w:hint="eastAsia" w:ascii="仿宋_GB2312" w:hAnsi="仿宋_GB2312" w:eastAsia="仿宋_GB2312" w:cs="仿宋_GB2312"/>
          <w:kern w:val="0"/>
          <w:sz w:val="32"/>
          <w:szCs w:val="32"/>
          <w:lang w:val="en-US" w:eastAsia="zh-CN"/>
        </w:rPr>
        <w:t>10余</w:t>
      </w:r>
      <w:r>
        <w:rPr>
          <w:rFonts w:hint="eastAsia" w:ascii="仿宋_GB2312" w:hAnsi="仿宋_GB2312" w:eastAsia="仿宋_GB2312" w:cs="仿宋_GB2312"/>
          <w:kern w:val="0"/>
          <w:sz w:val="32"/>
          <w:szCs w:val="32"/>
          <w:lang w:eastAsia="zh-CN"/>
        </w:rPr>
        <w:t>人次。</w:t>
      </w:r>
    </w:p>
    <w:p>
      <w:pPr>
        <w:pStyle w:val="6"/>
        <w:ind w:firstLine="640" w:firstLineChars="200"/>
        <w:rPr>
          <w:rStyle w:val="32"/>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6"/>
      <w:bookmarkEnd w:id="17"/>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峨眉山市大为镇人民政府属于一级预算单位，下属行政单位0个，参照公务员法管理的事业单位0个，其他事业单位4个，分别是便民服务中心（退役军人服务站），农业综合服务中心、文化旅游服务中心、农民工服务中心。</w:t>
      </w:r>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纳入峨眉山市大为镇人民政府2023年度部门决算编制范围的二级预算单位包括：</w:t>
      </w:r>
    </w:p>
    <w:p>
      <w:pPr>
        <w:numPr>
          <w:ilvl w:val="0"/>
          <w:numId w:val="1"/>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便民服务中心（退役军人服务站）</w:t>
      </w:r>
    </w:p>
    <w:p>
      <w:pPr>
        <w:numPr>
          <w:ilvl w:val="0"/>
          <w:numId w:val="1"/>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农业综合服务中心</w:t>
      </w:r>
    </w:p>
    <w:p>
      <w:pPr>
        <w:numPr>
          <w:ilvl w:val="0"/>
          <w:numId w:val="1"/>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文化旅游服务中心 </w:t>
      </w:r>
    </w:p>
    <w:p>
      <w:pPr>
        <w:numPr>
          <w:ilvl w:val="0"/>
          <w:numId w:val="1"/>
        </w:numPr>
        <w:snapToGrid w:val="0"/>
        <w:spacing w:line="520" w:lineRule="exact"/>
        <w:ind w:left="48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农民工服务中心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31"/>
          <w:rFonts w:ascii="黑体" w:hAnsi="黑体" w:eastAsia="黑体"/>
          <w:b w:val="0"/>
          <w:bCs/>
        </w:rPr>
      </w:pPr>
      <w:bookmarkStart w:id="18" w:name="_Toc15396602"/>
      <w:bookmarkStart w:id="19" w:name="_Toc15377204"/>
      <w:r>
        <w:rPr>
          <w:rFonts w:hint="eastAsia" w:ascii="黑体" w:hAnsi="黑体" w:eastAsia="黑体"/>
          <w:b w:val="0"/>
        </w:rPr>
        <w:t>第二部分 2023年度</w:t>
      </w:r>
      <w:r>
        <w:rPr>
          <w:rStyle w:val="31"/>
          <w:rFonts w:hint="eastAsia" w:ascii="黑体" w:hAnsi="黑体" w:eastAsia="黑体"/>
          <w:b w:val="0"/>
          <w:bCs/>
        </w:rPr>
        <w:t>部门决算情况说明</w:t>
      </w:r>
      <w:bookmarkEnd w:id="18"/>
      <w:bookmarkEnd w:id="19"/>
    </w:p>
    <w:p/>
    <w:p>
      <w:pPr>
        <w:pStyle w:val="30"/>
        <w:numPr>
          <w:ilvl w:val="0"/>
          <w:numId w:val="0"/>
        </w:numPr>
        <w:spacing w:line="600" w:lineRule="exact"/>
        <w:ind w:left="640" w:leftChars="0"/>
        <w:outlineLvl w:val="1"/>
        <w:rPr>
          <w:rStyle w:val="32"/>
          <w:rFonts w:ascii="黑体" w:hAnsi="黑体" w:eastAsia="黑体"/>
          <w:b w:val="0"/>
        </w:rPr>
      </w:pPr>
      <w:bookmarkStart w:id="20" w:name="_Toc15377205"/>
      <w:bookmarkStart w:id="21" w:name="_Toc15396603"/>
      <w:r>
        <w:rPr>
          <w:rFonts w:hint="eastAsia" w:ascii="黑体" w:hAnsi="黑体" w:eastAsia="黑体"/>
          <w:sz w:val="32"/>
          <w:szCs w:val="32"/>
          <w:lang w:eastAsia="zh-CN"/>
        </w:rPr>
        <w:t>一、</w:t>
      </w:r>
      <w:r>
        <w:rPr>
          <w:rFonts w:hint="eastAsia" w:ascii="黑体" w:hAnsi="黑体" w:eastAsia="黑体"/>
          <w:sz w:val="32"/>
          <w:szCs w:val="32"/>
        </w:rPr>
        <w:t>收</w:t>
      </w:r>
      <w:r>
        <w:rPr>
          <w:rStyle w:val="32"/>
          <w:rFonts w:hint="eastAsia" w:ascii="黑体" w:hAnsi="黑体" w:eastAsia="黑体"/>
          <w:b w:val="0"/>
        </w:rPr>
        <w:t>入支出决算总体情况说明</w:t>
      </w:r>
      <w:bookmarkEnd w:id="20"/>
      <w:bookmarkEnd w:id="21"/>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收入总计均为1624万元。与2022年度相比，收入总计增加187.17万元，增长13.03%。主要变动原因是项目建设增加。2022年度支出总计1664万元。与2022年相比，支出总计增加190.79万元，增长12.95%。主要变动原因是项目建设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图1：2022年与2021年收入支出（万元）</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1" locked="0" layoutInCell="1" allowOverlap="1">
            <wp:simplePos x="0" y="0"/>
            <wp:positionH relativeFrom="column">
              <wp:posOffset>455295</wp:posOffset>
            </wp:positionH>
            <wp:positionV relativeFrom="paragraph">
              <wp:posOffset>270510</wp:posOffset>
            </wp:positionV>
            <wp:extent cx="4512945" cy="3663315"/>
            <wp:effectExtent l="0" t="0" r="40005" b="51435"/>
            <wp:wrapTight wrapText="bothSides">
              <wp:wrapPolygon>
                <wp:start x="0" y="0"/>
                <wp:lineTo x="0" y="21454"/>
                <wp:lineTo x="21518" y="21454"/>
                <wp:lineTo x="21518" y="0"/>
                <wp:lineTo x="0" y="0"/>
              </wp:wrapPolygon>
            </wp:wrapTight>
            <wp:docPr id="1" name="图片 1" descr="{d706d901-ac38-4f66-8cc3-46f504e26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06d901-ac38-4f66-8cc3-46f504e26f63}"/>
                    <pic:cNvPicPr>
                      <a:picLocks noChangeAspect="1"/>
                    </pic:cNvPicPr>
                  </pic:nvPicPr>
                  <pic:blipFill>
                    <a:blip r:embed="rId6"/>
                    <a:stretch>
                      <a:fillRect/>
                    </a:stretch>
                  </pic:blipFill>
                  <pic:spPr>
                    <a:xfrm>
                      <a:off x="0" y="0"/>
                      <a:ext cx="4512945" cy="3663315"/>
                    </a:xfrm>
                    <a:prstGeom prst="rect">
                      <a:avLst/>
                    </a:prstGeom>
                  </pic:spPr>
                </pic:pic>
              </a:graphicData>
            </a:graphic>
          </wp:anchor>
        </w:drawing>
      </w:r>
    </w:p>
    <w:p>
      <w:pPr>
        <w:pStyle w:val="30"/>
        <w:numPr>
          <w:ilvl w:val="0"/>
          <w:numId w:val="0"/>
        </w:numPr>
        <w:spacing w:line="600" w:lineRule="exact"/>
        <w:ind w:left="640" w:leftChars="0"/>
        <w:outlineLvl w:val="1"/>
        <w:rPr>
          <w:rFonts w:hint="eastAsia" w:ascii="黑体" w:hAnsi="黑体" w:eastAsia="黑体"/>
          <w:sz w:val="32"/>
          <w:szCs w:val="32"/>
          <w:lang w:eastAsia="zh-CN"/>
        </w:rPr>
      </w:pPr>
      <w:bookmarkStart w:id="22" w:name="_Toc15377206"/>
      <w:bookmarkStart w:id="23" w:name="_Toc15396604"/>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spacing w:line="600" w:lineRule="exact"/>
        <w:ind w:firstLine="640" w:firstLineChars="200"/>
        <w:rPr>
          <w:rFonts w:hint="eastAsia" w:ascii="黑体" w:hAnsi="黑体" w:eastAsia="黑体"/>
          <w:sz w:val="32"/>
          <w:szCs w:val="32"/>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0"/>
        <w:numPr>
          <w:ilvl w:val="0"/>
          <w:numId w:val="0"/>
        </w:numPr>
        <w:spacing w:line="600" w:lineRule="exact"/>
        <w:ind w:left="640" w:leftChars="0"/>
        <w:outlineLvl w:val="1"/>
        <w:rPr>
          <w:rStyle w:val="32"/>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32"/>
          <w:rFonts w:hint="eastAsia" w:ascii="黑体" w:hAnsi="黑体" w:eastAsia="黑体"/>
          <w:b w:val="0"/>
        </w:rPr>
        <w:t>入决算情况说明</w:t>
      </w:r>
      <w:bookmarkEnd w:id="22"/>
      <w:bookmarkEnd w:id="23"/>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本年收入合计1624万元，其中：一般公共预算财政拨款收入1512.25万元，占93.11%；政府性基金预算财政拨款收入107.45万元，占6.61%；国有资本经营预算财政拨款收入0万元，占0%；上级补助收入0万元，占0%；事业收入0万元，占0%；经营收入0万元，占0%；附属单位上缴收入0万元，占0%；其他收入4.3万元，占0.26%。</w:t>
      </w:r>
    </w:p>
    <w:p>
      <w:pPr>
        <w:pStyle w:val="8"/>
        <w:jc w:val="center"/>
        <w:rPr>
          <w:rFonts w:hint="eastAsia" w:ascii="仿宋" w:hAnsi="仿宋" w:eastAsia="仿宋"/>
          <w:sz w:val="32"/>
          <w:szCs w:val="32"/>
          <w:lang w:eastAsia="zh-CN"/>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567055</wp:posOffset>
            </wp:positionH>
            <wp:positionV relativeFrom="paragraph">
              <wp:posOffset>40640</wp:posOffset>
            </wp:positionV>
            <wp:extent cx="4593590" cy="3462655"/>
            <wp:effectExtent l="0" t="0" r="16510" b="4445"/>
            <wp:wrapTopAndBottom/>
            <wp:docPr id="2" name="图片 2" descr="{259bc687-a2c4-471a-b633-df6e85299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9bc687-a2c4-471a-b633-df6e85299a57}"/>
                    <pic:cNvPicPr>
                      <a:picLocks noChangeAspect="1"/>
                    </pic:cNvPicPr>
                  </pic:nvPicPr>
                  <pic:blipFill>
                    <a:blip r:embed="rId7"/>
                    <a:stretch>
                      <a:fillRect/>
                    </a:stretch>
                  </pic:blipFill>
                  <pic:spPr>
                    <a:xfrm>
                      <a:off x="0" y="0"/>
                      <a:ext cx="4593590" cy="3462655"/>
                    </a:xfrm>
                    <a:prstGeom prst="rect">
                      <a:avLst/>
                    </a:prstGeom>
                  </pic:spPr>
                </pic:pic>
              </a:graphicData>
            </a:graphic>
          </wp:anchor>
        </w:drawing>
      </w:r>
      <w:r>
        <w:rPr>
          <w:rFonts w:hint="eastAsia" w:ascii="仿宋" w:hAnsi="仿宋" w:eastAsia="仿宋"/>
          <w:sz w:val="32"/>
          <w:szCs w:val="32"/>
        </w:rPr>
        <w:t>（图2：收入决算结构图）（饼状图）</w:t>
      </w:r>
    </w:p>
    <w:p>
      <w:pPr>
        <w:pStyle w:val="30"/>
        <w:numPr>
          <w:ilvl w:val="0"/>
          <w:numId w:val="2"/>
        </w:numPr>
        <w:spacing w:line="600" w:lineRule="exact"/>
        <w:ind w:firstLineChars="0"/>
        <w:outlineLvl w:val="1"/>
        <w:rPr>
          <w:rStyle w:val="32"/>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32"/>
          <w:rFonts w:hint="eastAsia" w:ascii="黑体" w:hAnsi="黑体" w:eastAsia="黑体"/>
          <w:b w:val="0"/>
        </w:rPr>
        <w:t>出决算情况说明</w:t>
      </w:r>
      <w:bookmarkEnd w:id="24"/>
      <w:bookmarkEnd w:id="25"/>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2023年度本年支出合计1664万元，其中：基本支出931.23万元，占55.96%；项目支出732.77万元，占44.03%；上缴上级支出0万元，占0%；经营支出0万元，占0%；对附属单位补助支出0万元，占0%。</w:t>
      </w:r>
    </w:p>
    <w:p>
      <w:pPr>
        <w:spacing w:line="600" w:lineRule="exact"/>
        <w:ind w:left="0" w:leftChars="0" w:firstLine="0" w:firstLineChars="0"/>
        <w:jc w:val="center"/>
        <w:rPr>
          <w:rFonts w:ascii="仿宋" w:hAnsi="仿宋" w:eastAsia="仿宋"/>
          <w:sz w:val="32"/>
          <w:szCs w:val="32"/>
          <w:shd w:val="pct10" w:color="auto" w:fill="FFFFFF"/>
        </w:rPr>
      </w:pPr>
      <w:r>
        <w:rPr>
          <w:rFonts w:hint="eastAsia" w:ascii="仿宋" w:hAnsi="仿宋" w:eastAsia="仿宋"/>
          <w:sz w:val="32"/>
          <w:szCs w:val="32"/>
        </w:rPr>
        <w:t>图3：支出决算结构图</w:t>
      </w:r>
    </w:p>
    <w:p>
      <w:pPr>
        <w:spacing w:line="600" w:lineRule="exact"/>
        <w:rPr>
          <w:rFonts w:ascii="仿宋_GB2312" w:eastAsia="仿宋_GB2312"/>
          <w:sz w:val="32"/>
          <w:szCs w:val="32"/>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369570</wp:posOffset>
            </wp:positionH>
            <wp:positionV relativeFrom="paragraph">
              <wp:posOffset>-432435</wp:posOffset>
            </wp:positionV>
            <wp:extent cx="4290060" cy="3135630"/>
            <wp:effectExtent l="0" t="0" r="15240" b="7620"/>
            <wp:wrapTopAndBottom/>
            <wp:docPr id="3" name="图片 3" descr="{ec22e523-677a-454f-a3fd-7981712bc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22e523-677a-454f-a3fd-7981712bc47b}"/>
                    <pic:cNvPicPr>
                      <a:picLocks noChangeAspect="1"/>
                    </pic:cNvPicPr>
                  </pic:nvPicPr>
                  <pic:blipFill>
                    <a:blip r:embed="rId8"/>
                    <a:stretch>
                      <a:fillRect/>
                    </a:stretch>
                  </pic:blipFill>
                  <pic:spPr>
                    <a:xfrm>
                      <a:off x="0" y="0"/>
                      <a:ext cx="4290060" cy="3135630"/>
                    </a:xfrm>
                    <a:prstGeom prst="rect">
                      <a:avLst/>
                    </a:prstGeom>
                  </pic:spPr>
                </pic:pic>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（图3：支出决算结构图）（饼状图）</w:t>
      </w:r>
    </w:p>
    <w:p>
      <w:pPr>
        <w:spacing w:line="600" w:lineRule="exact"/>
        <w:ind w:firstLine="640" w:firstLineChars="200"/>
        <w:outlineLvl w:val="1"/>
        <w:rPr>
          <w:rStyle w:val="32"/>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6"/>
      <w:bookmarkEnd w:id="27"/>
    </w:p>
    <w:p>
      <w:pPr>
        <w:numPr>
          <w:ilvl w:val="0"/>
          <w:numId w:val="0"/>
        </w:num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财政拨款收入总计均为1619.7万元。与2022年度相比，财政拨款收入总计增加248.19万元，增长18.1%。主要变动原因是项目建设增加。2023年度财政拨款支出总计均为1659.7万元。与2022年相比，财政拨款支出总计增加251.81万元，增长17.89%。增加原因为项目建设增加。</w:t>
      </w:r>
    </w:p>
    <w:p>
      <w:pPr>
        <w:spacing w:line="600" w:lineRule="exact"/>
        <w:ind w:left="0" w:leftChars="0" w:firstLine="0" w:firstLineChars="0"/>
        <w:jc w:val="center"/>
        <w:rPr>
          <w:rFonts w:hint="eastAsia" w:ascii="仿宋" w:hAnsi="仿宋" w:eastAsia="仿宋"/>
          <w:sz w:val="32"/>
          <w:szCs w:val="32"/>
          <w:lang w:eastAsia="zh-CN"/>
        </w:rPr>
      </w:pPr>
      <w:r>
        <w:rPr>
          <w:rFonts w:hint="eastAsia" w:ascii="仿宋" w:hAnsi="仿宋" w:eastAsia="仿宋"/>
          <w:sz w:val="32"/>
          <w:szCs w:val="32"/>
        </w:rPr>
        <w:t>图4：财政拨款收、支决算总计变动情况</w:t>
      </w:r>
    </w:p>
    <w:p>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62336" behindDoc="0" locked="0" layoutInCell="1" allowOverlap="1">
            <wp:simplePos x="0" y="0"/>
            <wp:positionH relativeFrom="column">
              <wp:posOffset>480060</wp:posOffset>
            </wp:positionH>
            <wp:positionV relativeFrom="paragraph">
              <wp:posOffset>180340</wp:posOffset>
            </wp:positionV>
            <wp:extent cx="4133850" cy="3571875"/>
            <wp:effectExtent l="0" t="0" r="0" b="9525"/>
            <wp:wrapTopAndBottom/>
            <wp:docPr id="5" name="图片 5" descr="{df4ebdc8-9799-4c53-885e-c97e17a5b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f4ebdc8-9799-4c53-885e-c97e17a5b01e}"/>
                    <pic:cNvPicPr>
                      <a:picLocks noChangeAspect="1"/>
                    </pic:cNvPicPr>
                  </pic:nvPicPr>
                  <pic:blipFill>
                    <a:blip r:embed="rId9"/>
                    <a:stretch>
                      <a:fillRect/>
                    </a:stretch>
                  </pic:blipFill>
                  <pic:spPr>
                    <a:xfrm>
                      <a:off x="0" y="0"/>
                      <a:ext cx="4133850" cy="3571875"/>
                    </a:xfrm>
                    <a:prstGeom prst="rect">
                      <a:avLst/>
                    </a:prstGeom>
                  </pic:spPr>
                </pic:pic>
              </a:graphicData>
            </a:graphic>
          </wp:anchor>
        </w:drawing>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2"/>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2023年度一般公共预算财政拨款支出1512.25万元，占本年支出合计的90.88%。与2022年度相比，一般公共预算财政拨款支出增加197.79万元，增长15.05%。主要变动原因是项目建设增加。</w:t>
      </w:r>
    </w:p>
    <w:p>
      <w:pPr>
        <w:spacing w:line="600" w:lineRule="exact"/>
        <w:ind w:firstLine="640" w:firstLineChars="200"/>
        <w:jc w:val="center"/>
        <w:rPr>
          <w:rFonts w:hint="eastAsia" w:ascii="仿宋" w:hAnsi="仿宋" w:eastAsia="仿宋"/>
          <w:sz w:val="32"/>
          <w:szCs w:val="32"/>
          <w:lang w:eastAsia="zh-CN"/>
        </w:rPr>
      </w:pPr>
      <w:r>
        <w:rPr>
          <w:rFonts w:hint="eastAsia" w:ascii="仿宋" w:hAnsi="仿宋" w:eastAsia="仿宋"/>
          <w:sz w:val="32"/>
          <w:szCs w:val="32"/>
        </w:rPr>
        <w:t>图5：一般公共预算财政拨款支出决算变动情况</w:t>
      </w:r>
    </w:p>
    <w:p>
      <w:pPr>
        <w:spacing w:line="6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431165</wp:posOffset>
            </wp:positionH>
            <wp:positionV relativeFrom="paragraph">
              <wp:posOffset>184150</wp:posOffset>
            </wp:positionV>
            <wp:extent cx="4326255" cy="3290570"/>
            <wp:effectExtent l="0" t="0" r="17145" b="5080"/>
            <wp:wrapTopAndBottom/>
            <wp:docPr id="6" name="图片 6" descr="{dfd1e6bd-78de-4d1c-a250-34126de4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d1e6bd-78de-4d1c-a250-34126de49162}"/>
                    <pic:cNvPicPr>
                      <a:picLocks noChangeAspect="1"/>
                    </pic:cNvPicPr>
                  </pic:nvPicPr>
                  <pic:blipFill>
                    <a:blip r:embed="rId10"/>
                    <a:stretch>
                      <a:fillRect/>
                    </a:stretch>
                  </pic:blipFill>
                  <pic:spPr>
                    <a:xfrm>
                      <a:off x="0" y="0"/>
                      <a:ext cx="4326255" cy="3290570"/>
                    </a:xfrm>
                    <a:prstGeom prst="rect">
                      <a:avLst/>
                    </a:prstGeom>
                  </pic:spPr>
                </pic:pic>
              </a:graphicData>
            </a:graphic>
          </wp:anchor>
        </w:drawing>
      </w: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2023年度一般公共预算财政拨款支出1512.25万元，主要用于以下方面:</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475.22</w:t>
      </w:r>
      <w:r>
        <w:rPr>
          <w:rFonts w:hint="eastAsia" w:ascii="仿宋_GB2312" w:hAnsi="仿宋_GB2312" w:eastAsia="仿宋_GB2312" w:cs="仿宋_GB2312"/>
          <w:kern w:val="2"/>
          <w:sz w:val="32"/>
          <w:szCs w:val="32"/>
          <w:lang w:val="en-US" w:eastAsia="zh-CN" w:bidi="ar-SA"/>
        </w:rPr>
        <w:t>万元，占31.42%；</w:t>
      </w:r>
      <w:r>
        <w:rPr>
          <w:rFonts w:hint="eastAsia" w:ascii="仿宋" w:hAnsi="仿宋" w:eastAsia="仿宋"/>
          <w:b/>
          <w:sz w:val="32"/>
          <w:szCs w:val="32"/>
        </w:rPr>
        <w:t>教育支出</w:t>
      </w:r>
      <w:r>
        <w:rPr>
          <w:rFonts w:hint="eastAsia" w:ascii="仿宋_GB2312" w:hAnsi="仿宋_GB2312" w:eastAsia="仿宋_GB2312" w:cs="仿宋_GB2312"/>
          <w:kern w:val="2"/>
          <w:sz w:val="32"/>
          <w:szCs w:val="32"/>
          <w:lang w:val="en-US" w:eastAsia="zh-CN" w:bidi="ar-SA"/>
        </w:rPr>
        <w:t>0万元，占0%；</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_GB2312" w:hAnsi="仿宋_GB2312" w:eastAsia="仿宋_GB2312" w:cs="仿宋_GB2312"/>
          <w:kern w:val="2"/>
          <w:sz w:val="32"/>
          <w:szCs w:val="32"/>
          <w:lang w:val="en-US" w:eastAsia="zh-CN" w:bidi="ar-SA"/>
        </w:rPr>
        <w:t>0万元，占0%；</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_GB2312" w:hAnsi="仿宋_GB2312" w:eastAsia="仿宋_GB2312" w:cs="仿宋_GB2312"/>
          <w:kern w:val="2"/>
          <w:sz w:val="32"/>
          <w:szCs w:val="32"/>
          <w:lang w:val="en-US" w:eastAsia="zh-CN" w:bidi="ar-SA"/>
        </w:rPr>
        <w:t>149.49万元，占9.89%；</w:t>
      </w:r>
      <w:r>
        <w:rPr>
          <w:rFonts w:hint="eastAsia" w:ascii="仿宋" w:hAnsi="仿宋" w:eastAsia="仿宋"/>
          <w:b/>
          <w:bCs/>
          <w:sz w:val="32"/>
          <w:szCs w:val="32"/>
        </w:rPr>
        <w:t>卫生健康支出</w:t>
      </w:r>
      <w:r>
        <w:rPr>
          <w:rFonts w:hint="eastAsia" w:ascii="仿宋_GB2312" w:hAnsi="仿宋_GB2312" w:eastAsia="仿宋_GB2312" w:cs="仿宋_GB2312"/>
          <w:kern w:val="2"/>
          <w:sz w:val="32"/>
          <w:szCs w:val="32"/>
          <w:lang w:val="en-US" w:eastAsia="zh-CN" w:bidi="ar-SA"/>
        </w:rPr>
        <w:t>26.7万元，占1.76%；</w:t>
      </w:r>
      <w:r>
        <w:rPr>
          <w:rFonts w:hint="eastAsia" w:ascii="仿宋" w:hAnsi="仿宋" w:eastAsia="仿宋" w:cs="Times New Roman"/>
          <w:b/>
          <w:bCs/>
          <w:sz w:val="32"/>
          <w:szCs w:val="32"/>
          <w:lang w:eastAsia="zh-CN"/>
        </w:rPr>
        <w:t>城乡社区</w:t>
      </w:r>
      <w:r>
        <w:rPr>
          <w:rFonts w:hint="eastAsia" w:ascii="仿宋" w:hAnsi="仿宋" w:eastAsia="仿宋" w:cs="Times New Roman"/>
          <w:b/>
          <w:bCs/>
          <w:sz w:val="32"/>
          <w:szCs w:val="32"/>
        </w:rPr>
        <w:t>支出</w:t>
      </w:r>
      <w:r>
        <w:rPr>
          <w:rFonts w:hint="eastAsia" w:ascii="仿宋_GB2312" w:hAnsi="仿宋_GB2312" w:eastAsia="仿宋_GB2312" w:cs="仿宋_GB2312"/>
          <w:kern w:val="2"/>
          <w:sz w:val="32"/>
          <w:szCs w:val="32"/>
          <w:lang w:val="en-US" w:eastAsia="zh-CN" w:bidi="ar-SA"/>
        </w:rPr>
        <w:t>38.01万元，占2.51%；</w:t>
      </w:r>
      <w:r>
        <w:rPr>
          <w:rFonts w:hint="eastAsia" w:ascii="仿宋" w:hAnsi="仿宋" w:eastAsia="仿宋" w:cs="Times New Roman"/>
          <w:b/>
          <w:bCs/>
          <w:sz w:val="32"/>
          <w:szCs w:val="32"/>
          <w:lang w:eastAsia="zh-CN"/>
        </w:rPr>
        <w:t>农林水支出</w:t>
      </w:r>
      <w:r>
        <w:rPr>
          <w:rFonts w:hint="eastAsia" w:ascii="仿宋_GB2312" w:hAnsi="仿宋_GB2312" w:eastAsia="仿宋_GB2312" w:cs="仿宋_GB2312"/>
          <w:kern w:val="2"/>
          <w:sz w:val="32"/>
          <w:szCs w:val="32"/>
          <w:lang w:val="en-US" w:eastAsia="zh-CN" w:bidi="ar-SA"/>
        </w:rPr>
        <w:t>767.9万元，占50.78%；</w:t>
      </w:r>
      <w:r>
        <w:rPr>
          <w:rFonts w:hint="eastAsia" w:ascii="仿宋" w:hAnsi="仿宋" w:eastAsia="仿宋"/>
          <w:b/>
          <w:bCs/>
          <w:sz w:val="32"/>
          <w:szCs w:val="32"/>
        </w:rPr>
        <w:t>住房保障支出</w:t>
      </w:r>
      <w:r>
        <w:rPr>
          <w:rFonts w:hint="eastAsia" w:ascii="仿宋_GB2312" w:hAnsi="仿宋_GB2312" w:eastAsia="仿宋_GB2312" w:cs="仿宋_GB2312"/>
          <w:kern w:val="2"/>
          <w:sz w:val="32"/>
          <w:szCs w:val="32"/>
          <w:lang w:val="en-US" w:eastAsia="zh-CN" w:bidi="ar-SA"/>
        </w:rPr>
        <w:t>53.58万元，占3.55%；</w:t>
      </w:r>
      <w:r>
        <w:rPr>
          <w:rFonts w:hint="eastAsia" w:ascii="仿宋" w:hAnsi="仿宋" w:eastAsia="仿宋" w:cs="Times New Roman"/>
          <w:b/>
          <w:bCs/>
          <w:sz w:val="32"/>
          <w:szCs w:val="32"/>
          <w:lang w:eastAsia="zh-CN"/>
        </w:rPr>
        <w:t>灾害防治及应急管理支出</w:t>
      </w:r>
      <w:r>
        <w:rPr>
          <w:rFonts w:hint="eastAsia" w:ascii="仿宋_GB2312" w:hAnsi="仿宋_GB2312" w:eastAsia="仿宋_GB2312" w:cs="仿宋_GB2312"/>
          <w:kern w:val="2"/>
          <w:sz w:val="32"/>
          <w:szCs w:val="32"/>
          <w:lang w:val="en-US" w:eastAsia="zh-CN" w:bidi="ar-SA"/>
        </w:rPr>
        <w:t>1.35万元，占0.09%。</w:t>
      </w:r>
    </w:p>
    <w:p>
      <w:pPr>
        <w:spacing w:line="600" w:lineRule="exact"/>
        <w:ind w:left="0" w:leftChars="0" w:firstLine="0" w:firstLineChars="0"/>
        <w:jc w:val="center"/>
        <w:rPr>
          <w:rFonts w:ascii="仿宋" w:hAnsi="仿宋" w:eastAsia="仿宋"/>
          <w:sz w:val="32"/>
          <w:szCs w:val="32"/>
        </w:rPr>
      </w:pPr>
      <w:r>
        <w:rPr>
          <w:rFonts w:hint="eastAsia" w:ascii="仿宋" w:hAnsi="仿宋" w:eastAsia="仿宋"/>
          <w:sz w:val="32"/>
          <w:szCs w:val="32"/>
        </w:rPr>
        <w:t>图6：一般公共预算财政拨款支出决算结构</w:t>
      </w:r>
    </w:p>
    <w:p>
      <w:pPr>
        <w:pStyle w:val="8"/>
        <w:rPr>
          <w:rFonts w:hint="eastAsia" w:eastAsia="仿宋"/>
          <w:lang w:eastAsia="zh-CN"/>
        </w:rPr>
      </w:pPr>
      <w:r>
        <w:rPr>
          <w:rFonts w:hint="eastAsia" w:eastAsia="仿宋"/>
          <w:lang w:eastAsia="zh-CN"/>
        </w:rPr>
        <w:drawing>
          <wp:inline distT="0" distB="0" distL="114300" distR="114300">
            <wp:extent cx="4648835" cy="3466465"/>
            <wp:effectExtent l="0" t="0" r="18415" b="635"/>
            <wp:docPr id="7" name="图片 7" descr="{f2c96065-4b27-4943-9118-cdc3519f4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c96065-4b27-4943-9118-cdc3519f46ac}"/>
                    <pic:cNvPicPr>
                      <a:picLocks noChangeAspect="1"/>
                    </pic:cNvPicPr>
                  </pic:nvPicPr>
                  <pic:blipFill>
                    <a:blip r:embed="rId11"/>
                    <a:stretch>
                      <a:fillRect/>
                    </a:stretch>
                  </pic:blipFill>
                  <pic:spPr>
                    <a:xfrm>
                      <a:off x="0" y="0"/>
                      <a:ext cx="4648835" cy="3466465"/>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Style w:val="20"/>
          <w:rFonts w:ascii="仿宋" w:hAnsi="仿宋" w:eastAsia="仿宋"/>
          <w:bCs/>
          <w:sz w:val="32"/>
          <w:szCs w:val="32"/>
        </w:rPr>
      </w:pPr>
      <w:bookmarkStart w:id="33" w:name="_Toc15377213"/>
      <w:bookmarkStart w:id="34" w:name="_Toc15377444"/>
      <w:bookmarkStart w:id="35" w:name="_Toc15378460"/>
      <w:r>
        <w:rPr>
          <w:rFonts w:hint="eastAsia" w:ascii="仿宋" w:hAnsi="仿宋" w:eastAsia="仿宋"/>
          <w:b/>
          <w:sz w:val="32"/>
          <w:szCs w:val="32"/>
        </w:rPr>
        <w:t>2023年度一般公共预算支出决算数为</w:t>
      </w:r>
      <w:r>
        <w:rPr>
          <w:sz w:val="32"/>
          <w:szCs w:val="32"/>
        </w:rPr>
        <w:t>1512.25</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3"/>
      <w:bookmarkEnd w:id="34"/>
      <w:bookmarkEnd w:id="35"/>
    </w:p>
    <w:p>
      <w:pPr>
        <w:pageBreakBefore w:val="0"/>
        <w:numPr>
          <w:ilvl w:val="0"/>
          <w:numId w:val="0"/>
        </w:numPr>
        <w:kinsoku/>
        <w:wordWrap/>
        <w:overflowPunct/>
        <w:topLinePunct w:val="0"/>
        <w:bidi w:val="0"/>
        <w:spacing w:line="240" w:lineRule="auto"/>
        <w:ind w:left="0" w:leftChars="0"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行政运行</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395.94</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2.</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（款）一般行政管理事务（项）:支出决算为</w:t>
      </w:r>
      <w:r>
        <w:rPr>
          <w:rStyle w:val="20"/>
          <w:rFonts w:hint="eastAsia" w:ascii="仿宋_GB2312" w:hAnsi="仿宋_GB2312" w:eastAsia="仿宋_GB2312" w:cs="仿宋_GB2312"/>
          <w:b w:val="0"/>
          <w:bCs/>
          <w:color w:val="000000"/>
          <w:sz w:val="32"/>
          <w:szCs w:val="32"/>
          <w:highlight w:val="none"/>
          <w:lang w:val="en-US" w:eastAsia="zh-CN"/>
        </w:rPr>
        <w:t>13.71</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3.</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65.57</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4</w:t>
      </w:r>
      <w:r>
        <w:rPr>
          <w:rStyle w:val="20"/>
          <w:rFonts w:hint="eastAsia" w:ascii="仿宋_GB2312" w:hAnsi="仿宋_GB2312" w:eastAsia="仿宋_GB2312" w:cs="仿宋_GB2312"/>
          <w:b w:val="0"/>
          <w:bCs/>
          <w:color w:val="000000"/>
          <w:sz w:val="32"/>
          <w:szCs w:val="32"/>
          <w:highlight w:val="none"/>
          <w:lang w:eastAsia="zh-CN"/>
        </w:rPr>
        <w:t>．</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（类）人力资源和社会保障管理事务（款）其他人力资源和社会保障管理事务支出（项）:支出决算为</w:t>
      </w:r>
      <w:r>
        <w:rPr>
          <w:rStyle w:val="20"/>
          <w:rFonts w:hint="eastAsia" w:ascii="仿宋_GB2312" w:hAnsi="仿宋_GB2312" w:eastAsia="仿宋_GB2312" w:cs="仿宋_GB2312"/>
          <w:b w:val="0"/>
          <w:bCs/>
          <w:color w:val="000000"/>
          <w:sz w:val="32"/>
          <w:szCs w:val="32"/>
          <w:highlight w:val="none"/>
          <w:lang w:val="en-US" w:eastAsia="zh-CN"/>
        </w:rPr>
        <w:t>20.4</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5</w:t>
      </w:r>
      <w:r>
        <w:rPr>
          <w:rStyle w:val="20"/>
          <w:rFonts w:hint="eastAsia" w:ascii="仿宋_GB2312" w:hAnsi="仿宋_GB2312" w:eastAsia="仿宋_GB2312" w:cs="仿宋_GB2312"/>
          <w:b w:val="0"/>
          <w:bCs/>
          <w:color w:val="000000"/>
          <w:sz w:val="32"/>
          <w:szCs w:val="32"/>
          <w:highlight w:val="none"/>
          <w:lang w:eastAsia="zh-CN"/>
        </w:rPr>
        <w:t>．</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行政事业单位养老支出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68.57</w:t>
      </w:r>
      <w:r>
        <w:rPr>
          <w:rStyle w:val="20"/>
          <w:rFonts w:hint="eastAsia" w:ascii="仿宋_GB2312" w:hAnsi="仿宋_GB2312" w:eastAsia="仿宋_GB2312" w:cs="仿宋_GB2312"/>
          <w:b w:val="0"/>
          <w:bCs/>
          <w:color w:val="000000"/>
          <w:sz w:val="32"/>
          <w:szCs w:val="32"/>
          <w:highlight w:val="none"/>
        </w:rPr>
        <w:t>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6</w:t>
      </w:r>
      <w:r>
        <w:rPr>
          <w:rStyle w:val="20"/>
          <w:rFonts w:hint="eastAsia" w:ascii="仿宋_GB2312" w:hAnsi="仿宋_GB2312" w:eastAsia="仿宋_GB2312" w:cs="仿宋_GB2312"/>
          <w:b w:val="0"/>
          <w:bCs/>
          <w:color w:val="000000"/>
          <w:sz w:val="32"/>
          <w:szCs w:val="32"/>
          <w:highlight w:val="none"/>
          <w:lang w:eastAsia="zh-CN"/>
        </w:rPr>
        <w:t>．</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行政事业单位养老支出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机关事业单位职业年金缴费支出</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37.96</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7</w:t>
      </w:r>
      <w:r>
        <w:rPr>
          <w:rStyle w:val="20"/>
          <w:rFonts w:hint="eastAsia" w:ascii="仿宋_GB2312" w:hAnsi="仿宋_GB2312" w:eastAsia="仿宋_GB2312" w:cs="仿宋_GB2312"/>
          <w:b w:val="0"/>
          <w:bCs/>
          <w:color w:val="000000"/>
          <w:sz w:val="32"/>
          <w:szCs w:val="32"/>
          <w:highlight w:val="none"/>
          <w:lang w:eastAsia="zh-CN"/>
        </w:rPr>
        <w:t>．</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抚恤</w:t>
      </w:r>
      <w:r>
        <w:rPr>
          <w:rStyle w:val="20"/>
          <w:rFonts w:hint="eastAsia" w:ascii="仿宋_GB2312" w:hAnsi="仿宋_GB2312" w:eastAsia="仿宋_GB2312" w:cs="仿宋_GB2312"/>
          <w:b w:val="0"/>
          <w:bCs/>
          <w:color w:val="000000"/>
          <w:sz w:val="32"/>
          <w:szCs w:val="32"/>
          <w:highlight w:val="none"/>
        </w:rPr>
        <w:t>（款）其他优抚支出（项）:支出决算为</w:t>
      </w:r>
      <w:r>
        <w:rPr>
          <w:rStyle w:val="20"/>
          <w:rFonts w:hint="eastAsia" w:ascii="仿宋_GB2312" w:hAnsi="仿宋_GB2312" w:eastAsia="仿宋_GB2312" w:cs="仿宋_GB2312"/>
          <w:b w:val="0"/>
          <w:bCs/>
          <w:color w:val="000000"/>
          <w:sz w:val="32"/>
          <w:szCs w:val="32"/>
          <w:highlight w:val="none"/>
          <w:lang w:val="en-US" w:eastAsia="zh-CN"/>
        </w:rPr>
        <w:t>6.89</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8</w:t>
      </w:r>
      <w:r>
        <w:rPr>
          <w:rStyle w:val="20"/>
          <w:rFonts w:hint="eastAsia" w:ascii="仿宋_GB2312" w:hAnsi="仿宋_GB2312" w:eastAsia="仿宋_GB2312" w:cs="仿宋_GB2312"/>
          <w:b w:val="0"/>
          <w:bCs/>
          <w:color w:val="000000"/>
          <w:sz w:val="32"/>
          <w:szCs w:val="32"/>
          <w:highlight w:val="none"/>
          <w:lang w:eastAsia="zh-CN"/>
        </w:rPr>
        <w:t>．</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其他社会保障和就业支出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其他社会保障和就业支出</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15.67</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9</w:t>
      </w:r>
      <w:r>
        <w:rPr>
          <w:rStyle w:val="20"/>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行政单位医疗</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14.63</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10.</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事业单位医疗</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8.62</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11.</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公务员医疗补助</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3.45</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12</w:t>
      </w:r>
      <w:r>
        <w:rPr>
          <w:rStyle w:val="20"/>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城乡社区支出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城乡社区环境卫生</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城乡社区环境卫生</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38.01</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13</w:t>
      </w:r>
      <w:r>
        <w:rPr>
          <w:rStyle w:val="20"/>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农业农村</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事业运行</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204.97</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14.</w:t>
      </w:r>
      <w:r>
        <w:rPr>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农业农村</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 xml:space="preserve"> 其他农业农村支出</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171.43</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15</w:t>
      </w:r>
      <w:r>
        <w:rPr>
          <w:rStyle w:val="20"/>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农村综合改革</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对村级公益事业建设的补助（项）:支出决算为</w:t>
      </w:r>
      <w:r>
        <w:rPr>
          <w:rStyle w:val="20"/>
          <w:rFonts w:hint="eastAsia" w:ascii="仿宋_GB2312" w:hAnsi="仿宋_GB2312" w:eastAsia="仿宋_GB2312" w:cs="仿宋_GB2312"/>
          <w:b w:val="0"/>
          <w:bCs/>
          <w:color w:val="000000"/>
          <w:sz w:val="32"/>
          <w:szCs w:val="32"/>
          <w:highlight w:val="none"/>
          <w:lang w:val="en-US" w:eastAsia="zh-CN"/>
        </w:rPr>
        <w:t>68</w:t>
      </w:r>
      <w:r>
        <w:rPr>
          <w:rStyle w:val="20"/>
          <w:rFonts w:hint="eastAsia" w:ascii="仿宋_GB2312" w:hAnsi="仿宋_GB2312" w:eastAsia="仿宋_GB2312" w:cs="仿宋_GB2312"/>
          <w:b w:val="0"/>
          <w:bCs/>
          <w:color w:val="000000"/>
          <w:sz w:val="32"/>
          <w:szCs w:val="32"/>
          <w:highlight w:val="none"/>
          <w:lang w:eastAsia="zh-CN"/>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16</w:t>
      </w:r>
      <w:r>
        <w:rPr>
          <w:rStyle w:val="20"/>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农村综合改革</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对村民委员会和村党支部的补助</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323.50</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17</w:t>
      </w:r>
      <w:r>
        <w:rPr>
          <w:rStyle w:val="20"/>
          <w:rFonts w:hint="eastAsia" w:ascii="仿宋_GB2312" w:hAnsi="仿宋_GB2312" w:eastAsia="仿宋_GB2312" w:cs="仿宋_GB2312"/>
          <w:b w:val="0"/>
          <w:bCs/>
          <w:color w:val="000000"/>
          <w:sz w:val="32"/>
          <w:szCs w:val="32"/>
          <w:highlight w:val="none"/>
          <w:lang w:eastAsia="zh-CN"/>
        </w:rPr>
        <w:t>．住房保障支出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住房改革支出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住房公积金</w:t>
      </w:r>
      <w:r>
        <w:rPr>
          <w:rStyle w:val="20"/>
          <w:rFonts w:hint="eastAsia" w:ascii="仿宋_GB2312" w:hAnsi="仿宋_GB2312" w:eastAsia="仿宋_GB2312" w:cs="仿宋_GB2312"/>
          <w:b w:val="0"/>
          <w:bCs/>
          <w:color w:val="000000"/>
          <w:sz w:val="32"/>
          <w:szCs w:val="32"/>
          <w:highlight w:val="none"/>
        </w:rPr>
        <w:t>（项）:支出决算为</w:t>
      </w:r>
      <w:r>
        <w:rPr>
          <w:rStyle w:val="20"/>
          <w:rFonts w:hint="eastAsia" w:ascii="仿宋_GB2312" w:hAnsi="仿宋_GB2312" w:eastAsia="仿宋_GB2312" w:cs="仿宋_GB2312"/>
          <w:b w:val="0"/>
          <w:bCs/>
          <w:color w:val="000000"/>
          <w:sz w:val="32"/>
          <w:szCs w:val="32"/>
          <w:highlight w:val="none"/>
          <w:lang w:val="en-US" w:eastAsia="zh-CN"/>
        </w:rPr>
        <w:t>53.58</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18</w:t>
      </w:r>
      <w:r>
        <w:rPr>
          <w:rStyle w:val="20"/>
          <w:rFonts w:hint="eastAsia" w:ascii="仿宋_GB2312" w:hAnsi="仿宋_GB2312" w:eastAsia="仿宋_GB2312" w:cs="仿宋_GB2312"/>
          <w:b w:val="0"/>
          <w:bCs/>
          <w:color w:val="000000"/>
          <w:sz w:val="32"/>
          <w:szCs w:val="32"/>
          <w:highlight w:val="none"/>
          <w:lang w:eastAsia="zh-CN"/>
        </w:rPr>
        <w:t>．灾害防治及应急管理支出</w:t>
      </w:r>
      <w:r>
        <w:rPr>
          <w:rStyle w:val="20"/>
          <w:rFonts w:hint="eastAsia" w:ascii="仿宋_GB2312" w:hAnsi="仿宋_GB2312" w:eastAsia="仿宋_GB2312" w:cs="仿宋_GB2312"/>
          <w:b w:val="0"/>
          <w:bCs/>
          <w:color w:val="000000"/>
          <w:sz w:val="32"/>
          <w:szCs w:val="32"/>
          <w:highlight w:val="none"/>
        </w:rPr>
        <w:t>（类）自然灾害防治（款）地质灾害防治（项）:支出决算为</w:t>
      </w:r>
      <w:r>
        <w:rPr>
          <w:rStyle w:val="20"/>
          <w:rFonts w:hint="eastAsia" w:ascii="仿宋_GB2312" w:hAnsi="仿宋_GB2312" w:eastAsia="仿宋_GB2312" w:cs="仿宋_GB2312"/>
          <w:b w:val="0"/>
          <w:bCs/>
          <w:color w:val="000000"/>
          <w:sz w:val="32"/>
          <w:szCs w:val="32"/>
          <w:highlight w:val="none"/>
          <w:lang w:val="en-US" w:eastAsia="zh-CN"/>
        </w:rPr>
        <w:t>1.35</w:t>
      </w:r>
      <w:r>
        <w:rPr>
          <w:rStyle w:val="20"/>
          <w:rFonts w:hint="eastAsia" w:ascii="仿宋_GB2312" w:hAnsi="仿宋_GB2312" w:eastAsia="仿宋_GB2312" w:cs="仿宋_GB2312"/>
          <w:b w:val="0"/>
          <w:bCs/>
          <w:color w:val="000000"/>
          <w:sz w:val="32"/>
          <w:szCs w:val="32"/>
          <w:highlight w:val="none"/>
        </w:rPr>
        <w:t>万元，完成预算</w:t>
      </w:r>
      <w:r>
        <w:rPr>
          <w:rStyle w:val="20"/>
          <w:rFonts w:hint="eastAsia" w:ascii="仿宋_GB2312" w:hAnsi="仿宋_GB2312" w:eastAsia="仿宋_GB2312" w:cs="仿宋_GB2312"/>
          <w:b w:val="0"/>
          <w:bCs/>
          <w:color w:val="000000"/>
          <w:sz w:val="32"/>
          <w:szCs w:val="32"/>
          <w:highlight w:val="none"/>
          <w:lang w:val="en-US" w:eastAsia="zh-CN"/>
        </w:rPr>
        <w:t>100</w:t>
      </w:r>
      <w:r>
        <w:rPr>
          <w:rStyle w:val="20"/>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20"/>
          <w:rFonts w:hint="eastAsia" w:ascii="仿宋_GB2312" w:hAnsi="仿宋_GB2312" w:eastAsia="仿宋_GB2312" w:cs="仿宋_GB2312"/>
          <w:b w:val="0"/>
          <w:bCs/>
          <w:color w:val="000000"/>
          <w:sz w:val="32"/>
          <w:szCs w:val="32"/>
          <w:highlight w:val="none"/>
        </w:rPr>
        <w:t>。</w:t>
      </w:r>
    </w:p>
    <w:p>
      <w:pPr>
        <w:tabs>
          <w:tab w:val="right" w:pos="8306"/>
        </w:tabs>
        <w:spacing w:line="600" w:lineRule="exact"/>
        <w:ind w:firstLine="640"/>
        <w:outlineLvl w:val="1"/>
        <w:rPr>
          <w:rStyle w:val="32"/>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6"/>
      <w:bookmarkEnd w:id="37"/>
      <w:r>
        <w:rPr>
          <w:rStyle w:val="32"/>
          <w:rFonts w:ascii="黑体" w:hAnsi="黑体" w:eastAsia="黑体"/>
          <w:b w:val="0"/>
        </w:rPr>
        <w:tab/>
      </w:r>
    </w:p>
    <w:p>
      <w:pPr>
        <w:spacing w:line="60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2023年度一般公共预算财政拨款基本支出931.23万元，其中：</w:t>
      </w:r>
    </w:p>
    <w:p>
      <w:pPr>
        <w:spacing w:line="600" w:lineRule="exact"/>
        <w:rPr>
          <w:rFonts w:ascii="仿宋" w:hAnsi="仿宋" w:eastAsia="仿宋"/>
          <w:b/>
          <w:sz w:val="32"/>
          <w:szCs w:val="32"/>
        </w:rPr>
      </w:pPr>
      <w:r>
        <w:rPr>
          <w:rFonts w:hint="eastAsia" w:ascii="仿宋_GB2312" w:hAnsi="仿宋_GB2312" w:eastAsia="仿宋_GB2312" w:cs="仿宋_GB2312"/>
          <w:kern w:val="2"/>
          <w:sz w:val="32"/>
          <w:szCs w:val="32"/>
          <w:lang w:val="en-US" w:eastAsia="zh-CN" w:bidi="ar-SA"/>
        </w:rPr>
        <w:t>人员经费796.02万元，主要包括：基本工资、津贴补贴、奖金、伙食补助费、绩效工资、机关事业单位基本养老保险缴费、职业年金缴费、职工基本医疗保险缴费、公务员医疗补助缴费、其他社会保障缴费、离休费、退休费、抚恤金、生活补助、医疗费补助、奖励金、住房公积金、其他对个人和家庭的补助支出等。</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公用经费135.21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2"/>
          <w:rFonts w:ascii="黑体" w:hAnsi="黑体" w:eastAsia="黑体"/>
          <w:b w:val="0"/>
        </w:rPr>
      </w:pPr>
      <w:bookmarkStart w:id="38" w:name="_Toc15396609"/>
      <w:bookmarkStart w:id="39"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2023年度“三公”经费</w:t>
      </w:r>
      <w:bookmarkStart w:id="51" w:name="_GoBack"/>
      <w:bookmarkEnd w:id="51"/>
      <w:r>
        <w:rPr>
          <w:rFonts w:hint="eastAsia" w:ascii="仿宋_GB2312" w:hAnsi="仿宋_GB2312" w:eastAsia="仿宋_GB2312" w:cs="仿宋_GB2312"/>
          <w:kern w:val="2"/>
          <w:sz w:val="32"/>
          <w:szCs w:val="32"/>
          <w:lang w:val="en-US" w:eastAsia="zh-CN" w:bidi="ar-SA"/>
        </w:rPr>
        <w:t>财政拨款支出决算为16.08万元，完成预算94.57%，较上年度增加2.21万元，增长15.93%，决算数小于预算数的主要原因是我镇认真贯彻落实中央八项规定及省委省政府十项规定要求，厉行节约，加强“三公”经费管理。</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2023年度“三公”经费财政拨款支出决算中，因公出国（境）费支出决算0万元，占0%；公务用车购置及运行维护费支出决算16.08万元，占100%；公务接待费支出决算0万元，占0%。具体情况如下：</w:t>
      </w:r>
    </w:p>
    <w:p>
      <w:pPr>
        <w:pStyle w:val="8"/>
        <w:jc w:val="center"/>
        <w:rPr>
          <w:rFonts w:hint="eastAsia"/>
        </w:rPr>
      </w:pPr>
      <w:r>
        <w:rPr>
          <w:rFonts w:hint="eastAsia" w:ascii="仿宋" w:hAnsi="仿宋" w:eastAsia="仿宋"/>
          <w:sz w:val="32"/>
          <w:szCs w:val="32"/>
        </w:rPr>
        <w:t>图7：“三公”经费财政拨款支出结构</w:t>
      </w:r>
    </w:p>
    <w:p>
      <w:pPr>
        <w:pStyle w:val="8"/>
        <w:jc w:val="center"/>
        <w:rPr>
          <w:rFonts w:hint="eastAsia" w:eastAsia="仿宋"/>
          <w:lang w:eastAsia="zh-CN"/>
        </w:rPr>
      </w:pPr>
      <w:r>
        <w:rPr>
          <w:rFonts w:hint="eastAsia" w:eastAsia="仿宋"/>
          <w:lang w:eastAsia="zh-CN"/>
        </w:rPr>
        <w:drawing>
          <wp:inline distT="0" distB="0" distL="114300" distR="114300">
            <wp:extent cx="4152265" cy="3058160"/>
            <wp:effectExtent l="0" t="0" r="635" b="8890"/>
            <wp:docPr id="8" name="图片 8" descr="{ffc96b80-7ba9-492a-9a2b-97fbf48ca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c96b80-7ba9-492a-9a2b-97fbf48cad92}"/>
                    <pic:cNvPicPr>
                      <a:picLocks noChangeAspect="1"/>
                    </pic:cNvPicPr>
                  </pic:nvPicPr>
                  <pic:blipFill>
                    <a:blip r:embed="rId12"/>
                    <a:stretch>
                      <a:fillRect/>
                    </a:stretch>
                  </pic:blipFill>
                  <pic:spPr>
                    <a:xfrm>
                      <a:off x="0" y="0"/>
                      <a:ext cx="4152265" cy="3058160"/>
                    </a:xfrm>
                    <a:prstGeom prst="rect">
                      <a:avLst/>
                    </a:prstGeom>
                  </pic:spPr>
                </pic:pic>
              </a:graphicData>
            </a:graphic>
          </wp:inline>
        </w:drawing>
      </w:r>
    </w:p>
    <w:p>
      <w:pPr>
        <w:spacing w:line="600" w:lineRule="exact"/>
        <w:ind w:firstLine="640"/>
      </w:pPr>
      <w:r>
        <w:rPr>
          <w:rFonts w:hint="eastAsia" w:ascii="仿宋" w:hAnsi="仿宋" w:eastAsia="仿宋"/>
          <w:sz w:val="32"/>
          <w:szCs w:val="32"/>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val="0"/>
          <w:sz w:val="32"/>
          <w:szCs w:val="32"/>
          <w:lang w:eastAsia="zh-CN"/>
        </w:rPr>
        <w:t>本年度未安排</w:t>
      </w:r>
      <w:r>
        <w:rPr>
          <w:rFonts w:hint="eastAsia" w:ascii="仿宋_GB2312" w:hAnsi="仿宋_GB2312" w:eastAsia="仿宋_GB2312" w:cs="仿宋_GB2312"/>
          <w:b w:val="0"/>
          <w:bCs w:val="0"/>
          <w:sz w:val="32"/>
          <w:szCs w:val="32"/>
        </w:rPr>
        <w:t>因公出国（境）。</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16.08</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Fonts w:hint="eastAsia" w:eastAsia="仿宋"/>
          <w:sz w:val="36"/>
          <w:szCs w:val="36"/>
          <w:lang w:val="en-US" w:eastAsia="zh-CN"/>
        </w:rPr>
        <w:t>94.57</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2.21</w:t>
      </w:r>
      <w:r>
        <w:rPr>
          <w:rFonts w:hint="eastAsia" w:ascii="仿宋_GB2312" w:eastAsia="仿宋_GB2312"/>
          <w:sz w:val="32"/>
          <w:szCs w:val="32"/>
        </w:rPr>
        <w:t>万元，增</w:t>
      </w:r>
      <w:r>
        <w:rPr>
          <w:rFonts w:hint="eastAsia" w:ascii="仿宋_GB2312" w:eastAsia="仿宋_GB2312"/>
          <w:sz w:val="32"/>
          <w:szCs w:val="32"/>
          <w:highlight w:val="none"/>
        </w:rPr>
        <w:t>长</w:t>
      </w:r>
      <w:r>
        <w:rPr>
          <w:rFonts w:hint="eastAsia" w:ascii="仿宋_GB2312" w:eastAsia="仿宋_GB2312"/>
          <w:sz w:val="32"/>
          <w:szCs w:val="32"/>
          <w:highlight w:val="none"/>
          <w:lang w:val="en-US" w:eastAsia="zh-CN"/>
        </w:rPr>
        <w:t>15.93</w:t>
      </w:r>
      <w:r>
        <w:rPr>
          <w:rFonts w:ascii="仿宋_GB2312" w:eastAsia="仿宋_GB2312"/>
          <w:sz w:val="32"/>
          <w:szCs w:val="32"/>
          <w:highlight w:val="none"/>
        </w:rPr>
        <w:t>%</w:t>
      </w:r>
      <w:r>
        <w:rPr>
          <w:rFonts w:hint="eastAsia" w:ascii="仿宋_GB2312" w:eastAsia="仿宋_GB2312"/>
          <w:sz w:val="32"/>
          <w:szCs w:val="32"/>
          <w:highlight w:val="none"/>
        </w:rPr>
        <w:t>。主</w:t>
      </w:r>
      <w:r>
        <w:rPr>
          <w:rFonts w:hint="eastAsia" w:ascii="仿宋_GB2312" w:eastAsia="仿宋_GB2312"/>
          <w:sz w:val="32"/>
          <w:szCs w:val="32"/>
        </w:rPr>
        <w:t>要原因是</w:t>
      </w:r>
      <w:r>
        <w:rPr>
          <w:rFonts w:hint="eastAsia" w:ascii="仿宋_GB2312" w:hAnsi="仿宋_GB2312" w:eastAsia="仿宋_GB2312" w:cs="仿宋_GB2312"/>
          <w:b w:val="0"/>
          <w:bCs w:val="0"/>
          <w:color w:val="auto"/>
          <w:sz w:val="32"/>
          <w:szCs w:val="32"/>
          <w:lang w:val="en-US" w:eastAsia="zh-CN"/>
        </w:rPr>
        <w:t>为本年度事业车辆改革导致公务用车运维费增加1辆车共3万元，在上年度决算上增加了3万元公务用车运维费3万元，故未超上年决算数</w:t>
      </w:r>
      <w:r>
        <w:rPr>
          <w:rFonts w:hint="eastAsia" w:ascii="仿宋" w:hAnsi="仿宋" w:eastAsia="仿宋"/>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hAnsi="仿宋_GB2312" w:eastAsia="仿宋_GB2312" w:cs="仿宋_GB2312"/>
          <w:b w:val="0"/>
          <w:bCs w:val="0"/>
          <w:sz w:val="32"/>
          <w:szCs w:val="32"/>
        </w:rPr>
        <w:t>其中：轿车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皮卡车</w:t>
      </w:r>
      <w:r>
        <w:rPr>
          <w:rFonts w:hint="eastAsia" w:ascii="仿宋_GB2312" w:hAnsi="仿宋_GB2312" w:eastAsia="仿宋_GB2312" w:cs="仿宋_GB2312"/>
          <w:b w:val="0"/>
          <w:bCs w:val="0"/>
          <w:sz w:val="32"/>
          <w:szCs w:val="32"/>
          <w:lang w:val="en-US" w:eastAsia="zh-CN"/>
        </w:rPr>
        <w:t>1辆</w:t>
      </w:r>
      <w:r>
        <w:rPr>
          <w:rFonts w:hint="eastAsia" w:ascii="仿宋_GB2312" w:hAnsi="仿宋_GB2312" w:eastAsia="仿宋_GB2312" w:cs="仿宋_GB2312"/>
          <w:b w:val="0"/>
          <w:bCs w:val="0"/>
          <w:sz w:val="32"/>
          <w:szCs w:val="32"/>
        </w:rPr>
        <w:t>。</w:t>
      </w:r>
    </w:p>
    <w:p>
      <w:pPr>
        <w:spacing w:line="600" w:lineRule="exact"/>
        <w:ind w:firstLine="640"/>
        <w:rPr>
          <w:rFonts w:hint="eastAsia" w:ascii="仿宋_GB2312" w:hAnsi="仿宋_GB2312" w:eastAsia="仿宋_GB2312" w:cs="仿宋_GB2312"/>
          <w:b w:val="0"/>
          <w:bCs w:val="0"/>
          <w:sz w:val="32"/>
          <w:szCs w:val="32"/>
        </w:rPr>
      </w:pPr>
      <w:r>
        <w:rPr>
          <w:rFonts w:hint="eastAsia" w:ascii="仿宋_GB2312" w:eastAsia="仿宋_GB2312"/>
          <w:b/>
          <w:sz w:val="32"/>
          <w:szCs w:val="32"/>
        </w:rPr>
        <w:t>公务用车运行维护费支出</w:t>
      </w:r>
      <w:r>
        <w:rPr>
          <w:sz w:val="32"/>
          <w:szCs w:val="32"/>
        </w:rPr>
        <w:t>16.08</w:t>
      </w:r>
      <w:r>
        <w:rPr>
          <w:rFonts w:hint="eastAsia" w:ascii="仿宋_GB2312" w:eastAsia="仿宋_GB2312"/>
          <w:sz w:val="32"/>
          <w:szCs w:val="32"/>
        </w:rPr>
        <w:t>万元。主要用于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2023年度未安排公务接待</w:t>
      </w:r>
      <w:r>
        <w:rPr>
          <w:rFonts w:hint="eastAsia" w:ascii="仿宋_GB2312" w:hAnsi="仿宋_GB2312" w:eastAsia="仿宋_GB2312" w:cs="仿宋_GB2312"/>
          <w:b w:val="0"/>
          <w:bCs w:val="0"/>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w:t>
      </w:r>
      <w:r>
        <w:rPr>
          <w:rFonts w:hint="eastAsia" w:ascii="仿宋_GB2312" w:eastAsia="仿宋_GB2312"/>
          <w:sz w:val="32"/>
          <w:szCs w:val="32"/>
          <w:lang w:eastAsia="zh-CN"/>
        </w:rPr>
        <w:t>内容无</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hint="eastAsia" w:ascii="仿宋_GB2312" w:eastAsia="仿宋_GB2312"/>
          <w:sz w:val="32"/>
          <w:szCs w:val="32"/>
          <w:lang w:eastAsia="zh-CN"/>
        </w:rPr>
        <w:t>内容无</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2" w:name="_Toc15396610"/>
      <w:bookmarkStart w:id="43" w:name="_Toc15377218"/>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147.45</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4" w:name="_Toc15377219"/>
      <w:bookmarkStart w:id="45" w:name="_Toc15396611"/>
      <w:r>
        <w:rPr>
          <w:rStyle w:val="32"/>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6" w:name="_Toc15377221"/>
      <w:bookmarkStart w:id="47" w:name="_Toc15396612"/>
      <w:r>
        <w:rPr>
          <w:rStyle w:val="32"/>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2023年度，峨眉山市大为镇人民政府机关运行经费支出135.21万元，比2022年度减少14.31万元，下降9.57%。主要原因是人员减少。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峨眉山市大为镇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峨眉山市大为镇人民政府</w:t>
      </w:r>
      <w:r>
        <w:rPr>
          <w:rFonts w:hint="eastAsia" w:ascii="仿宋_GB2312" w:eastAsia="仿宋_GB2312"/>
          <w:sz w:val="32"/>
          <w:szCs w:val="32"/>
        </w:rPr>
        <w:t>共有车辆</w:t>
      </w:r>
      <w:r>
        <w:rPr>
          <w:rFonts w:ascii="仿宋_GB2312" w:eastAsia="仿宋_GB2312"/>
          <w:sz w:val="32"/>
          <w:szCs w:val="32"/>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仿宋_GB2312" w:eastAsia="仿宋_GB2312" w:cs="仿宋_GB2312"/>
          <w:b w:val="0"/>
          <w:bCs w:val="0"/>
          <w:color w:val="000000"/>
          <w:sz w:val="32"/>
          <w:szCs w:val="32"/>
        </w:rPr>
        <w:t>特种专业技术用车</w:t>
      </w:r>
      <w:r>
        <w:rPr>
          <w:rFonts w:hint="eastAsia" w:ascii="仿宋_GB2312" w:hAnsi="仿宋_GB2312" w:eastAsia="仿宋_GB2312" w:cs="仿宋_GB2312"/>
          <w:b w:val="0"/>
          <w:bCs w:val="0"/>
          <w:color w:val="000000"/>
          <w:sz w:val="32"/>
          <w:szCs w:val="32"/>
          <w:lang w:val="en-US" w:eastAsia="zh-CN"/>
        </w:rPr>
        <w:t>1辆，</w:t>
      </w:r>
      <w:r>
        <w:rPr>
          <w:rFonts w:hint="eastAsia" w:ascii="仿宋_GB2312" w:hAnsi="仿宋_GB2312" w:eastAsia="仿宋_GB2312" w:cs="仿宋_GB2312"/>
          <w:b w:val="0"/>
          <w:bCs w:val="0"/>
          <w:sz w:val="32"/>
          <w:szCs w:val="32"/>
        </w:rPr>
        <w:t>应急保障用车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eastAsia="仿宋_GB2312"/>
          <w:sz w:val="32"/>
          <w:szCs w:val="32"/>
        </w:rPr>
        <w:t>，其他用车主要是用于</w:t>
      </w:r>
      <w:r>
        <w:rPr>
          <w:rFonts w:hint="eastAsia" w:ascii="仿宋_GB2312" w:hAnsi="仿宋_GB2312" w:eastAsia="仿宋_GB2312" w:cs="仿宋_GB2312"/>
          <w:b w:val="0"/>
          <w:bCs w:val="0"/>
          <w:sz w:val="32"/>
          <w:szCs w:val="32"/>
          <w:lang w:eastAsia="zh-CN"/>
        </w:rPr>
        <w:t>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政府日常业务开展需要</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eastAsia="zh-CN"/>
        </w:rPr>
        <w:t>乡镇专项业务经费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基层武装业务经费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2023年度无</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峨眉山市大为镇人民政府</w:t>
      </w:r>
      <w:r>
        <w:rPr>
          <w:rFonts w:hint="eastAsia" w:ascii="仿宋_GB2312" w:hAnsi="仿宋_GB2312" w:eastAsia="仿宋_GB2312" w:cs="仿宋_GB2312"/>
          <w:sz w:val="32"/>
          <w:szCs w:val="32"/>
        </w:rPr>
        <w:t>部门整体（含部门预算项目）绩效自评综述：按照市财政局要求强化绩效管理理念，秉承客观公正、实事求是的原则开展单位自评工作。严格按照</w:t>
      </w:r>
      <w:r>
        <w:rPr>
          <w:rFonts w:hint="eastAsia" w:ascii="仿宋_GB2312" w:hAnsi="仿宋_GB2312" w:eastAsia="仿宋_GB2312" w:cs="仿宋_GB2312"/>
          <w:sz w:val="32"/>
          <w:szCs w:val="32"/>
          <w:highlight w:val="none"/>
        </w:rPr>
        <w:t>相关评价体系进行自评，自评评分为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分</w:t>
      </w:r>
      <w:r>
        <w:rPr>
          <w:rFonts w:hint="eastAsia" w:ascii="仿宋_GB2312" w:hAnsi="宋体" w:cs="宋体"/>
          <w:kern w:val="0"/>
          <w:highlight w:val="none"/>
          <w:shd w:val="clear" w:color="auto" w:fill="FFFFFF"/>
        </w:rPr>
        <w:t>。</w:t>
      </w:r>
      <w:r>
        <w:rPr>
          <w:rFonts w:hint="eastAsia" w:ascii="仿宋_GB2312" w:hAnsi="仿宋_GB2312" w:eastAsia="仿宋_GB2312" w:cs="仿宋_GB2312"/>
          <w:sz w:val="32"/>
          <w:szCs w:val="32"/>
          <w:highlight w:val="none"/>
        </w:rPr>
        <w:t>本部门还自行组织了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个项目支出绩效</w:t>
      </w:r>
      <w:r>
        <w:rPr>
          <w:rFonts w:hint="eastAsia" w:ascii="仿宋_GB2312" w:hAnsi="仿宋_GB2312" w:eastAsia="仿宋_GB2312" w:cs="仿宋_GB2312"/>
          <w:sz w:val="32"/>
          <w:szCs w:val="32"/>
          <w:highlight w:val="none"/>
          <w:lang w:eastAsia="zh-CN"/>
        </w:rPr>
        <w:t>自评</w:t>
      </w:r>
      <w:r>
        <w:rPr>
          <w:rFonts w:hint="eastAsia" w:ascii="仿宋_GB2312" w:hAnsi="仿宋_GB2312" w:eastAsia="仿宋_GB2312" w:cs="仿宋_GB2312"/>
          <w:sz w:val="32"/>
          <w:szCs w:val="32"/>
          <w:highlight w:val="none"/>
        </w:rPr>
        <w:t>，从评价情况来看项目支出资金拨付到位、</w:t>
      </w:r>
      <w:r>
        <w:rPr>
          <w:rFonts w:hint="eastAsia" w:ascii="仿宋_GB2312" w:hAnsi="仿宋_GB2312" w:eastAsia="仿宋_GB2312" w:cs="仿宋_GB2312"/>
          <w:sz w:val="32"/>
          <w:szCs w:val="32"/>
        </w:rPr>
        <w:t>资金分配合理，项目资金的效能达到了预期效果。但还存在绩效监控制度不够完善、项目绩效评价流程不够完善等问题。绩效自评报告详见附件。</w:t>
      </w:r>
    </w:p>
    <w:p>
      <w:pPr>
        <w:pStyle w:val="5"/>
        <w:jc w:val="center"/>
      </w:pPr>
      <w:r>
        <w:rPr>
          <w:rFonts w:hint="eastAsia"/>
        </w:rPr>
        <w:t>第三部分 名词解释</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p>
    <w:p>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事业收入：指事业单位开展专业业务活动及辅助活动取得的收入。</w:t>
      </w:r>
    </w:p>
    <w:p>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经营收入：指事业单位在专业业务活动及其辅助活动之外开展非独立核算经营活动取得的收入。</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其他收入：指单位取得的除上述收入以外的各项收入。</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年末结转和结余：指单位按有关规定结转到下年或以后年度继续使用的资金。</w:t>
      </w:r>
    </w:p>
    <w:p>
      <w:pPr>
        <w:pageBreakBefore w:val="0"/>
        <w:numPr>
          <w:ilvl w:val="0"/>
          <w:numId w:val="0"/>
        </w:numPr>
        <w:kinsoku/>
        <w:wordWrap/>
        <w:overflowPunct/>
        <w:topLinePunct w:val="0"/>
        <w:bidi w:val="0"/>
        <w:spacing w:line="240" w:lineRule="auto"/>
        <w:ind w:left="0" w:leftChars="0"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eastAsia="仿宋_GB2312"/>
          <w:color w:val="000000"/>
          <w:sz w:val="32"/>
          <w:szCs w:val="32"/>
          <w:lang w:val="en-US" w:eastAsia="zh-CN"/>
        </w:rPr>
        <w:t>9.</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行政运行</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rPr>
        <w:t>主要是</w:t>
      </w:r>
      <w:r>
        <w:rPr>
          <w:rFonts w:hint="eastAsia" w:ascii="仿宋_GB2312" w:eastAsia="仿宋_GB2312"/>
          <w:sz w:val="32"/>
          <w:szCs w:val="32"/>
          <w:lang w:eastAsia="zh-CN"/>
        </w:rPr>
        <w:t>机关</w:t>
      </w:r>
      <w:r>
        <w:rPr>
          <w:rFonts w:hint="eastAsia" w:ascii="仿宋_GB2312" w:eastAsia="仿宋_GB2312"/>
          <w:sz w:val="32"/>
          <w:szCs w:val="32"/>
        </w:rPr>
        <w:t>正常运转的基本支出，包括基本工资、津贴补贴（或绩效工资）等人员经费以及办公费、印刷费、水电费等日常公用经费</w:t>
      </w:r>
      <w:r>
        <w:rPr>
          <w:rStyle w:val="20"/>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10.</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（款）一般行政管理事务（项）:</w:t>
      </w:r>
      <w:r>
        <w:rPr>
          <w:rStyle w:val="20"/>
          <w:rFonts w:hint="eastAsia" w:ascii="仿宋_GB2312" w:hAnsi="仿宋_GB2312" w:eastAsia="仿宋_GB2312" w:cs="仿宋_GB2312"/>
          <w:b w:val="0"/>
          <w:bCs/>
          <w:color w:val="000000"/>
          <w:sz w:val="32"/>
          <w:szCs w:val="32"/>
          <w:highlight w:val="none"/>
          <w:lang w:eastAsia="zh-CN"/>
        </w:rPr>
        <w:t>反映行政单位未单独设置项级科目的其他项目支出</w:t>
      </w:r>
      <w:r>
        <w:rPr>
          <w:rStyle w:val="20"/>
          <w:rFonts w:hint="eastAsia" w:ascii="仿宋_GB2312" w:hAnsi="仿宋_GB2312" w:eastAsia="仿宋_GB2312" w:cs="仿宋_GB2312"/>
          <w:b w:val="0"/>
          <w:bCs/>
          <w:color w:val="000000"/>
          <w:sz w:val="32"/>
          <w:szCs w:val="32"/>
          <w:highlight w:val="none"/>
        </w:rPr>
        <w:t>。</w:t>
      </w:r>
    </w:p>
    <w:p>
      <w:pPr>
        <w:pStyle w:val="29"/>
        <w:numPr>
          <w:ilvl w:val="0"/>
          <w:numId w:val="0"/>
        </w:numPr>
        <w:tabs>
          <w:tab w:val="left" w:pos="630"/>
        </w:tabs>
        <w:spacing w:line="560" w:lineRule="exact"/>
        <w:ind w:left="0" w:leftChars="0" w:firstLine="640" w:firstLineChars="200"/>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11.</w:t>
      </w:r>
      <w:r>
        <w:rPr>
          <w:rStyle w:val="20"/>
          <w:rFonts w:hint="eastAsia" w:ascii="仿宋_GB2312" w:hAnsi="仿宋_GB2312" w:eastAsia="仿宋_GB2312" w:cs="仿宋_GB2312"/>
          <w:b w:val="0"/>
          <w:bCs/>
          <w:color w:val="000000"/>
          <w:sz w:val="32"/>
          <w:szCs w:val="32"/>
          <w:highlight w:val="none"/>
        </w:rPr>
        <w:t>一般公共服务（类）</w:t>
      </w:r>
      <w:r>
        <w:rPr>
          <w:rStyle w:val="20"/>
          <w:rFonts w:hint="eastAsia" w:ascii="仿宋_GB2312" w:hAnsi="仿宋_GB2312" w:eastAsia="仿宋_GB2312" w:cs="仿宋_GB2312"/>
          <w:b w:val="0"/>
          <w:bCs/>
          <w:color w:val="000000"/>
          <w:sz w:val="32"/>
          <w:szCs w:val="32"/>
          <w:highlight w:val="none"/>
          <w:lang w:eastAsia="zh-CN"/>
        </w:rPr>
        <w:t>政府办公厅（室）及相关机构事务</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 xml:space="preserve"> 主要反映政府办公厅（室）及相关机构事务支出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12.</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（类）人力资源和社会保障管理事务（款）其他人力资源和社会保障管理事务支出（项）:</w:t>
      </w:r>
      <w:r>
        <w:rPr>
          <w:rStyle w:val="20"/>
          <w:rFonts w:hint="eastAsia" w:ascii="仿宋_GB2312" w:hAnsi="仿宋_GB2312" w:eastAsia="仿宋_GB2312" w:cs="仿宋_GB2312"/>
          <w:b w:val="0"/>
          <w:bCs/>
          <w:color w:val="000000"/>
          <w:sz w:val="32"/>
          <w:szCs w:val="32"/>
          <w:highlight w:val="none"/>
          <w:lang w:eastAsia="zh-CN"/>
        </w:rPr>
        <w:t>反映除上述项目以外其他用于人力资源和社会保障管理事务方面的支出</w:t>
      </w:r>
      <w:r>
        <w:rPr>
          <w:rStyle w:val="20"/>
          <w:rFonts w:hint="eastAsia" w:ascii="仿宋_GB2312" w:hAnsi="仿宋_GB2312" w:eastAsia="仿宋_GB2312" w:cs="仿宋_GB2312"/>
          <w:b w:val="0"/>
          <w:bCs/>
          <w:color w:val="000000"/>
          <w:sz w:val="32"/>
          <w:szCs w:val="32"/>
          <w:highlight w:val="none"/>
        </w:rPr>
        <w:t>。</w:t>
      </w:r>
    </w:p>
    <w:p>
      <w:pPr>
        <w:pStyle w:val="29"/>
        <w:spacing w:line="560" w:lineRule="exact"/>
        <w:ind w:firstLine="640" w:firstLineChars="200"/>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13.</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行政事业单位养老支出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部门实施养老保险制度由单位缴纳的养老保险费的支出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14.</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行政事业单位养老支出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机关事业单位职业年金缴费支出</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部门实施养老保险制度由单位缴纳的职业年金的支出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15.</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抚恤</w:t>
      </w:r>
      <w:r>
        <w:rPr>
          <w:rStyle w:val="20"/>
          <w:rFonts w:hint="eastAsia" w:ascii="仿宋_GB2312" w:hAnsi="仿宋_GB2312" w:eastAsia="仿宋_GB2312" w:cs="仿宋_GB2312"/>
          <w:b w:val="0"/>
          <w:bCs/>
          <w:color w:val="000000"/>
          <w:sz w:val="32"/>
          <w:szCs w:val="32"/>
          <w:highlight w:val="none"/>
        </w:rPr>
        <w:t>（款）其他优抚支出（项）:</w:t>
      </w:r>
      <w:r>
        <w:rPr>
          <w:rFonts w:hint="eastAsia" w:ascii="仿宋_GB2312" w:eastAsia="仿宋_GB2312"/>
          <w:sz w:val="32"/>
          <w:szCs w:val="32"/>
          <w:lang w:val="en-US" w:eastAsia="zh-CN"/>
        </w:rPr>
        <w:t>反映其他用于优抚方面的支出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16.</w:t>
      </w:r>
      <w:r>
        <w:rPr>
          <w:rStyle w:val="20"/>
          <w:rFonts w:hint="eastAsia" w:ascii="仿宋_GB2312" w:hAnsi="仿宋_GB2312" w:eastAsia="仿宋_GB2312" w:cs="仿宋_GB2312"/>
          <w:b w:val="0"/>
          <w:bCs/>
          <w:color w:val="000000"/>
          <w:sz w:val="32"/>
          <w:szCs w:val="32"/>
          <w:highlight w:val="none"/>
        </w:rPr>
        <w:t>社会保障和就业</w:t>
      </w:r>
      <w:r>
        <w:rPr>
          <w:rStyle w:val="20"/>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其他社会保障和就业支出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其他社会保障和就业支出</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w:t>
      </w:r>
      <w:r>
        <w:rPr>
          <w:rFonts w:hint="eastAsia" w:ascii="仿宋_GB2312" w:eastAsia="仿宋_GB2312"/>
          <w:sz w:val="32"/>
          <w:szCs w:val="32"/>
          <w:lang w:eastAsia="zh-CN"/>
        </w:rPr>
        <w:t>其他社会</w:t>
      </w:r>
      <w:r>
        <w:rPr>
          <w:rFonts w:hint="eastAsia" w:ascii="仿宋_GB2312" w:eastAsia="仿宋_GB2312"/>
          <w:sz w:val="32"/>
          <w:szCs w:val="32"/>
        </w:rPr>
        <w:t>保险费的支出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17.</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行政单位医疗</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w:t>
      </w:r>
      <w:r>
        <w:rPr>
          <w:rFonts w:hint="eastAsia" w:ascii="仿宋_GB2312" w:eastAsia="仿宋_GB2312"/>
          <w:sz w:val="32"/>
          <w:szCs w:val="32"/>
          <w:lang w:eastAsia="zh-CN"/>
        </w:rPr>
        <w:t>医疗</w:t>
      </w:r>
      <w:r>
        <w:rPr>
          <w:rFonts w:hint="eastAsia" w:ascii="仿宋_GB2312" w:eastAsia="仿宋_GB2312"/>
          <w:sz w:val="32"/>
          <w:szCs w:val="32"/>
        </w:rPr>
        <w:t>保险制度由单位缴纳的</w:t>
      </w:r>
      <w:r>
        <w:rPr>
          <w:rFonts w:hint="eastAsia" w:ascii="仿宋_GB2312" w:eastAsia="仿宋_GB2312"/>
          <w:sz w:val="32"/>
          <w:szCs w:val="32"/>
          <w:lang w:eastAsia="zh-CN"/>
        </w:rPr>
        <w:t>医疗保险</w:t>
      </w:r>
      <w:r>
        <w:rPr>
          <w:rFonts w:hint="eastAsia" w:ascii="仿宋_GB2312" w:eastAsia="仿宋_GB2312"/>
          <w:sz w:val="32"/>
          <w:szCs w:val="32"/>
        </w:rPr>
        <w:t>的</w:t>
      </w:r>
      <w:r>
        <w:rPr>
          <w:rFonts w:hint="eastAsia" w:ascii="仿宋_GB2312" w:hAnsi="Times New Roman" w:eastAsia="仿宋_GB2312" w:cs="Times New Roman"/>
          <w:color w:val="000000"/>
          <w:sz w:val="32"/>
          <w:szCs w:val="32"/>
          <w:lang w:eastAsia="zh-CN"/>
        </w:rPr>
        <w:t>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18.</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事业单位医疗</w:t>
      </w:r>
      <w:r>
        <w:rPr>
          <w:rStyle w:val="20"/>
          <w:rFonts w:hint="eastAsia" w:ascii="仿宋_GB2312" w:hAnsi="仿宋_GB2312" w:eastAsia="仿宋_GB2312" w:cs="仿宋_GB2312"/>
          <w:b w:val="0"/>
          <w:bCs/>
          <w:color w:val="000000"/>
          <w:sz w:val="32"/>
          <w:szCs w:val="32"/>
          <w:highlight w:val="none"/>
        </w:rPr>
        <w:t>（项）:</w:t>
      </w:r>
      <w:r>
        <w:rPr>
          <w:rStyle w:val="20"/>
          <w:rFonts w:hint="eastAsia" w:ascii="仿宋_GB2312" w:hAnsi="仿宋_GB2312" w:eastAsia="仿宋_GB2312" w:cs="仿宋_GB2312"/>
          <w:b w:val="0"/>
          <w:bCs/>
          <w:color w:val="000000"/>
          <w:sz w:val="32"/>
          <w:szCs w:val="32"/>
          <w:highlight w:val="none"/>
          <w:lang w:eastAsia="zh-CN"/>
        </w:rPr>
        <w:t>反映财政部门安排的事业单位基本医疗保险缴费经费，未参加医疗保险的事业单位的公费医疗经费，按国家规定享受离休人员待遇的医疗经费</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19.</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行政事业单位医疗</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公务员医疗补助</w:t>
      </w:r>
      <w:r>
        <w:rPr>
          <w:rStyle w:val="20"/>
          <w:rFonts w:hint="eastAsia" w:ascii="仿宋_GB2312" w:hAnsi="仿宋_GB2312" w:eastAsia="仿宋_GB2312" w:cs="仿宋_GB2312"/>
          <w:b w:val="0"/>
          <w:bCs/>
          <w:color w:val="000000"/>
          <w:sz w:val="32"/>
          <w:szCs w:val="32"/>
          <w:highlight w:val="none"/>
        </w:rPr>
        <w:t>（项）:</w:t>
      </w:r>
      <w:r>
        <w:rPr>
          <w:rStyle w:val="20"/>
          <w:rFonts w:hint="eastAsia" w:ascii="仿宋_GB2312" w:hAnsi="仿宋_GB2312" w:eastAsia="仿宋_GB2312" w:cs="仿宋_GB2312"/>
          <w:b w:val="0"/>
          <w:bCs/>
          <w:color w:val="000000"/>
          <w:sz w:val="32"/>
          <w:szCs w:val="32"/>
          <w:highlight w:val="none"/>
          <w:lang w:eastAsia="zh-CN"/>
        </w:rPr>
        <w:t>反映财政部门安排的公务员医疗补助经费</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20.</w:t>
      </w:r>
      <w:r>
        <w:rPr>
          <w:rFonts w:hint="eastAsia" w:ascii="仿宋_GB2312" w:hAnsi="仿宋_GB2312" w:eastAsia="仿宋_GB2312" w:cs="仿宋_GB2312"/>
          <w:b w:val="0"/>
          <w:bCs/>
          <w:color w:val="000000"/>
          <w:sz w:val="32"/>
          <w:szCs w:val="32"/>
          <w:highlight w:val="none"/>
          <w:lang w:eastAsia="zh-CN"/>
        </w:rPr>
        <w:t>城乡社区支出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城乡社区环境卫生</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城乡社区环境卫生</w:t>
      </w:r>
      <w:r>
        <w:rPr>
          <w:rStyle w:val="20"/>
          <w:rFonts w:hint="eastAsia" w:ascii="仿宋_GB2312" w:hAnsi="仿宋_GB2312" w:eastAsia="仿宋_GB2312" w:cs="仿宋_GB2312"/>
          <w:b w:val="0"/>
          <w:bCs/>
          <w:color w:val="000000"/>
          <w:sz w:val="32"/>
          <w:szCs w:val="32"/>
          <w:highlight w:val="none"/>
        </w:rPr>
        <w:t>（项）:</w:t>
      </w:r>
      <w:r>
        <w:rPr>
          <w:rFonts w:hint="eastAsia" w:ascii="仿宋_GB2312" w:hAnsi="Times New Roman" w:eastAsia="仿宋_GB2312" w:cs="Times New Roman"/>
          <w:color w:val="000000"/>
          <w:sz w:val="32"/>
          <w:szCs w:val="32"/>
          <w:lang w:eastAsia="zh-CN"/>
        </w:rPr>
        <w:t>反映</w:t>
      </w:r>
      <w:r>
        <w:rPr>
          <w:rFonts w:hint="eastAsia" w:ascii="仿宋_GB2312" w:eastAsia="仿宋_GB2312" w:cs="Times New Roman"/>
          <w:color w:val="000000"/>
          <w:sz w:val="32"/>
          <w:szCs w:val="32"/>
          <w:lang w:eastAsia="zh-CN"/>
        </w:rPr>
        <w:t>城乡社区道路清扫、垃圾清运与处理、公厕建设与维护、园林绿化等方面的支出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21.</w:t>
      </w:r>
      <w:r>
        <w:rPr>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农业农村</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事业运行</w:t>
      </w:r>
      <w:r>
        <w:rPr>
          <w:rStyle w:val="20"/>
          <w:rFonts w:hint="eastAsia" w:ascii="仿宋_GB2312" w:hAnsi="仿宋_GB2312" w:eastAsia="仿宋_GB2312" w:cs="仿宋_GB2312"/>
          <w:b w:val="0"/>
          <w:bCs/>
          <w:color w:val="000000"/>
          <w:sz w:val="32"/>
          <w:szCs w:val="32"/>
          <w:highlight w:val="none"/>
        </w:rPr>
        <w:t>（项）:</w:t>
      </w:r>
      <w:r>
        <w:rPr>
          <w:rStyle w:val="20"/>
          <w:rFonts w:hint="eastAsia" w:ascii="仿宋_GB2312" w:hAnsi="仿宋_GB2312" w:eastAsia="仿宋_GB2312" w:cs="仿宋_GB2312"/>
          <w:b w:val="0"/>
          <w:bCs/>
          <w:color w:val="000000"/>
          <w:sz w:val="32"/>
          <w:szCs w:val="32"/>
          <w:highlight w:val="none"/>
          <w:lang w:eastAsia="zh-CN"/>
        </w:rPr>
        <w:t>反映用于农业事业单位基本支出，事业单位设施、系统运行与资产维护等方面的支出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22.</w:t>
      </w:r>
      <w:r>
        <w:rPr>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农业农村</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 xml:space="preserve"> 其他农业农村支出</w:t>
      </w:r>
      <w:r>
        <w:rPr>
          <w:rStyle w:val="20"/>
          <w:rFonts w:hint="eastAsia" w:ascii="仿宋_GB2312" w:hAnsi="仿宋_GB2312" w:eastAsia="仿宋_GB2312" w:cs="仿宋_GB2312"/>
          <w:b w:val="0"/>
          <w:bCs/>
          <w:color w:val="000000"/>
          <w:sz w:val="32"/>
          <w:szCs w:val="32"/>
          <w:highlight w:val="none"/>
        </w:rPr>
        <w:t>（项）:</w:t>
      </w:r>
      <w:r>
        <w:rPr>
          <w:rStyle w:val="20"/>
          <w:rFonts w:hint="eastAsia" w:ascii="仿宋_GB2312" w:hAnsi="仿宋_GB2312" w:eastAsia="仿宋_GB2312" w:cs="仿宋_GB2312"/>
          <w:b w:val="0"/>
          <w:bCs/>
          <w:color w:val="000000"/>
          <w:sz w:val="32"/>
          <w:szCs w:val="32"/>
          <w:highlight w:val="none"/>
          <w:lang w:eastAsia="zh-CN"/>
        </w:rPr>
        <w:t>反映除上述项目以外其他用于农业农村方面的支出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23.</w:t>
      </w:r>
      <w:r>
        <w:rPr>
          <w:rStyle w:val="20"/>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农村综合改革</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对村级公益事业建设的补助（项）:反映农村税费改革后对村级公益事业建设的补助支出</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24.</w:t>
      </w:r>
      <w:r>
        <w:rPr>
          <w:rStyle w:val="20"/>
          <w:rFonts w:hint="eastAsia" w:ascii="仿宋_GB2312" w:hAnsi="仿宋_GB2312" w:eastAsia="仿宋_GB2312" w:cs="仿宋_GB2312"/>
          <w:b w:val="0"/>
          <w:bCs/>
          <w:color w:val="000000"/>
          <w:sz w:val="32"/>
          <w:szCs w:val="32"/>
          <w:highlight w:val="none"/>
          <w:lang w:eastAsia="zh-CN"/>
        </w:rPr>
        <w:t>农林水支出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农村综合改革</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对村民委员会和村党支部的补助</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反映各级财政对村民委员会和村党支部的补助支出，以及支持建立县级基本财力保障机制安排的村级组织运转奖补资金</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lang w:val="en-US" w:eastAsia="zh-CN"/>
        </w:rPr>
      </w:pPr>
      <w:r>
        <w:rPr>
          <w:rStyle w:val="20"/>
          <w:rFonts w:hint="eastAsia" w:ascii="仿宋_GB2312" w:hAnsi="仿宋_GB2312" w:eastAsia="仿宋_GB2312" w:cs="仿宋_GB2312"/>
          <w:b w:val="0"/>
          <w:bCs/>
          <w:color w:val="000000"/>
          <w:sz w:val="32"/>
          <w:szCs w:val="32"/>
          <w:highlight w:val="none"/>
          <w:lang w:val="en-US" w:eastAsia="zh-CN"/>
        </w:rPr>
        <w:t>25.</w:t>
      </w:r>
      <w:r>
        <w:rPr>
          <w:rStyle w:val="20"/>
          <w:rFonts w:hint="eastAsia" w:ascii="仿宋_GB2312" w:hAnsi="仿宋_GB2312" w:eastAsia="仿宋_GB2312" w:cs="仿宋_GB2312"/>
          <w:b w:val="0"/>
          <w:bCs/>
          <w:color w:val="000000"/>
          <w:sz w:val="32"/>
          <w:szCs w:val="32"/>
          <w:highlight w:val="none"/>
          <w:lang w:eastAsia="zh-CN"/>
        </w:rPr>
        <w:t>住房保障支出</w:t>
      </w:r>
      <w:r>
        <w:rPr>
          <w:rStyle w:val="20"/>
          <w:rFonts w:hint="eastAsia" w:ascii="仿宋_GB2312" w:hAnsi="仿宋_GB2312" w:eastAsia="仿宋_GB2312" w:cs="仿宋_GB2312"/>
          <w:b w:val="0"/>
          <w:bCs/>
          <w:color w:val="000000"/>
          <w:sz w:val="32"/>
          <w:szCs w:val="32"/>
          <w:highlight w:val="none"/>
        </w:rPr>
        <w:t>（类）</w:t>
      </w:r>
      <w:r>
        <w:rPr>
          <w:rStyle w:val="20"/>
          <w:rFonts w:hint="eastAsia" w:ascii="仿宋_GB2312" w:hAnsi="仿宋_GB2312" w:eastAsia="仿宋_GB2312" w:cs="仿宋_GB2312"/>
          <w:b w:val="0"/>
          <w:bCs/>
          <w:color w:val="000000"/>
          <w:sz w:val="32"/>
          <w:szCs w:val="32"/>
          <w:highlight w:val="none"/>
          <w:lang w:eastAsia="zh-CN"/>
        </w:rPr>
        <w:t>住房改革支出</w:t>
      </w:r>
      <w:r>
        <w:rPr>
          <w:rStyle w:val="20"/>
          <w:rFonts w:hint="eastAsia" w:ascii="仿宋_GB2312" w:hAnsi="仿宋_GB2312" w:eastAsia="仿宋_GB2312" w:cs="仿宋_GB2312"/>
          <w:b w:val="0"/>
          <w:bCs/>
          <w:color w:val="000000"/>
          <w:sz w:val="32"/>
          <w:szCs w:val="32"/>
          <w:highlight w:val="none"/>
        </w:rPr>
        <w:t>（款）</w:t>
      </w:r>
      <w:r>
        <w:rPr>
          <w:rStyle w:val="20"/>
          <w:rFonts w:hint="eastAsia" w:ascii="仿宋_GB2312" w:hAnsi="仿宋_GB2312" w:eastAsia="仿宋_GB2312" w:cs="仿宋_GB2312"/>
          <w:b w:val="0"/>
          <w:bCs/>
          <w:color w:val="000000"/>
          <w:sz w:val="32"/>
          <w:szCs w:val="32"/>
          <w:highlight w:val="none"/>
          <w:lang w:eastAsia="zh-CN"/>
        </w:rPr>
        <w:t>住房公积金</w:t>
      </w:r>
      <w:r>
        <w:rPr>
          <w:rStyle w:val="20"/>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r>
        <w:rPr>
          <w:rStyle w:val="20"/>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color w:val="000000"/>
          <w:sz w:val="32"/>
          <w:szCs w:val="32"/>
          <w:highlight w:val="none"/>
        </w:rPr>
      </w:pPr>
      <w:r>
        <w:rPr>
          <w:rStyle w:val="20"/>
          <w:rFonts w:hint="eastAsia" w:ascii="仿宋_GB2312" w:hAnsi="仿宋_GB2312" w:eastAsia="仿宋_GB2312" w:cs="仿宋_GB2312"/>
          <w:b w:val="0"/>
          <w:bCs/>
          <w:color w:val="000000"/>
          <w:sz w:val="32"/>
          <w:szCs w:val="32"/>
          <w:highlight w:val="none"/>
          <w:lang w:val="en-US" w:eastAsia="zh-CN"/>
        </w:rPr>
        <w:t>26.</w:t>
      </w:r>
      <w:r>
        <w:rPr>
          <w:rStyle w:val="20"/>
          <w:rFonts w:hint="eastAsia" w:ascii="仿宋_GB2312" w:hAnsi="仿宋_GB2312" w:eastAsia="仿宋_GB2312" w:cs="仿宋_GB2312"/>
          <w:b w:val="0"/>
          <w:bCs/>
          <w:color w:val="000000"/>
          <w:sz w:val="32"/>
          <w:szCs w:val="32"/>
          <w:highlight w:val="none"/>
          <w:lang w:eastAsia="zh-CN"/>
        </w:rPr>
        <w:t>灾害防治及应急管理支出</w:t>
      </w:r>
      <w:r>
        <w:rPr>
          <w:rStyle w:val="20"/>
          <w:rFonts w:hint="eastAsia" w:ascii="仿宋_GB2312" w:hAnsi="仿宋_GB2312" w:eastAsia="仿宋_GB2312" w:cs="仿宋_GB2312"/>
          <w:b w:val="0"/>
          <w:bCs/>
          <w:color w:val="000000"/>
          <w:sz w:val="32"/>
          <w:szCs w:val="32"/>
          <w:highlight w:val="none"/>
        </w:rPr>
        <w:t>（类）自然灾害防治（款）地质灾害防治（项）:</w:t>
      </w:r>
      <w:r>
        <w:rPr>
          <w:rStyle w:val="20"/>
          <w:rFonts w:hint="eastAsia" w:ascii="仿宋_GB2312" w:hAnsi="仿宋_GB2312" w:eastAsia="仿宋_GB2312" w:cs="仿宋_GB2312"/>
          <w:b w:val="0"/>
          <w:bCs/>
          <w:color w:val="000000"/>
          <w:sz w:val="32"/>
          <w:szCs w:val="32"/>
          <w:highlight w:val="none"/>
          <w:lang w:eastAsia="zh-CN"/>
        </w:rPr>
        <w:t>反映防治地质灾害防治方面的支出</w:t>
      </w:r>
      <w:r>
        <w:rPr>
          <w:rStyle w:val="20"/>
          <w:rFonts w:hint="eastAsia" w:ascii="仿宋_GB2312" w:hAnsi="仿宋_GB2312" w:eastAsia="仿宋_GB2312" w:cs="仿宋_GB2312"/>
          <w:b w:val="0"/>
          <w:bCs/>
          <w:color w:val="000000"/>
          <w:sz w:val="32"/>
          <w:szCs w:val="32"/>
          <w:highlight w:val="none"/>
        </w:rPr>
        <w:t>。</w:t>
      </w:r>
    </w:p>
    <w:p>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28.项目支出：指在基本支出之外为完成特定行政任务和事业发展目标所发生的支出。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pPr>
    </w:p>
    <w:p>
      <w:pPr>
        <w:ind w:firstLine="643" w:firstLineChars="200"/>
        <w:rPr>
          <w:rFonts w:ascii="仿宋" w:hAnsi="仿宋" w:eastAsia="仿宋"/>
          <w:b/>
          <w:sz w:val="32"/>
          <w:szCs w:val="32"/>
        </w:rPr>
      </w:pPr>
      <w:r>
        <w:rPr>
          <w:rFonts w:ascii="仿宋" w:hAnsi="仿宋" w:eastAsia="仿宋"/>
          <w:b/>
          <w:sz w:val="32"/>
          <w:szCs w:val="32"/>
        </w:rPr>
        <w:br w:type="page"/>
      </w:r>
    </w:p>
    <w:p>
      <w:pPr>
        <w:pStyle w:val="5"/>
        <w:jc w:val="center"/>
        <w:rPr>
          <w:rFonts w:ascii="黑体" w:hAnsi="黑体" w:eastAsia="黑体"/>
          <w:b w:val="0"/>
        </w:rPr>
      </w:pPr>
      <w:r>
        <w:rPr>
          <w:rFonts w:hint="eastAsia" w:ascii="黑体" w:hAnsi="黑体" w:eastAsia="黑体"/>
          <w:b w:val="0"/>
        </w:rPr>
        <w:t>第四部分 附件</w:t>
      </w:r>
    </w:p>
    <w:p/>
    <w:p>
      <w:pPr>
        <w:rPr>
          <w:rFonts w:ascii="黑体" w:hAnsi="黑体" w:eastAsia="黑体"/>
          <w:sz w:val="32"/>
          <w:szCs w:val="32"/>
        </w:rPr>
      </w:pPr>
      <w:r>
        <w:rPr>
          <w:rFonts w:hint="eastAsia" w:ascii="黑体" w:hAnsi="黑体" w:eastAsia="黑体"/>
          <w:sz w:val="32"/>
          <w:szCs w:val="32"/>
        </w:rPr>
        <w:t>附件</w:t>
      </w:r>
    </w:p>
    <w:p>
      <w:pPr>
        <w:keepNext w:val="0"/>
        <w:keepLines w:val="0"/>
        <w:pageBreakBefore w:val="0"/>
        <w:widowControl/>
        <w:kinsoku/>
        <w:wordWrap/>
        <w:overflowPunct/>
        <w:topLinePunct w:val="0"/>
        <w:autoSpaceDE/>
        <w:autoSpaceDN/>
        <w:bidi w:val="0"/>
        <w:adjustRightInd/>
        <w:snapToGrid/>
        <w:spacing w:line="600" w:lineRule="exact"/>
        <w:contextualSpacing/>
        <w:jc w:val="center"/>
        <w:textAlignment w:val="auto"/>
        <w:rPr>
          <w:rFonts w:hint="eastAsia" w:ascii="黑体" w:hAnsi="黑体" w:eastAsia="黑体" w:cs="黑体"/>
          <w:b w:val="0"/>
          <w:bCs/>
          <w:szCs w:val="32"/>
          <w:shd w:val="clear" w:color="auto" w:fill="FFFFFF"/>
        </w:rPr>
      </w:pPr>
      <w:r>
        <w:rPr>
          <w:rFonts w:hint="eastAsia" w:ascii="黑体" w:hAnsi="黑体" w:eastAsia="黑体" w:cs="黑体"/>
          <w:b w:val="0"/>
          <w:bCs/>
          <w:sz w:val="44"/>
          <w:szCs w:val="44"/>
          <w:shd w:val="clear" w:color="auto" w:fill="FFFFFF"/>
          <w:lang w:eastAsia="zh-CN"/>
        </w:rPr>
        <w:t>大为镇</w:t>
      </w:r>
      <w:r>
        <w:rPr>
          <w:rFonts w:hint="eastAsia" w:ascii="黑体" w:hAnsi="黑体" w:eastAsia="黑体" w:cs="黑体"/>
          <w:b w:val="0"/>
          <w:bCs/>
          <w:sz w:val="44"/>
          <w:szCs w:val="44"/>
          <w:shd w:val="clear" w:color="auto" w:fill="FFFFFF"/>
        </w:rPr>
        <w:t>20</w:t>
      </w:r>
      <w:r>
        <w:rPr>
          <w:rFonts w:hint="eastAsia" w:ascii="黑体" w:hAnsi="黑体" w:eastAsia="黑体" w:cs="黑体"/>
          <w:b w:val="0"/>
          <w:bCs/>
          <w:sz w:val="44"/>
          <w:szCs w:val="44"/>
          <w:shd w:val="clear" w:color="auto" w:fill="FFFFFF"/>
          <w:lang w:val="en-US" w:eastAsia="zh-CN"/>
        </w:rPr>
        <w:t>24</w:t>
      </w:r>
      <w:r>
        <w:rPr>
          <w:rFonts w:hint="eastAsia" w:ascii="黑体" w:hAnsi="黑体" w:eastAsia="黑体" w:cs="黑体"/>
          <w:b w:val="0"/>
          <w:bCs/>
          <w:sz w:val="44"/>
          <w:szCs w:val="44"/>
          <w:shd w:val="clear" w:color="auto" w:fill="FFFFFF"/>
        </w:rPr>
        <w:t>年部门整体支出绩效评价报告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ind w:firstLine="643"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（一）机构组成。</w:t>
      </w:r>
    </w:p>
    <w:p>
      <w:pPr>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我镇设置1个行政机关，4个事业部门：便民服务中心（退役军人服务站）、农业综合服务中心、文化旅游服务中心、农民工服务中心。当年无变动。</w:t>
      </w:r>
    </w:p>
    <w:p>
      <w:pPr>
        <w:ind w:firstLine="643" w:firstLineChars="200"/>
        <w:rPr>
          <w:rFonts w:hint="eastAsia" w:ascii="仿宋_GB2312" w:hAnsi="Times New Roman" w:eastAsia="仿宋_GB2312" w:cs="Times New Roman"/>
          <w:sz w:val="32"/>
          <w:szCs w:val="32"/>
        </w:rPr>
      </w:pPr>
      <w:r>
        <w:rPr>
          <w:rFonts w:hint="eastAsia" w:ascii="楷体_GB2312" w:eastAsia="楷体_GB2312"/>
          <w:b/>
          <w:sz w:val="32"/>
          <w:szCs w:val="32"/>
        </w:rPr>
        <w:t>（二）机构职能。</w:t>
      </w:r>
      <w:r>
        <w:rPr>
          <w:rFonts w:hint="eastAsia" w:ascii="仿宋_GB2312" w:hAnsi="Times New Roman" w:eastAsia="仿宋_GB2312" w:cs="Times New Roman"/>
          <w:sz w:val="32"/>
          <w:szCs w:val="32"/>
        </w:rPr>
        <w:t>按照峨委办〔2019〕63号文件精神，</w:t>
      </w:r>
      <w:r>
        <w:rPr>
          <w:rFonts w:hint="eastAsia" w:ascii="仿宋_GB2312" w:hAnsi="Times New Roman" w:eastAsia="仿宋_GB2312" w:cs="Times New Roman"/>
          <w:sz w:val="32"/>
          <w:szCs w:val="32"/>
          <w:lang w:eastAsia="zh-CN"/>
        </w:rPr>
        <w:t>根据</w:t>
      </w:r>
      <w:r>
        <w:rPr>
          <w:rFonts w:hint="eastAsia" w:ascii="仿宋_GB2312" w:hAnsi="Times New Roman" w:eastAsia="仿宋_GB2312" w:cs="Times New Roman"/>
          <w:sz w:val="32"/>
          <w:szCs w:val="32"/>
        </w:rPr>
        <w:t>职能归口，内设7个行政机构、4个事业机构。行政机构设党政办公室、党建办公室、社会事务办公室（社会治理办公室）、综合执法办公室、规划建设管理办公室（自然资源和生态环境保护办公室）、乡村振兴办公室（脱贫攻坚办公室）、财政所；事业机构设便民服务中心（退役军人服务站）、农业综合服务中心、文化旅游服务中心、农民工服务中心。</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镇国土空间规划、村镇建设管理等相关工作以及自然资源和生态环境保护、城乡环境治理、人居环境整治等工作。（六）负责统筹协调乡村振兴、脱贫攻坚、经济发展等相关工作。（七）负责镇财务和村级财务的管理指导等相关工作。</w:t>
      </w:r>
    </w:p>
    <w:p>
      <w:pPr>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ind w:firstLine="643" w:firstLineChars="200"/>
        <w:rPr>
          <w:rFonts w:hint="eastAsia" w:ascii="仿宋_GB2312" w:hAnsi="Times New Roman" w:eastAsia="仿宋_GB2312" w:cs="Times New Roman"/>
          <w:sz w:val="32"/>
          <w:szCs w:val="32"/>
          <w:lang w:val="zh-CN"/>
        </w:rPr>
      </w:pPr>
      <w:r>
        <w:rPr>
          <w:rFonts w:hint="eastAsia" w:ascii="楷体_GB2312" w:eastAsia="楷体_GB2312"/>
          <w:b/>
          <w:sz w:val="32"/>
          <w:szCs w:val="32"/>
        </w:rPr>
        <w:t>（三）人员概况。</w:t>
      </w:r>
      <w:r>
        <w:rPr>
          <w:rFonts w:hint="eastAsia" w:ascii="仿宋_GB2312" w:hAnsi="Times New Roman" w:eastAsia="仿宋_GB2312" w:cs="Times New Roman"/>
          <w:sz w:val="32"/>
          <w:szCs w:val="32"/>
          <w:lang w:val="zh-CN"/>
        </w:rPr>
        <w:t>我镇行政人员编制核定为23名，实有</w:t>
      </w:r>
      <w:r>
        <w:rPr>
          <w:rFonts w:hint="eastAsia" w:ascii="仿宋_GB2312" w:hAnsi="Times New Roman" w:eastAsia="仿宋_GB2312" w:cs="Times New Roman"/>
          <w:sz w:val="32"/>
          <w:szCs w:val="32"/>
          <w:lang w:val="en-US"/>
        </w:rPr>
        <w:t>22</w:t>
      </w:r>
      <w:r>
        <w:rPr>
          <w:rFonts w:hint="eastAsia" w:ascii="仿宋_GB2312" w:hAnsi="Times New Roman" w:eastAsia="仿宋_GB2312" w:cs="Times New Roman"/>
          <w:sz w:val="32"/>
          <w:szCs w:val="32"/>
          <w:lang w:val="zh-CN"/>
        </w:rPr>
        <w:t>人；工勤编制</w:t>
      </w:r>
      <w:r>
        <w:rPr>
          <w:rFonts w:hint="eastAsia" w:ascii="仿宋_GB2312" w:hAnsi="Times New Roman" w:eastAsia="仿宋_GB2312" w:cs="Times New Roman"/>
          <w:sz w:val="32"/>
          <w:szCs w:val="32"/>
        </w:rPr>
        <w:t>1名，实有0人；</w:t>
      </w:r>
      <w:r>
        <w:rPr>
          <w:rFonts w:hint="eastAsia" w:ascii="仿宋_GB2312" w:hAnsi="Times New Roman" w:eastAsia="仿宋_GB2312" w:cs="Times New Roman"/>
          <w:sz w:val="32"/>
          <w:szCs w:val="32"/>
          <w:lang w:val="zh-CN"/>
        </w:rPr>
        <w:t>事业人员编制</w:t>
      </w:r>
      <w:r>
        <w:rPr>
          <w:rFonts w:hint="eastAsia" w:ascii="仿宋_GB2312" w:hAnsi="Times New Roman" w:eastAsia="仿宋_GB2312" w:cs="Times New Roman"/>
          <w:sz w:val="32"/>
          <w:szCs w:val="32"/>
        </w:rPr>
        <w:t>13</w:t>
      </w:r>
      <w:r>
        <w:rPr>
          <w:rFonts w:hint="eastAsia" w:ascii="仿宋_GB2312" w:hAnsi="Times New Roman" w:eastAsia="仿宋_GB2312" w:cs="Times New Roman"/>
          <w:sz w:val="32"/>
          <w:szCs w:val="32"/>
          <w:lang w:val="zh-CN"/>
        </w:rPr>
        <w:t>名，实有</w:t>
      </w:r>
      <w:r>
        <w:rPr>
          <w:rFonts w:hint="eastAsia" w:ascii="仿宋_GB2312" w:hAnsi="Times New Roman" w:eastAsia="仿宋_GB2312" w:cs="Times New Roman"/>
          <w:sz w:val="32"/>
          <w:szCs w:val="32"/>
          <w:lang w:val="en-US"/>
        </w:rPr>
        <w:t>13</w:t>
      </w:r>
      <w:r>
        <w:rPr>
          <w:rFonts w:hint="eastAsia" w:ascii="仿宋_GB2312" w:hAnsi="Times New Roman" w:eastAsia="仿宋_GB2312" w:cs="Times New Roman"/>
          <w:sz w:val="32"/>
          <w:szCs w:val="32"/>
          <w:lang w:val="zh-CN"/>
        </w:rPr>
        <w:t>人；我单位总编制</w:t>
      </w:r>
      <w:r>
        <w:rPr>
          <w:rFonts w:hint="eastAsia" w:ascii="仿宋_GB2312" w:hAnsi="Times New Roman" w:eastAsia="仿宋_GB2312" w:cs="Times New Roman"/>
          <w:sz w:val="32"/>
          <w:szCs w:val="32"/>
        </w:rPr>
        <w:t>37</w:t>
      </w:r>
      <w:r>
        <w:rPr>
          <w:rFonts w:hint="eastAsia" w:ascii="仿宋_GB2312" w:hAnsi="Times New Roman" w:eastAsia="仿宋_GB2312" w:cs="Times New Roman"/>
          <w:sz w:val="32"/>
          <w:szCs w:val="32"/>
          <w:lang w:val="zh-CN"/>
        </w:rPr>
        <w:t>人，实有</w:t>
      </w:r>
      <w:r>
        <w:rPr>
          <w:rFonts w:hint="eastAsia" w:ascii="仿宋_GB2312" w:hAnsi="Times New Roman" w:eastAsia="仿宋_GB2312" w:cs="Times New Roman"/>
          <w:sz w:val="32"/>
          <w:szCs w:val="32"/>
          <w:lang w:val="en-US"/>
        </w:rPr>
        <w:t>35</w:t>
      </w:r>
      <w:r>
        <w:rPr>
          <w:rFonts w:hint="eastAsia" w:ascii="仿宋_GB2312" w:hAnsi="Times New Roman" w:eastAsia="仿宋_GB2312" w:cs="Times New Roman"/>
          <w:sz w:val="32"/>
          <w:szCs w:val="32"/>
          <w:lang w:val="zh-CN"/>
        </w:rPr>
        <w:t>人</w:t>
      </w:r>
      <w:r>
        <w:rPr>
          <w:rFonts w:hint="eastAsia" w:ascii="仿宋_GB2312" w:hAnsi="Times New Roman" w:eastAsia="仿宋_GB2312" w:cs="Times New Roman"/>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二、部门财政资金收支情况</w:t>
      </w:r>
    </w:p>
    <w:p>
      <w:pPr>
        <w:ind w:firstLine="643" w:firstLineChars="200"/>
        <w:rPr>
          <w:rFonts w:hint="eastAsia" w:ascii="仿宋_GB2312" w:hAnsi="Times New Roman" w:eastAsia="仿宋_GB2312" w:cs="Times New Roman"/>
          <w:sz w:val="32"/>
          <w:szCs w:val="32"/>
          <w:lang w:val="zh-CN"/>
        </w:rPr>
      </w:pPr>
      <w:r>
        <w:rPr>
          <w:rFonts w:hint="eastAsia" w:ascii="楷体_GB2312" w:eastAsia="楷体_GB2312"/>
          <w:b/>
          <w:sz w:val="32"/>
          <w:szCs w:val="32"/>
        </w:rPr>
        <w:t>（一）收入情况。</w:t>
      </w:r>
    </w:p>
    <w:p>
      <w:pPr>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本单位202</w:t>
      </w:r>
      <w:r>
        <w:rPr>
          <w:rFonts w:hint="eastAsia" w:ascii="仿宋_GB2312" w:hAnsi="Times New Roman" w:eastAsia="仿宋_GB2312" w:cs="Times New Roman"/>
          <w:sz w:val="32"/>
          <w:szCs w:val="32"/>
          <w:lang w:val="en-US"/>
        </w:rPr>
        <w:t>3</w:t>
      </w:r>
      <w:r>
        <w:rPr>
          <w:rFonts w:hint="eastAsia" w:ascii="仿宋_GB2312" w:hAnsi="Times New Roman" w:eastAsia="仿宋_GB2312" w:cs="Times New Roman"/>
          <w:sz w:val="32"/>
          <w:szCs w:val="32"/>
        </w:rPr>
        <w:t>年收入总额</w:t>
      </w:r>
      <w:r>
        <w:rPr>
          <w:rFonts w:hint="eastAsia" w:ascii="仿宋_GB2312" w:hAnsi="Times New Roman" w:eastAsia="仿宋_GB2312" w:cs="Times New Roman"/>
          <w:sz w:val="32"/>
          <w:szCs w:val="32"/>
          <w:lang w:val="en-US" w:eastAsia="zh-CN"/>
        </w:rPr>
        <w:t>1664</w:t>
      </w:r>
      <w:r>
        <w:rPr>
          <w:rFonts w:hint="eastAsia" w:ascii="仿宋_GB2312" w:hAnsi="Times New Roman" w:eastAsia="仿宋_GB2312" w:cs="Times New Roman"/>
          <w:sz w:val="32"/>
          <w:szCs w:val="32"/>
        </w:rPr>
        <w:t>万元，其中财政拨款收入</w:t>
      </w:r>
      <w:r>
        <w:rPr>
          <w:rFonts w:hint="eastAsia" w:ascii="仿宋_GB2312" w:hAnsi="Times New Roman" w:eastAsia="仿宋_GB2312" w:cs="Times New Roman"/>
          <w:sz w:val="32"/>
          <w:szCs w:val="32"/>
          <w:lang w:val="en-US" w:eastAsia="zh-CN"/>
        </w:rPr>
        <w:t>1620</w:t>
      </w:r>
      <w:r>
        <w:rPr>
          <w:rFonts w:hint="eastAsia" w:ascii="仿宋_GB2312" w:hAnsi="Times New Roman" w:eastAsia="仿宋_GB2312" w:cs="Times New Roman"/>
          <w:sz w:val="32"/>
          <w:szCs w:val="32"/>
        </w:rPr>
        <w:t>万元，占比</w:t>
      </w:r>
      <w:r>
        <w:rPr>
          <w:rFonts w:hint="eastAsia" w:ascii="仿宋_GB2312" w:hAnsi="Times New Roman" w:eastAsia="仿宋_GB2312" w:cs="Times New Roman"/>
          <w:sz w:val="32"/>
          <w:szCs w:val="32"/>
          <w:lang w:val="en-US" w:eastAsia="zh-CN"/>
        </w:rPr>
        <w:t>97.35</w:t>
      </w:r>
      <w:r>
        <w:rPr>
          <w:rFonts w:hint="eastAsia" w:ascii="仿宋_GB2312" w:hAnsi="Times New Roman" w:eastAsia="仿宋_GB2312" w:cs="Times New Roman"/>
          <w:sz w:val="32"/>
          <w:szCs w:val="32"/>
          <w:lang w:val="zh-CN" w:eastAsia="zh-CN"/>
        </w:rPr>
        <w:t>%</w:t>
      </w:r>
      <w:r>
        <w:rPr>
          <w:rFonts w:hint="eastAsia" w:ascii="仿宋_GB2312" w:hAnsi="Times New Roman" w:eastAsia="仿宋_GB2312" w:cs="Times New Roman"/>
          <w:sz w:val="32"/>
          <w:szCs w:val="32"/>
        </w:rPr>
        <w:t>%，较上年减少</w:t>
      </w:r>
      <w:r>
        <w:rPr>
          <w:rFonts w:hint="eastAsia" w:ascii="仿宋_GB2312" w:hAnsi="Times New Roman" w:eastAsia="仿宋_GB2312" w:cs="Times New Roman"/>
          <w:sz w:val="32"/>
          <w:szCs w:val="32"/>
          <w:lang w:val="en-US"/>
        </w:rPr>
        <w:t>1.64</w:t>
      </w:r>
      <w:r>
        <w:rPr>
          <w:rFonts w:hint="eastAsia" w:ascii="仿宋_GB2312" w:hAnsi="Times New Roman" w:eastAsia="仿宋_GB2312" w:cs="Times New Roman"/>
          <w:sz w:val="32"/>
          <w:szCs w:val="32"/>
        </w:rPr>
        <w:t>%。其他收入</w:t>
      </w:r>
      <w:r>
        <w:rPr>
          <w:rFonts w:hint="eastAsia" w:ascii="仿宋_GB2312" w:hAnsi="Times New Roman" w:eastAsia="仿宋_GB2312" w:cs="Times New Roman"/>
          <w:sz w:val="32"/>
          <w:szCs w:val="32"/>
          <w:lang w:val="en-US" w:eastAsia="zh-CN"/>
        </w:rPr>
        <w:t>4.3</w:t>
      </w:r>
      <w:r>
        <w:rPr>
          <w:rFonts w:hint="eastAsia" w:ascii="仿宋_GB2312" w:hAnsi="Times New Roman" w:eastAsia="仿宋_GB2312" w:cs="Times New Roman"/>
          <w:sz w:val="32"/>
          <w:szCs w:val="32"/>
        </w:rPr>
        <w:t>万元，占比</w:t>
      </w:r>
      <w:r>
        <w:rPr>
          <w:rFonts w:hint="eastAsia" w:ascii="仿宋_GB2312" w:hAnsi="Times New Roman" w:eastAsia="仿宋_GB2312" w:cs="Times New Roman"/>
          <w:sz w:val="32"/>
          <w:szCs w:val="32"/>
          <w:lang w:val="en-US" w:eastAsia="zh-CN"/>
        </w:rPr>
        <w:t>0.25</w:t>
      </w:r>
      <w:r>
        <w:rPr>
          <w:rFonts w:hint="eastAsia" w:ascii="仿宋_GB2312" w:hAnsi="Times New Roman" w:eastAsia="仿宋_GB2312" w:cs="Times New Roman"/>
          <w:sz w:val="32"/>
          <w:szCs w:val="32"/>
          <w:lang w:val="zh-CN" w:eastAsia="zh-CN"/>
        </w:rPr>
        <w:t>%</w:t>
      </w:r>
      <w:r>
        <w:rPr>
          <w:rFonts w:hint="eastAsia" w:ascii="仿宋_GB2312" w:hAnsi="Times New Roman" w:eastAsia="仿宋_GB2312" w:cs="Times New Roman"/>
          <w:sz w:val="32"/>
          <w:szCs w:val="32"/>
        </w:rPr>
        <w:t>。</w:t>
      </w:r>
    </w:p>
    <w:p>
      <w:pPr>
        <w:ind w:firstLine="643" w:firstLineChars="200"/>
        <w:rPr>
          <w:rFonts w:hint="eastAsia" w:ascii="仿宋_GB2312" w:hAnsi="Times New Roman" w:eastAsia="仿宋_GB2312" w:cs="Times New Roman"/>
          <w:sz w:val="32"/>
          <w:szCs w:val="32"/>
          <w:lang w:val="zh-CN"/>
        </w:rPr>
      </w:pPr>
      <w:r>
        <w:rPr>
          <w:rFonts w:hint="eastAsia" w:ascii="楷体_GB2312" w:eastAsia="楷体_GB2312"/>
          <w:b/>
          <w:sz w:val="32"/>
          <w:szCs w:val="32"/>
        </w:rPr>
        <w:t>（二）支出情况。</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rPr>
        <w:t>3</w:t>
      </w:r>
      <w:r>
        <w:rPr>
          <w:rFonts w:hint="eastAsia" w:ascii="仿宋_GB2312" w:hAnsi="Times New Roman" w:eastAsia="仿宋_GB2312" w:cs="Times New Roman"/>
          <w:sz w:val="32"/>
          <w:szCs w:val="32"/>
          <w:lang w:val="zh-CN"/>
        </w:rPr>
        <w:t>年总支出</w:t>
      </w:r>
      <w:r>
        <w:rPr>
          <w:rFonts w:hint="eastAsia" w:ascii="仿宋_GB2312" w:hAnsi="Times New Roman" w:eastAsia="仿宋_GB2312" w:cs="Times New Roman"/>
          <w:sz w:val="32"/>
          <w:szCs w:val="32"/>
          <w:lang w:val="en-US" w:eastAsia="zh-CN"/>
        </w:rPr>
        <w:t>1664</w:t>
      </w:r>
      <w:r>
        <w:rPr>
          <w:rFonts w:hint="eastAsia" w:ascii="仿宋_GB2312" w:hAnsi="Times New Roman" w:eastAsia="仿宋_GB2312" w:cs="Times New Roman"/>
          <w:sz w:val="32"/>
          <w:szCs w:val="32"/>
          <w:lang w:val="zh-CN"/>
        </w:rPr>
        <w:t>万元，其中：基本支出</w:t>
      </w:r>
      <w:r>
        <w:rPr>
          <w:rFonts w:hint="eastAsia" w:ascii="仿宋_GB2312" w:hAnsi="Times New Roman" w:eastAsia="仿宋_GB2312" w:cs="Times New Roman"/>
          <w:sz w:val="32"/>
          <w:szCs w:val="32"/>
          <w:lang w:val="en-US" w:eastAsia="zh-CN"/>
        </w:rPr>
        <w:t>931.23</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zh-CN"/>
        </w:rPr>
        <w:t>，占总支出的</w:t>
      </w:r>
      <w:r>
        <w:rPr>
          <w:rFonts w:hint="eastAsia" w:ascii="仿宋_GB2312" w:hAnsi="Times New Roman" w:eastAsia="仿宋_GB2312" w:cs="Times New Roman"/>
          <w:sz w:val="32"/>
          <w:szCs w:val="32"/>
          <w:lang w:val="en-US" w:eastAsia="zh-CN"/>
        </w:rPr>
        <w:t>55.96</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zh-CN"/>
        </w:rPr>
        <w:t>。项目支出</w:t>
      </w:r>
      <w:r>
        <w:rPr>
          <w:rFonts w:hint="eastAsia" w:ascii="仿宋_GB2312" w:hAnsi="Times New Roman" w:eastAsia="仿宋_GB2312" w:cs="Times New Roman"/>
          <w:sz w:val="32"/>
          <w:szCs w:val="32"/>
          <w:lang w:val="en-US" w:eastAsia="zh-CN"/>
        </w:rPr>
        <w:t>732.77</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zh-CN"/>
        </w:rPr>
        <w:t>，占总支出的</w:t>
      </w:r>
      <w:r>
        <w:rPr>
          <w:rFonts w:hint="eastAsia" w:ascii="仿宋_GB2312" w:hAnsi="Times New Roman" w:eastAsia="仿宋_GB2312" w:cs="Times New Roman"/>
          <w:sz w:val="32"/>
          <w:szCs w:val="32"/>
          <w:lang w:val="en-US" w:eastAsia="zh-CN"/>
        </w:rPr>
        <w:t>44.04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zh-CN"/>
        </w:rPr>
        <w:t>。与202</w:t>
      </w:r>
      <w:r>
        <w:rPr>
          <w:rFonts w:hint="eastAsia" w:ascii="仿宋_GB2312" w:hAnsi="Times New Roman" w:eastAsia="仿宋_GB2312" w:cs="Times New Roman"/>
          <w:sz w:val="32"/>
          <w:szCs w:val="32"/>
          <w:lang w:val="en-US"/>
        </w:rPr>
        <w:t>2</w:t>
      </w:r>
      <w:r>
        <w:rPr>
          <w:rFonts w:hint="eastAsia" w:ascii="仿宋_GB2312" w:hAnsi="Times New Roman" w:eastAsia="仿宋_GB2312" w:cs="Times New Roman"/>
          <w:sz w:val="32"/>
          <w:szCs w:val="32"/>
          <w:lang w:val="zh-CN"/>
        </w:rPr>
        <w:t>年度支出总计</w:t>
      </w:r>
      <w:r>
        <w:rPr>
          <w:rFonts w:hint="eastAsia" w:ascii="仿宋_GB2312" w:hAnsi="Times New Roman" w:eastAsia="仿宋_GB2312" w:cs="Times New Roman"/>
          <w:sz w:val="32"/>
          <w:szCs w:val="32"/>
          <w:lang w:val="en-US"/>
        </w:rPr>
        <w:t>1473.21</w:t>
      </w:r>
      <w:r>
        <w:rPr>
          <w:rFonts w:hint="eastAsia" w:ascii="仿宋_GB2312" w:hAnsi="Times New Roman" w:eastAsia="仿宋_GB2312" w:cs="Times New Roman"/>
          <w:sz w:val="32"/>
          <w:szCs w:val="32"/>
          <w:lang w:val="zh-CN"/>
        </w:rPr>
        <w:t>万元相比增加了</w:t>
      </w:r>
      <w:r>
        <w:rPr>
          <w:rFonts w:hint="eastAsia" w:ascii="仿宋_GB2312" w:hAnsi="Times New Roman" w:eastAsia="仿宋_GB2312" w:cs="Times New Roman"/>
          <w:sz w:val="32"/>
          <w:szCs w:val="32"/>
          <w:lang w:val="en-US"/>
        </w:rPr>
        <w:t>190.79万元</w:t>
      </w:r>
      <w:r>
        <w:rPr>
          <w:rFonts w:hint="eastAsia" w:ascii="仿宋_GB2312" w:hAnsi="Times New Roman" w:eastAsia="仿宋_GB2312" w:cs="Times New Roman"/>
          <w:sz w:val="32"/>
          <w:szCs w:val="32"/>
          <w:lang w:val="zh-CN"/>
        </w:rPr>
        <w:t>。</w:t>
      </w:r>
    </w:p>
    <w:p>
      <w:pPr>
        <w:ind w:firstLine="643" w:firstLineChars="200"/>
        <w:rPr>
          <w:rFonts w:hint="eastAsia" w:ascii="楷体_GB2312" w:eastAsia="楷体_GB2312"/>
          <w:b/>
          <w:sz w:val="32"/>
          <w:szCs w:val="32"/>
          <w:highlight w:val="none"/>
        </w:rPr>
      </w:pPr>
      <w:r>
        <w:rPr>
          <w:rFonts w:hint="eastAsia" w:ascii="楷体_GB2312" w:eastAsia="楷体_GB2312"/>
          <w:b/>
          <w:sz w:val="32"/>
          <w:szCs w:val="32"/>
          <w:highlight w:val="none"/>
        </w:rPr>
        <w:t>（三）结余分配和结转结余情况。</w:t>
      </w:r>
    </w:p>
    <w:p>
      <w:pPr>
        <w:pStyle w:val="8"/>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2023年年初结转结余农村基础设施建设支出40万元，主要用于华阳石膏粉厂搬迁拆除费。</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p>
    <w:p>
      <w:pPr>
        <w:ind w:firstLine="643" w:firstLineChars="200"/>
        <w:rPr>
          <w:rFonts w:hint="eastAsia" w:ascii="仿宋_GB2312" w:hAnsi="Times New Roman" w:eastAsia="仿宋_GB2312" w:cs="Times New Roman"/>
          <w:sz w:val="32"/>
          <w:szCs w:val="32"/>
          <w:lang w:val="en-US" w:eastAsia="zh-CN"/>
        </w:rPr>
      </w:pPr>
      <w:r>
        <w:rPr>
          <w:rFonts w:hint="eastAsia" w:ascii="楷体_GB2312" w:eastAsia="楷体_GB2312"/>
          <w:b/>
          <w:sz w:val="32"/>
          <w:szCs w:val="32"/>
        </w:rPr>
        <w:t>（一）部门预算总体绩效分析。</w:t>
      </w:r>
      <w:r>
        <w:rPr>
          <w:rFonts w:hint="eastAsia" w:ascii="仿宋_GB2312" w:hAnsi="Times New Roman" w:eastAsia="仿宋_GB2312" w:cs="Times New Roman"/>
          <w:sz w:val="32"/>
          <w:szCs w:val="32"/>
          <w:lang w:val="en-US" w:eastAsia="zh-CN"/>
        </w:rPr>
        <w:t>1.绩效目标制定。根据《中华人民共和国预算法》、《峨眉山市财政局关于编制市级部门2023-2025年支出规划和2023年部门预算的通知》要求，认真审核本单位的人员性质、工资状况、资产情况等基础信息，完善单位基础信息库，基本支出预算按照“零基预算”及定员定额的方法编制；按照三级指标体系，认真编制部门整体支出绩效目标，从完成指标、效益指标、满意度指标三个维度进行细化量化具体化，并通过了逐步审核。</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zh-CN" w:eastAsia="zh-CN"/>
        </w:rPr>
        <w:t>目标实现。</w:t>
      </w:r>
      <w:r>
        <w:rPr>
          <w:rFonts w:hint="eastAsia" w:ascii="仿宋_GB2312" w:hAnsi="Times New Roman" w:eastAsia="仿宋_GB2312" w:cs="Times New Roman"/>
          <w:sz w:val="32"/>
          <w:szCs w:val="32"/>
          <w:lang w:val="en-US" w:eastAsia="zh-CN"/>
        </w:rPr>
        <w:t>从2023年度部门预算绩效自评情况看，我镇整体支出绩效目标均达到预期值，全面完成各项目标绩效，分类阐述如下：</w:t>
      </w:r>
    </w:p>
    <w:p>
      <w:pPr>
        <w:ind w:firstLine="640" w:firstLineChars="20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人员类项目：严格执行相关政策，保障了在职人员</w:t>
      </w:r>
      <w:r>
        <w:rPr>
          <w:rFonts w:hint="eastAsia" w:ascii="仿宋_GB2312" w:hAnsi="Times New Roman" w:eastAsia="仿宋_GB2312" w:cs="Times New Roman"/>
          <w:sz w:val="32"/>
          <w:szCs w:val="32"/>
          <w:lang w:val="en-US" w:eastAsia="zh-CN"/>
        </w:rPr>
        <w:t>35</w:t>
      </w:r>
      <w:r>
        <w:rPr>
          <w:rFonts w:hint="default" w:ascii="仿宋_GB2312" w:hAnsi="Times New Roman" w:eastAsia="仿宋_GB2312" w:cs="Times New Roman"/>
          <w:sz w:val="32"/>
          <w:szCs w:val="32"/>
          <w:lang w:val="en-US" w:eastAsia="zh-CN"/>
        </w:rPr>
        <w:t>人和退休人员</w:t>
      </w:r>
      <w:r>
        <w:rPr>
          <w:rFonts w:hint="eastAsia" w:ascii="仿宋_GB2312" w:hAnsi="Times New Roman" w:eastAsia="仿宋_GB2312" w:cs="Times New Roman"/>
          <w:sz w:val="32"/>
          <w:szCs w:val="32"/>
          <w:lang w:val="en-US" w:eastAsia="zh-CN"/>
        </w:rPr>
        <w:t>24</w:t>
      </w:r>
      <w:r>
        <w:rPr>
          <w:rFonts w:hint="default" w:ascii="仿宋_GB2312" w:hAnsi="Times New Roman" w:eastAsia="仿宋_GB2312" w:cs="Times New Roman"/>
          <w:sz w:val="32"/>
          <w:szCs w:val="32"/>
          <w:lang w:val="en-US" w:eastAsia="zh-CN"/>
        </w:rPr>
        <w:t>人员工资及时足额发放，人员养老保险、医疗保险、住房公积金等按时足额缴纳，按时发放率、足额保障率均达到100%。</w:t>
      </w:r>
    </w:p>
    <w:p>
      <w:pPr>
        <w:ind w:firstLine="640" w:firstLineChars="20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运转类项目：严格落实过紧日子要求，厉行节约，严格控制一般性支出。科学编制经费预算，</w:t>
      </w:r>
      <w:r>
        <w:rPr>
          <w:rFonts w:hint="eastAsia" w:ascii="仿宋_GB2312" w:hAnsi="Times New Roman" w:eastAsia="仿宋_GB2312" w:cs="Times New Roman"/>
          <w:sz w:val="32"/>
          <w:szCs w:val="32"/>
          <w:lang w:val="en-US" w:eastAsia="zh-CN"/>
        </w:rPr>
        <w:t>基本</w:t>
      </w:r>
      <w:r>
        <w:rPr>
          <w:rFonts w:hint="default" w:ascii="仿宋_GB2312" w:hAnsi="Times New Roman" w:eastAsia="仿宋_GB2312" w:cs="Times New Roman"/>
          <w:sz w:val="32"/>
          <w:szCs w:val="32"/>
          <w:lang w:val="en-US" w:eastAsia="zh-CN"/>
        </w:rPr>
        <w:t>保障了机关正常运转，运转保障率达</w:t>
      </w:r>
      <w:r>
        <w:rPr>
          <w:rFonts w:hint="eastAsia" w:ascii="仿宋_GB2312" w:hAnsi="Times New Roman" w:eastAsia="仿宋_GB2312" w:cs="Times New Roman"/>
          <w:sz w:val="32"/>
          <w:szCs w:val="32"/>
          <w:lang w:val="en-US" w:eastAsia="zh-CN"/>
        </w:rPr>
        <w:t>90</w:t>
      </w:r>
      <w:r>
        <w:rPr>
          <w:rFonts w:hint="default" w:ascii="仿宋_GB2312" w:hAnsi="Times New Roman" w:eastAsia="仿宋_GB2312" w:cs="Times New Roman"/>
          <w:sz w:val="32"/>
          <w:szCs w:val="32"/>
          <w:lang w:val="en-US" w:eastAsia="zh-CN"/>
        </w:rPr>
        <w:t>%，“三公”经费支出比上年度</w:t>
      </w:r>
      <w:r>
        <w:rPr>
          <w:rFonts w:hint="eastAsia" w:ascii="仿宋_GB2312" w:hAnsi="Times New Roman" w:eastAsia="仿宋_GB2312" w:cs="Times New Roman"/>
          <w:sz w:val="32"/>
          <w:szCs w:val="32"/>
          <w:lang w:val="en-US" w:eastAsia="zh-CN"/>
        </w:rPr>
        <w:t>增加15.96%</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因</w:t>
      </w:r>
      <w:r>
        <w:rPr>
          <w:rFonts w:hint="default" w:ascii="仿宋_GB2312" w:hAnsi="Times New Roman" w:eastAsia="仿宋_GB2312" w:cs="Times New Roman"/>
          <w:sz w:val="32"/>
          <w:szCs w:val="32"/>
          <w:lang w:val="en-US" w:eastAsia="zh-CN"/>
        </w:rPr>
        <w:t>2023年度事业车辆改革大为镇新增1辆公务用车运维费3万元。</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2023年，我单位100万以上特定目标类部门预算项目是村干部工资，</w:t>
      </w:r>
      <w:r>
        <w:rPr>
          <w:rFonts w:hint="eastAsia" w:ascii="仿宋_GB2312" w:hAnsi="Times New Roman" w:eastAsia="仿宋_GB2312" w:cs="Times New Roman"/>
          <w:sz w:val="32"/>
          <w:szCs w:val="32"/>
          <w:lang w:val="zh-CN" w:eastAsia="zh-CN"/>
        </w:rPr>
        <w:t>项目目标为及时足额发放</w:t>
      </w:r>
      <w:r>
        <w:rPr>
          <w:rFonts w:hint="eastAsia" w:ascii="仿宋_GB2312" w:hAnsi="Times New Roman" w:eastAsia="仿宋_GB2312" w:cs="Times New Roman"/>
          <w:sz w:val="32"/>
          <w:szCs w:val="32"/>
          <w:lang w:val="en-US" w:eastAsia="zh-CN"/>
        </w:rPr>
        <w:t>8个村的村组干部报酬，保障村组干部基本利益，提高他们的工作积极性，进而推动大为镇基层治理等各项工作有序开展。</w:t>
      </w:r>
      <w:r>
        <w:rPr>
          <w:rFonts w:hint="eastAsia" w:ascii="仿宋_GB2312" w:hAnsi="Times New Roman" w:eastAsia="仿宋_GB2312" w:cs="Times New Roman"/>
          <w:sz w:val="32"/>
          <w:szCs w:val="32"/>
          <w:lang w:val="zh-CN" w:eastAsia="zh-CN"/>
        </w:rPr>
        <w:t>村组干部报酬资金的申请使用由大为镇相关业务科室负责，项目自评步骤为由项目业务股室经办人员、财务人员共同草拟自评报告，分别报分管领导、主要领导审阅后再报送。</w:t>
      </w:r>
      <w:r>
        <w:rPr>
          <w:rFonts w:hint="eastAsia" w:ascii="仿宋_GB2312" w:hAnsi="Times New Roman" w:eastAsia="仿宋_GB2312" w:cs="Times New Roman"/>
          <w:sz w:val="32"/>
          <w:szCs w:val="32"/>
          <w:lang w:val="en-US" w:eastAsia="zh-CN"/>
        </w:rPr>
        <w:t>2023年度该项目申请资金为127.57万元，使用资金为127.57万元，使用率100%，据项目资金管理办法，大为镇村组干部报酬项目资金使用严格执行财务管理制度、财务处理及时、会计核算规范。全年每月及时足额发放了相关经费，保障了村组干部权益，进而有效的推动了各项工作有序开展。该项目</w:t>
      </w:r>
      <w:r>
        <w:rPr>
          <w:rFonts w:hint="eastAsia" w:ascii="仿宋_GB2312" w:hAnsi="Times New Roman" w:eastAsia="仿宋_GB2312" w:cs="Times New Roman"/>
          <w:sz w:val="32"/>
          <w:szCs w:val="32"/>
          <w:lang w:val="zh-CN" w:eastAsia="zh-CN"/>
        </w:rPr>
        <w:t>我镇自评分数为</w:t>
      </w:r>
      <w:r>
        <w:rPr>
          <w:rFonts w:hint="eastAsia" w:ascii="仿宋_GB2312" w:hAnsi="Times New Roman" w:eastAsia="仿宋_GB2312" w:cs="Times New Roman"/>
          <w:sz w:val="32"/>
          <w:szCs w:val="32"/>
          <w:lang w:val="en-US" w:eastAsia="zh-CN"/>
        </w:rPr>
        <w:t>100分。</w:t>
      </w:r>
    </w:p>
    <w:p>
      <w:pPr>
        <w:ind w:firstLine="640" w:firstLineChars="20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202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年，我</w:t>
      </w:r>
      <w:r>
        <w:rPr>
          <w:rFonts w:hint="eastAsia" w:ascii="仿宋_GB2312" w:hAnsi="Times New Roman" w:eastAsia="仿宋_GB2312" w:cs="Times New Roman"/>
          <w:sz w:val="32"/>
          <w:szCs w:val="32"/>
          <w:lang w:val="en-US" w:eastAsia="zh-CN"/>
        </w:rPr>
        <w:t>单位</w:t>
      </w:r>
      <w:r>
        <w:rPr>
          <w:rFonts w:hint="default" w:ascii="仿宋_GB2312" w:hAnsi="Times New Roman" w:eastAsia="仿宋_GB2312" w:cs="Times New Roman"/>
          <w:sz w:val="32"/>
          <w:szCs w:val="32"/>
          <w:lang w:val="en-US" w:eastAsia="zh-CN"/>
        </w:rPr>
        <w:t>无专项预算项目，无相应绩效目标完成情况自评。</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3.支出控制方面。2023年，我单位日常公用经费、项目支出中“办</w:t>
      </w:r>
      <w:r>
        <w:rPr>
          <w:rFonts w:hint="default" w:ascii="仿宋_GB2312" w:hAnsi="Times New Roman" w:eastAsia="仿宋_GB2312" w:cs="Times New Roman"/>
          <w:sz w:val="32"/>
          <w:szCs w:val="32"/>
          <w:lang w:val="en-US" w:eastAsia="zh-CN"/>
        </w:rPr>
        <w:t>公费、印刷费、水费、电费、物业管理费”等科目预算调整数与决算数偏差程度为0%。基本支出</w:t>
      </w:r>
      <w:r>
        <w:rPr>
          <w:rFonts w:hint="eastAsia" w:ascii="仿宋_GB2312" w:hAnsi="Times New Roman" w:eastAsia="仿宋_GB2312" w:cs="Times New Roman"/>
          <w:sz w:val="32"/>
          <w:szCs w:val="32"/>
          <w:lang w:val="en-US" w:eastAsia="zh-CN"/>
        </w:rPr>
        <w:t>全年</w:t>
      </w:r>
      <w:r>
        <w:rPr>
          <w:rFonts w:hint="default" w:ascii="仿宋_GB2312" w:hAnsi="Times New Roman" w:eastAsia="仿宋_GB2312" w:cs="Times New Roman"/>
          <w:sz w:val="32"/>
          <w:szCs w:val="32"/>
          <w:lang w:val="en-US" w:eastAsia="zh-CN"/>
        </w:rPr>
        <w:t>预算数为931</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万元，决算数931</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万元，预决算偏离度</w:t>
      </w:r>
      <w:r>
        <w:rPr>
          <w:rFonts w:hint="eastAsia" w:ascii="仿宋_GB2312" w:hAnsi="Times New Roman" w:eastAsia="仿宋_GB2312" w:cs="Times New Roman"/>
          <w:sz w:val="32"/>
          <w:szCs w:val="32"/>
          <w:lang w:val="en-US" w:eastAsia="zh-CN"/>
        </w:rPr>
        <w:t>0</w:t>
      </w:r>
      <w:r>
        <w:rPr>
          <w:rFonts w:hint="default" w:ascii="仿宋_GB2312" w:hAnsi="Times New Roman" w:eastAsia="仿宋_GB2312" w:cs="Times New Roman"/>
          <w:sz w:val="32"/>
          <w:szCs w:val="32"/>
          <w:lang w:val="en-US" w:eastAsia="zh-CN"/>
        </w:rPr>
        <w:t>%。项目支出</w:t>
      </w:r>
      <w:r>
        <w:rPr>
          <w:rFonts w:hint="eastAsia" w:ascii="仿宋_GB2312" w:hAnsi="Times New Roman" w:eastAsia="仿宋_GB2312" w:cs="Times New Roman"/>
          <w:sz w:val="32"/>
          <w:szCs w:val="32"/>
          <w:lang w:val="en-US" w:eastAsia="zh-CN"/>
        </w:rPr>
        <w:t>全年</w:t>
      </w:r>
      <w:r>
        <w:rPr>
          <w:rFonts w:hint="default" w:ascii="仿宋_GB2312" w:hAnsi="Times New Roman" w:eastAsia="仿宋_GB2312" w:cs="Times New Roman"/>
          <w:sz w:val="32"/>
          <w:szCs w:val="32"/>
          <w:lang w:val="en-US" w:eastAsia="zh-CN"/>
        </w:rPr>
        <w:t>预算数为732</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lang w:val="en-US" w:eastAsia="zh-CN"/>
        </w:rPr>
        <w:t>元，决算数为732</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lang w:val="en-US" w:eastAsia="zh-CN"/>
        </w:rPr>
        <w:t>万元，预决算偏离度0%。</w:t>
      </w:r>
    </w:p>
    <w:p>
      <w:pPr>
        <w:ind w:firstLine="640" w:firstLineChars="20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4.及时处置方面。202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年，在9月开展了绩效运行监控，及时掌握绩效目标完成情况，及时调整支出结构。202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年，我</w:t>
      </w:r>
      <w:r>
        <w:rPr>
          <w:rFonts w:hint="eastAsia" w:ascii="仿宋_GB2312" w:hAnsi="Times New Roman" w:eastAsia="仿宋_GB2312" w:cs="Times New Roman"/>
          <w:sz w:val="32"/>
          <w:szCs w:val="32"/>
          <w:lang w:val="en-US" w:eastAsia="zh-CN"/>
        </w:rPr>
        <w:t>单位</w:t>
      </w:r>
      <w:r>
        <w:rPr>
          <w:rFonts w:hint="default" w:ascii="仿宋_GB2312" w:hAnsi="Times New Roman" w:eastAsia="仿宋_GB2312" w:cs="Times New Roman"/>
          <w:sz w:val="32"/>
          <w:szCs w:val="32"/>
          <w:lang w:val="en-US" w:eastAsia="zh-CN"/>
        </w:rPr>
        <w:t>绩效监控调整取消额为零。</w:t>
      </w:r>
    </w:p>
    <w:p>
      <w:pPr>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5.执行进度方面。202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年，我</w:t>
      </w:r>
      <w:r>
        <w:rPr>
          <w:rFonts w:hint="eastAsia" w:ascii="仿宋_GB2312" w:hAnsi="Times New Roman" w:eastAsia="仿宋_GB2312" w:cs="Times New Roman"/>
          <w:sz w:val="32"/>
          <w:szCs w:val="32"/>
          <w:lang w:val="en-US" w:eastAsia="zh-CN"/>
        </w:rPr>
        <w:t>单位</w:t>
      </w:r>
      <w:r>
        <w:rPr>
          <w:rFonts w:hint="default" w:ascii="仿宋_GB2312" w:hAnsi="Times New Roman" w:eastAsia="仿宋_GB2312" w:cs="Times New Roman"/>
          <w:sz w:val="32"/>
          <w:szCs w:val="32"/>
          <w:lang w:val="en-US" w:eastAsia="zh-CN"/>
        </w:rPr>
        <w:t>预算执行进度按年初预算、工作计划，以确保重、难点、刚性工作为前提，执行进度有序推进。</w:t>
      </w:r>
    </w:p>
    <w:p>
      <w:pPr>
        <w:ind w:firstLine="640" w:firstLineChars="200"/>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lang w:val="zh-CN" w:eastAsia="zh-CN"/>
        </w:rPr>
        <w:t>预算完成情况。202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eastAsia="zh-CN"/>
        </w:rPr>
        <w:t>年，我单位部门预算项目12月执行数</w:t>
      </w:r>
      <w:r>
        <w:rPr>
          <w:rFonts w:hint="eastAsia" w:ascii="仿宋_GB2312" w:hAnsi="Times New Roman" w:eastAsia="仿宋_GB2312" w:cs="Times New Roman"/>
          <w:sz w:val="32"/>
          <w:szCs w:val="32"/>
          <w:lang w:val="en-US" w:eastAsia="zh-CN"/>
        </w:rPr>
        <w:t>728.47</w:t>
      </w:r>
      <w:r>
        <w:rPr>
          <w:rFonts w:hint="eastAsia" w:ascii="仿宋_GB2312" w:hAnsi="Times New Roman" w:eastAsia="仿宋_GB2312" w:cs="Times New Roman"/>
          <w:sz w:val="32"/>
          <w:szCs w:val="32"/>
          <w:lang w:val="zh-CN" w:eastAsia="zh-CN"/>
        </w:rPr>
        <w:t>万元，占年度下达预算指标</w:t>
      </w:r>
      <w:r>
        <w:rPr>
          <w:rFonts w:hint="eastAsia" w:ascii="仿宋_GB2312" w:hAnsi="Times New Roman" w:eastAsia="仿宋_GB2312" w:cs="Times New Roman"/>
          <w:sz w:val="32"/>
          <w:szCs w:val="32"/>
          <w:lang w:val="en-US" w:eastAsia="zh-CN"/>
        </w:rPr>
        <w:t>728.47</w:t>
      </w:r>
      <w:r>
        <w:rPr>
          <w:rFonts w:hint="eastAsia" w:ascii="仿宋_GB2312" w:hAnsi="Times New Roman" w:eastAsia="仿宋_GB2312" w:cs="Times New Roman"/>
          <w:sz w:val="32"/>
          <w:szCs w:val="32"/>
          <w:lang w:val="zh-CN" w:eastAsia="zh-CN"/>
        </w:rPr>
        <w:t>万元的100%。</w:t>
      </w:r>
    </w:p>
    <w:p>
      <w:pPr>
        <w:ind w:firstLine="640" w:firstLineChars="200"/>
        <w:rPr>
          <w:rFonts w:hint="default"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lang w:val="zh-CN" w:eastAsia="zh-CN"/>
        </w:rPr>
        <w:t>资金结余率方面。202</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lang w:val="zh-CN" w:eastAsia="zh-CN"/>
        </w:rPr>
        <w:t>年，我</w:t>
      </w:r>
      <w:r>
        <w:rPr>
          <w:rFonts w:hint="eastAsia" w:ascii="仿宋_GB2312" w:hAnsi="Times New Roman" w:eastAsia="仿宋_GB2312" w:cs="Times New Roman"/>
          <w:sz w:val="32"/>
          <w:szCs w:val="32"/>
          <w:lang w:val="zh-CN" w:eastAsia="zh-CN"/>
        </w:rPr>
        <w:t>单位</w:t>
      </w:r>
      <w:r>
        <w:rPr>
          <w:rFonts w:hint="default" w:ascii="仿宋_GB2312" w:hAnsi="Times New Roman" w:eastAsia="仿宋_GB2312" w:cs="Times New Roman"/>
          <w:sz w:val="32"/>
          <w:szCs w:val="32"/>
          <w:lang w:val="zh-CN" w:eastAsia="zh-CN"/>
        </w:rPr>
        <w:t>预算项目（含人员类、运转类）无资金结余，结余率0%。</w:t>
      </w:r>
    </w:p>
    <w:p>
      <w:pPr>
        <w:ind w:firstLine="643" w:firstLineChars="200"/>
        <w:rPr>
          <w:rFonts w:eastAsia="仿宋_GB2312"/>
          <w:sz w:val="32"/>
          <w:szCs w:val="32"/>
          <w:lang w:val="zh-CN"/>
        </w:rPr>
      </w:pPr>
      <w:r>
        <w:rPr>
          <w:rFonts w:hint="eastAsia" w:ascii="楷体_GB2312" w:eastAsia="楷体_GB2312"/>
          <w:b/>
          <w:sz w:val="32"/>
          <w:szCs w:val="32"/>
        </w:rPr>
        <w:t>（二）部门预算项目绩效分析。</w:t>
      </w:r>
    </w:p>
    <w:p>
      <w:pPr>
        <w:ind w:firstLine="640" w:firstLineChars="200"/>
        <w:rPr>
          <w:rFonts w:eastAsia="仿宋_GB2312"/>
          <w:sz w:val="32"/>
          <w:szCs w:val="32"/>
          <w:lang w:val="zh-CN"/>
        </w:rPr>
      </w:pPr>
      <w:r>
        <w:rPr>
          <w:rFonts w:hint="eastAsia" w:eastAsia="仿宋_GB2312"/>
          <w:sz w:val="32"/>
          <w:szCs w:val="32"/>
          <w:lang w:val="zh-CN"/>
        </w:rPr>
        <w:t>该类项目总数</w:t>
      </w:r>
      <w:r>
        <w:rPr>
          <w:rFonts w:hint="eastAsia" w:eastAsia="仿宋_GB2312"/>
          <w:sz w:val="32"/>
          <w:szCs w:val="32"/>
          <w:lang w:val="en-US" w:eastAsia="zh-CN"/>
        </w:rPr>
        <w:t>54</w:t>
      </w:r>
      <w:r>
        <w:rPr>
          <w:rFonts w:hint="eastAsia" w:eastAsia="仿宋_GB2312"/>
          <w:sz w:val="32"/>
          <w:szCs w:val="32"/>
          <w:lang w:val="zh-CN"/>
        </w:rPr>
        <w:t>个，涉及预算总金额</w:t>
      </w:r>
      <w:r>
        <w:rPr>
          <w:rFonts w:hint="eastAsia" w:ascii="仿宋_GB2312" w:hAnsi="Times New Roman" w:eastAsia="仿宋_GB2312" w:cs="Times New Roman"/>
          <w:sz w:val="32"/>
          <w:szCs w:val="32"/>
          <w:lang w:val="en-US" w:eastAsia="zh-CN"/>
        </w:rPr>
        <w:t>1664</w:t>
      </w:r>
      <w:r>
        <w:rPr>
          <w:rFonts w:hint="eastAsia" w:eastAsia="仿宋_GB2312"/>
          <w:sz w:val="32"/>
          <w:szCs w:val="32"/>
          <w:lang w:val="zh-CN"/>
        </w:rPr>
        <w:t>万元，1—12月预算执行总体进度为</w:t>
      </w:r>
      <w:r>
        <w:rPr>
          <w:rFonts w:hint="eastAsia" w:eastAsia="仿宋_GB2312"/>
          <w:sz w:val="32"/>
          <w:szCs w:val="32"/>
          <w:lang w:val="en-US" w:eastAsia="zh-CN"/>
        </w:rPr>
        <w:t>100</w:t>
      </w:r>
      <w:r>
        <w:rPr>
          <w:rFonts w:hint="eastAsia" w:eastAsia="仿宋_GB2312"/>
          <w:sz w:val="32"/>
          <w:szCs w:val="32"/>
          <w:lang w:val="zh-CN"/>
        </w:rPr>
        <w:t>%，其中：预算结余率大于10%的项目共计</w:t>
      </w:r>
      <w:r>
        <w:rPr>
          <w:rFonts w:hint="eastAsia" w:eastAsia="仿宋_GB2312"/>
          <w:sz w:val="32"/>
          <w:szCs w:val="32"/>
          <w:lang w:val="en-US" w:eastAsia="zh-CN"/>
        </w:rPr>
        <w:t>0</w:t>
      </w:r>
      <w:r>
        <w:rPr>
          <w:rFonts w:hint="eastAsia" w:eastAsia="仿宋_GB2312"/>
          <w:sz w:val="32"/>
          <w:szCs w:val="32"/>
          <w:lang w:val="zh-CN"/>
        </w:rPr>
        <w:t>个。</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ascii="Times New Roman" w:hAnsi="Times New Roman" w:eastAsia="仿宋_GB2312" w:cs="Times New Roman"/>
          <w:sz w:val="32"/>
          <w:szCs w:val="32"/>
          <w:lang w:val="zh-CN" w:eastAsia="zh-CN"/>
        </w:rPr>
        <w:t>按照工作要求年度工作安排，合理规范执行项目预算，认真做好项目入库，做好三级指标录入，及时对项目进行绩效分析。</w:t>
      </w:r>
    </w:p>
    <w:p>
      <w:pPr>
        <w:ind w:firstLine="640" w:firstLineChars="200"/>
        <w:rPr>
          <w:rFonts w:hint="default" w:ascii="仿宋_GB2312" w:hAnsi="Times New Roman" w:eastAsia="仿宋_GB2312" w:cs="Times New Roman"/>
          <w:sz w:val="32"/>
          <w:szCs w:val="32"/>
          <w:lang w:val="zh-CN"/>
        </w:rPr>
      </w:pPr>
      <w:r>
        <w:rPr>
          <w:rFonts w:hint="eastAsia" w:ascii="楷体_GB2312" w:hAnsi="楷体_GB2312" w:eastAsia="楷体_GB2312" w:cs="楷体_GB2312"/>
          <w:color w:val="000000"/>
          <w:kern w:val="0"/>
          <w:sz w:val="32"/>
          <w:szCs w:val="32"/>
          <w:shd w:val="clear" w:color="auto" w:fill="FFFFFF"/>
        </w:rPr>
        <w:t>2.项目执行。</w:t>
      </w:r>
      <w:r>
        <w:rPr>
          <w:rFonts w:hint="default" w:ascii="仿宋_GB2312" w:hAnsi="Times New Roman" w:eastAsia="仿宋_GB2312" w:cs="Times New Roman"/>
          <w:sz w:val="32"/>
          <w:szCs w:val="32"/>
          <w:lang w:val="zh-CN"/>
        </w:rPr>
        <w:t>将各项目绩效目标制定和自评情况纳入部门绩效目标考核体系，考核结果作为项目资金安排的重要依据。</w:t>
      </w:r>
    </w:p>
    <w:p>
      <w:pPr>
        <w:ind w:firstLine="640" w:firstLineChars="200"/>
        <w:rPr>
          <w:rFonts w:hint="default" w:ascii="仿宋_GB2312" w:hAnsi="Times New Roman" w:eastAsia="仿宋_GB2312" w:cs="Times New Roman"/>
          <w:sz w:val="32"/>
          <w:szCs w:val="32"/>
          <w:lang w:val="en-US" w:eastAsia="zh-CN"/>
        </w:rPr>
      </w:pPr>
      <w:r>
        <w:rPr>
          <w:rFonts w:hint="eastAsia" w:ascii="楷体_GB2312" w:hAnsi="楷体_GB2312" w:eastAsia="楷体_GB2312" w:cs="楷体_GB2312"/>
          <w:color w:val="000000"/>
          <w:kern w:val="0"/>
          <w:sz w:val="32"/>
          <w:szCs w:val="32"/>
          <w:shd w:val="clear" w:color="auto" w:fill="FFFFFF"/>
        </w:rPr>
        <w:t>3.目标实现。</w:t>
      </w:r>
      <w:r>
        <w:rPr>
          <w:rFonts w:hint="eastAsia" w:ascii="仿宋_GB2312" w:hAnsi="Times New Roman" w:eastAsia="仿宋_GB2312" w:cs="Times New Roman"/>
          <w:sz w:val="32"/>
          <w:szCs w:val="32"/>
        </w:rPr>
        <w:t>按照市财政局要求强化绩效管理理念，秉承客观公正、实事求是的原则开展单位自评工作。严格按照相关评价体系进行自评，自评评分为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分。</w:t>
      </w:r>
    </w:p>
    <w:p>
      <w:pPr>
        <w:ind w:firstLine="643" w:firstLineChars="200"/>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）绩效结果应用情况。</w:t>
      </w:r>
    </w:p>
    <w:p>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1.内部应用。我单位按照财政局下发《部门项目支出核心绩效目标和指标设置及取值指引（试行）》，将各项目绩效目标制定和自评情况纳入部门绩效目标考核体系，考核结果作为项目资金安排的重要依据。</w:t>
      </w:r>
    </w:p>
    <w:p>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2.自评公开。我单位按要求将部门整体支出绩效自评情况在单位外网网站上公开。</w:t>
      </w:r>
    </w:p>
    <w:p>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3.问题整改。未发现绩效管理工作及资金使用方面问题。</w:t>
      </w:r>
    </w:p>
    <w:p>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4.应用反馈。2023年，我单位按要求及时开展绩效自评，并在规定时间内向财政局报送绩效管理相关情况。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四、评价结论及建议</w:t>
      </w:r>
    </w:p>
    <w:p>
      <w:pPr>
        <w:ind w:firstLine="643"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（一）评价结论。</w:t>
      </w:r>
    </w:p>
    <w:p>
      <w:pPr>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通过绩效评价，分析资金使用规律，提高资金使用效益，强化资金管理责任，促进项目稳步推进。加大了对项目基本情况、项目资金管理情况、项目完成情况、项目效益情况及存在问题和整改情况的适时监控，有效提高使用人员注重资金使用绩效，强化绩效管理主体意识，将绩效评价结果作为预算安排的重要依据，更好的把握财政政策的经济性、效率性、效益性、公平性和可持续性。</w:t>
      </w:r>
    </w:p>
    <w:p>
      <w:pPr>
        <w:ind w:firstLine="643"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（二）存在问题。</w:t>
      </w:r>
    </w:p>
    <w:p>
      <w:pPr>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主要是财政资金十分紧张，部门经费支出从年初开始就无法正常支付，造成有财政预算指标，无财政资金支付的情况不断发生。</w:t>
      </w:r>
    </w:p>
    <w:p>
      <w:pPr>
        <w:ind w:firstLine="643"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（三）改进建议。</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严格按照</w:t>
      </w:r>
      <w:r>
        <w:rPr>
          <w:rFonts w:hint="eastAsia" w:ascii="仿宋_GB2312" w:hAnsi="Times New Roman" w:eastAsia="仿宋_GB2312" w:cs="Times New Roman"/>
          <w:sz w:val="32"/>
          <w:szCs w:val="32"/>
          <w:lang w:eastAsia="zh-CN"/>
        </w:rPr>
        <w:t>峨眉山</w:t>
      </w:r>
      <w:r>
        <w:rPr>
          <w:rFonts w:hint="eastAsia" w:ascii="仿宋_GB2312" w:hAnsi="Times New Roman" w:eastAsia="仿宋_GB2312" w:cs="Times New Roman"/>
          <w:sz w:val="32"/>
          <w:szCs w:val="32"/>
        </w:rPr>
        <w:t>市财政局关于印发《</w:t>
      </w:r>
      <w:r>
        <w:rPr>
          <w:rFonts w:hint="eastAsia" w:ascii="仿宋_GB2312" w:hAnsi="Times New Roman" w:eastAsia="仿宋_GB2312" w:cs="Times New Roman"/>
          <w:sz w:val="32"/>
          <w:szCs w:val="32"/>
          <w:lang w:eastAsia="zh-CN"/>
        </w:rPr>
        <w:t>关于开展</w:t>
      </w:r>
      <w:r>
        <w:rPr>
          <w:rFonts w:hint="eastAsia" w:ascii="仿宋_GB2312" w:hAnsi="Times New Roman" w:eastAsia="仿宋_GB2312" w:cs="Times New Roman"/>
          <w:sz w:val="32"/>
          <w:szCs w:val="32"/>
          <w:lang w:val="en-US" w:eastAsia="zh-CN"/>
        </w:rPr>
        <w:t>2024年绩效评价工作的通知</w:t>
      </w:r>
      <w:r>
        <w:rPr>
          <w:rFonts w:hint="eastAsia" w:ascii="仿宋_GB2312" w:hAnsi="Times New Roman" w:eastAsia="仿宋_GB2312" w:cs="Times New Roman"/>
          <w:sz w:val="32"/>
          <w:szCs w:val="32"/>
        </w:rPr>
        <w:t>》要求，对标“全方位、全过程、全覆盖”预算绩效管理体系，认真做好预算绩效管理结果与预算安排挂钩定期清理评估报告工作，重点突出部门自行监控，及时调整项目绩效目标、资金安排，杜绝低效无效资金，进一步提高资金使用率。</w:t>
      </w:r>
    </w:p>
    <w:p>
      <w:pPr>
        <w:keepNext w:val="0"/>
        <w:keepLines w:val="0"/>
        <w:pageBreakBefore w:val="0"/>
        <w:widowControl/>
        <w:kinsoku/>
        <w:wordWrap/>
        <w:overflowPunct/>
        <w:topLinePunct w:val="0"/>
        <w:autoSpaceDE/>
        <w:autoSpaceDN/>
        <w:bidi w:val="0"/>
        <w:adjustRightInd w:val="0"/>
        <w:snapToGrid w:val="0"/>
        <w:spacing w:afterAutospacing="0" w:line="560" w:lineRule="exact"/>
        <w:ind w:left="0" w:firstLine="420" w:firstLineChars="200"/>
        <w:contextualSpacing/>
        <w:jc w:val="left"/>
        <w:textAlignment w:val="auto"/>
        <w:rPr>
          <w:rFonts w:hint="eastAsia" w:ascii="仿宋_GB2312" w:hAnsi="宋体" w:cs="宋体"/>
          <w:kern w:val="0"/>
          <w:shd w:val="clear" w:color="auto" w:fill="FFFFFF"/>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420" w:firstLineChars="200"/>
        <w:contextualSpacing/>
        <w:jc w:val="left"/>
        <w:textAlignment w:val="auto"/>
        <w:rPr>
          <w:rFonts w:hint="eastAsia" w:ascii="仿宋_GB2312" w:hAnsi="宋体" w:cs="宋体"/>
          <w:b w:val="0"/>
          <w:bCs w:val="0"/>
          <w:color w:val="000000"/>
          <w:kern w:val="0"/>
          <w:szCs w:val="32"/>
          <w:shd w:val="clear" w:color="auto" w:fill="FFFFFF"/>
          <w:lang w:val="zh-CN"/>
        </w:rPr>
      </w:pPr>
    </w:p>
    <w:p>
      <w:pPr>
        <w:pStyle w:val="8"/>
        <w:rPr>
          <w:rFonts w:hint="eastAsia"/>
          <w:lang w:val="zh-CN"/>
        </w:rPr>
      </w:pPr>
    </w:p>
    <w:p>
      <w:pPr>
        <w:pStyle w:val="8"/>
        <w:rPr>
          <w:rFonts w:hint="eastAsia"/>
          <w:lang w:val="zh-CN"/>
        </w:rPr>
      </w:pPr>
    </w:p>
    <w:p>
      <w:pPr>
        <w:pStyle w:val="8"/>
        <w:rPr>
          <w:rFonts w:hint="eastAsia"/>
          <w:lang w:val="zh-CN"/>
        </w:rPr>
      </w:pPr>
    </w:p>
    <w:p>
      <w:pPr>
        <w:pStyle w:val="8"/>
        <w:rPr>
          <w:rFonts w:hint="eastAsia"/>
          <w:lang w:val="zh-CN"/>
        </w:rPr>
      </w:pPr>
    </w:p>
    <w:p>
      <w:pPr>
        <w:pStyle w:val="8"/>
        <w:rPr>
          <w:rFonts w:hint="eastAsia"/>
          <w:lang w:val="zh-CN"/>
        </w:rPr>
      </w:pPr>
    </w:p>
    <w:p>
      <w:pPr>
        <w:rPr>
          <w:rFonts w:hint="eastAsia"/>
          <w:lang w:val="zh-CN"/>
        </w:rPr>
      </w:pPr>
    </w:p>
    <w:p>
      <w:pPr>
        <w:pStyle w:val="8"/>
        <w:rPr>
          <w:rFonts w:hint="eastAsia"/>
          <w:lang w:val="zh-CN"/>
        </w:rPr>
      </w:pPr>
    </w:p>
    <w:p>
      <w:pPr>
        <w:pStyle w:val="8"/>
        <w:rPr>
          <w:rFonts w:hint="eastAsia"/>
          <w:lang w:val="zh-CN"/>
        </w:rPr>
      </w:pPr>
    </w:p>
    <w:p>
      <w:pPr>
        <w:ind w:left="0" w:leftChars="0" w:firstLine="0" w:firstLineChars="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附表：</w:t>
      </w:r>
    </w:p>
    <w:tbl>
      <w:tblPr>
        <w:tblStyle w:val="18"/>
        <w:tblW w:w="8994" w:type="dxa"/>
        <w:tblInd w:w="93" w:type="dxa"/>
        <w:shd w:val="clear" w:color="auto" w:fill="auto"/>
        <w:tblLayout w:type="fixed"/>
        <w:tblCellMar>
          <w:top w:w="0" w:type="dxa"/>
          <w:left w:w="108" w:type="dxa"/>
          <w:bottom w:w="0" w:type="dxa"/>
          <w:right w:w="108" w:type="dxa"/>
        </w:tblCellMar>
      </w:tblPr>
      <w:tblGrid>
        <w:gridCol w:w="669"/>
        <w:gridCol w:w="1356"/>
        <w:gridCol w:w="1062"/>
        <w:gridCol w:w="1122"/>
        <w:gridCol w:w="504"/>
        <w:gridCol w:w="756"/>
        <w:gridCol w:w="343"/>
        <w:gridCol w:w="413"/>
        <w:gridCol w:w="644"/>
        <w:gridCol w:w="413"/>
        <w:gridCol w:w="89"/>
        <w:gridCol w:w="413"/>
        <w:gridCol w:w="73"/>
        <w:gridCol w:w="413"/>
        <w:gridCol w:w="626"/>
        <w:gridCol w:w="98"/>
      </w:tblGrid>
      <w:tr>
        <w:tblPrEx>
          <w:shd w:val="clear" w:color="auto" w:fill="auto"/>
          <w:tblCellMar>
            <w:top w:w="0" w:type="dxa"/>
            <w:left w:w="108" w:type="dxa"/>
            <w:bottom w:w="0" w:type="dxa"/>
            <w:right w:w="108" w:type="dxa"/>
          </w:tblCellMar>
        </w:tblPrEx>
        <w:trPr>
          <w:trHeight w:val="454"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51118122T000000379805-人大工作经费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10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围绕党委中心工作，服从服务大局，聚焦主业主责，依法履职，善始善终，展现人大工作新作为。持续履行人大监督职能，依法依规做好重大事项决定和选举任免工作，持续服务代表履职尽责，进一步做好自身建设工作。</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聚焦主业主责，依法履职，善始善终，展现人大工作新作为。持续履行人大监督职能，依法依规做好重大事项决定和选举任免工作，持续服务代表履职尽责，进一步做好自身建设工作。</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服从服务大局，持续履行人大监督职能，持续服务代表履职尽责。</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年中根据工作需要，增加预算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人大代表走访、调研工作次数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次</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人大监督、走访、调研工作保质完成率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人大工作服务群众全镇覆盖率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人大代表走访工作常态化持续性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保障人大工作正常开展，自评100分，单位运行正常，群众满意。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51118122T000005970684-村级基层组织和公共运维费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农村基础设施和环境卫生建设及维护，农业生产、生活服务，农村社会化管理，农村基础设施和环境卫生建设及维护，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高质量完成各项工作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完善各项村级基础设施提高群众生产生活积极性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提高村组干部服务村民积极性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保障群众满意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51118122T000006796132-村级基层组织和公共运维费（省级）</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保障农村基础设施和环境卫生建设及维护；农业生产、生活服务；农村社会化管理；公用设施维护。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涉及村个数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基础设施建设公共运转等项目完成率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2023年12月底前完成各项工作任务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惠民惠农政策覆盖率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促进乡村经济发展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确保辖区村民满意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51118123T000007950142-城乡环保、环境综合整治经费（含环卫补助和农村保洁）</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完成辖区内环境治理，确保辖区内卫生秩序干净整洁。保障辖区环境秩序有序进行，进一步提高群众的生活质量和水平，推动镇域经济发展。 </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农村环境卫生建设及维护</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确保村级人居环境有效改善，促进五清工作开展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保障城乡环境卫生村个数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各项费用支付到位率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全年各项资金及时支付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保障辖区环境卫生改善群众生活质量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提高群众保护环境意识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tblPrEx>
          <w:tblCellMar>
            <w:top w:w="0" w:type="dxa"/>
            <w:left w:w="108" w:type="dxa"/>
            <w:bottom w:w="0" w:type="dxa"/>
            <w:right w:w="108" w:type="dxa"/>
          </w:tblCellMar>
        </w:tblPrEx>
        <w:trPr>
          <w:trHeight w:val="39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51118123T000007951055-乡镇(街道)专项业务经费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保障安全监管、计生、文旅、妇联、退役军人服务站、食品药品监管站、社会治安综合治理、乡镇团委、人大等等专项业务工作顺利开展。</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保障安全监管、计生、文旅、妇联、退役军人服务站、食品药品监管站、社会治安综合治理、乡镇团委、人大等等专项业务工作顺利开展。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保障全年各项工作顺利开展政府部门数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全年各项工作任务保质保量完成率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全年及时支付各项经费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更好的为群众服务提高政府社会公信力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提高工作效率提高群众配合政府各部门工作积极性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保障单位日常运转，自评100分，单位运行正常，群众满意。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7"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51118123T000007951395-村级基层组织和运维费（本级）</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保障农村基础设施和环境卫生建设及维护；农业生产、生活服务；农村社会化管理；公用设施维护。</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农村基础设施和环境卫生建设及维护，农村基础设施和环境卫生建设及维护，</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涉及村个数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基础设施建设公共运转等项目完成率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2023年12月底前完成各项工作任务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惠民惠农政策覆盖率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促进乡村经济发展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确保辖区居民满意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保障村级基础设施建设，维护，保养等工作正常开展，自评100分，群众满意。</w:t>
            </w:r>
          </w:p>
        </w:tc>
      </w:tr>
      <w:tr>
        <w:tblPrEx>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51118123T000007951792-村级办公经费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保障各村基本办公运行，提升基层组织服务能力</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保障各村基本办公运行，提升基层组织服务能力。</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村级日常工作正常开展。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经费保障村个数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资金发放到位率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保障全年各项费用及时发放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确保村级基层组织更好服务群众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村民满意度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保障村级日常工作正常开展，自评100分，单位运行正常，群众满意。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项目负责人：王娜</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51118123T000007951857-交管办和村级劝导员经费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保障交通劝导员工资经费及交管办工作正常开展，保障全镇交通安全稳定。</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交通劝导员工资经费及交管办工作正常开展，保障全镇交通安全稳定。</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交通劝导员工资经费及交管办工作正常开展</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保障交管工作顺利开展村个数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各项费用发放到位率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保障全年各项费用及时发放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确保群众有安全感</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优良中低差</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提高群众交通安全意识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保障全镇交通安全稳定，自评100分，单位运行正常，群众满意。</w:t>
            </w:r>
          </w:p>
        </w:tc>
      </w:tr>
      <w:tr>
        <w:tblPrEx>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4"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p>
          <w:p>
            <w:pPr>
              <w:pStyle w:val="2"/>
              <w:rPr>
                <w:rFonts w:hint="eastAsia"/>
              </w:rPr>
            </w:pP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51118123T000007952318-三支一扶人员经费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1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通过将资金及时全额发放到位,改善"三支一扶"工作人员生活水平,更好实施"三支一扶"计划,吸收和稳定基层人才队伍。</w:t>
            </w:r>
          </w:p>
        </w:tc>
        <w:tc>
          <w:tcPr>
            <w:tcW w:w="27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及时全额发放到位,改善"三支一扶"工作人员生活水平</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及时缴纳，发放标准按人社局审核的标准发放。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22.61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14.58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64.51%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人员变动，追减预算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22.61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14.58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64.51%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参与三支一扶计划人数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三支一扶政策执行率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资金按时发放率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吸收和稳定基层人才队伍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三支一扶工作持续有效开展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三支一扶人员满意度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工资及时足额发放，自评100分，单位运行正常，三支一扶人员工资积极性高，群众满意。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4"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51118123T000007953723-村（社区）顶岗锻炼后备干部经费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全面加强村级后备干部队伍建设,持续提高村干部队伍素质,切实吸引青年人才回村建设,保障好薪资待遇。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严格执行相关政策，保障工资及时、足额发放，预算编制科学合理。</w:t>
            </w:r>
          </w:p>
        </w:tc>
      </w:tr>
      <w:tr>
        <w:tblPrEx>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及时缴纳，发放标准按组织部审核的标准发放。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顶岗锻炼后备干部人数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准确发放，保障各项工作完成质量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工资发放及时率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增强村级战斗力，持续为村民服务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提高工作积极性和工作效率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后备干部满意度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工资及时足额发放，自评100分，单位运行正常，干部工资积极性高，群众满意。</w:t>
            </w:r>
          </w:p>
        </w:tc>
      </w:tr>
      <w:tr>
        <w:tblPrEx>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51118123T000007969057-2023年劳务派遣人员经费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保障我单位劳务派遣人员工资保险等合法合理权益，以更好的履行工作职责，全面提升服务效率和水平。</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严格执行相关政策，保障工资及时、足额发放，预算编制科学合理。</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及时缴纳，按发放标准发放。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人员变动，工资调标，追加预算。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24.79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劳务派遣人数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各项工作完成率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各项支付工作完成及时率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全面提升服务水平和效率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保障劳务派遣人员工资福利</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劳务派遣人员满意度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工资及时足额发放，自评100分，单位运行正常，干部工资积极性高，群众满意。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51118123T000008870683-大为镇G245线K755+600处边坡修复用地费用</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确保大为镇G245线K755+600处边坡修复用地费用及时支付，保障群众切身利益。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及时支付大为镇G245线K755+600处边坡修复用地费用</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及时支付大为镇G245线K755+600处边坡修复用地费用</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涉及村民户数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资金支付率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保障相关村民切身利益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维护社会稳定，相关问题信访维稳事件发生数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相关群众满意度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2"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51118123T000008870696-大为镇国道G245线回头湾整治用地相关费用</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6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保障大为镇国道G245线回头弯整治补偿及时发放到位，确保群众切身利益。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及时发放大为镇国道G245线回头弯整治补偿</w:t>
            </w:r>
          </w:p>
        </w:tc>
      </w:tr>
      <w:tr>
        <w:tblPrEx>
          <w:tblCellMar>
            <w:top w:w="0" w:type="dxa"/>
            <w:left w:w="108" w:type="dxa"/>
            <w:bottom w:w="0" w:type="dxa"/>
            <w:right w:w="108" w:type="dxa"/>
          </w:tblCellMar>
        </w:tblPrEx>
        <w:trPr>
          <w:trHeight w:val="5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及时发放大为镇国道G245线回头弯整治补偿</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土地补偿费和青苗补偿费保障村民户数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资金支付率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保障相关村民切身利益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维护社会稳定，相关问题信访维稳事件发生数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涉及村民满意度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保障村级基础设施建设工作正常开展，自评100分，群众满意。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7"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51118123T000009011995-（春节前）2023年春节前工程款</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8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春节前支付大为镇回罗路道路硬化工程、大为镇射箭村、红花村、双河村公厕改建项目、大为镇中山村新建厕所项目、大为镇2019农村人居环境整治新建集镇公厕项目等10个已完工项目工程款；大为基层社示范社创建（示范社修建）等2个政府采购费用；大为镇道路加宽工程（图审费）、峨眉山市大为镇纸大路道路硬化工程（设计费）等9个工程前期费用。</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大为镇回罗路道路硬化工程、大为镇射箭村、红花村、双河村公厕改建项目、大为镇中山村新建厕所项目、大为镇2019农村人居环境整治新建集镇公厕项目等10个已完工项目工程款；大为基层社示范社创建（示范社修建）等2个政府采购费用；大为镇道路加宽工程（图审费）、峨眉山市大为镇纸大路道路硬化工程（设计费）等9个工程前期费用。</w:t>
            </w:r>
          </w:p>
        </w:tc>
      </w:tr>
      <w:tr>
        <w:tblPrEx>
          <w:tblCellMar>
            <w:top w:w="0" w:type="dxa"/>
            <w:left w:w="108" w:type="dxa"/>
            <w:bottom w:w="0" w:type="dxa"/>
            <w:right w:w="108" w:type="dxa"/>
          </w:tblCellMar>
        </w:tblPrEx>
        <w:trPr>
          <w:trHeight w:val="3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及时支付春节前工程款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涉及项目数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保质保量完成工程款支付工作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及时支付工程款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保障施工工程队权益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及时支付工程款确保农民工工资发放到位，提升政府公信力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保障施工队和农民工满意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控制成本不超预算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974520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元</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974520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gridAfter w:val="1"/>
          <w:wAfter w:w="98" w:type="dxa"/>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保障基础设施建设工作正常开展，自评100分，群众满意。</w:t>
            </w:r>
          </w:p>
        </w:tc>
      </w:tr>
      <w:tr>
        <w:tblPrEx>
          <w:tblCellMar>
            <w:top w:w="0" w:type="dxa"/>
            <w:left w:w="108" w:type="dxa"/>
            <w:bottom w:w="0" w:type="dxa"/>
            <w:right w:w="108" w:type="dxa"/>
          </w:tblCellMar>
        </w:tblPrEx>
        <w:trPr>
          <w:gridAfter w:val="1"/>
          <w:wAfter w:w="98" w:type="dxa"/>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22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gridAfter w:val="1"/>
          <w:wAfter w:w="98" w:type="dxa"/>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22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55"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51118123T000009071120-峨胜石膏项目拆迁安置过渡费2</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确保峨胜石膏项目拆迁安置过渡费及时发放到位。</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及时发放峨胜石膏项目拆迁安置过渡费</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及时发放峨胜石膏项目拆迁安置过渡费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发放户数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搬迁后续工作完成率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确保按时发放到位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确保安置群众稳定率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确保安置群众生活持续有保障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保障安置过渡费正常发放，自评100分，群众满意。</w:t>
            </w: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51118123T000009094217-原泉水3.6组峨胜石膏项目拆迁安置过渡费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确保原泉水3.6组峨胜石膏项目拆迁安置过渡费及时发放到位。</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及时发放原泉水3.6组峨胜石膏项目拆迁安置过渡费</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及时发放原泉水3.6组峨胜石膏项目拆迁安置过渡费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96.51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发放户数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户</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搬迁后续工作完成率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确保按时发放到位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确保安置群众稳定率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确保安置群众生活持续有保障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搬迁对象满意度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保障安置过渡费正常发放，自评100分，群众满意。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51118123T000009094435-关工委经费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保障全镇关工委工作正常运转，促进青少年健康成长。</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按照关工委工作开展及时支付</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开展关心下一代青少年儿童次数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次</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走访看望关怀青少年儿童覆盖率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按时完成关工委相关工作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引导青少年树立正确价值观，支持和帮助青少年成长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促进青少年健康成长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优良中低差</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良</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全镇青少年满意度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及时足额发放，自评100分，单位运行正常，干部工资积极性高，群众满意。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51118123T000009094437-基层武装及征兵经费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保障大为镇全年武装及征兵工作顺利开展。</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严格执行预算，保障单位日常运转，预算编制科学合理。</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保障单位日常运转。</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保障武装及征兵工作顺利开展村数量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全年各项武装及征兵工作任务保质保量完成率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全年及时支付各项相关经费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提高群众对武装工作支持率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提高辖区适龄青年参军积极性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辖区群众满意度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保障单位日常运转，自评100分，单位运行正常，群众满意。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项目负责人：余召明</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51118123T000009126290-人大代表活动经费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保障人大代表正常参加各项人大活动，切实维护人大代表权益。</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及时支付人大代表正常参加各项人大活动，切实维护人大代表权益。</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及时支付人大代表活动费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代表覆盖村个数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保质保量完成人大代表任务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全年及时支付各项经费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切实保障人大代表权益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提高人大代表履职积极性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人大代表满意度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保障人大工作正常开展，自评100分，单位运行正常，群众满意。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项目负责人：徐成义</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51118123T000009196611-信访稳定经费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认真办理群众信访事项，组织做好劝返工作，维持正常信访工作秩序。</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办理群众信访事项，组织做好劝返工作，维持正常信访工作秩序。</w:t>
            </w:r>
          </w:p>
        </w:tc>
      </w:tr>
      <w:tr>
        <w:tblPrEx>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及时支付维稳费，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全年因处置不当引发影响恶劣德重大群体性上访事件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案件数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信访案件化解率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信访事项按时办结率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解决问题化解矛盾，维护社会和谐稳定发展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提高信访服务质量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保障信访工作正常开展，自评100分，单位运行正常，群众满意。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3"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51118123T000009512466-村干部待遇</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及时足额保障村组干部工资</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及时、足额发放工资，预算编制科学合理</w:t>
            </w:r>
          </w:p>
        </w:tc>
      </w:tr>
      <w:tr>
        <w:tblPrEx>
          <w:tblCellMar>
            <w:top w:w="0" w:type="dxa"/>
            <w:left w:w="108" w:type="dxa"/>
            <w:bottom w:w="0" w:type="dxa"/>
            <w:right w:w="108" w:type="dxa"/>
          </w:tblCellMar>
        </w:tblPrEx>
        <w:trPr>
          <w:trHeight w:val="3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127.57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99</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99</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工资发放到位率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全年村组干部工资发放及时率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保障村组干部生产生活正常运转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提升村组干部工作效率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51118123T000009627737-驻村第一书记和工作队员经费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加强第一书记管理,巩固脱贫攻坚成果,全面推进乡村振兴,为驻村干部创造必要的工作和生活条件。</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加强第一书记管理,巩固脱贫攻坚成果,全面推进乡村振兴，及时支付第一书记工作经费</w:t>
            </w:r>
          </w:p>
        </w:tc>
      </w:tr>
      <w:tr>
        <w:tblPrEx>
          <w:tblCellMar>
            <w:top w:w="0" w:type="dxa"/>
            <w:left w:w="108" w:type="dxa"/>
            <w:bottom w:w="0" w:type="dxa"/>
            <w:right w:w="108" w:type="dxa"/>
          </w:tblCellMar>
        </w:tblPrEx>
        <w:trPr>
          <w:trHeight w:val="5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及时支付第一书记工作经费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为驻村工作人员提供工作经费和待遇保障人数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严格执行相关财经法规、制度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及时完成资金分配和支付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促进乡村振兴，促进村强民富</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保障工作队正常运转，落实党的惠民政策</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保障第一书记、驻村工作正常开展，自评100分，群众满意。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8"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51118123T000009627777-村组干部经费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妥善解决农村基层干部待遇，充分调动广大基层干部工作的积极性。</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严格执行相关政策，保障及时、足额发放，预算编制科学合理。</w:t>
            </w:r>
          </w:p>
        </w:tc>
      </w:tr>
      <w:tr>
        <w:tblPrEx>
          <w:tblCellMar>
            <w:top w:w="0" w:type="dxa"/>
            <w:left w:w="108" w:type="dxa"/>
            <w:bottom w:w="0" w:type="dxa"/>
            <w:right w:w="108" w:type="dxa"/>
          </w:tblCellMar>
        </w:tblPrEx>
        <w:trPr>
          <w:trHeight w:val="4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及时发放，按发放标准发放。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养老保险补贴人数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补贴到位率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及时发放补助</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为村组干部提供基本保障，缓解生活压力，促进社会和谐稳定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保障政策执行连续性，提高村组干部工作积极性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村组干部满意度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6"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51118123T000009753898-应急避让补助资金</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3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提升应急保障能力,排除事故隐患,降低事故发生率,减少人员伤亡。</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及时支付应急避让补助，提升应急保障能力。</w:t>
            </w:r>
          </w:p>
        </w:tc>
      </w:tr>
      <w:tr>
        <w:tblPrEx>
          <w:tblCellMar>
            <w:top w:w="0" w:type="dxa"/>
            <w:left w:w="108" w:type="dxa"/>
            <w:bottom w:w="0" w:type="dxa"/>
            <w:right w:w="108" w:type="dxa"/>
          </w:tblCellMar>
        </w:tblPrEx>
        <w:trPr>
          <w:trHeight w:val="3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及时支付应急避让补助</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涉及避让点个数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满足地质灾害应急避让条件群众的转移率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群众转移及时率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做到应转必转,应转尽转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可持续发展指标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提升抵御灾害能力,维护社会和谐稳定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好</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保障防汛工作正常开展，自评100分，群众满意。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51118123T000009884474-片区拉练经费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开展点位展板及宣传、环境卫生整治、氛围营造、滑坡整治及房屋拆除、茶园修建等工作，确保顺利通过拉练考评。</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开展了点位展板及宣传、环境卫生整治、氛围营造、滑坡整治及房屋拆除、茶园修建等工作</w:t>
            </w:r>
          </w:p>
        </w:tc>
      </w:tr>
      <w:tr>
        <w:tblPrEx>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及时支付片区拉练经费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根据工作需要追加减</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涉及村</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确保顺利通过拉练考评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及时完成支付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保障乡村振兴工作顺利推进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不超预算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元</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保障点位环境卫生、氛围营造等工作正常开展，自评100分，群众满意。</w:t>
            </w:r>
          </w:p>
        </w:tc>
      </w:tr>
      <w:tr>
        <w:tblPrEx>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项目负责人：罗堂艮</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2"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51118124T000010271273-村常职干部（驻村辅警）经费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协助村上开展各项工作，确保全镇社会治安大局平稳</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及时、足额发放工资，预算编制科学合理</w:t>
            </w:r>
          </w:p>
        </w:tc>
      </w:tr>
      <w:tr>
        <w:tblPrEx>
          <w:tblCellMar>
            <w:top w:w="0" w:type="dxa"/>
            <w:left w:w="108" w:type="dxa"/>
            <w:bottom w:w="0" w:type="dxa"/>
            <w:right w:w="108" w:type="dxa"/>
          </w:tblCellMar>
        </w:tblPrEx>
        <w:trPr>
          <w:trHeight w:val="4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及时发放，发放标准按组织部审核的标准发放。</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根据工作需要，增加预算</w:t>
            </w: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驻村辅警人数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录用合规率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工作完成及时性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社会效益指标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有效维护辖区社会治安稳定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可持续影响指标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提升驻村辅警工作效率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驻村辅警满意度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及时足额发放，自评100分，单位运行正常，干部工作积极性高，群众满意。</w:t>
            </w: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3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r>
      <w:tr>
        <w:tblPrEx>
          <w:tblCellMar>
            <w:top w:w="0" w:type="dxa"/>
            <w:left w:w="108" w:type="dxa"/>
            <w:bottom w:w="0" w:type="dxa"/>
            <w:right w:w="108" w:type="dxa"/>
          </w:tblCellMar>
        </w:tblPrEx>
        <w:trPr>
          <w:trHeight w:val="286"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项目负责人：杨蕴</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财务负责人：万虹秀</w:t>
            </w:r>
          </w:p>
        </w:tc>
      </w:tr>
      <w:tr>
        <w:tblPrEx>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3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057"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02"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8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37" w:type="dxa"/>
            <w:gridSpan w:val="3"/>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89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51118124T000010968371-农村小庙工作治理经费</w:t>
            </w:r>
          </w:p>
        </w:tc>
      </w:tr>
      <w:tr>
        <w:tblPrEx>
          <w:tblCellMar>
            <w:top w:w="0" w:type="dxa"/>
            <w:left w:w="108" w:type="dxa"/>
            <w:bottom w:w="0" w:type="dxa"/>
            <w:right w:w="108" w:type="dxa"/>
          </w:tblCellMar>
        </w:tblPrEx>
        <w:trPr>
          <w:trHeight w:val="512"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大为镇</w:t>
            </w:r>
          </w:p>
        </w:tc>
        <w:tc>
          <w:tcPr>
            <w:tcW w:w="105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峨眉山市大为镇人民政府</w:t>
            </w:r>
          </w:p>
        </w:tc>
      </w:tr>
      <w:tr>
        <w:tblPrEx>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对全市不符合民间信仰活动场所的农村小庙坚决依法予以治理，引导信众依法依规参与宗教活动</w:t>
            </w:r>
          </w:p>
        </w:tc>
        <w:tc>
          <w:tcPr>
            <w:tcW w:w="3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及时支付治理经费，预算编制科学合理</w:t>
            </w:r>
          </w:p>
        </w:tc>
      </w:tr>
      <w:tr>
        <w:tblPrEx>
          <w:tblCellMar>
            <w:top w:w="0" w:type="dxa"/>
            <w:left w:w="108" w:type="dxa"/>
            <w:bottom w:w="0" w:type="dxa"/>
            <w:right w:w="108" w:type="dxa"/>
          </w:tblCellMar>
        </w:tblPrEx>
        <w:trPr>
          <w:trHeight w:val="4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69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及时发放农村小庙工作治理经费</w:t>
            </w:r>
          </w:p>
        </w:tc>
      </w:tr>
      <w:tr>
        <w:tblPrEx>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4.30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小庙开展治理数量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座（处）</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治理彻底，保障宗教领域平稳</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2023年全年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2023年</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引导信众依法依规参与宗教活动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信教群众满意度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厉行节约，开源节流</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5"/>
                <w:szCs w:val="15"/>
                <w:u w:val="none"/>
              </w:rPr>
            </w:pPr>
          </w:p>
        </w:tc>
      </w:tr>
      <w:tr>
        <w:tblPrEx>
          <w:tblCellMar>
            <w:top w:w="0" w:type="dxa"/>
            <w:left w:w="108" w:type="dxa"/>
            <w:bottom w:w="0" w:type="dxa"/>
            <w:right w:w="108" w:type="dxa"/>
          </w:tblCellMar>
        </w:tblPrEx>
        <w:trPr>
          <w:trHeight w:val="286" w:hRule="atLeast"/>
        </w:trPr>
        <w:tc>
          <w:tcPr>
            <w:tcW w:w="72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及时发放，自评100分，单位运行正常，干部工作积极性高，群众满意。</w:t>
            </w: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CellMar>
            <w:top w:w="0" w:type="dxa"/>
            <w:left w:w="108" w:type="dxa"/>
            <w:bottom w:w="0" w:type="dxa"/>
            <w:right w:w="108" w:type="dxa"/>
          </w:tblCellMar>
        </w:tblPrEx>
        <w:trPr>
          <w:trHeight w:val="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CellMar>
            <w:top w:w="0" w:type="dxa"/>
            <w:left w:w="108" w:type="dxa"/>
            <w:bottom w:w="0" w:type="dxa"/>
            <w:right w:w="108" w:type="dxa"/>
          </w:tblCellMar>
        </w:tblPrEx>
        <w:trPr>
          <w:trHeight w:val="90" w:hRule="atLeast"/>
        </w:trPr>
        <w:tc>
          <w:tcPr>
            <w:tcW w:w="4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项目负责人：李斌勇</w:t>
            </w:r>
          </w:p>
        </w:tc>
        <w:tc>
          <w:tcPr>
            <w:tcW w:w="4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财务负责人：万虹秀</w:t>
            </w:r>
          </w:p>
        </w:tc>
      </w:tr>
    </w:tbl>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附件2</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bidi w:val="0"/>
        <w:spacing w:line="600" w:lineRule="exact"/>
        <w:jc w:val="center"/>
        <w:textAlignment w:val="auto"/>
      </w:pPr>
      <w:r>
        <w:rPr>
          <w:rFonts w:hint="eastAsia" w:ascii="方正小标宋简体" w:hAnsi="方正小标宋简体" w:eastAsia="方正小标宋简体" w:cs="方正小标宋简体"/>
          <w:sz w:val="44"/>
          <w:szCs w:val="44"/>
          <w:lang w:val="zh-CN"/>
        </w:rPr>
        <w:t>基层武装业务经费项目支出绩效自评报告</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黑体" w:hAnsi="宋体" w:eastAsia="黑体"/>
          <w:sz w:val="32"/>
          <w:szCs w:val="32"/>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（一）设立背景及基本情况。</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保障大为镇全年武装及征兵工作顺利开展。加强武装工作，做好征兵宣传，增强群众的参军意识，提高民兵综合素质。</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楷体_GB2312" w:hAnsi="宋体" w:eastAsia="楷体_GB2312"/>
          <w:b w:val="0"/>
          <w:bCs/>
          <w:sz w:val="32"/>
          <w:szCs w:val="32"/>
        </w:rPr>
      </w:pPr>
      <w:r>
        <w:rPr>
          <w:rFonts w:hint="eastAsia" w:ascii="楷体_GB2312" w:hAnsi="宋体" w:eastAsia="楷体_GB2312"/>
          <w:b w:val="0"/>
          <w:bCs/>
          <w:sz w:val="32"/>
          <w:szCs w:val="32"/>
          <w:lang w:eastAsia="zh-CN"/>
        </w:rPr>
        <w:t>（二）</w:t>
      </w:r>
      <w:r>
        <w:rPr>
          <w:rFonts w:ascii="楷体_GB2312" w:hAnsi="宋体" w:eastAsia="楷体_GB2312"/>
          <w:b w:val="0"/>
          <w:bCs/>
          <w:sz w:val="32"/>
          <w:szCs w:val="32"/>
        </w:rPr>
        <w:t>实施目的及支持方向</w:t>
      </w:r>
      <w:r>
        <w:rPr>
          <w:rFonts w:hint="eastAsia" w:ascii="楷体_GB2312" w:hAnsi="宋体" w:eastAsia="楷体_GB2312"/>
          <w:b w:val="0"/>
          <w:bCs/>
          <w:sz w:val="32"/>
          <w:szCs w:val="32"/>
        </w:rPr>
        <w:t>。</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加强武装工作，做好征兵宣传，增强群众的主要参军意识，提高民兵综合素质。</w:t>
      </w:r>
    </w:p>
    <w:p>
      <w:pPr>
        <w:pStyle w:val="8"/>
        <w:numPr>
          <w:ilvl w:val="0"/>
          <w:numId w:val="0"/>
        </w:numPr>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w:t>
      </w:r>
      <w:r>
        <w:rPr>
          <w:rFonts w:ascii="楷体_GB2312" w:hAnsi="宋体" w:eastAsia="楷体_GB2312"/>
          <w:b w:val="0"/>
          <w:bCs/>
          <w:sz w:val="32"/>
          <w:szCs w:val="32"/>
        </w:rPr>
        <w:t>预算安排及分配管理</w:t>
      </w:r>
      <w:r>
        <w:rPr>
          <w:rFonts w:hint="eastAsia" w:ascii="楷体_GB2312" w:hAnsi="宋体" w:eastAsia="楷体_GB2312"/>
          <w:b w:val="0"/>
          <w:bCs/>
          <w:sz w:val="32"/>
          <w:szCs w:val="32"/>
          <w:lang w:val="zh-CN"/>
        </w:rPr>
        <w:t>。</w:t>
      </w:r>
      <w:r>
        <w:rPr>
          <w:rFonts w:hint="eastAsia" w:ascii="仿宋_GB2312" w:hAnsi="仿宋_GB2312" w:eastAsia="仿宋_GB2312" w:cs="仿宋_GB2312"/>
          <w:kern w:val="2"/>
          <w:sz w:val="32"/>
          <w:szCs w:val="32"/>
          <w:lang w:val="zh-CN" w:eastAsia="zh-CN" w:bidi="ar-SA"/>
        </w:rPr>
        <w:t>通过预算编制，严格执行预算，保障单位日常运转，预算编制科学合理。</w:t>
      </w:r>
      <w:r>
        <w:rPr>
          <w:rFonts w:hint="eastAsia" w:hAnsi="仿宋_GB2312" w:cs="仿宋_GB2312"/>
          <w:kern w:val="2"/>
          <w:sz w:val="32"/>
          <w:szCs w:val="32"/>
          <w:lang w:val="zh-CN" w:eastAsia="zh-CN" w:bidi="ar-SA"/>
        </w:rPr>
        <w:t>加强基层武装和</w:t>
      </w:r>
      <w:r>
        <w:rPr>
          <w:rFonts w:hint="eastAsia" w:ascii="仿宋_GB2312" w:hAnsi="仿宋_GB2312" w:eastAsia="仿宋_GB2312" w:cs="仿宋_GB2312"/>
          <w:kern w:val="2"/>
          <w:sz w:val="32"/>
          <w:szCs w:val="32"/>
          <w:lang w:val="en-US" w:eastAsia="zh-CN" w:bidi="ar-SA"/>
        </w:rPr>
        <w:t>民兵预备训练</w:t>
      </w:r>
      <w:r>
        <w:rPr>
          <w:rFonts w:hint="eastAsia" w:hAnsi="仿宋_GB2312" w:cs="仿宋_GB2312"/>
          <w:kern w:val="2"/>
          <w:sz w:val="32"/>
          <w:szCs w:val="32"/>
          <w:lang w:val="zh-CN" w:eastAsia="zh-CN" w:bidi="ar-SA"/>
        </w:rPr>
        <w:t>工作</w:t>
      </w:r>
      <w:r>
        <w:rPr>
          <w:rFonts w:hint="eastAsia" w:hAnsi="仿宋_GB2312" w:cs="仿宋_GB2312"/>
          <w:kern w:val="2"/>
          <w:sz w:val="32"/>
          <w:szCs w:val="32"/>
          <w:lang w:val="en-US" w:eastAsia="zh-CN" w:bidi="ar-SA"/>
        </w:rPr>
        <w:t>，顺利</w:t>
      </w:r>
      <w:r>
        <w:rPr>
          <w:rFonts w:hint="eastAsia" w:ascii="仿宋_GB2312" w:hAnsi="仿宋_GB2312" w:eastAsia="仿宋_GB2312" w:cs="仿宋_GB2312"/>
          <w:kern w:val="2"/>
          <w:sz w:val="32"/>
          <w:szCs w:val="32"/>
          <w:lang w:val="en-US" w:eastAsia="zh-CN" w:bidi="ar-SA"/>
        </w:rPr>
        <w:t>完成征兵工作。</w:t>
      </w:r>
    </w:p>
    <w:p>
      <w:pPr>
        <w:pStyle w:val="8"/>
        <w:numPr>
          <w:ilvl w:val="0"/>
          <w:numId w:val="0"/>
        </w:numPr>
        <w:ind w:firstLine="640" w:firstLineChars="200"/>
        <w:rPr>
          <w:lang w:val="zh-CN"/>
        </w:rPr>
      </w:pPr>
      <w:r>
        <w:rPr>
          <w:rFonts w:hint="eastAsia" w:ascii="楷体_GB2312" w:hAnsi="宋体" w:eastAsia="楷体_GB2312"/>
          <w:b w:val="0"/>
          <w:bCs/>
          <w:sz w:val="32"/>
          <w:szCs w:val="32"/>
          <w:lang w:val="zh-CN"/>
        </w:rPr>
        <w:t>（四）项目绩效目标设置。</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宋体" w:eastAsia="仿宋_GB2312"/>
          <w:sz w:val="32"/>
          <w:szCs w:val="32"/>
          <w:lang w:val="zh-CN"/>
        </w:rPr>
        <w:t>绩效评价预算执行情况</w:t>
      </w:r>
      <w:r>
        <w:rPr>
          <w:rFonts w:hint="eastAsia" w:ascii="仿宋_GB2312" w:hAnsi="宋体" w:eastAsia="仿宋_GB2312"/>
          <w:sz w:val="32"/>
          <w:szCs w:val="32"/>
          <w:lang w:val="en-US" w:eastAsia="zh-CN"/>
        </w:rPr>
        <w:t>10分，绩效指标90分，合计100分。</w:t>
      </w:r>
      <w:r>
        <w:rPr>
          <w:rFonts w:hint="eastAsia" w:ascii="仿宋_GB2312" w:hAnsi="宋体" w:eastAsia="仿宋_GB2312"/>
          <w:sz w:val="32"/>
          <w:szCs w:val="32"/>
          <w:lang w:val="zh-CN"/>
        </w:rPr>
        <w:t>按照三级指标设置绩效指标，一级指标包括产出指标、效益指标、满意度指标，二级指标包括数量指标、质量指标、时效指标、社会效益指标、可持续影响指标、服务对象满意度指标，三级指标由具体事项构成。</w:t>
      </w:r>
      <w:r>
        <w:rPr>
          <w:rFonts w:hint="eastAsia" w:ascii="仿宋_GB2312" w:hAnsi="仿宋_GB2312" w:eastAsia="仿宋_GB2312" w:cs="仿宋_GB2312"/>
          <w:kern w:val="2"/>
          <w:sz w:val="32"/>
          <w:szCs w:val="32"/>
          <w:lang w:val="en-US" w:eastAsia="zh-CN" w:bidi="ar-SA"/>
        </w:rPr>
        <w:t>项目</w:t>
      </w:r>
      <w:r>
        <w:rPr>
          <w:rFonts w:hint="eastAsia" w:ascii="仿宋_GB2312" w:hAnsi="仿宋_GB2312" w:eastAsia="仿宋_GB2312" w:cs="仿宋_GB2312"/>
          <w:kern w:val="2"/>
          <w:sz w:val="32"/>
          <w:szCs w:val="32"/>
          <w:lang w:val="zh-CN" w:eastAsia="zh-CN" w:bidi="ar-SA"/>
        </w:rPr>
        <w:t>申报内容与实际相符，申报目标合理。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二、评价实施</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（一）评价目的。</w:t>
      </w:r>
      <w:r>
        <w:rPr>
          <w:rFonts w:hint="eastAsia" w:ascii="仿宋_GB2312" w:hAnsi="仿宋_GB2312" w:eastAsia="仿宋_GB2312" w:cs="仿宋_GB2312"/>
          <w:b w:val="0"/>
          <w:bCs/>
          <w:kern w:val="0"/>
          <w:sz w:val="32"/>
          <w:szCs w:val="32"/>
          <w:lang w:val="zh-CN"/>
        </w:rPr>
        <w:t>通过项目绩效自评实现武装及征兵工作顺利开展。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（二）预设问题及评价重点。</w:t>
      </w:r>
      <w:r>
        <w:rPr>
          <w:rFonts w:hint="eastAsia" w:ascii="仿宋_GB2312" w:hAnsi="仿宋_GB2312" w:eastAsia="仿宋_GB2312" w:cs="仿宋_GB2312"/>
          <w:b w:val="0"/>
          <w:bCs/>
          <w:kern w:val="0"/>
          <w:sz w:val="32"/>
          <w:szCs w:val="32"/>
          <w:lang w:val="zh-CN"/>
        </w:rPr>
        <w:t>按照绩效评价指标体系，通过三级指标的设置，对基层武装及征兵项目资金支出使用全过程及其实施效果进行综合评价和判断。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（三）评价选点。</w:t>
      </w:r>
      <w:r>
        <w:rPr>
          <w:rFonts w:hint="eastAsia" w:ascii="仿宋_GB2312" w:hAnsi="仿宋_GB2312" w:eastAsia="仿宋_GB2312" w:cs="仿宋_GB2312"/>
          <w:b w:val="0"/>
          <w:bCs/>
          <w:kern w:val="0"/>
          <w:sz w:val="32"/>
          <w:szCs w:val="32"/>
          <w:lang w:val="zh-CN"/>
        </w:rPr>
        <w:t>基层武装及征兵工作是长期项目，纳入每年预算项目，是评价单位基层武装和征兵工作情况的重要环节。</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（四）评价方法。</w:t>
      </w:r>
      <w:r>
        <w:rPr>
          <w:rFonts w:hint="eastAsia" w:ascii="仿宋_GB2312" w:hAnsi="仿宋_GB2312" w:eastAsia="仿宋_GB2312" w:cs="仿宋_GB2312"/>
          <w:b w:val="0"/>
          <w:bCs/>
          <w:kern w:val="0"/>
          <w:sz w:val="32"/>
          <w:szCs w:val="32"/>
          <w:lang w:val="zh-CN"/>
        </w:rPr>
        <w:t>通过数量、质量、时效、社会效益、可持续影响、服务对象满意度等指标进行设置和分析，通过自评方式，</w:t>
      </w:r>
      <w:r>
        <w:rPr>
          <w:rFonts w:hint="eastAsia" w:ascii="仿宋_GB2312" w:hAnsi="仿宋_GB2312" w:eastAsia="仿宋_GB2312" w:cs="仿宋_GB2312"/>
          <w:kern w:val="2"/>
          <w:sz w:val="32"/>
          <w:szCs w:val="32"/>
          <w:lang w:val="zh-CN" w:eastAsia="zh-CN" w:bidi="ar-SA"/>
        </w:rPr>
        <w:t>根据绩效目标开展绩效自评，保质保量完成工作任务</w:t>
      </w:r>
      <w:r>
        <w:rPr>
          <w:rFonts w:hint="eastAsia" w:ascii="仿宋_GB2312" w:hAnsi="仿宋_GB2312" w:eastAsia="仿宋_GB2312" w:cs="仿宋_GB2312"/>
          <w:b w:val="0"/>
          <w:bCs/>
          <w:kern w:val="0"/>
          <w:sz w:val="32"/>
          <w:szCs w:val="32"/>
          <w:lang w:val="zh-CN"/>
        </w:rPr>
        <w:t>。</w:t>
      </w:r>
    </w:p>
    <w:p>
      <w:pPr>
        <w:keepNext w:val="0"/>
        <w:keepLines w:val="0"/>
        <w:pageBreakBefore w:val="0"/>
        <w:kinsoku/>
        <w:wordWrap/>
        <w:overflowPunct/>
        <w:topLinePunct w:val="0"/>
        <w:autoSpaceDE/>
        <w:autoSpaceDN/>
        <w:bidi w:val="0"/>
        <w:spacing w:line="600" w:lineRule="exact"/>
        <w:ind w:firstLine="640"/>
        <w:textAlignment w:val="auto"/>
        <w:rPr>
          <w:rFonts w:hint="eastAsia" w:eastAsia="仿宋_GB2312"/>
          <w:b w:val="0"/>
          <w:bCs/>
          <w:sz w:val="32"/>
          <w:szCs w:val="32"/>
        </w:rPr>
      </w:pPr>
      <w:r>
        <w:rPr>
          <w:rFonts w:hint="eastAsia" w:ascii="楷体_GB2312" w:hAnsi="宋体" w:eastAsia="楷体_GB2312"/>
          <w:b w:val="0"/>
          <w:bCs/>
          <w:sz w:val="32"/>
          <w:szCs w:val="32"/>
          <w:lang w:val="zh-CN"/>
        </w:rPr>
        <w:t>（五）评价组织。</w:t>
      </w:r>
      <w:r>
        <w:rPr>
          <w:rFonts w:hint="eastAsia" w:ascii="仿宋_GB2312" w:hAnsi="仿宋_GB2312" w:eastAsia="仿宋_GB2312" w:cs="仿宋_GB2312"/>
          <w:b w:val="0"/>
          <w:bCs/>
          <w:kern w:val="0"/>
          <w:sz w:val="32"/>
          <w:szCs w:val="32"/>
          <w:lang w:val="zh-CN"/>
        </w:rPr>
        <w:t>评价组人员由武装工作人员及财政所人员构成。武装工作人员年初做好全年工作任务计划，按照任务计划实施，年终对工作开展情况进行自评；财政所工作人员负责对工作开展前、中、后进行监督和指导。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sz w:val="32"/>
          <w:szCs w:val="32"/>
          <w:lang w:val="zh-CN"/>
        </w:rPr>
      </w:pPr>
      <w:r>
        <w:rPr>
          <w:rFonts w:hint="eastAsia" w:ascii="黑体" w:hAnsi="宋体" w:eastAsia="黑体"/>
          <w:sz w:val="32"/>
          <w:szCs w:val="32"/>
        </w:rPr>
        <w:t>三、绩效分析</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宋体" w:eastAsia="仿宋_GB2312"/>
          <w:sz w:val="32"/>
          <w:szCs w:val="32"/>
          <w:lang w:val="zh-CN"/>
        </w:rPr>
        <w:t>基层武装及征兵项目按照三级指标设置绩效指标，一级指标包括产出指标、效益指标、满意度指标，分析如下</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600" w:lineRule="exact"/>
        <w:ind w:firstLine="640"/>
        <w:textAlignment w:val="auto"/>
        <w:rPr>
          <w:rFonts w:hint="eastAsia" w:ascii="楷体_GB2312" w:hAnsi="宋体" w:eastAsia="楷体_GB2312"/>
          <w:b w:val="0"/>
          <w:bCs/>
          <w:sz w:val="32"/>
          <w:szCs w:val="32"/>
        </w:rPr>
      </w:pPr>
      <w:r>
        <w:rPr>
          <w:rFonts w:hint="eastAsia" w:ascii="楷体_GB2312" w:hAnsi="宋体" w:eastAsia="楷体_GB2312"/>
          <w:b w:val="0"/>
          <w:bCs/>
          <w:sz w:val="32"/>
          <w:szCs w:val="32"/>
          <w:lang w:val="zh-CN"/>
        </w:rPr>
        <w:t>（一）产出指标</w:t>
      </w:r>
      <w:r>
        <w:rPr>
          <w:rFonts w:ascii="Times New Roman" w:hAnsi="Times New Roman" w:eastAsia="楷体_GB2312"/>
          <w:b w:val="0"/>
          <w:bCs/>
          <w:color w:val="000000"/>
          <w:kern w:val="0"/>
          <w:sz w:val="32"/>
          <w:szCs w:val="32"/>
          <w:shd w:val="clear" w:color="auto" w:fill="FFFFFF"/>
          <w:lang w:val="zh-CN"/>
        </w:rPr>
        <w:t>绩效分析</w:t>
      </w:r>
    </w:p>
    <w:p>
      <w:pPr>
        <w:spacing w:line="60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kern w:val="2"/>
          <w:sz w:val="32"/>
          <w:szCs w:val="32"/>
          <w:lang w:val="zh-CN" w:eastAsia="zh-CN" w:bidi="ar-SA"/>
        </w:rPr>
        <w:t>项目资金严格按照相关资金申报规定进行申报，通过申报、批复、预算调整等程序。保障大为镇全年武装及征兵工作顺利开展。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eastAsia="zh-CN"/>
        </w:rPr>
        <w:t>严格执行预算，保障单位日常运转，预算编制科学合理，该项目主要用于基层武装和征兵工作开展，做好资金保障，做好项目自评工作，按照自评指标进行准确打分，确保项目正常开展。</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kern w:val="2"/>
          <w:sz w:val="32"/>
          <w:szCs w:val="32"/>
          <w:lang w:val="zh-CN" w:eastAsia="zh-CN" w:bidi="ar-SA"/>
        </w:rPr>
        <w:t>武装工作经费总投资</w:t>
      </w:r>
      <w:r>
        <w:rPr>
          <w:rFonts w:hint="eastAsia" w:ascii="仿宋_GB2312" w:hAnsi="仿宋_GB2312" w:eastAsia="仿宋_GB2312" w:cs="仿宋_GB2312"/>
          <w:kern w:val="2"/>
          <w:sz w:val="32"/>
          <w:szCs w:val="32"/>
          <w:lang w:val="en-US" w:eastAsia="zh-CN" w:bidi="ar-SA"/>
        </w:rPr>
        <w:t>2.97</w:t>
      </w:r>
      <w:r>
        <w:rPr>
          <w:rFonts w:hint="eastAsia" w:ascii="仿宋_GB2312" w:hAnsi="仿宋_GB2312" w:eastAsia="仿宋_GB2312" w:cs="仿宋_GB2312"/>
          <w:kern w:val="2"/>
          <w:sz w:val="32"/>
          <w:szCs w:val="32"/>
          <w:lang w:val="zh-CN" w:eastAsia="zh-CN" w:bidi="ar-SA"/>
        </w:rPr>
        <w:t>万元，实际财政资金到位</w:t>
      </w:r>
      <w:r>
        <w:rPr>
          <w:rFonts w:hint="eastAsia" w:ascii="仿宋_GB2312" w:hAnsi="仿宋_GB2312" w:eastAsia="仿宋_GB2312" w:cs="仿宋_GB2312"/>
          <w:kern w:val="2"/>
          <w:sz w:val="32"/>
          <w:szCs w:val="32"/>
          <w:lang w:val="en-US" w:eastAsia="zh-CN" w:bidi="ar-SA"/>
        </w:rPr>
        <w:t>2.97</w:t>
      </w:r>
      <w:r>
        <w:rPr>
          <w:rFonts w:hint="eastAsia" w:ascii="仿宋_GB2312" w:hAnsi="仿宋_GB2312" w:eastAsia="仿宋_GB2312" w:cs="仿宋_GB2312"/>
          <w:kern w:val="2"/>
          <w:sz w:val="32"/>
          <w:szCs w:val="32"/>
          <w:lang w:val="zh-CN" w:eastAsia="zh-CN" w:bidi="ar-SA"/>
        </w:rPr>
        <w:t>万元，到位率100%。支付率达到100%，对财政资金的使用严格执行国家法律、法规，按照《会计法》财务规则制度，科学、合理的使用资金，及时处理各笔款项，会计核算规范。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4．项目结果。</w:t>
      </w:r>
      <w:r>
        <w:rPr>
          <w:rFonts w:hint="eastAsia" w:ascii="仿宋_GB2312" w:hAnsi="仿宋_GB2312" w:eastAsia="仿宋_GB2312" w:cs="仿宋_GB2312"/>
          <w:sz w:val="32"/>
          <w:szCs w:val="32"/>
          <w:lang w:eastAsia="zh-CN"/>
        </w:rPr>
        <w:t>按照全年目标任务，圆满完成工作，及时支付各项相关经费。</w:t>
      </w:r>
      <w:r>
        <w:rPr>
          <w:rFonts w:hint="eastAsia" w:ascii="仿宋_GB2312" w:hAnsi="仿宋_GB2312" w:eastAsia="仿宋_GB2312" w:cs="仿宋_GB2312"/>
          <w:kern w:val="0"/>
          <w:sz w:val="32"/>
          <w:szCs w:val="32"/>
        </w:rPr>
        <w:t>围绕</w:t>
      </w:r>
      <w:r>
        <w:rPr>
          <w:rFonts w:hint="eastAsia" w:ascii="仿宋_GB2312" w:hAnsi="仿宋_GB2312" w:eastAsia="仿宋_GB2312" w:cs="仿宋_GB2312"/>
          <w:kern w:val="0"/>
          <w:sz w:val="32"/>
          <w:szCs w:val="32"/>
          <w:lang w:val="zh-CN"/>
        </w:rPr>
        <w:t>目标完成、完成时效进行绩效分析。</w:t>
      </w:r>
    </w:p>
    <w:p>
      <w:pPr>
        <w:spacing w:line="578" w:lineRule="exact"/>
        <w:ind w:firstLine="640" w:firstLineChars="200"/>
        <w:rPr>
          <w:rFonts w:ascii="Times New Roman" w:hAnsi="Times New Roman" w:eastAsia="楷体_GB2312"/>
          <w:b w:val="0"/>
          <w:bCs/>
          <w:color w:val="000000"/>
          <w:kern w:val="0"/>
          <w:sz w:val="32"/>
          <w:szCs w:val="32"/>
          <w:shd w:val="clear" w:color="auto" w:fill="FFFFFF"/>
          <w:lang w:val="zh-CN"/>
        </w:rPr>
      </w:pPr>
      <w:r>
        <w:rPr>
          <w:rFonts w:hint="eastAsia" w:ascii="楷体_GB2312" w:hAnsi="宋体" w:eastAsia="楷体_GB2312"/>
          <w:b w:val="0"/>
          <w:bCs/>
          <w:sz w:val="32"/>
          <w:szCs w:val="32"/>
          <w:lang w:val="zh-CN"/>
        </w:rPr>
        <w:t>（二）效益</w:t>
      </w:r>
      <w:r>
        <w:rPr>
          <w:rFonts w:hint="eastAsia" w:ascii="楷体_GB2312" w:hAnsi="宋体" w:eastAsia="楷体_GB2312"/>
          <w:b w:val="0"/>
          <w:bCs/>
          <w:sz w:val="32"/>
          <w:szCs w:val="32"/>
        </w:rPr>
        <w:t>指标</w:t>
      </w:r>
      <w:r>
        <w:rPr>
          <w:rFonts w:ascii="Times New Roman" w:hAnsi="Times New Roman" w:eastAsia="楷体_GB2312"/>
          <w:b w:val="0"/>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lang w:val="zh-CN"/>
        </w:rPr>
        <w:t>项目的实施，</w:t>
      </w:r>
      <w:r>
        <w:rPr>
          <w:rFonts w:hint="eastAsia" w:ascii="仿宋_GB2312" w:hAnsi="仿宋_GB2312" w:eastAsia="仿宋_GB2312" w:cs="仿宋_GB2312"/>
          <w:kern w:val="2"/>
          <w:sz w:val="32"/>
          <w:szCs w:val="32"/>
          <w:lang w:val="zh-CN" w:eastAsia="zh-CN" w:bidi="ar-SA"/>
        </w:rPr>
        <w:t>营造了良好的社会氛围，</w:t>
      </w:r>
      <w:r>
        <w:rPr>
          <w:rFonts w:hint="eastAsia" w:ascii="仿宋_GB2312" w:hAnsi="仿宋_GB2312" w:eastAsia="仿宋_GB2312" w:cs="仿宋_GB2312"/>
          <w:sz w:val="32"/>
          <w:szCs w:val="32"/>
          <w:lang w:val="zh-CN"/>
        </w:rPr>
        <w:t>提高群众对武装工作支持率，提高辖区适龄青年参军积极性。</w:t>
      </w:r>
    </w:p>
    <w:p>
      <w:pPr>
        <w:spacing w:line="578" w:lineRule="exact"/>
        <w:ind w:firstLine="640"/>
        <w:rPr>
          <w:rFonts w:ascii="Times New Roman" w:hAnsi="Times New Roman" w:eastAsia="楷体_GB2312"/>
          <w:b w:val="0"/>
          <w:bCs/>
          <w:color w:val="000000"/>
          <w:kern w:val="0"/>
          <w:sz w:val="32"/>
          <w:szCs w:val="32"/>
          <w:shd w:val="clear" w:color="auto" w:fill="FFFFFF"/>
          <w:lang w:val="zh-CN"/>
        </w:rPr>
      </w:pPr>
      <w:r>
        <w:rPr>
          <w:rFonts w:hint="eastAsia" w:ascii="楷体_GB2312" w:hAnsi="宋体" w:eastAsia="楷体_GB2312"/>
          <w:b w:val="0"/>
          <w:bCs/>
          <w:sz w:val="32"/>
          <w:szCs w:val="32"/>
          <w:lang w:val="zh-CN"/>
        </w:rPr>
        <w:t>（三）满意度</w:t>
      </w:r>
      <w:r>
        <w:rPr>
          <w:rFonts w:hint="eastAsia" w:ascii="楷体_GB2312" w:hAnsi="宋体" w:eastAsia="楷体_GB2312"/>
          <w:b w:val="0"/>
          <w:bCs/>
          <w:sz w:val="32"/>
          <w:szCs w:val="32"/>
        </w:rPr>
        <w:t>指标</w:t>
      </w:r>
      <w:r>
        <w:rPr>
          <w:rFonts w:ascii="Times New Roman" w:hAnsi="Times New Roman" w:eastAsia="楷体_GB2312"/>
          <w:b w:val="0"/>
          <w:bCs/>
          <w:color w:val="000000"/>
          <w:kern w:val="0"/>
          <w:sz w:val="32"/>
          <w:szCs w:val="32"/>
          <w:shd w:val="clear" w:color="auto" w:fill="FFFFFF"/>
          <w:lang w:val="zh-CN"/>
        </w:rPr>
        <w:t>绩效分析</w:t>
      </w:r>
    </w:p>
    <w:p>
      <w:pPr>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kern w:val="2"/>
          <w:sz w:val="32"/>
          <w:szCs w:val="32"/>
          <w:lang w:val="zh-CN" w:eastAsia="zh-CN" w:bidi="ar-SA"/>
        </w:rPr>
        <w:t>项目的实施，受到群众的一致好评，群众满意度较高。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通过项目绩效管理自评，严格按照相关评价体系进行自评，自评评分为100分。</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六、存在主要问题</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无。</w:t>
      </w:r>
    </w:p>
    <w:p>
      <w:pPr>
        <w:ind w:firstLine="640" w:firstLineChars="200"/>
        <w:rPr>
          <w:rFonts w:ascii="黑体" w:hAnsi="黑体" w:eastAsia="黑体"/>
          <w:sz w:val="32"/>
          <w:szCs w:val="32"/>
          <w:lang w:val="zh-CN"/>
        </w:rPr>
      </w:pPr>
      <w:r>
        <w:rPr>
          <w:rFonts w:hint="eastAsia" w:ascii="黑体" w:hAnsi="黑体" w:eastAsia="黑体"/>
          <w:sz w:val="32"/>
          <w:szCs w:val="32"/>
          <w:lang w:val="zh-CN"/>
        </w:rPr>
        <w:t>七、改进建议</w:t>
      </w:r>
    </w:p>
    <w:p>
      <w:pPr>
        <w:keepNext w:val="0"/>
        <w:keepLines w:val="0"/>
        <w:pageBreakBefore w:val="0"/>
        <w:kinsoku/>
        <w:wordWrap/>
        <w:overflowPunct/>
        <w:topLinePunct w:val="0"/>
        <w:bidi w:val="0"/>
        <w:snapToGrid w:val="0"/>
        <w:spacing w:line="600" w:lineRule="exact"/>
        <w:ind w:firstLine="800" w:firstLineChars="25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无。</w:t>
      </w:r>
    </w:p>
    <w:p>
      <w:pPr>
        <w:pStyle w:val="2"/>
        <w:rPr>
          <w:rFonts w:hint="eastAsia" w:ascii="仿宋_GB2312" w:hAnsi="仿宋_GB2312" w:eastAsia="仿宋_GB2312" w:cs="仿宋_GB2312"/>
          <w:kern w:val="2"/>
          <w:sz w:val="32"/>
          <w:szCs w:val="32"/>
          <w:lang w:val="zh-CN" w:eastAsia="zh-CN" w:bidi="ar-SA"/>
        </w:rPr>
      </w:pPr>
    </w:p>
    <w:p>
      <w:pPr>
        <w:pStyle w:val="3"/>
        <w:ind w:left="0" w:leftChars="0" w:firstLine="0" w:firstLineChars="0"/>
        <w:rPr>
          <w:rFonts w:hint="eastAsia" w:ascii="仿宋_GB2312" w:hAnsi="仿宋_GB2312" w:eastAsia="仿宋_GB2312" w:cs="仿宋_GB2312"/>
          <w:kern w:val="2"/>
          <w:sz w:val="32"/>
          <w:szCs w:val="32"/>
          <w:lang w:val="zh-CN" w:eastAsia="zh-CN" w:bidi="ar-SA"/>
        </w:rPr>
      </w:pPr>
    </w:p>
    <w:p>
      <w:pPr>
        <w:rPr>
          <w:rFonts w:hint="eastAsia" w:ascii="仿宋_GB2312" w:hAnsi="仿宋_GB2312" w:eastAsia="仿宋_GB2312" w:cs="仿宋_GB2312"/>
          <w:kern w:val="2"/>
          <w:sz w:val="32"/>
          <w:szCs w:val="32"/>
          <w:lang w:val="zh-CN" w:eastAsia="zh-CN" w:bidi="ar-SA"/>
        </w:rPr>
      </w:pPr>
    </w:p>
    <w:p>
      <w:pPr>
        <w:pStyle w:val="2"/>
        <w:rPr>
          <w:rFonts w:hint="eastAsia" w:ascii="仿宋_GB2312" w:hAnsi="仿宋_GB2312" w:eastAsia="仿宋_GB2312" w:cs="仿宋_GB2312"/>
          <w:kern w:val="2"/>
          <w:sz w:val="32"/>
          <w:szCs w:val="32"/>
          <w:lang w:val="zh-CN" w:eastAsia="zh-CN" w:bidi="ar-SA"/>
        </w:rPr>
      </w:pPr>
    </w:p>
    <w:p>
      <w:pPr>
        <w:pStyle w:val="3"/>
        <w:rPr>
          <w:rFonts w:hint="eastAsia" w:ascii="仿宋_GB2312" w:hAnsi="仿宋_GB2312" w:eastAsia="仿宋_GB2312" w:cs="仿宋_GB2312"/>
          <w:kern w:val="2"/>
          <w:sz w:val="32"/>
          <w:szCs w:val="32"/>
          <w:lang w:val="zh-CN" w:eastAsia="zh-CN" w:bidi="ar-SA"/>
        </w:rPr>
      </w:pPr>
    </w:p>
    <w:p>
      <w:pPr>
        <w:rPr>
          <w:rFonts w:hint="eastAsia" w:ascii="仿宋_GB2312" w:hAnsi="仿宋_GB2312" w:eastAsia="仿宋_GB2312" w:cs="仿宋_GB2312"/>
          <w:kern w:val="2"/>
          <w:sz w:val="32"/>
          <w:szCs w:val="32"/>
          <w:lang w:val="zh-CN" w:eastAsia="zh-CN" w:bidi="ar-SA"/>
        </w:rPr>
      </w:pPr>
    </w:p>
    <w:p>
      <w:pPr>
        <w:pStyle w:val="2"/>
        <w:rPr>
          <w:rFonts w:hint="eastAsia" w:ascii="仿宋_GB2312" w:hAnsi="仿宋_GB2312" w:eastAsia="仿宋_GB2312" w:cs="仿宋_GB2312"/>
          <w:kern w:val="2"/>
          <w:sz w:val="32"/>
          <w:szCs w:val="32"/>
          <w:lang w:val="zh-CN" w:eastAsia="zh-CN" w:bidi="ar-SA"/>
        </w:rPr>
      </w:pPr>
    </w:p>
    <w:p>
      <w:pPr>
        <w:pStyle w:val="3"/>
        <w:rPr>
          <w:rFonts w:hint="eastAsia" w:ascii="仿宋_GB2312" w:hAnsi="仿宋_GB2312" w:eastAsia="仿宋_GB2312" w:cs="仿宋_GB2312"/>
          <w:kern w:val="2"/>
          <w:sz w:val="32"/>
          <w:szCs w:val="32"/>
          <w:lang w:val="zh-CN" w:eastAsia="zh-CN" w:bidi="ar-SA"/>
        </w:rPr>
      </w:pPr>
    </w:p>
    <w:p>
      <w:pPr>
        <w:rPr>
          <w:rFonts w:hint="eastAsia" w:ascii="仿宋_GB2312" w:hAnsi="仿宋_GB2312" w:eastAsia="仿宋_GB2312" w:cs="仿宋_GB2312"/>
          <w:kern w:val="2"/>
          <w:sz w:val="32"/>
          <w:szCs w:val="32"/>
          <w:lang w:val="zh-CN" w:eastAsia="zh-CN" w:bidi="ar-SA"/>
        </w:rPr>
      </w:pPr>
    </w:p>
    <w:p>
      <w:pPr>
        <w:pStyle w:val="2"/>
        <w:rPr>
          <w:rFonts w:hint="eastAsia" w:ascii="仿宋_GB2312" w:hAnsi="仿宋_GB2312" w:eastAsia="仿宋_GB2312" w:cs="仿宋_GB2312"/>
          <w:kern w:val="2"/>
          <w:sz w:val="32"/>
          <w:szCs w:val="32"/>
          <w:lang w:val="zh-CN" w:eastAsia="zh-CN" w:bidi="ar-SA"/>
        </w:rPr>
      </w:pPr>
    </w:p>
    <w:p>
      <w:pPr>
        <w:pStyle w:val="3"/>
        <w:rPr>
          <w:rFonts w:hint="eastAsia" w:ascii="仿宋_GB2312" w:hAnsi="仿宋_GB2312" w:eastAsia="仿宋_GB2312" w:cs="仿宋_GB2312"/>
          <w:kern w:val="2"/>
          <w:sz w:val="32"/>
          <w:szCs w:val="32"/>
          <w:lang w:val="zh-CN" w:eastAsia="zh-CN" w:bidi="ar-SA"/>
        </w:rPr>
      </w:pPr>
    </w:p>
    <w:p>
      <w:pPr>
        <w:rPr>
          <w:rFonts w:hint="eastAsia" w:ascii="仿宋_GB2312" w:hAnsi="仿宋_GB2312" w:eastAsia="仿宋_GB2312" w:cs="仿宋_GB2312"/>
          <w:kern w:val="2"/>
          <w:sz w:val="32"/>
          <w:szCs w:val="32"/>
          <w:lang w:val="zh-CN" w:eastAsia="zh-CN" w:bidi="ar-SA"/>
        </w:rPr>
      </w:pPr>
    </w:p>
    <w:p>
      <w:pPr>
        <w:pStyle w:val="2"/>
        <w:rPr>
          <w:rFonts w:hint="eastAsia" w:ascii="仿宋_GB2312" w:hAnsi="仿宋_GB2312" w:eastAsia="仿宋_GB2312" w:cs="仿宋_GB2312"/>
          <w:kern w:val="2"/>
          <w:sz w:val="32"/>
          <w:szCs w:val="32"/>
          <w:lang w:val="zh-CN" w:eastAsia="zh-CN" w:bidi="ar-SA"/>
        </w:rPr>
      </w:pPr>
    </w:p>
    <w:p>
      <w:pPr>
        <w:pStyle w:val="3"/>
        <w:rPr>
          <w:rFonts w:hint="eastAsia" w:ascii="仿宋_GB2312" w:hAnsi="仿宋_GB2312" w:eastAsia="仿宋_GB2312" w:cs="仿宋_GB2312"/>
          <w:kern w:val="2"/>
          <w:sz w:val="32"/>
          <w:szCs w:val="32"/>
          <w:lang w:val="zh-CN" w:eastAsia="zh-CN" w:bidi="ar-SA"/>
        </w:rPr>
      </w:pPr>
    </w:p>
    <w:p>
      <w:pPr>
        <w:rPr>
          <w:rFonts w:hint="eastAsia" w:ascii="仿宋_GB2312" w:hAnsi="仿宋_GB2312" w:eastAsia="仿宋_GB2312" w:cs="仿宋_GB2312"/>
          <w:kern w:val="2"/>
          <w:sz w:val="32"/>
          <w:szCs w:val="32"/>
          <w:lang w:val="zh-CN" w:eastAsia="zh-CN" w:bidi="ar-SA"/>
        </w:rPr>
      </w:pPr>
    </w:p>
    <w:p>
      <w:pPr>
        <w:rPr>
          <w:rFonts w:hint="eastAsia"/>
          <w:lang w:val="zh-CN"/>
        </w:rPr>
      </w:pP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交管办和村级劝导员经费项目支出绩效</w:t>
      </w:r>
    </w:p>
    <w:p>
      <w:pPr>
        <w:keepNext w:val="0"/>
        <w:keepLines w:val="0"/>
        <w:pageBreakBefore w:val="0"/>
        <w:kinsoku/>
        <w:wordWrap/>
        <w:overflowPunct/>
        <w:topLinePunct w:val="0"/>
        <w:bidi w:val="0"/>
        <w:spacing w:line="600" w:lineRule="exact"/>
        <w:jc w:val="center"/>
        <w:textAlignment w:val="auto"/>
      </w:pPr>
      <w:r>
        <w:rPr>
          <w:rFonts w:hint="eastAsia" w:ascii="方正小标宋简体" w:hAnsi="方正小标宋简体" w:eastAsia="方正小标宋简体" w:cs="方正小标宋简体"/>
          <w:sz w:val="44"/>
          <w:szCs w:val="44"/>
          <w:lang w:val="zh-CN"/>
        </w:rPr>
        <w:t>自评报告</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（一）设立背景及基本情况。</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保障大为镇交通工作顺利开展。</w:t>
      </w:r>
      <w:r>
        <w:rPr>
          <w:rFonts w:hint="eastAsia" w:ascii="仿宋_GB2312" w:hAnsi="仿宋_GB2312" w:eastAsia="仿宋_GB2312" w:cs="仿宋_GB2312"/>
          <w:kern w:val="2"/>
          <w:sz w:val="32"/>
          <w:szCs w:val="32"/>
          <w:lang w:val="zh-CN" w:eastAsia="zh-CN" w:bidi="ar-SA"/>
        </w:rPr>
        <w:t>加强</w:t>
      </w:r>
      <w:r>
        <w:rPr>
          <w:rFonts w:hint="eastAsia" w:ascii="仿宋_GB2312" w:hAnsi="仿宋_GB2312" w:eastAsia="仿宋_GB2312" w:cs="仿宋_GB2312"/>
          <w:kern w:val="2"/>
          <w:sz w:val="32"/>
          <w:szCs w:val="32"/>
          <w:lang w:val="en-US" w:eastAsia="zh-CN" w:bidi="ar-SA"/>
        </w:rPr>
        <w:t>交管办及村级劝导员管理工作、积极开展安全宣传教育活动，保障道路安全。</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楷体_GB2312" w:hAnsi="宋体" w:eastAsia="楷体_GB2312"/>
          <w:b w:val="0"/>
          <w:bCs/>
          <w:sz w:val="32"/>
          <w:szCs w:val="32"/>
        </w:rPr>
      </w:pPr>
      <w:r>
        <w:rPr>
          <w:rFonts w:hint="eastAsia" w:ascii="楷体_GB2312" w:hAnsi="宋体" w:eastAsia="楷体_GB2312"/>
          <w:b w:val="0"/>
          <w:bCs/>
          <w:sz w:val="32"/>
          <w:szCs w:val="32"/>
          <w:lang w:eastAsia="zh-CN"/>
        </w:rPr>
        <w:t>（二）</w:t>
      </w:r>
      <w:r>
        <w:rPr>
          <w:rFonts w:ascii="楷体_GB2312" w:hAnsi="宋体" w:eastAsia="楷体_GB2312"/>
          <w:b w:val="0"/>
          <w:bCs/>
          <w:sz w:val="32"/>
          <w:szCs w:val="32"/>
        </w:rPr>
        <w:t>实施目的及支持方向</w:t>
      </w:r>
      <w:r>
        <w:rPr>
          <w:rFonts w:hint="eastAsia" w:ascii="楷体_GB2312" w:hAnsi="宋体" w:eastAsia="楷体_GB2312"/>
          <w:b w:val="0"/>
          <w:bCs/>
          <w:sz w:val="32"/>
          <w:szCs w:val="32"/>
        </w:rPr>
        <w:t>。</w:t>
      </w:r>
    </w:p>
    <w:p>
      <w:pPr>
        <w:pStyle w:val="8"/>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保障交通劝导员工资经费及交管办工作正常开展，保障全镇交通安全稳定。</w:t>
      </w:r>
    </w:p>
    <w:p>
      <w:pPr>
        <w:pStyle w:val="8"/>
        <w:numPr>
          <w:ilvl w:val="0"/>
          <w:numId w:val="0"/>
        </w:numPr>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w:t>
      </w:r>
      <w:r>
        <w:rPr>
          <w:rFonts w:ascii="楷体_GB2312" w:hAnsi="宋体" w:eastAsia="楷体_GB2312"/>
          <w:b w:val="0"/>
          <w:bCs/>
          <w:sz w:val="32"/>
          <w:szCs w:val="32"/>
        </w:rPr>
        <w:t>预算安排及分配管理</w:t>
      </w:r>
      <w:r>
        <w:rPr>
          <w:rFonts w:hint="eastAsia" w:ascii="楷体_GB2312" w:hAnsi="宋体" w:eastAsia="楷体_GB2312"/>
          <w:b w:val="0"/>
          <w:bCs/>
          <w:sz w:val="32"/>
          <w:szCs w:val="32"/>
          <w:lang w:val="zh-CN"/>
        </w:rPr>
        <w:t>。</w:t>
      </w:r>
      <w:r>
        <w:rPr>
          <w:rFonts w:hint="eastAsia" w:ascii="仿宋_GB2312" w:hAnsi="仿宋_GB2312" w:eastAsia="仿宋_GB2312" w:cs="仿宋_GB2312"/>
          <w:kern w:val="2"/>
          <w:sz w:val="32"/>
          <w:szCs w:val="32"/>
          <w:lang w:val="zh-CN" w:eastAsia="zh-CN" w:bidi="ar-SA"/>
        </w:rPr>
        <w:t>通过预算编制，严格执行预算，保障单位日常运转，预算编制科学合理。</w:t>
      </w:r>
      <w:r>
        <w:rPr>
          <w:rFonts w:hint="eastAsia" w:hAnsi="仿宋_GB2312" w:cs="仿宋_GB2312"/>
          <w:kern w:val="2"/>
          <w:sz w:val="32"/>
          <w:szCs w:val="32"/>
          <w:lang w:val="en-US" w:eastAsia="zh-CN" w:bidi="ar-SA"/>
        </w:rPr>
        <w:t>保障交通安全</w:t>
      </w:r>
      <w:r>
        <w:rPr>
          <w:rFonts w:hint="eastAsia" w:ascii="仿宋_GB2312" w:hAnsi="仿宋_GB2312" w:eastAsia="仿宋_GB2312" w:cs="仿宋_GB2312"/>
          <w:kern w:val="2"/>
          <w:sz w:val="32"/>
          <w:szCs w:val="32"/>
          <w:lang w:val="en-US" w:eastAsia="zh-CN" w:bidi="ar-SA"/>
        </w:rPr>
        <w:t>。</w:t>
      </w:r>
    </w:p>
    <w:p>
      <w:pPr>
        <w:pStyle w:val="8"/>
        <w:numPr>
          <w:ilvl w:val="0"/>
          <w:numId w:val="0"/>
        </w:numPr>
        <w:ind w:firstLine="640" w:firstLineChars="200"/>
        <w:rPr>
          <w:lang w:val="zh-CN"/>
        </w:rPr>
      </w:pPr>
      <w:r>
        <w:rPr>
          <w:rFonts w:hint="eastAsia" w:ascii="楷体_GB2312" w:hAnsi="宋体" w:eastAsia="楷体_GB2312"/>
          <w:b w:val="0"/>
          <w:bCs/>
          <w:sz w:val="32"/>
          <w:szCs w:val="32"/>
          <w:lang w:val="zh-CN"/>
        </w:rPr>
        <w:t>（四）项目绩效目标设置。</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宋体" w:eastAsia="仿宋_GB2312"/>
          <w:sz w:val="32"/>
          <w:szCs w:val="32"/>
          <w:lang w:val="zh-CN"/>
        </w:rPr>
        <w:t>绩效评价预算执行情况</w:t>
      </w:r>
      <w:r>
        <w:rPr>
          <w:rFonts w:hint="eastAsia" w:ascii="仿宋_GB2312" w:hAnsi="宋体" w:eastAsia="仿宋_GB2312"/>
          <w:sz w:val="32"/>
          <w:szCs w:val="32"/>
          <w:lang w:val="en-US" w:eastAsia="zh-CN"/>
        </w:rPr>
        <w:t>10分，绩效指标90分，合计100分。</w:t>
      </w:r>
      <w:r>
        <w:rPr>
          <w:rFonts w:hint="eastAsia" w:ascii="仿宋_GB2312" w:hAnsi="宋体" w:eastAsia="仿宋_GB2312"/>
          <w:sz w:val="32"/>
          <w:szCs w:val="32"/>
          <w:lang w:val="zh-CN"/>
        </w:rPr>
        <w:t>按照三级指标设置绩效指标，一级指标包括产出指标、效益指标、满意度指标，二级指标包括数量指标、质量指标、时效指标、社会效益指标、可持续影响指标、服务对象满意度指标，三级指标由具体事项构成。</w:t>
      </w:r>
      <w:r>
        <w:rPr>
          <w:rFonts w:hint="eastAsia" w:ascii="仿宋_GB2312" w:hAnsi="仿宋_GB2312" w:eastAsia="仿宋_GB2312" w:cs="仿宋_GB2312"/>
          <w:kern w:val="2"/>
          <w:sz w:val="32"/>
          <w:szCs w:val="32"/>
          <w:lang w:val="en-US" w:eastAsia="zh-CN" w:bidi="ar-SA"/>
        </w:rPr>
        <w:t>项目</w:t>
      </w:r>
      <w:r>
        <w:rPr>
          <w:rFonts w:hint="eastAsia" w:ascii="仿宋_GB2312" w:hAnsi="仿宋_GB2312" w:eastAsia="仿宋_GB2312" w:cs="仿宋_GB2312"/>
          <w:kern w:val="2"/>
          <w:sz w:val="32"/>
          <w:szCs w:val="32"/>
          <w:lang w:val="zh-CN" w:eastAsia="zh-CN" w:bidi="ar-SA"/>
        </w:rPr>
        <w:t>申报内容与实际相符，申报目标合理。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二、评价实施</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（一）评价目的。</w:t>
      </w:r>
      <w:r>
        <w:rPr>
          <w:rFonts w:hint="eastAsia" w:ascii="仿宋_GB2312" w:hAnsi="仿宋_GB2312" w:eastAsia="仿宋_GB2312" w:cs="仿宋_GB2312"/>
          <w:b w:val="0"/>
          <w:bCs/>
          <w:kern w:val="0"/>
          <w:sz w:val="32"/>
          <w:szCs w:val="32"/>
          <w:lang w:val="zh-CN"/>
        </w:rPr>
        <w:t>通过项目绩效自评实现交通安全工作顺利开展。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（二）预设问题及评价重点。</w:t>
      </w:r>
      <w:r>
        <w:rPr>
          <w:rFonts w:hint="eastAsia" w:ascii="仿宋_GB2312" w:hAnsi="仿宋_GB2312" w:eastAsia="仿宋_GB2312" w:cs="仿宋_GB2312"/>
          <w:b w:val="0"/>
          <w:bCs/>
          <w:kern w:val="0"/>
          <w:sz w:val="32"/>
          <w:szCs w:val="32"/>
          <w:lang w:val="zh-CN"/>
        </w:rPr>
        <w:t>按照绩效评价指标体系，通过三级指标的设置，对交管办和村级劝导员项目资金支出使用全过程及其实施效果进行综合评价和判断。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（三）评价选点。</w:t>
      </w:r>
      <w:r>
        <w:rPr>
          <w:rFonts w:hint="eastAsia" w:ascii="仿宋_GB2312" w:hAnsi="仿宋_GB2312" w:eastAsia="仿宋_GB2312" w:cs="仿宋_GB2312"/>
          <w:b w:val="0"/>
          <w:bCs/>
          <w:kern w:val="0"/>
          <w:sz w:val="32"/>
          <w:szCs w:val="32"/>
          <w:lang w:val="zh-CN"/>
        </w:rPr>
        <w:t>交管办和村级劝导员工作是长期项目，纳入每年预算项目，是评价单位交通安全管理工作情况的重要环节。</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kern w:val="0"/>
          <w:sz w:val="32"/>
          <w:szCs w:val="32"/>
          <w:lang w:val="zh-CN"/>
        </w:rPr>
      </w:pPr>
      <w:r>
        <w:rPr>
          <w:rFonts w:hint="eastAsia" w:ascii="楷体_GB2312" w:hAnsi="宋体" w:eastAsia="楷体_GB2312"/>
          <w:b w:val="0"/>
          <w:bCs/>
          <w:sz w:val="32"/>
          <w:szCs w:val="32"/>
          <w:lang w:val="zh-CN"/>
        </w:rPr>
        <w:t>（四）评价方法。</w:t>
      </w:r>
      <w:r>
        <w:rPr>
          <w:rFonts w:hint="eastAsia" w:ascii="仿宋_GB2312" w:hAnsi="仿宋_GB2312" w:eastAsia="仿宋_GB2312" w:cs="仿宋_GB2312"/>
          <w:b w:val="0"/>
          <w:bCs/>
          <w:kern w:val="0"/>
          <w:sz w:val="32"/>
          <w:szCs w:val="32"/>
          <w:lang w:val="zh-CN"/>
        </w:rPr>
        <w:t>通过数量、质量、时效、社会效益、可持续影响、服务对象满意度等指标进行设置和分析，通过自评方式，</w:t>
      </w:r>
      <w:r>
        <w:rPr>
          <w:rFonts w:hint="eastAsia" w:ascii="仿宋_GB2312" w:hAnsi="仿宋_GB2312" w:eastAsia="仿宋_GB2312" w:cs="仿宋_GB2312"/>
          <w:kern w:val="2"/>
          <w:sz w:val="32"/>
          <w:szCs w:val="32"/>
          <w:lang w:val="zh-CN" w:eastAsia="zh-CN" w:bidi="ar-SA"/>
        </w:rPr>
        <w:t>根据绩效目标开展绩效自评，保质保量完成工作任务</w:t>
      </w:r>
      <w:r>
        <w:rPr>
          <w:rFonts w:hint="eastAsia" w:ascii="仿宋_GB2312" w:hAnsi="仿宋_GB2312" w:eastAsia="仿宋_GB2312" w:cs="仿宋_GB2312"/>
          <w:b w:val="0"/>
          <w:bCs/>
          <w:kern w:val="0"/>
          <w:sz w:val="32"/>
          <w:szCs w:val="32"/>
          <w:lang w:val="zh-CN"/>
        </w:rPr>
        <w:t>。</w:t>
      </w:r>
    </w:p>
    <w:p>
      <w:pPr>
        <w:keepNext w:val="0"/>
        <w:keepLines w:val="0"/>
        <w:pageBreakBefore w:val="0"/>
        <w:kinsoku/>
        <w:wordWrap/>
        <w:overflowPunct/>
        <w:topLinePunct w:val="0"/>
        <w:autoSpaceDE/>
        <w:autoSpaceDN/>
        <w:bidi w:val="0"/>
        <w:spacing w:line="600" w:lineRule="exact"/>
        <w:ind w:firstLine="640"/>
        <w:textAlignment w:val="auto"/>
        <w:rPr>
          <w:rFonts w:hint="eastAsia" w:eastAsia="仿宋_GB2312"/>
          <w:b w:val="0"/>
          <w:bCs/>
          <w:sz w:val="32"/>
          <w:szCs w:val="32"/>
        </w:rPr>
      </w:pPr>
      <w:r>
        <w:rPr>
          <w:rFonts w:hint="eastAsia" w:ascii="楷体_GB2312" w:hAnsi="宋体" w:eastAsia="楷体_GB2312"/>
          <w:b w:val="0"/>
          <w:bCs/>
          <w:sz w:val="32"/>
          <w:szCs w:val="32"/>
          <w:lang w:val="zh-CN"/>
        </w:rPr>
        <w:t>（五）评价组织。</w:t>
      </w:r>
      <w:r>
        <w:rPr>
          <w:rFonts w:hint="eastAsia" w:ascii="仿宋_GB2312" w:hAnsi="仿宋_GB2312" w:eastAsia="仿宋_GB2312" w:cs="仿宋_GB2312"/>
          <w:b w:val="0"/>
          <w:bCs/>
          <w:kern w:val="0"/>
          <w:sz w:val="32"/>
          <w:szCs w:val="32"/>
          <w:lang w:val="zh-CN"/>
        </w:rPr>
        <w:t>评价组人员由交管办工作人员及财政所人员构成。交管办工作人员年初做好全年工作任务计划，按照任务计划实施，年终对工作开展情况进行自评；财政所工作人员负责对工作开展前、中、后进行监督和指导。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sz w:val="32"/>
          <w:szCs w:val="32"/>
          <w:lang w:val="zh-CN"/>
        </w:rPr>
      </w:pPr>
      <w:r>
        <w:rPr>
          <w:rFonts w:hint="eastAsia" w:ascii="黑体" w:hAnsi="宋体" w:eastAsia="黑体"/>
          <w:sz w:val="32"/>
          <w:szCs w:val="32"/>
        </w:rPr>
        <w:t>三、绩效分析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宋体" w:eastAsia="仿宋_GB2312"/>
          <w:sz w:val="32"/>
          <w:szCs w:val="32"/>
          <w:lang w:val="zh-CN"/>
        </w:rPr>
        <w:t>交管办和村级劝导员项目按照三级指标设置绩效指标，一级指标包括产出指标、效益指标、满意度指标，分析如下</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600" w:lineRule="exact"/>
        <w:ind w:firstLine="640"/>
        <w:textAlignment w:val="auto"/>
        <w:rPr>
          <w:rFonts w:hint="eastAsia" w:ascii="楷体_GB2312" w:hAnsi="宋体" w:eastAsia="楷体_GB2312"/>
          <w:b w:val="0"/>
          <w:bCs/>
          <w:sz w:val="32"/>
          <w:szCs w:val="32"/>
        </w:rPr>
      </w:pPr>
      <w:r>
        <w:rPr>
          <w:rFonts w:hint="eastAsia" w:ascii="楷体_GB2312" w:hAnsi="宋体" w:eastAsia="楷体_GB2312"/>
          <w:b w:val="0"/>
          <w:bCs/>
          <w:sz w:val="32"/>
          <w:szCs w:val="32"/>
          <w:lang w:val="zh-CN"/>
        </w:rPr>
        <w:t>（一）产出指标</w:t>
      </w:r>
      <w:r>
        <w:rPr>
          <w:rFonts w:ascii="Times New Roman" w:hAnsi="Times New Roman" w:eastAsia="楷体_GB2312"/>
          <w:b w:val="0"/>
          <w:bCs/>
          <w:color w:val="000000"/>
          <w:kern w:val="0"/>
          <w:sz w:val="32"/>
          <w:szCs w:val="32"/>
          <w:shd w:val="clear" w:color="auto" w:fill="FFFFFF"/>
          <w:lang w:val="zh-CN"/>
        </w:rPr>
        <w:t>绩效分析</w:t>
      </w:r>
    </w:p>
    <w:p>
      <w:pPr>
        <w:spacing w:line="60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kern w:val="2"/>
          <w:sz w:val="32"/>
          <w:szCs w:val="32"/>
          <w:lang w:val="zh-CN" w:eastAsia="zh-CN" w:bidi="ar-SA"/>
        </w:rPr>
        <w:t>项目资金严格按照相关资金申报规定进行申报，通过申报、批复、预算调整等程序。保障大为镇交通劝导员工资经费及交管办工作正常开展。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eastAsia="zh-CN"/>
        </w:rPr>
        <w:t>严格执行预算，保障单位日常运转，预算编制科学合理，该项目主要用于交管办工作开展，做好资金保障，做好项目自评工作，按照自评指标进行准确打分，确保项目正常开展。</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kern w:val="2"/>
          <w:sz w:val="32"/>
          <w:szCs w:val="32"/>
          <w:lang w:val="zh-CN" w:eastAsia="zh-CN" w:bidi="ar-SA"/>
        </w:rPr>
        <w:t>交管办和村级劝导员工作经费总投资</w:t>
      </w:r>
      <w:r>
        <w:rPr>
          <w:rFonts w:hint="eastAsia" w:ascii="仿宋_GB2312" w:hAnsi="仿宋_GB2312" w:eastAsia="仿宋_GB2312" w:cs="仿宋_GB2312"/>
          <w:kern w:val="2"/>
          <w:sz w:val="32"/>
          <w:szCs w:val="32"/>
          <w:lang w:val="en-US" w:eastAsia="zh-CN" w:bidi="ar-SA"/>
        </w:rPr>
        <w:t>9.99</w:t>
      </w:r>
      <w:r>
        <w:rPr>
          <w:rFonts w:hint="eastAsia" w:ascii="仿宋_GB2312" w:hAnsi="仿宋_GB2312" w:eastAsia="仿宋_GB2312" w:cs="仿宋_GB2312"/>
          <w:kern w:val="2"/>
          <w:sz w:val="32"/>
          <w:szCs w:val="32"/>
          <w:lang w:val="zh-CN" w:eastAsia="zh-CN" w:bidi="ar-SA"/>
        </w:rPr>
        <w:t>万元，实际财政资金到位</w:t>
      </w:r>
      <w:r>
        <w:rPr>
          <w:rFonts w:hint="eastAsia" w:ascii="仿宋_GB2312" w:hAnsi="仿宋_GB2312" w:eastAsia="仿宋_GB2312" w:cs="仿宋_GB2312"/>
          <w:kern w:val="2"/>
          <w:sz w:val="32"/>
          <w:szCs w:val="32"/>
          <w:lang w:val="en-US" w:eastAsia="zh-CN" w:bidi="ar-SA"/>
        </w:rPr>
        <w:t>9.99</w:t>
      </w:r>
      <w:r>
        <w:rPr>
          <w:rFonts w:hint="eastAsia" w:ascii="仿宋_GB2312" w:hAnsi="仿宋_GB2312" w:eastAsia="仿宋_GB2312" w:cs="仿宋_GB2312"/>
          <w:kern w:val="2"/>
          <w:sz w:val="32"/>
          <w:szCs w:val="32"/>
          <w:lang w:val="zh-CN" w:eastAsia="zh-CN" w:bidi="ar-SA"/>
        </w:rPr>
        <w:t>万元，到位率100%。支付率达到100%，对财政资金的使用严格执行国家法律、法规，按照《会计法》财务规则制度，科学、合理的使用资金，及时处理各笔款项，会计核算规范。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4．项目结果。</w:t>
      </w:r>
      <w:r>
        <w:rPr>
          <w:rFonts w:hint="eastAsia" w:ascii="仿宋_GB2312" w:hAnsi="仿宋_GB2312" w:eastAsia="仿宋_GB2312" w:cs="仿宋_GB2312"/>
          <w:sz w:val="32"/>
          <w:szCs w:val="32"/>
          <w:lang w:eastAsia="zh-CN"/>
        </w:rPr>
        <w:t>按照全年目标任务，圆满完成工作，及时支付各项相关经费。</w:t>
      </w:r>
      <w:r>
        <w:rPr>
          <w:rFonts w:hint="eastAsia" w:ascii="仿宋_GB2312" w:hAnsi="仿宋_GB2312" w:eastAsia="仿宋_GB2312" w:cs="仿宋_GB2312"/>
          <w:kern w:val="0"/>
          <w:sz w:val="32"/>
          <w:szCs w:val="32"/>
        </w:rPr>
        <w:t>围绕</w:t>
      </w:r>
      <w:r>
        <w:rPr>
          <w:rFonts w:hint="eastAsia" w:ascii="仿宋_GB2312" w:hAnsi="仿宋_GB2312" w:eastAsia="仿宋_GB2312" w:cs="仿宋_GB2312"/>
          <w:kern w:val="0"/>
          <w:sz w:val="32"/>
          <w:szCs w:val="32"/>
          <w:lang w:val="zh-CN"/>
        </w:rPr>
        <w:t>目标完成、完成时效进行绩效分析。</w:t>
      </w:r>
    </w:p>
    <w:p>
      <w:pPr>
        <w:spacing w:line="578" w:lineRule="exact"/>
        <w:ind w:firstLine="640" w:firstLineChars="200"/>
        <w:rPr>
          <w:rFonts w:ascii="Times New Roman" w:hAnsi="Times New Roman" w:eastAsia="楷体_GB2312"/>
          <w:b w:val="0"/>
          <w:bCs/>
          <w:color w:val="000000"/>
          <w:kern w:val="0"/>
          <w:sz w:val="32"/>
          <w:szCs w:val="32"/>
          <w:shd w:val="clear" w:color="auto" w:fill="FFFFFF"/>
          <w:lang w:val="zh-CN"/>
        </w:rPr>
      </w:pPr>
      <w:r>
        <w:rPr>
          <w:rFonts w:hint="eastAsia" w:ascii="楷体_GB2312" w:hAnsi="宋体" w:eastAsia="楷体_GB2312"/>
          <w:b w:val="0"/>
          <w:bCs/>
          <w:sz w:val="32"/>
          <w:szCs w:val="32"/>
          <w:lang w:val="zh-CN"/>
        </w:rPr>
        <w:t>（二）效益</w:t>
      </w:r>
      <w:r>
        <w:rPr>
          <w:rFonts w:hint="eastAsia" w:ascii="楷体_GB2312" w:hAnsi="宋体" w:eastAsia="楷体_GB2312"/>
          <w:b w:val="0"/>
          <w:bCs/>
          <w:sz w:val="32"/>
          <w:szCs w:val="32"/>
        </w:rPr>
        <w:t>指标</w:t>
      </w:r>
      <w:r>
        <w:rPr>
          <w:rFonts w:ascii="Times New Roman" w:hAnsi="Times New Roman" w:eastAsia="楷体_GB2312"/>
          <w:b w:val="0"/>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lang w:val="zh-CN"/>
        </w:rPr>
        <w:t>项目的实施，</w:t>
      </w:r>
      <w:r>
        <w:rPr>
          <w:rFonts w:hint="eastAsia" w:ascii="仿宋_GB2312" w:hAnsi="仿宋_GB2312" w:eastAsia="仿宋_GB2312" w:cs="仿宋_GB2312"/>
          <w:kern w:val="2"/>
          <w:sz w:val="32"/>
          <w:szCs w:val="32"/>
          <w:lang w:val="zh-CN" w:eastAsia="zh-CN" w:bidi="ar-SA"/>
        </w:rPr>
        <w:t>营造了良好的社会氛围，</w:t>
      </w:r>
      <w:r>
        <w:rPr>
          <w:rFonts w:hint="eastAsia" w:ascii="仿宋_GB2312" w:hAnsi="仿宋_GB2312" w:eastAsia="仿宋_GB2312" w:cs="仿宋_GB2312"/>
          <w:sz w:val="32"/>
          <w:szCs w:val="32"/>
          <w:lang w:val="zh-CN"/>
        </w:rPr>
        <w:t>保障交通劝导员工资经费及交管办工作正常开展，保障全镇交通安全稳定。。</w:t>
      </w:r>
    </w:p>
    <w:p>
      <w:pPr>
        <w:spacing w:line="578" w:lineRule="exact"/>
        <w:ind w:firstLine="640"/>
        <w:rPr>
          <w:rFonts w:ascii="Times New Roman" w:hAnsi="Times New Roman" w:eastAsia="楷体_GB2312"/>
          <w:b w:val="0"/>
          <w:bCs/>
          <w:color w:val="000000"/>
          <w:kern w:val="0"/>
          <w:sz w:val="32"/>
          <w:szCs w:val="32"/>
          <w:shd w:val="clear" w:color="auto" w:fill="FFFFFF"/>
          <w:lang w:val="zh-CN"/>
        </w:rPr>
      </w:pPr>
      <w:r>
        <w:rPr>
          <w:rFonts w:hint="eastAsia" w:ascii="楷体_GB2312" w:hAnsi="宋体" w:eastAsia="楷体_GB2312"/>
          <w:b w:val="0"/>
          <w:bCs/>
          <w:sz w:val="32"/>
          <w:szCs w:val="32"/>
          <w:lang w:val="zh-CN"/>
        </w:rPr>
        <w:t>（三）满意度</w:t>
      </w:r>
      <w:r>
        <w:rPr>
          <w:rFonts w:hint="eastAsia" w:ascii="楷体_GB2312" w:hAnsi="宋体" w:eastAsia="楷体_GB2312"/>
          <w:b w:val="0"/>
          <w:bCs/>
          <w:sz w:val="32"/>
          <w:szCs w:val="32"/>
        </w:rPr>
        <w:t>指标</w:t>
      </w:r>
      <w:r>
        <w:rPr>
          <w:rFonts w:ascii="Times New Roman" w:hAnsi="Times New Roman" w:eastAsia="楷体_GB2312"/>
          <w:b w:val="0"/>
          <w:bCs/>
          <w:color w:val="000000"/>
          <w:kern w:val="0"/>
          <w:sz w:val="32"/>
          <w:szCs w:val="32"/>
          <w:shd w:val="clear" w:color="auto" w:fill="FFFFFF"/>
          <w:lang w:val="zh-CN"/>
        </w:rPr>
        <w:t>绩效分析</w:t>
      </w:r>
    </w:p>
    <w:p>
      <w:pPr>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kern w:val="2"/>
          <w:sz w:val="32"/>
          <w:szCs w:val="32"/>
          <w:lang w:val="zh-CN" w:eastAsia="zh-CN" w:bidi="ar-SA"/>
        </w:rPr>
        <w:t>项目的实施，确保群众安全，提高群众交通安全意识，受到群众的一致好评，群众满意度较高。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通过项目绩效管理自评，严格按照相关评价体系进行自评，自评评分为100分。</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六、存在主要问题</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无。</w:t>
      </w:r>
    </w:p>
    <w:p>
      <w:pPr>
        <w:ind w:firstLine="640" w:firstLineChars="200"/>
        <w:rPr>
          <w:rFonts w:ascii="黑体" w:hAnsi="黑体" w:eastAsia="黑体"/>
          <w:sz w:val="32"/>
          <w:szCs w:val="32"/>
          <w:lang w:val="zh-CN"/>
        </w:rPr>
      </w:pPr>
      <w:r>
        <w:rPr>
          <w:rFonts w:hint="eastAsia" w:ascii="黑体" w:hAnsi="黑体" w:eastAsia="黑体"/>
          <w:sz w:val="32"/>
          <w:szCs w:val="32"/>
          <w:lang w:val="zh-CN"/>
        </w:rPr>
        <w:t>七、改进建议</w:t>
      </w:r>
    </w:p>
    <w:p>
      <w:pPr>
        <w:keepNext w:val="0"/>
        <w:keepLines w:val="0"/>
        <w:pageBreakBefore w:val="0"/>
        <w:kinsoku/>
        <w:wordWrap/>
        <w:overflowPunct/>
        <w:topLinePunct w:val="0"/>
        <w:bidi w:val="0"/>
        <w:snapToGrid w:val="0"/>
        <w:spacing w:line="60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kern w:val="2"/>
          <w:sz w:val="32"/>
          <w:szCs w:val="32"/>
          <w:lang w:val="zh-CN" w:eastAsia="zh-CN" w:bidi="ar-SA"/>
        </w:rPr>
        <w:t>无。</w:t>
      </w:r>
    </w:p>
    <w:p>
      <w:pPr>
        <w:pStyle w:val="5"/>
        <w:jc w:val="center"/>
        <w:rPr>
          <w:rFonts w:ascii="黑体" w:hAnsi="黑体" w:eastAsia="黑体"/>
        </w:rPr>
      </w:pPr>
      <w:r>
        <w:rPr>
          <w:rFonts w:hint="eastAsia" w:ascii="黑体" w:hAnsi="黑体" w:eastAsia="黑体"/>
        </w:rPr>
        <w:t>第五部分 附表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一、收入支出决算总表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二、收入决算表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四、财政拨款收入支出决算总表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五、财政拨款支出决算明细表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六、一般公共预算财政拨款支出决算表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七、一般公共预算财政拨款支出决算明细表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八、一般公共预算财政拨款基本支出决算表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九、一般公共预算财政拨款项目支出决算表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十、政府性基金预算财政拨款收入支出决算表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十一、国有资本经营预算财政拨款收入支出决算表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十二、国有资本经营预算财政拨款支出决算表</w:t>
      </w:r>
    </w:p>
    <w:p>
      <w:pPr>
        <w:spacing w:line="60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29FB4"/>
    <w:multiLevelType w:val="singleLevel"/>
    <w:tmpl w:val="BD929FB4"/>
    <w:lvl w:ilvl="0" w:tentative="0">
      <w:start w:val="1"/>
      <w:numFmt w:val="decimal"/>
      <w:lvlText w:val="%1."/>
      <w:lvlJc w:val="left"/>
      <w:pPr>
        <w:tabs>
          <w:tab w:val="left" w:pos="312"/>
        </w:tabs>
        <w:ind w:left="480" w:leftChars="0" w:firstLine="0" w:firstLineChars="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1CD0"/>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32644A"/>
    <w:rsid w:val="0156759C"/>
    <w:rsid w:val="015975B8"/>
    <w:rsid w:val="01884E1C"/>
    <w:rsid w:val="02FEBE30"/>
    <w:rsid w:val="036F8141"/>
    <w:rsid w:val="03B029F3"/>
    <w:rsid w:val="03C61D65"/>
    <w:rsid w:val="03C913C1"/>
    <w:rsid w:val="044F0915"/>
    <w:rsid w:val="044F3C0F"/>
    <w:rsid w:val="047A1BB4"/>
    <w:rsid w:val="048A01F8"/>
    <w:rsid w:val="04CC010F"/>
    <w:rsid w:val="05F70D61"/>
    <w:rsid w:val="060A2EA5"/>
    <w:rsid w:val="060B4775"/>
    <w:rsid w:val="06416CE4"/>
    <w:rsid w:val="066E0107"/>
    <w:rsid w:val="06A31AA3"/>
    <w:rsid w:val="06A659D5"/>
    <w:rsid w:val="06C013E1"/>
    <w:rsid w:val="06C203A1"/>
    <w:rsid w:val="06F66C21"/>
    <w:rsid w:val="076A1505"/>
    <w:rsid w:val="07815D4F"/>
    <w:rsid w:val="07996F6E"/>
    <w:rsid w:val="07AF7E3A"/>
    <w:rsid w:val="07DFD8BA"/>
    <w:rsid w:val="08797005"/>
    <w:rsid w:val="0883391B"/>
    <w:rsid w:val="095D2A3C"/>
    <w:rsid w:val="09700FEB"/>
    <w:rsid w:val="0A2032A3"/>
    <w:rsid w:val="0A29142D"/>
    <w:rsid w:val="0A572E5E"/>
    <w:rsid w:val="0B583530"/>
    <w:rsid w:val="0B6449E9"/>
    <w:rsid w:val="0BC7750B"/>
    <w:rsid w:val="0C5D7CEB"/>
    <w:rsid w:val="0C637DCB"/>
    <w:rsid w:val="0D35B1ED"/>
    <w:rsid w:val="0D816F00"/>
    <w:rsid w:val="0DD53665"/>
    <w:rsid w:val="0DDF797F"/>
    <w:rsid w:val="0E7ED1F5"/>
    <w:rsid w:val="0E97409E"/>
    <w:rsid w:val="0F283E06"/>
    <w:rsid w:val="0F6C61F2"/>
    <w:rsid w:val="0F98263C"/>
    <w:rsid w:val="0FBF3630"/>
    <w:rsid w:val="101860EC"/>
    <w:rsid w:val="10A934C9"/>
    <w:rsid w:val="10C055FF"/>
    <w:rsid w:val="111218B6"/>
    <w:rsid w:val="118107EC"/>
    <w:rsid w:val="12215D49"/>
    <w:rsid w:val="12D94343"/>
    <w:rsid w:val="12E36052"/>
    <w:rsid w:val="12F02813"/>
    <w:rsid w:val="13326922"/>
    <w:rsid w:val="13921ED0"/>
    <w:rsid w:val="13D50BC4"/>
    <w:rsid w:val="13F5616D"/>
    <w:rsid w:val="14DF74F4"/>
    <w:rsid w:val="15225E05"/>
    <w:rsid w:val="15512585"/>
    <w:rsid w:val="15613BCF"/>
    <w:rsid w:val="157209D4"/>
    <w:rsid w:val="159C012B"/>
    <w:rsid w:val="15C107A3"/>
    <w:rsid w:val="161F79B7"/>
    <w:rsid w:val="16876871"/>
    <w:rsid w:val="16BB723D"/>
    <w:rsid w:val="171F1863"/>
    <w:rsid w:val="17983A2C"/>
    <w:rsid w:val="179C6002"/>
    <w:rsid w:val="17CD49ED"/>
    <w:rsid w:val="17F9714D"/>
    <w:rsid w:val="1899330A"/>
    <w:rsid w:val="18E95421"/>
    <w:rsid w:val="1918F934"/>
    <w:rsid w:val="1A3E5869"/>
    <w:rsid w:val="1A6F45D2"/>
    <w:rsid w:val="1B084985"/>
    <w:rsid w:val="1B0A061F"/>
    <w:rsid w:val="1BE8440E"/>
    <w:rsid w:val="1C2F1490"/>
    <w:rsid w:val="1CD62165"/>
    <w:rsid w:val="1D155CEE"/>
    <w:rsid w:val="1D893BE2"/>
    <w:rsid w:val="1DA30AE5"/>
    <w:rsid w:val="1DE941D6"/>
    <w:rsid w:val="1DFBC4B3"/>
    <w:rsid w:val="1E3C50C5"/>
    <w:rsid w:val="1E561252"/>
    <w:rsid w:val="1E740ACF"/>
    <w:rsid w:val="1E82650A"/>
    <w:rsid w:val="1EDF2D0A"/>
    <w:rsid w:val="1EDF7889"/>
    <w:rsid w:val="1F19C781"/>
    <w:rsid w:val="1F1D612D"/>
    <w:rsid w:val="1F2C45BD"/>
    <w:rsid w:val="1F33FCE5"/>
    <w:rsid w:val="1F7F7398"/>
    <w:rsid w:val="1FD2DB6F"/>
    <w:rsid w:val="1FF35744"/>
    <w:rsid w:val="1FF6BC77"/>
    <w:rsid w:val="1FF9236D"/>
    <w:rsid w:val="20A13D82"/>
    <w:rsid w:val="21216224"/>
    <w:rsid w:val="224317F5"/>
    <w:rsid w:val="2247321E"/>
    <w:rsid w:val="228256C4"/>
    <w:rsid w:val="2333840E"/>
    <w:rsid w:val="23860B96"/>
    <w:rsid w:val="23BC6961"/>
    <w:rsid w:val="23F515CF"/>
    <w:rsid w:val="23F62F8B"/>
    <w:rsid w:val="240371BF"/>
    <w:rsid w:val="244F2E18"/>
    <w:rsid w:val="24FD643D"/>
    <w:rsid w:val="254E2AD6"/>
    <w:rsid w:val="25624207"/>
    <w:rsid w:val="257C638F"/>
    <w:rsid w:val="25A049F4"/>
    <w:rsid w:val="25CC60FC"/>
    <w:rsid w:val="26253DE3"/>
    <w:rsid w:val="26651052"/>
    <w:rsid w:val="26962233"/>
    <w:rsid w:val="26A05B06"/>
    <w:rsid w:val="26C22879"/>
    <w:rsid w:val="26CC53C2"/>
    <w:rsid w:val="26D954EF"/>
    <w:rsid w:val="276036CB"/>
    <w:rsid w:val="2790044E"/>
    <w:rsid w:val="27DB1F83"/>
    <w:rsid w:val="284D7533"/>
    <w:rsid w:val="285D1D23"/>
    <w:rsid w:val="288E39A5"/>
    <w:rsid w:val="28BE6BB3"/>
    <w:rsid w:val="28E9219A"/>
    <w:rsid w:val="29027F6E"/>
    <w:rsid w:val="292C1859"/>
    <w:rsid w:val="29AC7096"/>
    <w:rsid w:val="29E96C14"/>
    <w:rsid w:val="29FD04D3"/>
    <w:rsid w:val="2AB842CC"/>
    <w:rsid w:val="2B2746DE"/>
    <w:rsid w:val="2B35419F"/>
    <w:rsid w:val="2B733C54"/>
    <w:rsid w:val="2B8933C2"/>
    <w:rsid w:val="2BF56638"/>
    <w:rsid w:val="2BFF7BC6"/>
    <w:rsid w:val="2C8A61B5"/>
    <w:rsid w:val="2CA14DA2"/>
    <w:rsid w:val="2CD59C95"/>
    <w:rsid w:val="2DF04E50"/>
    <w:rsid w:val="2EDD0F4E"/>
    <w:rsid w:val="2EDE6926"/>
    <w:rsid w:val="2EFD05E5"/>
    <w:rsid w:val="2F040D46"/>
    <w:rsid w:val="2F4F416B"/>
    <w:rsid w:val="2F4F95CE"/>
    <w:rsid w:val="2FACAFDD"/>
    <w:rsid w:val="2FAE5751"/>
    <w:rsid w:val="2FB1A395"/>
    <w:rsid w:val="2FC273A3"/>
    <w:rsid w:val="2FCB6124"/>
    <w:rsid w:val="2FCF0B76"/>
    <w:rsid w:val="2FD9A7D8"/>
    <w:rsid w:val="30371E62"/>
    <w:rsid w:val="30467B79"/>
    <w:rsid w:val="304C021E"/>
    <w:rsid w:val="304D5734"/>
    <w:rsid w:val="310F570A"/>
    <w:rsid w:val="319724E3"/>
    <w:rsid w:val="319F7F4E"/>
    <w:rsid w:val="31B71263"/>
    <w:rsid w:val="31E15B0C"/>
    <w:rsid w:val="31F17375"/>
    <w:rsid w:val="325C1FBD"/>
    <w:rsid w:val="32AA5604"/>
    <w:rsid w:val="3304709D"/>
    <w:rsid w:val="33BC0CC8"/>
    <w:rsid w:val="34836270"/>
    <w:rsid w:val="34B00FE4"/>
    <w:rsid w:val="353B7B6B"/>
    <w:rsid w:val="35913F88"/>
    <w:rsid w:val="35F733BA"/>
    <w:rsid w:val="36A42BF7"/>
    <w:rsid w:val="36AA5135"/>
    <w:rsid w:val="36BE0DA7"/>
    <w:rsid w:val="371C1C11"/>
    <w:rsid w:val="376B6AA6"/>
    <w:rsid w:val="376D39B2"/>
    <w:rsid w:val="37E16F03"/>
    <w:rsid w:val="37F53A3B"/>
    <w:rsid w:val="382439DD"/>
    <w:rsid w:val="382C4DA5"/>
    <w:rsid w:val="383435EE"/>
    <w:rsid w:val="386B6AB9"/>
    <w:rsid w:val="38D469F0"/>
    <w:rsid w:val="38F78389"/>
    <w:rsid w:val="39625534"/>
    <w:rsid w:val="397BAF1F"/>
    <w:rsid w:val="39C319D3"/>
    <w:rsid w:val="39E7B272"/>
    <w:rsid w:val="39EC7F4B"/>
    <w:rsid w:val="39F7642F"/>
    <w:rsid w:val="39FF7B37"/>
    <w:rsid w:val="3A203FD9"/>
    <w:rsid w:val="3AB79AF3"/>
    <w:rsid w:val="3AC42AC8"/>
    <w:rsid w:val="3AFDCB77"/>
    <w:rsid w:val="3B7EF35A"/>
    <w:rsid w:val="3B9FDB6C"/>
    <w:rsid w:val="3BA33B68"/>
    <w:rsid w:val="3BA76E56"/>
    <w:rsid w:val="3BCD0088"/>
    <w:rsid w:val="3BCE0A1C"/>
    <w:rsid w:val="3BF5BC2F"/>
    <w:rsid w:val="3BF7C23A"/>
    <w:rsid w:val="3BFF223E"/>
    <w:rsid w:val="3C653237"/>
    <w:rsid w:val="3C6EC0A1"/>
    <w:rsid w:val="3CDB0824"/>
    <w:rsid w:val="3CEBA265"/>
    <w:rsid w:val="3CF45B52"/>
    <w:rsid w:val="3D6A7F9F"/>
    <w:rsid w:val="3D7E7F4D"/>
    <w:rsid w:val="3D912A8C"/>
    <w:rsid w:val="3D98207C"/>
    <w:rsid w:val="3D993C85"/>
    <w:rsid w:val="3D9CF30A"/>
    <w:rsid w:val="3DAB4BC4"/>
    <w:rsid w:val="3DB87C5B"/>
    <w:rsid w:val="3DFC6E37"/>
    <w:rsid w:val="3DFF5A3E"/>
    <w:rsid w:val="3E733D85"/>
    <w:rsid w:val="3E78745D"/>
    <w:rsid w:val="3E8240E5"/>
    <w:rsid w:val="3E90561A"/>
    <w:rsid w:val="3EEE77E9"/>
    <w:rsid w:val="3F394AF5"/>
    <w:rsid w:val="3F5134D8"/>
    <w:rsid w:val="3F6A02DF"/>
    <w:rsid w:val="3F6E154D"/>
    <w:rsid w:val="3F7E2DAD"/>
    <w:rsid w:val="3FBE5714"/>
    <w:rsid w:val="3FDA257B"/>
    <w:rsid w:val="3FDD8615"/>
    <w:rsid w:val="3FDFB2FF"/>
    <w:rsid w:val="3FF4CAE0"/>
    <w:rsid w:val="3FF75FAF"/>
    <w:rsid w:val="3FF7B227"/>
    <w:rsid w:val="403B6028"/>
    <w:rsid w:val="41016046"/>
    <w:rsid w:val="41494D53"/>
    <w:rsid w:val="416112C0"/>
    <w:rsid w:val="41617645"/>
    <w:rsid w:val="41985FCE"/>
    <w:rsid w:val="41C65CB0"/>
    <w:rsid w:val="4380298E"/>
    <w:rsid w:val="442424AA"/>
    <w:rsid w:val="442B3B58"/>
    <w:rsid w:val="44743A5C"/>
    <w:rsid w:val="448B4C7F"/>
    <w:rsid w:val="44955078"/>
    <w:rsid w:val="44E268DA"/>
    <w:rsid w:val="45212060"/>
    <w:rsid w:val="455E36D9"/>
    <w:rsid w:val="457F4F6B"/>
    <w:rsid w:val="45895F97"/>
    <w:rsid w:val="4599678D"/>
    <w:rsid w:val="45B95078"/>
    <w:rsid w:val="45F76779"/>
    <w:rsid w:val="462D537F"/>
    <w:rsid w:val="4737FB58"/>
    <w:rsid w:val="47ECCB02"/>
    <w:rsid w:val="47FA6A3F"/>
    <w:rsid w:val="487338B3"/>
    <w:rsid w:val="495E385F"/>
    <w:rsid w:val="4992669F"/>
    <w:rsid w:val="49D7AE48"/>
    <w:rsid w:val="49E319EC"/>
    <w:rsid w:val="4A3F6C7E"/>
    <w:rsid w:val="4A627F82"/>
    <w:rsid w:val="4A6C69C3"/>
    <w:rsid w:val="4AD51376"/>
    <w:rsid w:val="4B0E749A"/>
    <w:rsid w:val="4B317815"/>
    <w:rsid w:val="4B4F25DA"/>
    <w:rsid w:val="4B6337E5"/>
    <w:rsid w:val="4B7B5756"/>
    <w:rsid w:val="4BB43AF9"/>
    <w:rsid w:val="4BBB4781"/>
    <w:rsid w:val="4BD709A5"/>
    <w:rsid w:val="4BDD9BFF"/>
    <w:rsid w:val="4BE068DB"/>
    <w:rsid w:val="4C715599"/>
    <w:rsid w:val="4CF13DC3"/>
    <w:rsid w:val="4D577224"/>
    <w:rsid w:val="4D88610A"/>
    <w:rsid w:val="4DBF1CEB"/>
    <w:rsid w:val="4DBF6A6B"/>
    <w:rsid w:val="4DC51693"/>
    <w:rsid w:val="4DCB702D"/>
    <w:rsid w:val="4DF6A672"/>
    <w:rsid w:val="4E4547FB"/>
    <w:rsid w:val="4EAB630A"/>
    <w:rsid w:val="4ECE2238"/>
    <w:rsid w:val="4F196971"/>
    <w:rsid w:val="4F2A0B52"/>
    <w:rsid w:val="4F674EC1"/>
    <w:rsid w:val="4F7EA413"/>
    <w:rsid w:val="4FAB812F"/>
    <w:rsid w:val="4FE9BD67"/>
    <w:rsid w:val="4FEE4C07"/>
    <w:rsid w:val="4FFB052F"/>
    <w:rsid w:val="52253127"/>
    <w:rsid w:val="52E556D7"/>
    <w:rsid w:val="52F93E7A"/>
    <w:rsid w:val="533333D8"/>
    <w:rsid w:val="537E6D0A"/>
    <w:rsid w:val="53AB6B88"/>
    <w:rsid w:val="53C32BFF"/>
    <w:rsid w:val="53F74C96"/>
    <w:rsid w:val="53FB1722"/>
    <w:rsid w:val="542751E4"/>
    <w:rsid w:val="547B050C"/>
    <w:rsid w:val="54D91DCD"/>
    <w:rsid w:val="557770D2"/>
    <w:rsid w:val="5583522D"/>
    <w:rsid w:val="5610602C"/>
    <w:rsid w:val="562D072F"/>
    <w:rsid w:val="564906A0"/>
    <w:rsid w:val="566441E1"/>
    <w:rsid w:val="569B5600"/>
    <w:rsid w:val="56E3742E"/>
    <w:rsid w:val="56F52709"/>
    <w:rsid w:val="571606BF"/>
    <w:rsid w:val="578B78D4"/>
    <w:rsid w:val="57B15EAC"/>
    <w:rsid w:val="57BD3DD4"/>
    <w:rsid w:val="57F9CD1E"/>
    <w:rsid w:val="58225831"/>
    <w:rsid w:val="58387273"/>
    <w:rsid w:val="58A92714"/>
    <w:rsid w:val="590A58F0"/>
    <w:rsid w:val="596E3DE1"/>
    <w:rsid w:val="59824D48"/>
    <w:rsid w:val="59C825C2"/>
    <w:rsid w:val="59DC7AC3"/>
    <w:rsid w:val="5A472375"/>
    <w:rsid w:val="5A9E064B"/>
    <w:rsid w:val="5AAC517C"/>
    <w:rsid w:val="5AC652B8"/>
    <w:rsid w:val="5AF22E5B"/>
    <w:rsid w:val="5AF92295"/>
    <w:rsid w:val="5AF9D8E9"/>
    <w:rsid w:val="5B105BF6"/>
    <w:rsid w:val="5B3A69B3"/>
    <w:rsid w:val="5BDD38BD"/>
    <w:rsid w:val="5BDD79E6"/>
    <w:rsid w:val="5BEFC772"/>
    <w:rsid w:val="5BFC18F2"/>
    <w:rsid w:val="5BFF5DFC"/>
    <w:rsid w:val="5CAA2AFE"/>
    <w:rsid w:val="5CD71FC4"/>
    <w:rsid w:val="5CF84605"/>
    <w:rsid w:val="5D1F11B5"/>
    <w:rsid w:val="5D3647F9"/>
    <w:rsid w:val="5D742F19"/>
    <w:rsid w:val="5D780564"/>
    <w:rsid w:val="5DA644D4"/>
    <w:rsid w:val="5DAE1B18"/>
    <w:rsid w:val="5DE7D9E5"/>
    <w:rsid w:val="5E1511FE"/>
    <w:rsid w:val="5E254AD4"/>
    <w:rsid w:val="5E272436"/>
    <w:rsid w:val="5ECB5E0E"/>
    <w:rsid w:val="5ECEC941"/>
    <w:rsid w:val="5EFF8FC6"/>
    <w:rsid w:val="5F5BA39A"/>
    <w:rsid w:val="5F7D3B79"/>
    <w:rsid w:val="5F7F4610"/>
    <w:rsid w:val="5FA42E3E"/>
    <w:rsid w:val="5FBF9FF3"/>
    <w:rsid w:val="5FCD4E2C"/>
    <w:rsid w:val="5FEF394A"/>
    <w:rsid w:val="5FF67715"/>
    <w:rsid w:val="606F7ADD"/>
    <w:rsid w:val="609018A0"/>
    <w:rsid w:val="60A64136"/>
    <w:rsid w:val="61043552"/>
    <w:rsid w:val="61CA71D5"/>
    <w:rsid w:val="620344D9"/>
    <w:rsid w:val="621D01BC"/>
    <w:rsid w:val="624F7550"/>
    <w:rsid w:val="62616F11"/>
    <w:rsid w:val="627EE9EA"/>
    <w:rsid w:val="628204C7"/>
    <w:rsid w:val="62A94168"/>
    <w:rsid w:val="636611AB"/>
    <w:rsid w:val="63662C7B"/>
    <w:rsid w:val="63B23AA5"/>
    <w:rsid w:val="641B1508"/>
    <w:rsid w:val="646234DD"/>
    <w:rsid w:val="646862A2"/>
    <w:rsid w:val="647F5392"/>
    <w:rsid w:val="64A50846"/>
    <w:rsid w:val="64E322C4"/>
    <w:rsid w:val="6521549F"/>
    <w:rsid w:val="65817250"/>
    <w:rsid w:val="65B00DED"/>
    <w:rsid w:val="65FB93B9"/>
    <w:rsid w:val="65FC206F"/>
    <w:rsid w:val="6626098E"/>
    <w:rsid w:val="6633C463"/>
    <w:rsid w:val="679424D2"/>
    <w:rsid w:val="67D55B77"/>
    <w:rsid w:val="67EE7F84"/>
    <w:rsid w:val="683A14C0"/>
    <w:rsid w:val="686F5F53"/>
    <w:rsid w:val="68B646A9"/>
    <w:rsid w:val="68EC07FB"/>
    <w:rsid w:val="69AF7909"/>
    <w:rsid w:val="6AD41D67"/>
    <w:rsid w:val="6AFFCEAF"/>
    <w:rsid w:val="6B0455EF"/>
    <w:rsid w:val="6B21294A"/>
    <w:rsid w:val="6B6B552C"/>
    <w:rsid w:val="6B726F37"/>
    <w:rsid w:val="6B96E9E6"/>
    <w:rsid w:val="6BC232CA"/>
    <w:rsid w:val="6BCE57B5"/>
    <w:rsid w:val="6BFEA4DB"/>
    <w:rsid w:val="6BFFB662"/>
    <w:rsid w:val="6C4A05C8"/>
    <w:rsid w:val="6C754091"/>
    <w:rsid w:val="6CD56FAA"/>
    <w:rsid w:val="6CFF4FB8"/>
    <w:rsid w:val="6D0C0513"/>
    <w:rsid w:val="6D231A86"/>
    <w:rsid w:val="6D28561E"/>
    <w:rsid w:val="6D2B6460"/>
    <w:rsid w:val="6D6BD6E0"/>
    <w:rsid w:val="6D77E73C"/>
    <w:rsid w:val="6DA307B2"/>
    <w:rsid w:val="6DA62B96"/>
    <w:rsid w:val="6DBF5E93"/>
    <w:rsid w:val="6DE3714C"/>
    <w:rsid w:val="6DFF077E"/>
    <w:rsid w:val="6E32263B"/>
    <w:rsid w:val="6E7E3605"/>
    <w:rsid w:val="6E7FDCC7"/>
    <w:rsid w:val="6E932272"/>
    <w:rsid w:val="6ED6A62E"/>
    <w:rsid w:val="6EE00B15"/>
    <w:rsid w:val="6EE737B2"/>
    <w:rsid w:val="6EEB2329"/>
    <w:rsid w:val="6EECE67A"/>
    <w:rsid w:val="6EF51C2C"/>
    <w:rsid w:val="6F274CCD"/>
    <w:rsid w:val="6F6F90A8"/>
    <w:rsid w:val="6F6FB3EB"/>
    <w:rsid w:val="6F76130B"/>
    <w:rsid w:val="6F8731EA"/>
    <w:rsid w:val="6FBC2ADD"/>
    <w:rsid w:val="6FD57C00"/>
    <w:rsid w:val="6FEFFFD8"/>
    <w:rsid w:val="6FF5CC65"/>
    <w:rsid w:val="6FFB47EC"/>
    <w:rsid w:val="6FFF034A"/>
    <w:rsid w:val="7021540B"/>
    <w:rsid w:val="7049034E"/>
    <w:rsid w:val="710E5DE9"/>
    <w:rsid w:val="712A28F1"/>
    <w:rsid w:val="714947BB"/>
    <w:rsid w:val="715C0E4B"/>
    <w:rsid w:val="719151FE"/>
    <w:rsid w:val="71AB1B37"/>
    <w:rsid w:val="71FFD401"/>
    <w:rsid w:val="720704EC"/>
    <w:rsid w:val="72233669"/>
    <w:rsid w:val="72480B30"/>
    <w:rsid w:val="72734D90"/>
    <w:rsid w:val="72741439"/>
    <w:rsid w:val="72DA496D"/>
    <w:rsid w:val="73157250"/>
    <w:rsid w:val="7332FE48"/>
    <w:rsid w:val="73AD73D5"/>
    <w:rsid w:val="73B6EB34"/>
    <w:rsid w:val="73D765AB"/>
    <w:rsid w:val="73FA497D"/>
    <w:rsid w:val="740B4A46"/>
    <w:rsid w:val="744731E5"/>
    <w:rsid w:val="74A6359C"/>
    <w:rsid w:val="74BBD01D"/>
    <w:rsid w:val="74ED5379"/>
    <w:rsid w:val="750007BB"/>
    <w:rsid w:val="75A564D9"/>
    <w:rsid w:val="75DEEEC2"/>
    <w:rsid w:val="76760CB7"/>
    <w:rsid w:val="767F479D"/>
    <w:rsid w:val="76E3355F"/>
    <w:rsid w:val="76F742AF"/>
    <w:rsid w:val="76F7BE7D"/>
    <w:rsid w:val="76FF5125"/>
    <w:rsid w:val="77001201"/>
    <w:rsid w:val="773570D3"/>
    <w:rsid w:val="773B205A"/>
    <w:rsid w:val="77597F31"/>
    <w:rsid w:val="776F6FFA"/>
    <w:rsid w:val="7777A522"/>
    <w:rsid w:val="7780350D"/>
    <w:rsid w:val="77858688"/>
    <w:rsid w:val="778769C8"/>
    <w:rsid w:val="77CB741A"/>
    <w:rsid w:val="77D7BE3A"/>
    <w:rsid w:val="77DC22F5"/>
    <w:rsid w:val="77F240D7"/>
    <w:rsid w:val="78791CAE"/>
    <w:rsid w:val="788102EC"/>
    <w:rsid w:val="788C3DB5"/>
    <w:rsid w:val="78B50B26"/>
    <w:rsid w:val="78C66EDD"/>
    <w:rsid w:val="78D06DBD"/>
    <w:rsid w:val="78FB7165"/>
    <w:rsid w:val="7960177E"/>
    <w:rsid w:val="796161EE"/>
    <w:rsid w:val="797E3A6C"/>
    <w:rsid w:val="79CF70E2"/>
    <w:rsid w:val="79D7FD79"/>
    <w:rsid w:val="79E75806"/>
    <w:rsid w:val="79EE5BA4"/>
    <w:rsid w:val="79FD05F0"/>
    <w:rsid w:val="7A142A47"/>
    <w:rsid w:val="7A1A679B"/>
    <w:rsid w:val="7A641148"/>
    <w:rsid w:val="7A6F8BF5"/>
    <w:rsid w:val="7A894339"/>
    <w:rsid w:val="7ACF82B5"/>
    <w:rsid w:val="7AFF28C9"/>
    <w:rsid w:val="7AFF72A0"/>
    <w:rsid w:val="7AFF7572"/>
    <w:rsid w:val="7B2379EE"/>
    <w:rsid w:val="7B43053F"/>
    <w:rsid w:val="7B6C7DFB"/>
    <w:rsid w:val="7B7D76A7"/>
    <w:rsid w:val="7BAE2FE2"/>
    <w:rsid w:val="7BAF6951"/>
    <w:rsid w:val="7BB16CEB"/>
    <w:rsid w:val="7BBFBED0"/>
    <w:rsid w:val="7BC3E394"/>
    <w:rsid w:val="7BDF4F63"/>
    <w:rsid w:val="7BF3FE4C"/>
    <w:rsid w:val="7BFB5035"/>
    <w:rsid w:val="7BFDE17E"/>
    <w:rsid w:val="7C2879AC"/>
    <w:rsid w:val="7C4E1835"/>
    <w:rsid w:val="7CB2358B"/>
    <w:rsid w:val="7CBFC87B"/>
    <w:rsid w:val="7CFE0F48"/>
    <w:rsid w:val="7D061F79"/>
    <w:rsid w:val="7D3DE31C"/>
    <w:rsid w:val="7D5D15B5"/>
    <w:rsid w:val="7D7EC23E"/>
    <w:rsid w:val="7D7F8A13"/>
    <w:rsid w:val="7DBBCB01"/>
    <w:rsid w:val="7DC765D0"/>
    <w:rsid w:val="7DDB0EE0"/>
    <w:rsid w:val="7DE228D4"/>
    <w:rsid w:val="7DFF51D8"/>
    <w:rsid w:val="7E5C088B"/>
    <w:rsid w:val="7E634199"/>
    <w:rsid w:val="7E7F24E1"/>
    <w:rsid w:val="7E8ADEBF"/>
    <w:rsid w:val="7EEF11D3"/>
    <w:rsid w:val="7EF053D1"/>
    <w:rsid w:val="7EF73567"/>
    <w:rsid w:val="7EF78C20"/>
    <w:rsid w:val="7F2504A7"/>
    <w:rsid w:val="7F3F679B"/>
    <w:rsid w:val="7F4FC4EF"/>
    <w:rsid w:val="7F5E4D54"/>
    <w:rsid w:val="7F6B75FA"/>
    <w:rsid w:val="7F9F518D"/>
    <w:rsid w:val="7FA30C79"/>
    <w:rsid w:val="7FAF8ABF"/>
    <w:rsid w:val="7FB7269E"/>
    <w:rsid w:val="7FBD6753"/>
    <w:rsid w:val="7FBFABB4"/>
    <w:rsid w:val="7FC25F1D"/>
    <w:rsid w:val="7FC65084"/>
    <w:rsid w:val="7FC96657"/>
    <w:rsid w:val="7FD72595"/>
    <w:rsid w:val="7FDA9588"/>
    <w:rsid w:val="7FDF220F"/>
    <w:rsid w:val="7FDF4542"/>
    <w:rsid w:val="7FDF5405"/>
    <w:rsid w:val="7FE6280E"/>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rPr>
      <w:rFonts w:eastAsia="仿宋"/>
      <w:sz w:val="32"/>
      <w:szCs w:val="24"/>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10"/>
    <w:pPr>
      <w:spacing w:before="240" w:after="60"/>
      <w:jc w:val="center"/>
      <w:outlineLvl w:val="0"/>
    </w:pPr>
    <w:rPr>
      <w:rFonts w:ascii="Cambria" w:hAnsi="Cambria" w:eastAsia="宋体" w:cs="Times New Roman"/>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5"/>
    <w:qFormat/>
    <w:uiPriority w:val="9"/>
    <w:rPr>
      <w:rFonts w:ascii="Times New Roman" w:hAnsi="Times New Roman"/>
      <w:b/>
      <w:bCs/>
      <w:kern w:val="44"/>
      <w:sz w:val="44"/>
      <w:szCs w:val="44"/>
    </w:rPr>
  </w:style>
  <w:style w:type="character" w:customStyle="1" w:styleId="32">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9">
    <w:name w:val="UserStyle_1"/>
    <w:qFormat/>
    <w:uiPriority w:val="0"/>
    <w:pPr>
      <w:textAlignment w:val="baseline"/>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1535</Words>
  <Characters>8751</Characters>
  <Lines>72</Lines>
  <Paragraphs>20</Paragraphs>
  <TotalTime>6</TotalTime>
  <ScaleCrop>false</ScaleCrop>
  <LinksUpToDate>false</LinksUpToDate>
  <CharactersWithSpaces>10266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2024-12-05T03:58:14Z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50D3743991EE42EFA1C71C65D3FDEEA2</vt:lpwstr>
  </property>
</Properties>
</file>