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outlineLvl w:val="0"/>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峨眉山市军队离退休干部干休所</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按照“一年建机构、二年强基础、三年显成效”的工作目标，</w:t>
      </w:r>
      <w:r>
        <w:rPr>
          <w:rFonts w:hint="eastAsia" w:ascii="仿宋_GB2312" w:eastAsia="仿宋_GB2312"/>
          <w:color w:val="auto"/>
          <w:sz w:val="32"/>
          <w:szCs w:val="32"/>
        </w:rPr>
        <w:t>不断改进创新服务管理保障工作，着力提高工作精细化、优质化、高效化水平，服务中心大局、强化担当进取、狠抓工作落实，全心全意</w:t>
      </w:r>
      <w:r>
        <w:rPr>
          <w:rFonts w:hint="eastAsia" w:ascii="仿宋_GB2312" w:eastAsia="仿宋_GB2312"/>
          <w:color w:val="auto"/>
          <w:sz w:val="32"/>
          <w:szCs w:val="32"/>
          <w:lang w:eastAsia="zh-CN"/>
        </w:rPr>
        <w:t>做好军休服务管理工作。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年重点工作任务详细介绍。</w:t>
      </w:r>
    </w:p>
    <w:p>
      <w:pPr>
        <w:spacing w:line="600" w:lineRule="exact"/>
        <w:ind w:firstLine="640" w:firstLineChars="200"/>
        <w:rPr>
          <w:rFonts w:hint="eastAsia" w:ascii="仿宋_GB2312" w:eastAsia="仿宋_GB2312"/>
          <w:sz w:val="32"/>
          <w:szCs w:val="32"/>
        </w:rPr>
      </w:pPr>
      <w:r>
        <w:rPr>
          <w:rFonts w:hint="eastAsia" w:ascii="仿宋_GB2312" w:eastAsia="仿宋_GB2312"/>
          <w:color w:val="auto"/>
          <w:sz w:val="32"/>
          <w:szCs w:val="32"/>
        </w:rPr>
        <w:t>按照</w:t>
      </w:r>
      <w:r>
        <w:rPr>
          <w:rFonts w:hint="eastAsia" w:ascii="仿宋_GB2312" w:hAnsi="仿宋_GB2312" w:eastAsia="仿宋_GB2312" w:cs="仿宋_GB2312"/>
          <w:color w:val="auto"/>
          <w:sz w:val="32"/>
          <w:szCs w:val="32"/>
          <w:lang w:eastAsia="zh-CN"/>
        </w:rPr>
        <w:t>全面落实军休干部“两个待遇”</w:t>
      </w:r>
      <w:r>
        <w:rPr>
          <w:rFonts w:hint="eastAsia" w:ascii="仿宋_GB2312" w:eastAsia="仿宋_GB2312"/>
          <w:color w:val="auto"/>
          <w:sz w:val="32"/>
          <w:szCs w:val="32"/>
        </w:rPr>
        <w:t>的工作目标，鲜明“干在实处、走在前列”的工作取向，</w:t>
      </w:r>
      <w:r>
        <w:rPr>
          <w:rFonts w:hint="eastAsia" w:ascii="仿宋_GB2312" w:eastAsia="仿宋_GB2312"/>
          <w:color w:val="auto"/>
          <w:sz w:val="32"/>
          <w:szCs w:val="32"/>
          <w:lang w:eastAsia="zh-CN"/>
        </w:rPr>
        <w:t>深化“</w:t>
      </w:r>
      <w:r>
        <w:rPr>
          <w:rFonts w:hint="eastAsia" w:ascii="仿宋_GB2312" w:eastAsia="仿宋_GB2312"/>
          <w:color w:val="auto"/>
          <w:sz w:val="32"/>
          <w:szCs w:val="32"/>
          <w:lang w:val="en-US" w:eastAsia="zh-CN"/>
        </w:rPr>
        <w:t>6+N</w:t>
      </w:r>
      <w:r>
        <w:rPr>
          <w:rFonts w:hint="eastAsia" w:ascii="仿宋_GB2312" w:eastAsia="仿宋_GB2312"/>
          <w:color w:val="auto"/>
          <w:sz w:val="32"/>
          <w:szCs w:val="32"/>
          <w:lang w:eastAsia="zh-CN"/>
        </w:rPr>
        <w:t>”工作机制，确保各项目标任务圆满完成</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所收入预算总额为234.20万元，较上年预算数增加</w:t>
      </w:r>
      <w:r>
        <w:rPr>
          <w:rFonts w:hint="eastAsia" w:ascii="仿宋_GB2312" w:eastAsia="仿宋_GB2312"/>
          <w:sz w:val="32"/>
          <w:szCs w:val="32"/>
          <w:lang w:val="en-US" w:eastAsia="zh-CN"/>
        </w:rPr>
        <w:t>137.72</w:t>
      </w:r>
      <w:r>
        <w:rPr>
          <w:rFonts w:hint="eastAsia" w:ascii="仿宋_GB2312" w:eastAsia="仿宋_GB2312"/>
          <w:sz w:val="32"/>
          <w:szCs w:val="32"/>
        </w:rPr>
        <w:t>万元。其中：当年财政拨款收入137.70万元，其他收入96.50万元。相应安排支出预算234.20万元，其中：人员支出100.04万元，日常公用支出21.95万元，对个人和家庭的补助支出</w:t>
      </w:r>
      <w:r>
        <w:rPr>
          <w:rFonts w:hint="eastAsia" w:ascii="仿宋_GB2312" w:eastAsia="仿宋_GB2312"/>
          <w:sz w:val="32"/>
          <w:szCs w:val="32"/>
          <w:lang w:val="en-US" w:eastAsia="zh-CN"/>
        </w:rPr>
        <w:t>46.6</w:t>
      </w:r>
      <w:r>
        <w:rPr>
          <w:rFonts w:hint="eastAsia" w:ascii="仿宋_GB2312" w:eastAsia="仿宋_GB2312"/>
          <w:sz w:val="32"/>
          <w:szCs w:val="32"/>
        </w:rPr>
        <w:t>万元，专项支出</w:t>
      </w:r>
      <w:r>
        <w:rPr>
          <w:rFonts w:hint="eastAsia" w:ascii="仿宋_GB2312" w:eastAsia="仿宋_GB2312"/>
          <w:sz w:val="32"/>
          <w:szCs w:val="32"/>
          <w:lang w:val="en-US" w:eastAsia="zh-CN"/>
        </w:rPr>
        <w:t>112.2</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年财政拨款收支总预算137.70万元，主要用于保障</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军休服务管理</w:t>
      </w:r>
      <w:r>
        <w:rPr>
          <w:rFonts w:hint="eastAsia" w:ascii="仿宋_GB2312" w:eastAsia="仿宋_GB2312"/>
          <w:sz w:val="32"/>
          <w:szCs w:val="32"/>
        </w:rPr>
        <w:t>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基本支出121.99万元，是用于保障</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项目支出15.71万元，是用于保障</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年一般公共预算当年拨款137.70万元，较上年预算数增加</w:t>
      </w:r>
      <w:r>
        <w:rPr>
          <w:rFonts w:hint="eastAsia" w:ascii="仿宋_GB2312" w:eastAsia="仿宋_GB2312"/>
          <w:sz w:val="32"/>
          <w:szCs w:val="32"/>
          <w:lang w:val="en-US" w:eastAsia="zh-CN"/>
        </w:rPr>
        <w:t>41.22</w:t>
      </w:r>
      <w:r>
        <w:rPr>
          <w:rFonts w:hint="eastAsia" w:ascii="仿宋_GB2312" w:eastAsia="仿宋_GB2312"/>
          <w:sz w:val="32"/>
          <w:szCs w:val="32"/>
        </w:rPr>
        <w:t>万元。主要原因是</w:t>
      </w:r>
      <w:r>
        <w:rPr>
          <w:rFonts w:hint="eastAsia" w:ascii="仿宋_GB2312" w:eastAsia="仿宋_GB2312"/>
          <w:sz w:val="32"/>
          <w:szCs w:val="32"/>
          <w:lang w:val="en-US" w:eastAsia="zh-CN"/>
        </w:rPr>
        <w:t>2023年度新接收军队转业安置士官1人、公开招录管理人员1人，2024年度预计继续公开招录管理人员1人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b/>
          <w:color w:val="FF0000"/>
          <w:sz w:val="32"/>
          <w:szCs w:val="32"/>
          <w:lang w:val="en-US" w:eastAsia="zh-CN"/>
        </w:rPr>
      </w:pPr>
      <w:r>
        <w:rPr>
          <w:rFonts w:hint="eastAsia" w:ascii="仿宋_GB2312" w:eastAsia="仿宋_GB2312"/>
          <w:sz w:val="32"/>
          <w:szCs w:val="32"/>
        </w:rPr>
        <w:t>社会保障和就业支出126.64万元，占</w:t>
      </w:r>
      <w:r>
        <w:rPr>
          <w:rFonts w:hint="eastAsia" w:ascii="仿宋_GB2312" w:eastAsia="仿宋_GB2312"/>
          <w:sz w:val="32"/>
          <w:szCs w:val="32"/>
          <w:lang w:val="en-US" w:eastAsia="zh-CN"/>
        </w:rPr>
        <w:t>91.97</w:t>
      </w:r>
      <w:r>
        <w:rPr>
          <w:rFonts w:hint="eastAsia" w:ascii="仿宋_GB2312" w:eastAsia="仿宋_GB2312"/>
          <w:sz w:val="32"/>
          <w:szCs w:val="32"/>
        </w:rPr>
        <w:t>%；卫生健康支出</w:t>
      </w:r>
      <w:r>
        <w:rPr>
          <w:rFonts w:hint="eastAsia" w:ascii="仿宋_GB2312" w:eastAsia="仿宋_GB2312"/>
          <w:sz w:val="32"/>
          <w:szCs w:val="32"/>
          <w:lang w:val="en-US" w:eastAsia="zh-CN"/>
        </w:rPr>
        <w:t>3.58</w:t>
      </w:r>
      <w:r>
        <w:rPr>
          <w:rFonts w:hint="eastAsia" w:ascii="仿宋_GB2312" w:eastAsia="仿宋_GB2312"/>
          <w:sz w:val="32"/>
          <w:szCs w:val="32"/>
        </w:rPr>
        <w:t>万元，占</w:t>
      </w:r>
      <w:r>
        <w:rPr>
          <w:rFonts w:hint="eastAsia" w:ascii="仿宋_GB2312" w:eastAsia="仿宋_GB2312"/>
          <w:sz w:val="32"/>
          <w:szCs w:val="32"/>
          <w:lang w:val="en-US" w:eastAsia="zh-CN"/>
        </w:rPr>
        <w:t>2.60</w:t>
      </w:r>
      <w:r>
        <w:rPr>
          <w:rFonts w:hint="eastAsia" w:ascii="仿宋_GB2312" w:eastAsia="仿宋_GB2312"/>
          <w:sz w:val="32"/>
          <w:szCs w:val="32"/>
        </w:rPr>
        <w:t>%。住房保障支出</w:t>
      </w:r>
      <w:r>
        <w:rPr>
          <w:rFonts w:hint="eastAsia" w:ascii="仿宋_GB2312" w:eastAsia="仿宋_GB2312"/>
          <w:sz w:val="32"/>
          <w:szCs w:val="32"/>
          <w:lang w:val="en-US" w:eastAsia="zh-CN"/>
        </w:rPr>
        <w:t>7.47</w:t>
      </w:r>
      <w:r>
        <w:rPr>
          <w:rFonts w:hint="eastAsia" w:ascii="仿宋_GB2312" w:eastAsia="仿宋_GB2312"/>
          <w:sz w:val="32"/>
          <w:szCs w:val="32"/>
        </w:rPr>
        <w:t>万元，占</w:t>
      </w:r>
      <w:r>
        <w:rPr>
          <w:rFonts w:hint="eastAsia" w:ascii="仿宋_GB2312" w:eastAsia="仿宋_GB2312"/>
          <w:sz w:val="32"/>
          <w:szCs w:val="32"/>
          <w:lang w:val="en-US" w:eastAsia="zh-CN"/>
        </w:rPr>
        <w:t>5.43</w:t>
      </w:r>
      <w:r>
        <w:rPr>
          <w:rFonts w:hint="eastAsia" w:ascii="仿宋_GB2312" w:eastAsia="仿宋_GB2312"/>
          <w:sz w:val="32"/>
          <w:szCs w:val="32"/>
        </w:rPr>
        <w:t>%</w:t>
      </w:r>
      <w:r>
        <w:rPr>
          <w:rFonts w:hint="eastAsia" w:ascii="仿宋_GB2312" w:eastAsia="仿宋_GB2312"/>
          <w:b/>
          <w:color w:val="auto"/>
          <w:sz w:val="32"/>
          <w:szCs w:val="32"/>
          <w:lang w:val="en-US"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.社会保障和就业（类）行政事业单位养老（款）机关事业单位基本养老保险缴费（项），</w:t>
      </w:r>
      <w:r>
        <w:rPr>
          <w:rFonts w:hint="eastAsia" w:ascii="仿宋_GB2312" w:eastAsia="仿宋_GB2312"/>
          <w:sz w:val="32"/>
          <w:szCs w:val="32"/>
          <w:lang w:val="en-US" w:eastAsia="zh-CN"/>
        </w:rPr>
        <w:t>2024</w:t>
      </w:r>
      <w:r>
        <w:rPr>
          <w:rFonts w:hint="eastAsia" w:ascii="仿宋_GB2312" w:eastAsia="仿宋_GB2312"/>
          <w:sz w:val="32"/>
          <w:szCs w:val="32"/>
        </w:rPr>
        <w:t>年预算数为9.40万元，主要用于：</w:t>
      </w:r>
      <w:r>
        <w:rPr>
          <w:rFonts w:hint="eastAsia" w:ascii="仿宋_GB2312" w:eastAsia="仿宋_GB2312"/>
          <w:color w:val="auto"/>
          <w:sz w:val="32"/>
          <w:szCs w:val="32"/>
        </w:rPr>
        <w:t>单位养老保险缴费支出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.社会保障和就业（类）行政事业单位养老（款）机关事业单位职业年金缴费（项），</w:t>
      </w:r>
      <w:r>
        <w:rPr>
          <w:rFonts w:hint="eastAsia" w:ascii="仿宋_GB2312" w:eastAsia="仿宋_GB2312"/>
          <w:sz w:val="32"/>
          <w:szCs w:val="32"/>
          <w:lang w:val="en-US" w:eastAsia="zh-CN"/>
        </w:rPr>
        <w:t>2024</w:t>
      </w:r>
      <w:r>
        <w:rPr>
          <w:rFonts w:hint="eastAsia" w:ascii="仿宋_GB2312" w:eastAsia="仿宋_GB2312"/>
          <w:sz w:val="32"/>
          <w:szCs w:val="32"/>
        </w:rPr>
        <w:t>年预算数为4.70万元，主要用于：</w:t>
      </w:r>
      <w:r>
        <w:rPr>
          <w:rFonts w:hint="eastAsia" w:ascii="仿宋_GB2312" w:eastAsia="仿宋_GB2312"/>
          <w:color w:val="auto"/>
          <w:sz w:val="32"/>
          <w:szCs w:val="32"/>
        </w:rPr>
        <w:t>单位职业年金缴费支出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val="en-US" w:eastAsia="zh-CN"/>
        </w:rPr>
        <w:t>退役安置</w:t>
      </w:r>
      <w:r>
        <w:rPr>
          <w:rFonts w:hint="eastAsia" w:ascii="仿宋_GB2312" w:eastAsia="仿宋_GB2312"/>
          <w:sz w:val="32"/>
          <w:szCs w:val="32"/>
        </w:rPr>
        <w:t>（款）军队移交政府的离退休人员安置（项）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年预算数为15.71万元，主要用于：</w:t>
      </w:r>
      <w:r>
        <w:rPr>
          <w:rFonts w:hint="eastAsia" w:ascii="仿宋_GB2312" w:eastAsia="仿宋_GB2312"/>
          <w:color w:val="auto"/>
          <w:sz w:val="32"/>
          <w:szCs w:val="32"/>
          <w:lang w:val="en-US" w:eastAsia="zh-CN"/>
        </w:rPr>
        <w:t>去世军休人员丧葬费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val="en-US" w:eastAsia="zh-CN"/>
        </w:rPr>
        <w:t>退役安置</w:t>
      </w:r>
      <w:r>
        <w:rPr>
          <w:rFonts w:hint="eastAsia" w:ascii="仿宋_GB2312" w:eastAsia="仿宋_GB2312"/>
          <w:sz w:val="32"/>
          <w:szCs w:val="32"/>
        </w:rPr>
        <w:t>（款）军队移交政府离退休干部管理机构（项）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年预算数为96.75万元，主要用于：</w:t>
      </w:r>
      <w:r>
        <w:rPr>
          <w:rFonts w:hint="eastAsia" w:ascii="仿宋_GB2312" w:eastAsia="仿宋_GB2312"/>
          <w:color w:val="auto"/>
          <w:sz w:val="32"/>
          <w:szCs w:val="32"/>
          <w:lang w:val="en-US" w:eastAsia="zh-CN"/>
        </w:rPr>
        <w:t>管理机构人员及公用经费开支</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w:t>
      </w:r>
      <w:r>
        <w:rPr>
          <w:rFonts w:hint="eastAsia" w:ascii="仿宋_GB2312" w:eastAsia="仿宋_GB2312"/>
          <w:sz w:val="32"/>
          <w:szCs w:val="32"/>
        </w:rPr>
        <w:t>（款）其他社会保障和就业（项）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0.09</w:t>
      </w:r>
      <w:r>
        <w:rPr>
          <w:rFonts w:hint="eastAsia" w:ascii="仿宋_GB2312" w:eastAsia="仿宋_GB2312"/>
          <w:sz w:val="32"/>
          <w:szCs w:val="32"/>
        </w:rPr>
        <w:t>万元，主要用于：</w:t>
      </w:r>
      <w:r>
        <w:rPr>
          <w:rFonts w:hint="eastAsia" w:ascii="仿宋_GB2312" w:eastAsia="仿宋_GB2312"/>
          <w:color w:val="auto"/>
          <w:sz w:val="32"/>
          <w:szCs w:val="32"/>
        </w:rPr>
        <w:t>工伤保险支出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.卫生健康（</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hint="eastAsia" w:ascii="仿宋_GB2312" w:eastAsia="仿宋_GB2312"/>
          <w:sz w:val="32"/>
          <w:szCs w:val="32"/>
          <w:lang w:val="en-US" w:eastAsia="zh-CN"/>
        </w:rPr>
        <w:t>2024</w:t>
      </w:r>
      <w:r>
        <w:rPr>
          <w:rFonts w:hint="eastAsia" w:ascii="仿宋_GB2312" w:eastAsia="仿宋_GB2312"/>
          <w:sz w:val="32"/>
          <w:szCs w:val="32"/>
        </w:rPr>
        <w:t>年预算数为3.58万元，主要用于：</w:t>
      </w:r>
      <w:r>
        <w:rPr>
          <w:rFonts w:hint="eastAsia" w:ascii="仿宋_GB2312" w:eastAsia="仿宋_GB2312"/>
          <w:sz w:val="32"/>
          <w:szCs w:val="32"/>
          <w:lang w:val="en-US" w:eastAsia="zh-CN"/>
        </w:rPr>
        <w:t>单位基本医疗保险缴费支出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2024</w:t>
      </w:r>
      <w:r>
        <w:rPr>
          <w:rFonts w:hint="eastAsia" w:ascii="仿宋_GB2312" w:eastAsia="仿宋_GB2312"/>
          <w:sz w:val="32"/>
          <w:szCs w:val="32"/>
        </w:rPr>
        <w:t>年预算数为7.47万元，主要用于：按人力资源和社会保障部、财政部规定的基本工资和津贴补贴以及规定比例为职工缴纳的住房公积金支出。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年一般公共预算基本支出121.99万元，其中：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人员经费100.04万元，主要包括：基本工资、津贴补贴、绩效工资、奖金、社会保险缴费、住房公积金</w:t>
      </w:r>
      <w:r>
        <w:rPr>
          <w:rFonts w:hint="eastAsia" w:ascii="仿宋_GB2312" w:eastAsia="仿宋_GB2312"/>
          <w:sz w:val="32"/>
          <w:szCs w:val="32"/>
          <w:lang w:val="en-US" w:eastAsia="zh-CN"/>
        </w:rPr>
        <w:t>缴费、其他工资福利支出、对个人和家庭的补助。</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rPr>
        <w:t>公用经费21.95万元，主要包括：办公费、印刷费、咨询费</w:t>
      </w:r>
      <w:r>
        <w:rPr>
          <w:rFonts w:hint="eastAsia" w:ascii="仿宋_GB2312" w:eastAsia="仿宋_GB2312"/>
          <w:sz w:val="32"/>
          <w:szCs w:val="32"/>
          <w:lang w:eastAsia="zh-CN"/>
        </w:rPr>
        <w:t>、</w:t>
      </w:r>
      <w:r>
        <w:rPr>
          <w:rFonts w:hint="eastAsia" w:ascii="仿宋_GB2312" w:eastAsia="仿宋_GB2312"/>
          <w:sz w:val="32"/>
          <w:szCs w:val="32"/>
        </w:rPr>
        <w:t>手续费、水费、电费、</w:t>
      </w:r>
      <w:r>
        <w:rPr>
          <w:rFonts w:hint="eastAsia" w:ascii="仿宋_GB2312" w:eastAsia="仿宋_GB2312"/>
          <w:sz w:val="32"/>
          <w:szCs w:val="32"/>
          <w:lang w:val="en-US" w:eastAsia="zh-CN"/>
        </w:rPr>
        <w:t>邮电费、差旅费、会议费、公务接待费、工会经费、公务用车运行维护费、其他商品和服务支出。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2024</w:t>
      </w:r>
      <w:r>
        <w:rPr>
          <w:rFonts w:hint="eastAsia" w:ascii="仿宋_GB2312" w:eastAsia="仿宋_GB2312"/>
          <w:sz w:val="32"/>
          <w:szCs w:val="32"/>
        </w:rPr>
        <w:t>年“三公”经费预算数7.10万元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其中财政拨款安排“三公”经费7.10万元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eastAsia="zh-CN"/>
        </w:rPr>
        <w:t>，主要原因是：</w:t>
      </w:r>
      <w:r>
        <w:rPr>
          <w:rFonts w:hint="eastAsia" w:ascii="仿宋_GB2312" w:eastAsia="仿宋_GB2312"/>
          <w:sz w:val="32"/>
          <w:szCs w:val="32"/>
          <w:lang w:val="en-US" w:eastAsia="zh-CN"/>
        </w:rPr>
        <w:t>压减“三公”经费</w:t>
      </w:r>
      <w:r>
        <w:rPr>
          <w:rFonts w:hint="eastAsia" w:ascii="仿宋_GB2312" w:eastAsia="仿宋_GB2312"/>
          <w:sz w:val="32"/>
          <w:szCs w:val="32"/>
        </w:rPr>
        <w:t>。公务接待费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6.9</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3" w:firstLineChars="200"/>
        <w:textAlignment w:val="auto"/>
        <w:outlineLvl w:val="1"/>
        <w:rPr>
          <w:rFonts w:hint="eastAsia" w:ascii="仿宋_GB2312" w:eastAsia="仿宋_GB2312"/>
          <w:b/>
          <w:color w:val="auto"/>
          <w:sz w:val="32"/>
          <w:szCs w:val="32"/>
        </w:rPr>
      </w:pPr>
      <w:r>
        <w:rPr>
          <w:rFonts w:hint="eastAsia" w:ascii="仿宋_GB2312" w:eastAsia="仿宋_GB2312"/>
          <w:b/>
          <w:color w:val="auto"/>
          <w:sz w:val="32"/>
          <w:szCs w:val="32"/>
          <w:lang w:eastAsia="zh-CN"/>
        </w:rPr>
        <w:t>（</w:t>
      </w:r>
      <w:r>
        <w:rPr>
          <w:rFonts w:hint="eastAsia" w:ascii="仿宋_GB2312" w:eastAsia="仿宋_GB2312"/>
          <w:b/>
          <w:color w:val="auto"/>
          <w:sz w:val="32"/>
          <w:szCs w:val="32"/>
          <w:lang w:val="en-US" w:eastAsia="zh-CN"/>
        </w:rPr>
        <w:t>一</w:t>
      </w:r>
      <w:r>
        <w:rPr>
          <w:rFonts w:hint="eastAsia" w:ascii="仿宋_GB2312" w:eastAsia="仿宋_GB2312"/>
          <w:b/>
          <w:color w:val="auto"/>
          <w:sz w:val="32"/>
          <w:szCs w:val="32"/>
          <w:lang w:eastAsia="zh-CN"/>
        </w:rPr>
        <w:t>）</w:t>
      </w:r>
      <w:r>
        <w:rPr>
          <w:rFonts w:hint="eastAsia" w:ascii="仿宋_GB2312" w:eastAsia="仿宋_GB2312"/>
          <w:b/>
          <w:color w:val="auto"/>
          <w:sz w:val="32"/>
          <w:szCs w:val="32"/>
        </w:rPr>
        <w:t>无因公出国（境）预算。</w:t>
      </w:r>
      <w:r>
        <w:rPr>
          <w:rFonts w:hint="eastAsia" w:ascii="仿宋_GB2312" w:eastAsia="仿宋_GB2312"/>
          <w:b/>
          <w:color w:val="auto"/>
          <w:sz w:val="32"/>
          <w:szCs w:val="32"/>
          <w:lang w:val="en-US" w:eastAsia="zh-CN"/>
        </w:rPr>
        <w:t>2024</w:t>
      </w:r>
      <w:r>
        <w:rPr>
          <w:rFonts w:hint="eastAsia" w:ascii="仿宋_GB2312" w:eastAsia="仿宋_GB2312"/>
          <w:b/>
          <w:color w:val="auto"/>
          <w:sz w:val="32"/>
          <w:szCs w:val="32"/>
        </w:rPr>
        <w:t>年因公临时出国（境）未安排人次。</w:t>
      </w:r>
    </w:p>
    <w:p>
      <w:pPr>
        <w:keepNext w:val="0"/>
        <w:keepLines w:val="0"/>
        <w:pageBreakBefore w:val="0"/>
        <w:widowControl w:val="0"/>
        <w:kinsoku/>
        <w:wordWrap/>
        <w:overflowPunct/>
        <w:topLinePunct w:val="0"/>
        <w:bidi w:val="0"/>
        <w:snapToGrid/>
        <w:spacing w:line="600" w:lineRule="exact"/>
        <w:ind w:firstLine="643" w:firstLineChars="200"/>
        <w:textAlignment w:val="auto"/>
        <w:outlineLvl w:val="1"/>
        <w:rPr>
          <w:rFonts w:hint="eastAsia" w:ascii="仿宋_GB2312" w:eastAsia="仿宋_GB2312"/>
          <w:b/>
          <w:color w:val="auto"/>
          <w:sz w:val="32"/>
          <w:szCs w:val="32"/>
        </w:rPr>
      </w:pPr>
    </w:p>
    <w:p>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公务接待费</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lang w:val="en-US" w:eastAsia="zh-CN"/>
        </w:rPr>
        <w:t>压减“三公”经费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w:t>
      </w:r>
      <w:r>
        <w:rPr>
          <w:rFonts w:hint="eastAsia" w:ascii="仿宋_GB2312" w:eastAsia="仿宋_GB2312"/>
          <w:sz w:val="32"/>
          <w:szCs w:val="32"/>
          <w:lang w:eastAsia="zh-CN"/>
        </w:rPr>
        <w:t>接待军休系统赴我所参观交流接待</w:t>
      </w:r>
      <w:r>
        <w:rPr>
          <w:rFonts w:hint="eastAsia" w:ascii="仿宋_GB2312" w:eastAsia="仿宋_GB2312"/>
          <w:sz w:val="32"/>
          <w:szCs w:val="32"/>
        </w:rPr>
        <w:t>。</w:t>
      </w:r>
    </w:p>
    <w:p>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val="en-US" w:eastAsia="zh-CN"/>
        </w:rPr>
        <w:t>无增减</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6.9</w:t>
      </w:r>
      <w:r>
        <w:rPr>
          <w:rFonts w:hint="eastAsia" w:ascii="仿宋_GB2312" w:eastAsia="仿宋_GB2312"/>
          <w:sz w:val="32"/>
          <w:szCs w:val="32"/>
        </w:rPr>
        <w:t>万元，</w:t>
      </w:r>
      <w:r>
        <w:rPr>
          <w:rFonts w:hint="eastAsia" w:ascii="仿宋_GB2312" w:eastAsia="仿宋_GB2312"/>
          <w:sz w:val="32"/>
          <w:szCs w:val="32"/>
          <w:lang w:val="en-US" w:eastAsia="zh-CN"/>
        </w:rPr>
        <w:t>无增减，主要</w:t>
      </w:r>
      <w:r>
        <w:rPr>
          <w:rFonts w:hint="eastAsia" w:ascii="仿宋_GB2312" w:eastAsia="仿宋_GB2312"/>
          <w:sz w:val="32"/>
          <w:szCs w:val="32"/>
        </w:rPr>
        <w:t>用于</w:t>
      </w:r>
      <w:r>
        <w:rPr>
          <w:rFonts w:hint="eastAsia" w:ascii="仿宋_GB2312" w:eastAsia="仿宋_GB2312"/>
          <w:sz w:val="32"/>
          <w:szCs w:val="32"/>
          <w:lang w:val="en-US" w:eastAsia="zh-CN"/>
        </w:rPr>
        <w:t>车辆燃油、保险、通行费、维修维护费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机构</w:t>
      </w:r>
      <w:r>
        <w:rPr>
          <w:rFonts w:hint="eastAsia" w:ascii="楷体_GB2312" w:hAnsi="楷体_GB2312" w:eastAsia="楷体_GB2312" w:cs="楷体_GB2312"/>
          <w:sz w:val="32"/>
          <w:szCs w:val="32"/>
        </w:rPr>
        <w:t>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为</w:t>
      </w:r>
      <w:r>
        <w:rPr>
          <w:rFonts w:hint="eastAsia" w:ascii="仿宋_GB2312" w:eastAsia="仿宋_GB2312"/>
          <w:sz w:val="32"/>
          <w:szCs w:val="32"/>
        </w:rPr>
        <w:t>保障</w:t>
      </w:r>
      <w:r>
        <w:rPr>
          <w:rFonts w:hint="eastAsia" w:ascii="仿宋_GB2312" w:eastAsia="仿宋_GB2312"/>
          <w:sz w:val="32"/>
          <w:szCs w:val="32"/>
          <w:lang w:val="en-US" w:eastAsia="zh-CN"/>
        </w:rPr>
        <w:t>机构</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21.95</w:t>
      </w:r>
      <w:r>
        <w:rPr>
          <w:rFonts w:hint="eastAsia" w:ascii="仿宋_GB2312" w:eastAsia="仿宋_GB2312"/>
          <w:sz w:val="32"/>
          <w:szCs w:val="32"/>
        </w:rPr>
        <w:t>万元，较上年预算增加</w:t>
      </w:r>
      <w:r>
        <w:rPr>
          <w:rFonts w:hint="eastAsia" w:ascii="仿宋_GB2312" w:eastAsia="仿宋_GB2312"/>
          <w:sz w:val="32"/>
          <w:szCs w:val="32"/>
          <w:lang w:val="en-US" w:eastAsia="zh-CN"/>
        </w:rPr>
        <w:t>0.76</w:t>
      </w:r>
      <w:r>
        <w:rPr>
          <w:rFonts w:hint="eastAsia" w:ascii="仿宋_GB2312" w:eastAsia="仿宋_GB2312"/>
          <w:sz w:val="32"/>
          <w:szCs w:val="32"/>
        </w:rPr>
        <w:t>万元，增长</w:t>
      </w:r>
      <w:r>
        <w:rPr>
          <w:rFonts w:hint="eastAsia" w:ascii="仿宋_GB2312" w:eastAsia="仿宋_GB2312"/>
          <w:sz w:val="32"/>
          <w:szCs w:val="32"/>
          <w:lang w:val="en-US" w:eastAsia="zh-CN"/>
        </w:rPr>
        <w:t>3.59</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峨眉山市军队离退休干部干休所</w:t>
      </w:r>
      <w:r>
        <w:rPr>
          <w:rFonts w:hint="eastAsia" w:ascii="仿宋_GB2312" w:eastAsia="仿宋_GB2312"/>
          <w:sz w:val="32"/>
          <w:szCs w:val="32"/>
          <w:lang w:val="en-US" w:eastAsia="zh-CN"/>
        </w:rPr>
        <w:t>未</w:t>
      </w:r>
      <w:r>
        <w:rPr>
          <w:rFonts w:hint="eastAsia" w:ascii="仿宋_GB2312" w:eastAsia="仿宋_GB2312"/>
          <w:sz w:val="32"/>
          <w:szCs w:val="32"/>
        </w:rPr>
        <w:t>安排政府采购预算。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峨眉山市军队离退休干部干休所</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整体绩效目标涉及预算安排234.20万元，其中基本支出121.99万元，项目支出112.2</w:t>
      </w:r>
      <w:r>
        <w:rPr>
          <w:rFonts w:hint="eastAsia" w:ascii="仿宋_GB2312" w:eastAsia="仿宋_GB2312"/>
          <w:sz w:val="32"/>
          <w:szCs w:val="32"/>
          <w:lang w:val="en-US" w:eastAsia="zh-CN"/>
        </w:rPr>
        <w:t>1</w:t>
      </w:r>
      <w:r>
        <w:rPr>
          <w:rFonts w:hint="eastAsia" w:ascii="仿宋_GB2312" w:eastAsia="仿宋_GB2312"/>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、名词解释</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其他收入：指除上述“财政拨款收入”、“事业收入”、“经营收入”等以外的收入。主要是</w:t>
      </w:r>
      <w:r>
        <w:rPr>
          <w:rFonts w:hint="eastAsia" w:ascii="仿宋_GB2312" w:eastAsia="仿宋_GB2312"/>
          <w:sz w:val="32"/>
          <w:szCs w:val="32"/>
          <w:lang w:val="en-US" w:eastAsia="zh-CN"/>
        </w:rPr>
        <w:t>省级退役军人事务部门下达军休经费和管理机构经费</w:t>
      </w:r>
      <w:r>
        <w:rPr>
          <w:rFonts w:hint="eastAsia" w:ascii="仿宋_GB2312" w:eastAsia="仿宋_GB2312"/>
          <w:sz w:val="32"/>
          <w:szCs w:val="32"/>
        </w:rPr>
        <w:t xml:space="preserve">。 </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pPr>
      <w:bookmarkStart w:id="0" w:name="_GoBack"/>
      <w:bookmarkEnd w:id="0"/>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GFiNmZkMzUyZDkwYTc2ZTUzMjYzZmNkMGI2MzcifQ=="/>
    <w:docVar w:name="KSO_WPS_MARK_KEY" w:val="35d1e4d7-14cb-47d8-9ddc-8de83c155b1f"/>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281475"/>
    <w:rsid w:val="066D6077"/>
    <w:rsid w:val="0808754A"/>
    <w:rsid w:val="15D35DF5"/>
    <w:rsid w:val="21D6157A"/>
    <w:rsid w:val="270B2E60"/>
    <w:rsid w:val="276557C3"/>
    <w:rsid w:val="2D4D13D7"/>
    <w:rsid w:val="2ED21556"/>
    <w:rsid w:val="36DD628E"/>
    <w:rsid w:val="3C21458C"/>
    <w:rsid w:val="3C6F5A34"/>
    <w:rsid w:val="3EBE1CB9"/>
    <w:rsid w:val="3EE741B8"/>
    <w:rsid w:val="40C8289D"/>
    <w:rsid w:val="410F422B"/>
    <w:rsid w:val="46C53364"/>
    <w:rsid w:val="472A5D26"/>
    <w:rsid w:val="493C20A5"/>
    <w:rsid w:val="49DF285C"/>
    <w:rsid w:val="4DEE5E92"/>
    <w:rsid w:val="50041FB8"/>
    <w:rsid w:val="67D2734F"/>
    <w:rsid w:val="6AB70740"/>
    <w:rsid w:val="6FD95933"/>
    <w:rsid w:val="710C0C81"/>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2865</Words>
  <Characters>3121</Characters>
  <Lines>20</Lines>
  <Paragraphs>5</Paragraphs>
  <TotalTime>3</TotalTime>
  <ScaleCrop>false</ScaleCrop>
  <LinksUpToDate>false</LinksUpToDate>
  <CharactersWithSpaces>3127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林二娃</cp:lastModifiedBy>
  <dcterms:modified xsi:type="dcterms:W3CDTF">2024-03-25T07:22:02Z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FD26B012EC2047EF9BBFD45479BA6981</vt:lpwstr>
  </property>
</Properties>
</file>