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关于峨眉山市发展和改革局2024年预算编制的说明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2024年峨眉山市本级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528E3E56"/>
    <w:rsid w:val="585359AD"/>
    <w:rsid w:val="5D980449"/>
    <w:rsid w:val="6D6217C6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2024-03-22T02:52:51Z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695AAC1BCAEF48B58D68019A0B463343</vt:lpwstr>
  </property>
</Properties>
</file>