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C9FC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eastAsia="方正小标宋简体"/>
          <w:sz w:val="72"/>
          <w:szCs w:val="72"/>
          <w:lang w:val="en-US" w:eastAsia="zh-CN"/>
        </w:rPr>
      </w:pPr>
    </w:p>
    <w:p w14:paraId="37F9BAA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eastAsia="方正小标宋简体"/>
          <w:sz w:val="72"/>
          <w:szCs w:val="72"/>
          <w:lang w:val="en-US" w:eastAsia="zh-CN"/>
        </w:rPr>
      </w:pPr>
    </w:p>
    <w:p w14:paraId="240A2C6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eastAsia="方正小标宋简体"/>
          <w:sz w:val="72"/>
          <w:szCs w:val="72"/>
          <w:lang w:val="en-US" w:eastAsia="zh-CN"/>
        </w:rPr>
      </w:pPr>
      <w:r>
        <w:rPr>
          <w:rFonts w:hint="eastAsia" w:ascii="方正小标宋简体" w:eastAsia="方正小标宋简体"/>
          <w:sz w:val="72"/>
          <w:szCs w:val="72"/>
          <w:lang w:val="en-US" w:eastAsia="zh-CN"/>
        </w:rPr>
        <w:t>2024年度</w:t>
      </w:r>
    </w:p>
    <w:p w14:paraId="5C8314DF">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eastAsia="方正小标宋简体"/>
          <w:sz w:val="72"/>
          <w:szCs w:val="72"/>
          <w:lang w:val="en-US" w:eastAsia="zh-CN"/>
        </w:rPr>
      </w:pPr>
      <w:r>
        <w:rPr>
          <w:rFonts w:hint="eastAsia" w:ascii="方正小标宋简体" w:eastAsia="方正小标宋简体"/>
          <w:sz w:val="72"/>
          <w:szCs w:val="72"/>
          <w:lang w:val="en-US" w:eastAsia="zh-CN"/>
        </w:rPr>
        <w:t>峨眉山市退役军人事务局</w:t>
      </w:r>
    </w:p>
    <w:p w14:paraId="44287A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72"/>
          <w:szCs w:val="72"/>
          <w:lang w:val="en-US" w:eastAsia="zh-CN"/>
        </w:rPr>
      </w:pPr>
      <w:r>
        <w:rPr>
          <w:rFonts w:hint="eastAsia" w:ascii="方正小标宋简体" w:eastAsia="方正小标宋简体"/>
          <w:sz w:val="72"/>
          <w:szCs w:val="72"/>
          <w:lang w:val="en-US" w:eastAsia="zh-CN"/>
        </w:rPr>
        <w:t>部门综合预算</w:t>
      </w:r>
    </w:p>
    <w:p w14:paraId="49522EEA">
      <w:pPr>
        <w:spacing w:line="600" w:lineRule="exact"/>
        <w:jc w:val="center"/>
        <w:outlineLvl w:val="9"/>
        <w:rPr>
          <w:rFonts w:hint="eastAsia" w:ascii="方正小标宋简体" w:eastAsia="方正小标宋简体"/>
          <w:sz w:val="44"/>
          <w:szCs w:val="44"/>
        </w:rPr>
      </w:pPr>
    </w:p>
    <w:p w14:paraId="17FDB54E">
      <w:pPr>
        <w:pStyle w:val="2"/>
        <w:rPr>
          <w:rFonts w:hint="eastAsia" w:ascii="方正小标宋简体" w:eastAsia="方正小标宋简体"/>
          <w:sz w:val="44"/>
          <w:szCs w:val="44"/>
        </w:rPr>
      </w:pPr>
    </w:p>
    <w:p w14:paraId="21942C44">
      <w:pPr>
        <w:rPr>
          <w:rFonts w:hint="eastAsia" w:ascii="方正小标宋简体" w:eastAsia="方正小标宋简体"/>
          <w:sz w:val="44"/>
          <w:szCs w:val="44"/>
        </w:rPr>
      </w:pPr>
    </w:p>
    <w:p w14:paraId="4CB442F4">
      <w:pPr>
        <w:pStyle w:val="2"/>
        <w:rPr>
          <w:rFonts w:hint="eastAsia" w:ascii="方正小标宋简体" w:eastAsia="方正小标宋简体"/>
          <w:sz w:val="44"/>
          <w:szCs w:val="44"/>
        </w:rPr>
      </w:pPr>
    </w:p>
    <w:p w14:paraId="7B83A5F2">
      <w:pPr>
        <w:rPr>
          <w:rFonts w:hint="eastAsia" w:ascii="方正小标宋简体" w:eastAsia="方正小标宋简体"/>
          <w:sz w:val="44"/>
          <w:szCs w:val="44"/>
        </w:rPr>
      </w:pPr>
    </w:p>
    <w:p w14:paraId="7B135323">
      <w:pPr>
        <w:pStyle w:val="2"/>
        <w:rPr>
          <w:rFonts w:hint="eastAsia" w:ascii="方正小标宋简体" w:eastAsia="方正小标宋简体"/>
          <w:sz w:val="44"/>
          <w:szCs w:val="44"/>
        </w:rPr>
      </w:pPr>
    </w:p>
    <w:p w14:paraId="3E38E14F">
      <w:pPr>
        <w:rPr>
          <w:rFonts w:hint="eastAsia"/>
        </w:rPr>
      </w:pPr>
    </w:p>
    <w:p w14:paraId="68721B6B">
      <w:pPr>
        <w:spacing w:line="600" w:lineRule="exact"/>
        <w:jc w:val="center"/>
        <w:outlineLvl w:val="9"/>
        <w:rPr>
          <w:rFonts w:hint="eastAsia" w:ascii="方正小标宋简体" w:eastAsia="方正小标宋简体"/>
          <w:sz w:val="44"/>
          <w:szCs w:val="44"/>
        </w:rPr>
      </w:pPr>
    </w:p>
    <w:p w14:paraId="395577E1">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ascii="宋体" w:hAnsi="宋体" w:eastAsia="宋体" w:cs="Times New Roman"/>
          <w:kern w:val="2"/>
          <w:sz w:val="21"/>
          <w:szCs w:val="22"/>
          <w:lang w:val="en-US" w:eastAsia="zh-CN" w:bidi="ar-SA"/>
        </w:rPr>
        <w:sectPr>
          <w:footerReference r:id="rId3" w:type="default"/>
          <w:footerReference r:id="rId4" w:type="even"/>
          <w:pgSz w:w="11906" w:h="16838"/>
          <w:pgMar w:top="2098" w:right="1474" w:bottom="1928" w:left="1588" w:header="851" w:footer="1474" w:gutter="0"/>
          <w:cols w:space="425" w:num="1"/>
          <w:docGrid w:type="lines" w:linePitch="312" w:charSpace="0"/>
        </w:sectPr>
      </w:pPr>
    </w:p>
    <w:sdt>
      <w:sdtPr>
        <w:rPr>
          <w:rFonts w:ascii="宋体" w:hAnsi="宋体" w:eastAsia="宋体" w:cs="Times New Roman"/>
          <w:kern w:val="2"/>
          <w:sz w:val="21"/>
          <w:szCs w:val="22"/>
          <w:lang w:val="en-US" w:eastAsia="zh-CN" w:bidi="ar-SA"/>
        </w:rPr>
        <w:id w:val="147476165"/>
        <w15:color w:val="DBDBDB"/>
        <w:docPartObj>
          <w:docPartGallery w:val="Table of Contents"/>
          <w:docPartUnique/>
        </w:docPartObj>
      </w:sdtPr>
      <w:sdtEndPr>
        <w:rPr>
          <w:rFonts w:hint="eastAsia" w:ascii="仿宋_GB2312" w:hAnsi="宋体" w:eastAsia="仿宋_GB2312" w:cs="仿宋_GB2312"/>
          <w:color w:val="333333"/>
          <w:kern w:val="0"/>
          <w:sz w:val="31"/>
          <w:szCs w:val="31"/>
          <w:lang w:val="en-US" w:eastAsia="zh-CN" w:bidi="ar"/>
        </w:rPr>
      </w:sdtEndPr>
      <w:sdtContent>
        <w:p w14:paraId="1F9B51EC">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目录</w:t>
          </w:r>
        </w:p>
        <w:p w14:paraId="4348C93E">
          <w:pPr>
            <w:pStyle w:val="2"/>
            <w:jc w:val="center"/>
            <w:rPr>
              <w:rFonts w:hint="eastAsia"/>
              <w:lang w:val="en-US" w:eastAsia="zh-CN"/>
            </w:rPr>
          </w:pPr>
          <w:r>
            <w:rPr>
              <w:rFonts w:hint="eastAsia" w:ascii="楷体_GB2312" w:hAnsi="楷体_GB2312" w:eastAsia="楷体_GB2312" w:cs="楷体_GB2312"/>
              <w:color w:val="000000"/>
              <w:kern w:val="0"/>
              <w:sz w:val="32"/>
              <w:szCs w:val="32"/>
              <w:lang w:val="en-US" w:eastAsia="zh-CN" w:bidi="ar"/>
            </w:rPr>
            <w:t>公开时间：2024年3月6日</w:t>
          </w:r>
        </w:p>
        <w:p w14:paraId="1B9A76E8">
          <w:pPr>
            <w:pStyle w:val="6"/>
            <w:keepNext w:val="0"/>
            <w:keepLines w:val="0"/>
            <w:pageBreakBefore w:val="0"/>
            <w:kinsoku/>
            <w:wordWrap/>
            <w:overflowPunct/>
            <w:topLinePunct w:val="0"/>
            <w:autoSpaceDE/>
            <w:autoSpaceDN/>
            <w:bidi w:val="0"/>
            <w:adjustRightInd/>
            <w:snapToGrid/>
            <w:spacing w:line="600" w:lineRule="exact"/>
            <w:textAlignment w:val="auto"/>
            <w:rPr>
              <w:b w:val="0"/>
              <w:bCs w:val="0"/>
            </w:rPr>
          </w:pPr>
          <w:r>
            <w:rPr>
              <w:rFonts w:ascii="黑体" w:hAnsi="宋体" w:eastAsia="黑体" w:cs="黑体"/>
              <w:b w:val="0"/>
              <w:bCs w:val="0"/>
              <w:color w:val="333333"/>
              <w:kern w:val="0"/>
              <w:sz w:val="31"/>
              <w:szCs w:val="31"/>
              <w:lang w:val="en-US" w:eastAsia="zh-CN" w:bidi="ar"/>
            </w:rPr>
            <w:t xml:space="preserve">第一部分 </w:t>
          </w:r>
          <w:r>
            <w:rPr>
              <w:rFonts w:hint="eastAsia" w:ascii="黑体" w:hAnsi="宋体" w:eastAsia="黑体" w:cs="黑体"/>
              <w:b w:val="0"/>
              <w:bCs w:val="0"/>
              <w:color w:val="333333"/>
              <w:kern w:val="0"/>
              <w:sz w:val="31"/>
              <w:szCs w:val="31"/>
              <w:lang w:val="en-US" w:eastAsia="zh-CN" w:bidi="ar"/>
            </w:rPr>
            <w:t>关于峨眉山市退役军人事务局2024年预算编制的说明</w:t>
          </w:r>
        </w:p>
        <w:p w14:paraId="339159C3">
          <w:pPr>
            <w:pStyle w:val="10"/>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方正小标宋简体" w:eastAsia="方正小标宋简体"/>
              <w:sz w:val="44"/>
              <w:szCs w:val="44"/>
            </w:rPr>
            <w:fldChar w:fldCharType="begin"/>
          </w:r>
          <w:r>
            <w:rPr>
              <w:rFonts w:hint="eastAsia" w:ascii="方正小标宋简体" w:eastAsia="方正小标宋简体"/>
              <w:sz w:val="44"/>
              <w:szCs w:val="44"/>
            </w:rPr>
            <w:instrText xml:space="preserve">TOC \o "1-3" \h \u </w:instrText>
          </w:r>
          <w:r>
            <w:rPr>
              <w:rFonts w:hint="eastAsia" w:ascii="方正小标宋简体" w:eastAsia="方正小标宋简体"/>
              <w:sz w:val="44"/>
              <w:szCs w:val="44"/>
            </w:rPr>
            <w:fldChar w:fldCharType="separate"/>
          </w: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_Toc15698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一、基本职能及主要工作</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t>4</w:t>
          </w:r>
          <w:r>
            <w:rPr>
              <w:rFonts w:hint="eastAsia" w:ascii="仿宋_GB2312" w:hAnsi="宋体" w:eastAsia="仿宋_GB2312" w:cs="仿宋_GB2312"/>
              <w:b w:val="0"/>
              <w:bCs w:val="0"/>
              <w:color w:val="333333"/>
              <w:kern w:val="0"/>
              <w:sz w:val="31"/>
              <w:szCs w:val="31"/>
              <w:lang w:val="en-US" w:eastAsia="zh-CN" w:bidi="ar"/>
            </w:rPr>
            <w:fldChar w:fldCharType="end"/>
          </w:r>
        </w:p>
        <w:p w14:paraId="56017510">
          <w:pPr>
            <w:pStyle w:val="11"/>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_Toc14036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（一）主要职能（涉密）</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t>4</w:t>
          </w:r>
          <w:r>
            <w:rPr>
              <w:rFonts w:hint="eastAsia" w:ascii="仿宋_GB2312" w:hAnsi="宋体" w:eastAsia="仿宋_GB2312" w:cs="仿宋_GB2312"/>
              <w:b w:val="0"/>
              <w:bCs w:val="0"/>
              <w:color w:val="333333"/>
              <w:kern w:val="0"/>
              <w:sz w:val="31"/>
              <w:szCs w:val="31"/>
              <w:lang w:val="en-US" w:eastAsia="zh-CN" w:bidi="ar"/>
            </w:rPr>
            <w:fldChar w:fldCharType="end"/>
          </w:r>
        </w:p>
        <w:p w14:paraId="6178C234">
          <w:pPr>
            <w:pStyle w:val="11"/>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_Toc21964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（二）2024年重点工作任务</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t>4</w:t>
          </w:r>
          <w:r>
            <w:rPr>
              <w:rFonts w:hint="eastAsia" w:ascii="仿宋_GB2312" w:hAnsi="宋体" w:eastAsia="仿宋_GB2312" w:cs="仿宋_GB2312"/>
              <w:b w:val="0"/>
              <w:bCs w:val="0"/>
              <w:color w:val="333333"/>
              <w:kern w:val="0"/>
              <w:sz w:val="31"/>
              <w:szCs w:val="31"/>
              <w:lang w:val="en-US" w:eastAsia="zh-CN" w:bidi="ar"/>
            </w:rPr>
            <w:fldChar w:fldCharType="end"/>
          </w:r>
        </w:p>
        <w:p w14:paraId="5D13EE8E">
          <w:pPr>
            <w:pStyle w:val="10"/>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_Toc8728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二、部门概况</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t>6</w:t>
          </w:r>
          <w:r>
            <w:rPr>
              <w:rFonts w:hint="eastAsia" w:ascii="仿宋_GB2312" w:hAnsi="宋体" w:eastAsia="仿宋_GB2312" w:cs="仿宋_GB2312"/>
              <w:b w:val="0"/>
              <w:bCs w:val="0"/>
              <w:color w:val="333333"/>
              <w:kern w:val="0"/>
              <w:sz w:val="31"/>
              <w:szCs w:val="31"/>
              <w:lang w:val="en-US" w:eastAsia="zh-CN" w:bidi="ar"/>
            </w:rPr>
            <w:fldChar w:fldCharType="end"/>
          </w:r>
        </w:p>
        <w:p w14:paraId="26D3CEAF">
          <w:pPr>
            <w:pStyle w:val="10"/>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_Toc7819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三、收支预算总体情况</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t>6</w:t>
          </w:r>
          <w:r>
            <w:rPr>
              <w:rFonts w:hint="eastAsia" w:ascii="仿宋_GB2312" w:hAnsi="宋体" w:eastAsia="仿宋_GB2312" w:cs="仿宋_GB2312"/>
              <w:b w:val="0"/>
              <w:bCs w:val="0"/>
              <w:color w:val="333333"/>
              <w:kern w:val="0"/>
              <w:sz w:val="31"/>
              <w:szCs w:val="31"/>
              <w:lang w:val="en-US" w:eastAsia="zh-CN" w:bidi="ar"/>
            </w:rPr>
            <w:fldChar w:fldCharType="end"/>
          </w:r>
        </w:p>
        <w:p w14:paraId="6765EA9E">
          <w:pPr>
            <w:pStyle w:val="10"/>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_Toc11865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四、财政拨款支出预算安排情况</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t>6</w:t>
          </w:r>
          <w:r>
            <w:rPr>
              <w:rFonts w:hint="eastAsia" w:ascii="仿宋_GB2312" w:hAnsi="宋体" w:eastAsia="仿宋_GB2312" w:cs="仿宋_GB2312"/>
              <w:b w:val="0"/>
              <w:bCs w:val="0"/>
              <w:color w:val="333333"/>
              <w:kern w:val="0"/>
              <w:sz w:val="31"/>
              <w:szCs w:val="31"/>
              <w:lang w:val="en-US" w:eastAsia="zh-CN" w:bidi="ar"/>
            </w:rPr>
            <w:fldChar w:fldCharType="end"/>
          </w:r>
        </w:p>
        <w:p w14:paraId="075E6709">
          <w:pPr>
            <w:pStyle w:val="10"/>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_Toc13293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五、一般公共预算当年拨款情况说明</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t>7</w:t>
          </w:r>
          <w:r>
            <w:rPr>
              <w:rFonts w:hint="eastAsia" w:ascii="仿宋_GB2312" w:hAnsi="宋体" w:eastAsia="仿宋_GB2312" w:cs="仿宋_GB2312"/>
              <w:b w:val="0"/>
              <w:bCs w:val="0"/>
              <w:color w:val="333333"/>
              <w:kern w:val="0"/>
              <w:sz w:val="31"/>
              <w:szCs w:val="31"/>
              <w:lang w:val="en-US" w:eastAsia="zh-CN" w:bidi="ar"/>
            </w:rPr>
            <w:fldChar w:fldCharType="end"/>
          </w:r>
        </w:p>
        <w:p w14:paraId="61E01F9C">
          <w:pPr>
            <w:pStyle w:val="11"/>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_Toc30440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（一）一般公共预算当年拨款规模及变化情况</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t>7</w:t>
          </w:r>
          <w:r>
            <w:rPr>
              <w:rFonts w:hint="eastAsia" w:ascii="仿宋_GB2312" w:hAnsi="宋体" w:eastAsia="仿宋_GB2312" w:cs="仿宋_GB2312"/>
              <w:b w:val="0"/>
              <w:bCs w:val="0"/>
              <w:color w:val="333333"/>
              <w:kern w:val="0"/>
              <w:sz w:val="31"/>
              <w:szCs w:val="31"/>
              <w:lang w:val="en-US" w:eastAsia="zh-CN" w:bidi="ar"/>
            </w:rPr>
            <w:fldChar w:fldCharType="end"/>
          </w:r>
        </w:p>
        <w:p w14:paraId="4C03A36E">
          <w:pPr>
            <w:pStyle w:val="11"/>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_Toc6844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（二）一般公共预算当年拨款结构情况</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t>7</w:t>
          </w:r>
          <w:r>
            <w:rPr>
              <w:rFonts w:hint="eastAsia" w:ascii="仿宋_GB2312" w:hAnsi="宋体" w:eastAsia="仿宋_GB2312" w:cs="仿宋_GB2312"/>
              <w:b w:val="0"/>
              <w:bCs w:val="0"/>
              <w:color w:val="333333"/>
              <w:kern w:val="0"/>
              <w:sz w:val="31"/>
              <w:szCs w:val="31"/>
              <w:lang w:val="en-US" w:eastAsia="zh-CN" w:bidi="ar"/>
            </w:rPr>
            <w:fldChar w:fldCharType="end"/>
          </w:r>
        </w:p>
        <w:p w14:paraId="36B7E4D9">
          <w:pPr>
            <w:pStyle w:val="11"/>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_Toc28964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（三）一般公共预算当年拨款具体使用情况</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t>7</w:t>
          </w:r>
          <w:r>
            <w:rPr>
              <w:rFonts w:hint="eastAsia" w:ascii="仿宋_GB2312" w:hAnsi="宋体" w:eastAsia="仿宋_GB2312" w:cs="仿宋_GB2312"/>
              <w:b w:val="0"/>
              <w:bCs w:val="0"/>
              <w:color w:val="333333"/>
              <w:kern w:val="0"/>
              <w:sz w:val="31"/>
              <w:szCs w:val="31"/>
              <w:lang w:val="en-US" w:eastAsia="zh-CN" w:bidi="ar"/>
            </w:rPr>
            <w:fldChar w:fldCharType="end"/>
          </w:r>
        </w:p>
        <w:p w14:paraId="61985178">
          <w:pPr>
            <w:pStyle w:val="10"/>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_Toc20401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六、一般公共预算基本支出情况说明</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t>9</w:t>
          </w:r>
        </w:p>
        <w:p w14:paraId="29ABD26A">
          <w:pPr>
            <w:pStyle w:val="10"/>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_Toc18682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七、政府性基金预算支出规模及变化情况说明</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t>9</w:t>
          </w:r>
          <w:r>
            <w:rPr>
              <w:rFonts w:hint="eastAsia" w:ascii="仿宋_GB2312" w:hAnsi="宋体" w:eastAsia="仿宋_GB2312" w:cs="仿宋_GB2312"/>
              <w:b w:val="0"/>
              <w:bCs w:val="0"/>
              <w:color w:val="333333"/>
              <w:kern w:val="0"/>
              <w:sz w:val="31"/>
              <w:szCs w:val="31"/>
              <w:lang w:val="en-US" w:eastAsia="zh-CN" w:bidi="ar"/>
            </w:rPr>
            <w:fldChar w:fldCharType="end"/>
          </w:r>
        </w:p>
        <w:p w14:paraId="58AD88D8">
          <w:pPr>
            <w:pStyle w:val="10"/>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_Toc29273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八、“三公”经费预算安排情况说明</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t>9</w:t>
          </w:r>
          <w:r>
            <w:rPr>
              <w:rFonts w:hint="eastAsia" w:ascii="仿宋_GB2312" w:hAnsi="宋体" w:eastAsia="仿宋_GB2312" w:cs="仿宋_GB2312"/>
              <w:b w:val="0"/>
              <w:bCs w:val="0"/>
              <w:color w:val="333333"/>
              <w:kern w:val="0"/>
              <w:sz w:val="31"/>
              <w:szCs w:val="31"/>
              <w:lang w:val="en-US" w:eastAsia="zh-CN" w:bidi="ar"/>
            </w:rPr>
            <w:fldChar w:fldCharType="end"/>
          </w:r>
        </w:p>
        <w:p w14:paraId="1C8FE2AF">
          <w:pPr>
            <w:pStyle w:val="11"/>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_Toc4522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（一） 因公出国（境）经费</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t>1</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t>0</w:t>
          </w:r>
        </w:p>
        <w:p w14:paraId="03FA96C9">
          <w:pPr>
            <w:pStyle w:val="11"/>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_Toc28906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（二） 公务接待费</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t>1</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t>0</w:t>
          </w:r>
        </w:p>
        <w:p w14:paraId="49289C9F">
          <w:pPr>
            <w:pStyle w:val="11"/>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_Toc4452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（三） 公务用车购置及运行维护费</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t>1</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t>0</w:t>
          </w:r>
        </w:p>
        <w:p w14:paraId="72C7C51A">
          <w:pPr>
            <w:pStyle w:val="10"/>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_Toc13974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九、其他重要事项的情况说明</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t>1</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t>0</w:t>
          </w:r>
        </w:p>
        <w:p w14:paraId="69D9C983">
          <w:pPr>
            <w:pStyle w:val="11"/>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_Toc29939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（一）机关运行经费</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t>1</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t>0</w:t>
          </w:r>
        </w:p>
        <w:p w14:paraId="049D47D7">
          <w:pPr>
            <w:pStyle w:val="11"/>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_Toc3217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（二）政府采购情况</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t>1</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t>1</w:t>
          </w:r>
        </w:p>
        <w:p w14:paraId="601CA568">
          <w:pPr>
            <w:pStyle w:val="11"/>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_Toc28084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（三）国有资产占有使用情况</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t>1</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t>1</w:t>
          </w:r>
        </w:p>
        <w:p w14:paraId="628D6493">
          <w:pPr>
            <w:pStyle w:val="11"/>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_Toc31118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（四）绩效目标设置情况</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t>1</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t>1</w:t>
          </w:r>
        </w:p>
        <w:p w14:paraId="7A7B0932">
          <w:pPr>
            <w:pStyle w:val="10"/>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default"/>
              <w:lang w:val="en-US"/>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_Toc18313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十、名词解释</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t>1</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t>1</w:t>
          </w:r>
        </w:p>
        <w:p w14:paraId="7B2B6BD1">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pPr>
          <w:r>
            <w:rPr>
              <w:rFonts w:hint="eastAsia" w:ascii="方正小标宋简体" w:eastAsia="方正小标宋简体"/>
              <w:szCs w:val="44"/>
            </w:rPr>
            <w:fldChar w:fldCharType="end"/>
          </w:r>
          <w:r>
            <w:rPr>
              <w:rFonts w:hint="eastAsia" w:ascii="黑体" w:hAnsi="宋体" w:eastAsia="黑体" w:cs="黑体"/>
              <w:color w:val="333333"/>
              <w:kern w:val="0"/>
              <w:sz w:val="31"/>
              <w:szCs w:val="31"/>
              <w:lang w:val="en-US" w:eastAsia="zh-CN" w:bidi="ar"/>
            </w:rPr>
            <w:t>第二部分 2024年峨眉山市本级部门预算表</w:t>
          </w:r>
        </w:p>
        <w:p w14:paraId="3B1200F5">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 xml:space="preserve">一、收支预算总表 </w:t>
          </w:r>
        </w:p>
        <w:p w14:paraId="52FA6DA3">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 xml:space="preserve">二、支出预算总表 </w:t>
          </w:r>
        </w:p>
        <w:p w14:paraId="16B5BC7F">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 xml:space="preserve">三、财政拨款预算总表 </w:t>
          </w:r>
        </w:p>
        <w:p w14:paraId="6C61F30E">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 xml:space="preserve">四、一般公共预算支出表 </w:t>
          </w:r>
        </w:p>
        <w:p w14:paraId="52A746A6">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 xml:space="preserve">五、一般公共预算基本支出表 </w:t>
          </w:r>
        </w:p>
        <w:p w14:paraId="47FCB384">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 xml:space="preserve">六、一般公共预算“三公”经费支出预算表 </w:t>
          </w:r>
        </w:p>
        <w:p w14:paraId="1ACF7F99">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七、 支出功能分类预算表</w:t>
          </w:r>
        </w:p>
        <w:p w14:paraId="223C551E">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八、支出经济分类预算表</w:t>
          </w:r>
        </w:p>
        <w:p w14:paraId="41A3FE90">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九、项目支出表</w:t>
          </w:r>
        </w:p>
        <w:p w14:paraId="480C6C9A">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十、项目支出绩效表</w:t>
          </w:r>
        </w:p>
        <w:p w14:paraId="73D497FD">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十一、</w:t>
          </w:r>
          <w:r>
            <w:rPr>
              <w:rFonts w:hint="default" w:ascii="仿宋_GB2312" w:hAnsi="宋体" w:eastAsia="仿宋_GB2312" w:cs="仿宋_GB2312"/>
              <w:color w:val="333333"/>
              <w:kern w:val="0"/>
              <w:sz w:val="31"/>
              <w:szCs w:val="31"/>
              <w:lang w:val="en-US" w:eastAsia="zh-CN" w:bidi="ar"/>
            </w:rPr>
            <w:t>202</w:t>
          </w:r>
          <w:r>
            <w:rPr>
              <w:rFonts w:hint="eastAsia" w:ascii="仿宋_GB2312" w:hAnsi="宋体" w:eastAsia="仿宋_GB2312" w:cs="仿宋_GB2312"/>
              <w:color w:val="333333"/>
              <w:kern w:val="0"/>
              <w:sz w:val="31"/>
              <w:szCs w:val="31"/>
              <w:lang w:val="en-US" w:eastAsia="zh-CN" w:bidi="ar"/>
            </w:rPr>
            <w:t>4</w:t>
          </w:r>
          <w:r>
            <w:rPr>
              <w:rFonts w:hint="default" w:ascii="仿宋_GB2312" w:hAnsi="宋体" w:eastAsia="仿宋_GB2312" w:cs="仿宋_GB2312"/>
              <w:color w:val="333333"/>
              <w:kern w:val="0"/>
              <w:sz w:val="31"/>
              <w:szCs w:val="31"/>
              <w:lang w:val="en-US" w:eastAsia="zh-CN" w:bidi="ar"/>
            </w:rPr>
            <w:t>年部门整体绩效目标表</w:t>
          </w:r>
        </w:p>
        <w:p w14:paraId="2D5EAE15">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仿宋_GB2312" w:hAnsi="宋体" w:eastAsia="仿宋_GB2312" w:cs="仿宋_GB2312"/>
              <w:color w:val="333333"/>
              <w:kern w:val="0"/>
              <w:sz w:val="31"/>
              <w:szCs w:val="31"/>
              <w:lang w:val="en-US" w:eastAsia="zh-CN" w:bidi="ar"/>
            </w:rPr>
          </w:pPr>
        </w:p>
        <w:p w14:paraId="262AB0B9">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1"/>
              <w:szCs w:val="31"/>
              <w:lang w:val="en-US" w:eastAsia="zh-CN" w:bidi="ar"/>
            </w:rPr>
          </w:pPr>
        </w:p>
      </w:sdtContent>
    </w:sdt>
    <w:p w14:paraId="6DA9FFE0">
      <w:pPr>
        <w:keepNext w:val="0"/>
        <w:keepLines w:val="0"/>
        <w:pageBreakBefore w:val="0"/>
        <w:widowControl w:val="0"/>
        <w:kinsoku/>
        <w:wordWrap/>
        <w:overflowPunct/>
        <w:topLinePunct w:val="0"/>
        <w:bidi w:val="0"/>
        <w:snapToGrid/>
        <w:spacing w:line="600" w:lineRule="exact"/>
        <w:jc w:val="center"/>
        <w:textAlignment w:val="auto"/>
        <w:outlineLvl w:val="0"/>
        <w:rPr>
          <w:rFonts w:hint="eastAsia" w:ascii="方正小标宋简体" w:eastAsia="方正小标宋简体"/>
          <w:sz w:val="44"/>
          <w:szCs w:val="44"/>
        </w:rPr>
      </w:pPr>
    </w:p>
    <w:p w14:paraId="15909472">
      <w:pPr>
        <w:pStyle w:val="2"/>
        <w:rPr>
          <w:rFonts w:hint="eastAsia" w:ascii="方正小标宋简体" w:eastAsia="方正小标宋简体"/>
          <w:sz w:val="44"/>
          <w:szCs w:val="44"/>
        </w:rPr>
      </w:pPr>
    </w:p>
    <w:p w14:paraId="2C0AC3BF">
      <w:pPr>
        <w:rPr>
          <w:rFonts w:hint="eastAsia"/>
        </w:rPr>
      </w:pPr>
    </w:p>
    <w:p w14:paraId="4D9790D6">
      <w:pPr>
        <w:rPr>
          <w:rFonts w:hint="eastAsia"/>
        </w:rPr>
      </w:pPr>
    </w:p>
    <w:p w14:paraId="52AEC14A">
      <w:pPr>
        <w:pStyle w:val="2"/>
        <w:rPr>
          <w:rFonts w:hint="eastAsia"/>
        </w:rPr>
      </w:pPr>
    </w:p>
    <w:p w14:paraId="188822C2">
      <w:pPr>
        <w:keepNext w:val="0"/>
        <w:keepLines w:val="0"/>
        <w:pageBreakBefore w:val="0"/>
        <w:widowControl w:val="0"/>
        <w:kinsoku/>
        <w:wordWrap/>
        <w:overflowPunct/>
        <w:topLinePunct w:val="0"/>
        <w:bidi w:val="0"/>
        <w:snapToGrid/>
        <w:spacing w:line="600" w:lineRule="exact"/>
        <w:jc w:val="center"/>
        <w:textAlignment w:val="auto"/>
        <w:outlineLvl w:val="0"/>
        <w:rPr>
          <w:rFonts w:hint="eastAsia" w:ascii="方正小标宋简体" w:eastAsia="方正小标宋简体"/>
          <w:color w:val="auto"/>
          <w:sz w:val="44"/>
          <w:szCs w:val="44"/>
          <w:lang w:val="en-US" w:eastAsia="zh-CN"/>
        </w:rPr>
      </w:pPr>
      <w:r>
        <w:rPr>
          <w:rFonts w:hint="eastAsia" w:ascii="方正小标宋简体" w:eastAsia="方正小标宋简体"/>
          <w:color w:val="auto"/>
          <w:sz w:val="44"/>
          <w:szCs w:val="44"/>
        </w:rPr>
        <w:t>关于</w:t>
      </w:r>
      <w:r>
        <w:rPr>
          <w:rFonts w:hint="eastAsia" w:ascii="方正小标宋简体" w:eastAsia="方正小标宋简体"/>
          <w:color w:val="auto"/>
          <w:sz w:val="44"/>
          <w:szCs w:val="44"/>
          <w:lang w:eastAsia="zh-CN"/>
        </w:rPr>
        <w:t>峨眉山市退役军人事务局</w:t>
      </w:r>
      <w:r>
        <w:rPr>
          <w:rFonts w:hint="eastAsia" w:ascii="方正小标宋简体" w:eastAsia="方正小标宋简体"/>
          <w:color w:val="auto"/>
          <w:sz w:val="44"/>
          <w:szCs w:val="44"/>
          <w:lang w:val="en-US" w:eastAsia="zh-CN"/>
        </w:rPr>
        <w:t xml:space="preserve"> </w:t>
      </w:r>
    </w:p>
    <w:p w14:paraId="21715FE5">
      <w:pPr>
        <w:keepNext w:val="0"/>
        <w:keepLines w:val="0"/>
        <w:pageBreakBefore w:val="0"/>
        <w:widowControl w:val="0"/>
        <w:kinsoku/>
        <w:wordWrap/>
        <w:overflowPunct/>
        <w:topLinePunct w:val="0"/>
        <w:bidi w:val="0"/>
        <w:snapToGrid/>
        <w:spacing w:line="600" w:lineRule="exact"/>
        <w:jc w:val="center"/>
        <w:textAlignment w:val="auto"/>
        <w:outlineLvl w:val="0"/>
        <w:rPr>
          <w:rFonts w:ascii="方正小标宋简体" w:eastAsia="方正小标宋简体"/>
          <w:color w:val="auto"/>
          <w:sz w:val="44"/>
          <w:szCs w:val="44"/>
        </w:rPr>
      </w:pPr>
      <w:r>
        <w:rPr>
          <w:rFonts w:hint="eastAsia" w:ascii="方正小标宋简体" w:eastAsia="方正小标宋简体"/>
          <w:color w:val="auto"/>
          <w:sz w:val="44"/>
          <w:szCs w:val="44"/>
          <w:lang w:eastAsia="zh-CN"/>
        </w:rPr>
        <w:t>2024</w:t>
      </w:r>
      <w:r>
        <w:rPr>
          <w:rFonts w:hint="eastAsia" w:ascii="方正小标宋简体" w:eastAsia="方正小标宋简体"/>
          <w:color w:val="auto"/>
          <w:sz w:val="44"/>
          <w:szCs w:val="44"/>
        </w:rPr>
        <w:t>年预算编制的说明</w:t>
      </w:r>
    </w:p>
    <w:p w14:paraId="22A6C2A4">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p>
    <w:p w14:paraId="41B01DBF">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按照预算管理有关规定，目前</w:t>
      </w:r>
      <w:r>
        <w:rPr>
          <w:rFonts w:hint="eastAsia" w:ascii="仿宋_GB2312" w:eastAsia="仿宋_GB2312"/>
          <w:color w:val="auto"/>
          <w:sz w:val="32"/>
          <w:szCs w:val="32"/>
          <w:lang w:eastAsia="zh-CN"/>
        </w:rPr>
        <w:t>部门及单位</w:t>
      </w:r>
      <w:r>
        <w:rPr>
          <w:rFonts w:hint="eastAsia" w:ascii="仿宋_GB2312" w:eastAsia="仿宋_GB2312"/>
          <w:color w:val="auto"/>
          <w:sz w:val="32"/>
          <w:szCs w:val="32"/>
        </w:rPr>
        <w:t>预算编制实行综合预算制度，即全部收入和支出都反映在预算中。</w:t>
      </w:r>
    </w:p>
    <w:p w14:paraId="518446CB">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color w:val="auto"/>
          <w:sz w:val="32"/>
          <w:szCs w:val="32"/>
        </w:rPr>
      </w:pPr>
      <w:r>
        <w:rPr>
          <w:rFonts w:hint="eastAsia" w:ascii="黑体" w:eastAsia="黑体"/>
          <w:color w:val="auto"/>
          <w:sz w:val="32"/>
          <w:szCs w:val="32"/>
        </w:rPr>
        <w:t>一、基本职能及主要工作</w:t>
      </w:r>
    </w:p>
    <w:p w14:paraId="2DF2752D">
      <w:pPr>
        <w:pStyle w:val="3"/>
        <w:bidi w:val="0"/>
        <w:spacing w:before="0" w:beforeLines="0" w:beforeAutospacing="0" w:after="0" w:afterLines="0" w:afterAutospacing="0"/>
        <w:ind w:firstLine="640" w:firstLineChars="200"/>
        <w:rPr>
          <w:rFonts w:hint="eastAsia" w:ascii="楷体_GB2312" w:hAnsi="楷体_GB2312" w:eastAsia="楷体_GB2312" w:cs="楷体_GB2312"/>
          <w:b w:val="0"/>
          <w:bCs/>
          <w:color w:val="auto"/>
          <w:lang w:eastAsia="zh-CN"/>
        </w:rPr>
      </w:pPr>
      <w:bookmarkStart w:id="0" w:name="_Toc14036"/>
      <w:r>
        <w:rPr>
          <w:rFonts w:hint="eastAsia" w:ascii="楷体_GB2312" w:hAnsi="楷体_GB2312" w:eastAsia="楷体_GB2312" w:cs="楷体_GB2312"/>
          <w:b w:val="0"/>
          <w:bCs/>
          <w:color w:val="auto"/>
        </w:rPr>
        <w:t>（一）主要职能</w:t>
      </w:r>
      <w:r>
        <w:rPr>
          <w:rFonts w:hint="eastAsia" w:ascii="楷体_GB2312" w:hAnsi="楷体_GB2312" w:eastAsia="楷体_GB2312" w:cs="楷体_GB2312"/>
          <w:b w:val="0"/>
          <w:bCs/>
          <w:color w:val="auto"/>
          <w:lang w:eastAsia="zh-CN"/>
        </w:rPr>
        <w:t>（涉密）</w:t>
      </w:r>
      <w:bookmarkEnd w:id="0"/>
    </w:p>
    <w:p w14:paraId="4E22757B">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w:t>
      </w:r>
      <w:r>
        <w:rPr>
          <w:rFonts w:hint="eastAsia" w:ascii="楷体_GB2312" w:hAnsi="楷体_GB2312" w:eastAsia="楷体_GB2312" w:cs="楷体_GB2312"/>
          <w:color w:val="auto"/>
          <w:sz w:val="32"/>
          <w:szCs w:val="32"/>
          <w:lang w:val="en-US" w:eastAsia="zh-CN"/>
        </w:rPr>
        <w:t>2024</w:t>
      </w:r>
      <w:r>
        <w:rPr>
          <w:rFonts w:hint="eastAsia" w:ascii="楷体_GB2312" w:hAnsi="楷体_GB2312" w:eastAsia="楷体_GB2312" w:cs="楷体_GB2312"/>
          <w:color w:val="auto"/>
          <w:sz w:val="32"/>
          <w:szCs w:val="32"/>
        </w:rPr>
        <w:t>年重点工作任务</w:t>
      </w:r>
      <w:bookmarkStart w:id="2" w:name="_GoBack"/>
      <w:bookmarkEnd w:id="2"/>
    </w:p>
    <w:p w14:paraId="299764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kern w:val="2"/>
          <w:sz w:val="32"/>
          <w:szCs w:val="32"/>
          <w:lang w:val="en-US" w:eastAsia="zh-CN" w:bidi="ar-SA"/>
        </w:rPr>
      </w:pPr>
      <w:r>
        <w:rPr>
          <w:rFonts w:hint="eastAsia" w:ascii="仿宋_GB2312" w:hAnsi="Calibri" w:eastAsia="仿宋_GB2312" w:cs="Times New Roman"/>
          <w:b w:val="0"/>
          <w:bCs w:val="0"/>
          <w:color w:val="auto"/>
          <w:kern w:val="2"/>
          <w:sz w:val="32"/>
          <w:szCs w:val="32"/>
          <w:lang w:val="en-US" w:eastAsia="zh-CN" w:bidi="ar-SA"/>
        </w:rPr>
        <w:t>一是坚持政治引领，持续加强思想教育工作。加强宣传舆论引导，重视发挥先进典型的正向激励、示范引领作用；依托峨眉山烈士陵园广泛开展爱国主义教育，管好用好烈士纪念馆；提升“军号响”志愿服务项目，完善志愿服务制度、标识、活动等，引导广大退役军人积极投身应急救援、抢险救灾、生态保护等任务，有效激发退役军人积极性、主动性和创造性。</w:t>
      </w:r>
    </w:p>
    <w:p w14:paraId="02CF0A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Calibri" w:eastAsia="仿宋_GB2312" w:cs="Times New Roman"/>
          <w:b w:val="0"/>
          <w:bCs w:val="0"/>
          <w:color w:val="auto"/>
          <w:kern w:val="2"/>
          <w:sz w:val="32"/>
          <w:szCs w:val="32"/>
          <w:lang w:val="en-US" w:eastAsia="zh-CN" w:bidi="ar-SA"/>
        </w:rPr>
      </w:pPr>
      <w:r>
        <w:rPr>
          <w:rFonts w:hint="eastAsia" w:ascii="仿宋_GB2312" w:hAnsi="Calibri" w:eastAsia="仿宋_GB2312" w:cs="Times New Roman"/>
          <w:b w:val="0"/>
          <w:bCs w:val="0"/>
          <w:color w:val="auto"/>
          <w:kern w:val="2"/>
          <w:sz w:val="32"/>
          <w:szCs w:val="32"/>
          <w:lang w:val="en-US" w:eastAsia="zh-CN" w:bidi="ar-SA"/>
        </w:rPr>
        <w:t>二是推动就业创业，服务经济社会高质量发展。健全优化“阳光安置”“直通车”工作机制，深入推进“军人退役一件事”办理；大力拓宽安置渠道，促进高质量就业，加强就业培训，创新创业帮扶举措；强化退役军人创业孵化基地建设，打造创业基地品牌，持续加大“惠军贷”帮扶力度；强化基层人才培养力度，大力引导退役军人党员干部在基层治理、乡村振兴工作中发挥“主力军”“领头羊”作用，强化“兵支书”“兵委员”培养力度。</w:t>
      </w:r>
    </w:p>
    <w:p w14:paraId="6F6A7088">
      <w:pPr>
        <w:pStyle w:val="6"/>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left"/>
        <w:textAlignment w:val="auto"/>
        <w:rPr>
          <w:rFonts w:hint="eastAsia" w:ascii="黑体" w:hAnsi="黑体" w:eastAsia="黑体" w:cs="黑体"/>
          <w:b w:val="0"/>
          <w:bCs w:val="0"/>
          <w:color w:val="auto"/>
          <w:kern w:val="2"/>
          <w:sz w:val="32"/>
          <w:szCs w:val="32"/>
          <w:lang w:val="en-US" w:eastAsia="zh-CN" w:bidi="ar-SA"/>
        </w:rPr>
      </w:pPr>
      <w:r>
        <w:rPr>
          <w:rFonts w:hint="eastAsia" w:ascii="仿宋_GB2312" w:hAnsi="Calibri" w:eastAsia="仿宋_GB2312" w:cs="Times New Roman"/>
          <w:b w:val="0"/>
          <w:bCs w:val="0"/>
          <w:color w:val="auto"/>
          <w:kern w:val="2"/>
          <w:sz w:val="32"/>
          <w:szCs w:val="32"/>
          <w:lang w:val="en-US" w:eastAsia="zh-CN" w:bidi="ar-SA"/>
        </w:rPr>
        <w:t>三是强化服务保障，大力维护退役军人权益。强化退役军人人事档案管理，新建退役军人人事档案室；严格落实各项优待政策，建立完善优抚对象信息数据库，形成规范、科学、高效的服务管理模式，不断补充完善优待目录清单；认真落实“四尊崇五关爱六必访”，常态化开展光荣牌悬挂、立功受奖喜报、常态化联系、节日走访慰问等工作；健全困难退役军人救助帮扶机制，推动“情暖老兵”关爱行动走深走实；推进心连心热线办理和回复工作，做好政策解释和帮扶援助，退役军人诉求表达渠道便捷畅通。</w:t>
      </w:r>
    </w:p>
    <w:p w14:paraId="391A74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Calibri" w:eastAsia="仿宋_GB2312" w:cs="Times New Roman"/>
          <w:b w:val="0"/>
          <w:bCs w:val="0"/>
          <w:color w:val="auto"/>
          <w:kern w:val="2"/>
          <w:sz w:val="32"/>
          <w:szCs w:val="32"/>
          <w:lang w:val="en-US" w:eastAsia="zh-CN" w:bidi="ar-SA"/>
        </w:rPr>
      </w:pPr>
      <w:r>
        <w:rPr>
          <w:rFonts w:hint="eastAsia" w:ascii="仿宋_GB2312" w:hAnsi="Calibri" w:eastAsia="仿宋_GB2312" w:cs="Times New Roman"/>
          <w:b w:val="0"/>
          <w:bCs w:val="0"/>
          <w:color w:val="auto"/>
          <w:kern w:val="2"/>
          <w:sz w:val="32"/>
          <w:szCs w:val="32"/>
          <w:lang w:val="en-US" w:eastAsia="zh-CN" w:bidi="ar-SA"/>
        </w:rPr>
        <w:t>四是服务备战打仗，助力国防和军队现代化建设。深化军地双拥共建，常态化开展“送政策”进军营活动和慰问活动，</w:t>
      </w:r>
      <w:r>
        <w:rPr>
          <w:rFonts w:hint="default" w:ascii="仿宋_GB2312" w:hAnsi="Calibri" w:eastAsia="仿宋_GB2312" w:cs="Times New Roman"/>
          <w:b w:val="0"/>
          <w:bCs w:val="0"/>
          <w:color w:val="auto"/>
          <w:kern w:val="2"/>
          <w:sz w:val="32"/>
          <w:szCs w:val="32"/>
          <w:lang w:val="en-US" w:eastAsia="zh-CN" w:bidi="ar-SA"/>
        </w:rPr>
        <w:t>积极为驻</w:t>
      </w:r>
      <w:r>
        <w:rPr>
          <w:rFonts w:hint="eastAsia" w:ascii="仿宋_GB2312" w:hAnsi="Calibri" w:eastAsia="仿宋_GB2312" w:cs="Times New Roman"/>
          <w:b w:val="0"/>
          <w:bCs w:val="0"/>
          <w:color w:val="auto"/>
          <w:kern w:val="2"/>
          <w:sz w:val="32"/>
          <w:szCs w:val="32"/>
          <w:lang w:val="en-US" w:eastAsia="zh-CN" w:bidi="ar-SA"/>
        </w:rPr>
        <w:t>峨</w:t>
      </w:r>
      <w:r>
        <w:rPr>
          <w:rFonts w:hint="default" w:ascii="仿宋_GB2312" w:hAnsi="Calibri" w:eastAsia="仿宋_GB2312" w:cs="Times New Roman"/>
          <w:b w:val="0"/>
          <w:bCs w:val="0"/>
          <w:color w:val="auto"/>
          <w:kern w:val="2"/>
          <w:sz w:val="32"/>
          <w:szCs w:val="32"/>
          <w:lang w:val="en-US" w:eastAsia="zh-CN" w:bidi="ar-SA"/>
        </w:rPr>
        <w:t>部队办好事、办实事</w:t>
      </w:r>
      <w:r>
        <w:rPr>
          <w:rFonts w:hint="eastAsia" w:ascii="仿宋_GB2312" w:hAnsi="Calibri" w:eastAsia="仿宋_GB2312" w:cs="Times New Roman"/>
          <w:b w:val="0"/>
          <w:bCs w:val="0"/>
          <w:color w:val="auto"/>
          <w:kern w:val="2"/>
          <w:sz w:val="32"/>
          <w:szCs w:val="32"/>
          <w:lang w:val="en-US" w:eastAsia="zh-CN" w:bidi="ar-SA"/>
        </w:rPr>
        <w:t>；健全双拥办与拥军支前办转换机制，持续推进军供站提质升级建设，深入推动军供保障创新；创新军休服务管理，深化拓展“军休合作+”服务模式，使军休干部“老有所依”“老有所乐”。</w:t>
      </w:r>
    </w:p>
    <w:p w14:paraId="72CD65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Calibri" w:eastAsia="仿宋_GB2312" w:cs="Times New Roman"/>
          <w:b w:val="0"/>
          <w:bCs w:val="0"/>
          <w:color w:val="auto"/>
          <w:kern w:val="2"/>
          <w:sz w:val="32"/>
          <w:szCs w:val="32"/>
          <w:lang w:val="en-US" w:eastAsia="zh-CN" w:bidi="ar-SA"/>
        </w:rPr>
      </w:pPr>
      <w:r>
        <w:rPr>
          <w:rFonts w:hint="eastAsia" w:ascii="仿宋_GB2312" w:hAnsi="Calibri" w:eastAsia="仿宋_GB2312" w:cs="Times New Roman"/>
          <w:b w:val="0"/>
          <w:bCs w:val="0"/>
          <w:color w:val="auto"/>
          <w:kern w:val="2"/>
          <w:sz w:val="32"/>
          <w:szCs w:val="32"/>
          <w:lang w:val="en-US" w:eastAsia="zh-CN" w:bidi="ar-SA"/>
        </w:rPr>
        <w:t>五是加强自身建设，实现组织管理体系高效运转。充分发挥退役军人事务工作和双拥工作领导小组职能职责， 积极谋划部署全市退役军人事务和双拥工作，巩固“双拥模范城”成果；推动服务保障体系提质增效，严格落实“全覆盖”“五有”要求，加快实现服务保障体系建设从“有”向“优”转变，深化创建全国示范型退役军人服务中心（站）成果，持续推进中心镇（村）和退役军人服务站示范点提升改造建设。</w:t>
      </w:r>
    </w:p>
    <w:p w14:paraId="3087309E">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黑体" w:eastAsia="黑体"/>
          <w:color w:val="auto"/>
          <w:sz w:val="32"/>
          <w:szCs w:val="32"/>
          <w:lang w:eastAsia="zh-CN"/>
        </w:rPr>
      </w:pPr>
      <w:r>
        <w:rPr>
          <w:rFonts w:hint="eastAsia" w:ascii="黑体" w:eastAsia="黑体"/>
          <w:color w:val="auto"/>
          <w:sz w:val="32"/>
          <w:szCs w:val="32"/>
        </w:rPr>
        <w:t>二、部门概况</w:t>
      </w:r>
    </w:p>
    <w:p w14:paraId="4347A3A7">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峨眉山市退役军人事务局下属二级预算单位</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个，其中行政单位</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个，参照公务员法管理的事业单位</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个，其他事业单位</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个。主要包括：峨眉山市军队离退休干部干休所和峨眉山军供站。</w:t>
      </w:r>
    </w:p>
    <w:p w14:paraId="011C8C34">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color w:val="auto"/>
          <w:sz w:val="32"/>
          <w:szCs w:val="32"/>
        </w:rPr>
      </w:pPr>
      <w:r>
        <w:rPr>
          <w:rFonts w:hint="eastAsia" w:ascii="黑体" w:eastAsia="黑体"/>
          <w:color w:val="auto"/>
          <w:sz w:val="32"/>
          <w:szCs w:val="32"/>
        </w:rPr>
        <w:t>三、收支预算总体情况</w:t>
      </w:r>
    </w:p>
    <w:p w14:paraId="78C6A65E">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按照综合预算的原则， 峨眉山市退役军人事务局所有收入和支出均纳入预算管理。</w:t>
      </w:r>
      <w:r>
        <w:rPr>
          <w:rFonts w:hint="eastAsia" w:ascii="仿宋_GB2312" w:eastAsia="仿宋_GB2312"/>
          <w:color w:val="auto"/>
          <w:sz w:val="32"/>
          <w:szCs w:val="32"/>
          <w:lang w:val="en-US" w:eastAsia="zh-CN"/>
        </w:rPr>
        <w:t>2024</w:t>
      </w:r>
      <w:r>
        <w:rPr>
          <w:rFonts w:hint="eastAsia" w:ascii="仿宋_GB2312" w:eastAsia="仿宋_GB2312"/>
          <w:color w:val="auto"/>
          <w:sz w:val="32"/>
          <w:szCs w:val="32"/>
        </w:rPr>
        <w:t>年峨眉山市退役军人事务局收入预算总额为</w:t>
      </w:r>
      <w:r>
        <w:rPr>
          <w:rFonts w:hint="eastAsia" w:ascii="仿宋_GB2312" w:eastAsia="仿宋_GB2312"/>
          <w:color w:val="auto"/>
          <w:sz w:val="32"/>
          <w:szCs w:val="32"/>
          <w:lang w:val="en-US" w:eastAsia="zh-CN"/>
        </w:rPr>
        <w:t>8675.80</w:t>
      </w:r>
      <w:r>
        <w:rPr>
          <w:rFonts w:hint="eastAsia" w:ascii="仿宋_GB2312" w:eastAsia="仿宋_GB2312"/>
          <w:color w:val="auto"/>
          <w:sz w:val="32"/>
          <w:szCs w:val="32"/>
        </w:rPr>
        <w:t>万元，较上年预算数减少</w:t>
      </w:r>
      <w:r>
        <w:rPr>
          <w:rFonts w:hint="eastAsia" w:ascii="仿宋_GB2312" w:eastAsia="仿宋_GB2312"/>
          <w:color w:val="auto"/>
          <w:sz w:val="32"/>
          <w:szCs w:val="32"/>
          <w:lang w:val="en-US" w:eastAsia="zh-CN"/>
        </w:rPr>
        <w:t>584.11</w:t>
      </w:r>
      <w:r>
        <w:rPr>
          <w:rFonts w:hint="eastAsia" w:ascii="仿宋_GB2312" w:eastAsia="仿宋_GB2312"/>
          <w:color w:val="auto"/>
          <w:sz w:val="32"/>
          <w:szCs w:val="32"/>
        </w:rPr>
        <w:t>万元。其中：当年财政拨款收入</w:t>
      </w:r>
      <w:r>
        <w:rPr>
          <w:rFonts w:hint="eastAsia" w:ascii="仿宋_GB2312" w:eastAsia="仿宋_GB2312"/>
          <w:color w:val="auto"/>
          <w:sz w:val="32"/>
          <w:szCs w:val="32"/>
          <w:lang w:val="en-US" w:eastAsia="zh-CN"/>
        </w:rPr>
        <w:t>8382.65</w:t>
      </w:r>
      <w:r>
        <w:rPr>
          <w:rFonts w:hint="eastAsia" w:ascii="仿宋_GB2312" w:eastAsia="仿宋_GB2312"/>
          <w:color w:val="auto"/>
          <w:sz w:val="32"/>
          <w:szCs w:val="32"/>
        </w:rPr>
        <w:t>万元，其他收入</w:t>
      </w:r>
      <w:r>
        <w:rPr>
          <w:rFonts w:hint="eastAsia" w:ascii="仿宋_GB2312" w:eastAsia="仿宋_GB2312"/>
          <w:color w:val="auto"/>
          <w:sz w:val="32"/>
          <w:szCs w:val="32"/>
          <w:lang w:val="en-US" w:eastAsia="zh-CN"/>
        </w:rPr>
        <w:t>293.15</w:t>
      </w:r>
      <w:r>
        <w:rPr>
          <w:rFonts w:hint="eastAsia" w:ascii="仿宋_GB2312" w:eastAsia="仿宋_GB2312"/>
          <w:color w:val="auto"/>
          <w:sz w:val="32"/>
          <w:szCs w:val="32"/>
        </w:rPr>
        <w:t>万元。相应安排支出预算</w:t>
      </w:r>
      <w:r>
        <w:rPr>
          <w:rFonts w:hint="eastAsia" w:ascii="仿宋_GB2312" w:eastAsia="仿宋_GB2312"/>
          <w:color w:val="auto"/>
          <w:sz w:val="32"/>
          <w:szCs w:val="32"/>
          <w:lang w:val="en-US" w:eastAsia="zh-CN"/>
        </w:rPr>
        <w:t>8675.80</w:t>
      </w:r>
      <w:r>
        <w:rPr>
          <w:rFonts w:hint="eastAsia" w:ascii="仿宋_GB2312" w:eastAsia="仿宋_GB2312"/>
          <w:color w:val="auto"/>
          <w:sz w:val="32"/>
          <w:szCs w:val="32"/>
        </w:rPr>
        <w:t>万元，其中：人员支出</w:t>
      </w:r>
      <w:r>
        <w:rPr>
          <w:rFonts w:hint="eastAsia" w:ascii="仿宋_GB2312" w:eastAsia="仿宋_GB2312"/>
          <w:color w:val="auto"/>
          <w:sz w:val="32"/>
          <w:szCs w:val="32"/>
          <w:lang w:val="en-US" w:eastAsia="zh-CN"/>
        </w:rPr>
        <w:t>549.64</w:t>
      </w:r>
      <w:r>
        <w:rPr>
          <w:rFonts w:hint="eastAsia" w:ascii="仿宋_GB2312" w:eastAsia="仿宋_GB2312"/>
          <w:color w:val="auto"/>
          <w:sz w:val="32"/>
          <w:szCs w:val="32"/>
        </w:rPr>
        <w:t>万元，日常公用支出</w:t>
      </w:r>
      <w:r>
        <w:rPr>
          <w:rFonts w:hint="eastAsia" w:ascii="仿宋_GB2312" w:eastAsia="仿宋_GB2312"/>
          <w:color w:val="auto"/>
          <w:sz w:val="32"/>
          <w:szCs w:val="32"/>
          <w:lang w:val="en-US" w:eastAsia="zh-CN"/>
        </w:rPr>
        <w:t>97.30</w:t>
      </w:r>
      <w:r>
        <w:rPr>
          <w:rFonts w:hint="eastAsia" w:ascii="仿宋_GB2312" w:eastAsia="仿宋_GB2312"/>
          <w:color w:val="auto"/>
          <w:sz w:val="32"/>
          <w:szCs w:val="32"/>
        </w:rPr>
        <w:t>万元，专项支出</w:t>
      </w:r>
      <w:r>
        <w:rPr>
          <w:rFonts w:hint="eastAsia" w:ascii="仿宋_GB2312" w:eastAsia="仿宋_GB2312"/>
          <w:color w:val="auto"/>
          <w:sz w:val="32"/>
          <w:szCs w:val="32"/>
          <w:lang w:val="en-US" w:eastAsia="zh-CN"/>
        </w:rPr>
        <w:t>8028.85</w:t>
      </w:r>
      <w:r>
        <w:rPr>
          <w:rFonts w:hint="eastAsia" w:ascii="仿宋_GB2312" w:eastAsia="仿宋_GB2312"/>
          <w:color w:val="auto"/>
          <w:sz w:val="32"/>
          <w:szCs w:val="32"/>
        </w:rPr>
        <w:t>万元。</w:t>
      </w:r>
    </w:p>
    <w:p w14:paraId="456CAFE7">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color w:val="auto"/>
          <w:sz w:val="32"/>
          <w:szCs w:val="32"/>
        </w:rPr>
      </w:pPr>
      <w:r>
        <w:rPr>
          <w:rFonts w:hint="eastAsia" w:ascii="黑体" w:eastAsia="黑体"/>
          <w:color w:val="auto"/>
          <w:sz w:val="32"/>
          <w:szCs w:val="32"/>
        </w:rPr>
        <w:t>四、财政拨款支出预算安排情况</w:t>
      </w:r>
    </w:p>
    <w:p w14:paraId="00516CD8">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峨眉山市退役军人事务局</w:t>
      </w:r>
      <w:r>
        <w:rPr>
          <w:rFonts w:hint="eastAsia" w:ascii="仿宋_GB2312" w:eastAsia="仿宋_GB2312"/>
          <w:color w:val="auto"/>
          <w:sz w:val="32"/>
          <w:szCs w:val="32"/>
          <w:lang w:val="en-US" w:eastAsia="zh-CN"/>
        </w:rPr>
        <w:t>2024</w:t>
      </w:r>
      <w:r>
        <w:rPr>
          <w:rFonts w:hint="eastAsia" w:ascii="仿宋_GB2312" w:eastAsia="仿宋_GB2312"/>
          <w:color w:val="auto"/>
          <w:sz w:val="32"/>
          <w:szCs w:val="32"/>
        </w:rPr>
        <w:t>年财政拨款收支总预算</w:t>
      </w:r>
      <w:r>
        <w:rPr>
          <w:rFonts w:hint="eastAsia" w:ascii="仿宋_GB2312" w:eastAsia="仿宋_GB2312"/>
          <w:color w:val="auto"/>
          <w:sz w:val="32"/>
          <w:szCs w:val="32"/>
          <w:lang w:val="en-US" w:eastAsia="zh-CN"/>
        </w:rPr>
        <w:t>8382.65</w:t>
      </w:r>
      <w:r>
        <w:rPr>
          <w:rFonts w:hint="eastAsia" w:ascii="仿宋_GB2312" w:eastAsia="仿宋_GB2312"/>
          <w:color w:val="auto"/>
          <w:sz w:val="32"/>
          <w:szCs w:val="32"/>
        </w:rPr>
        <w:t>万元，主要用于保障峨眉山市退役军人事务局机构正常运转、完成日常工作任务以及承担</w:t>
      </w:r>
      <w:r>
        <w:rPr>
          <w:rFonts w:hint="eastAsia" w:ascii="仿宋_GB2312" w:eastAsia="仿宋_GB2312"/>
          <w:color w:val="auto"/>
          <w:sz w:val="32"/>
          <w:szCs w:val="32"/>
          <w:lang w:eastAsia="zh-CN"/>
        </w:rPr>
        <w:t>退役军人服务</w:t>
      </w:r>
      <w:r>
        <w:rPr>
          <w:rFonts w:hint="eastAsia" w:ascii="仿宋_GB2312" w:eastAsia="仿宋_GB2312"/>
          <w:color w:val="auto"/>
          <w:sz w:val="32"/>
          <w:szCs w:val="32"/>
        </w:rPr>
        <w:t>事业发展相关工作。其中：</w:t>
      </w:r>
    </w:p>
    <w:p w14:paraId="6B918043">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基本支出</w:t>
      </w:r>
      <w:r>
        <w:rPr>
          <w:rFonts w:hint="eastAsia" w:ascii="仿宋_GB2312" w:eastAsia="仿宋_GB2312"/>
          <w:color w:val="auto"/>
          <w:sz w:val="32"/>
          <w:szCs w:val="32"/>
          <w:lang w:val="en-US" w:eastAsia="zh-CN"/>
        </w:rPr>
        <w:t>646.94</w:t>
      </w:r>
      <w:r>
        <w:rPr>
          <w:rFonts w:hint="eastAsia" w:ascii="仿宋_GB2312" w:eastAsia="仿宋_GB2312"/>
          <w:color w:val="auto"/>
          <w:sz w:val="32"/>
          <w:szCs w:val="32"/>
        </w:rPr>
        <w:t>万元，是用于保障峨眉山市退役军人事务局正常运转的日常支出，包括基本工资、津贴补贴等人员经费以及办公费、印刷费、水电费、办公设备购置等日常公用经费。</w:t>
      </w:r>
    </w:p>
    <w:p w14:paraId="14FD516D">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项目支出</w:t>
      </w:r>
      <w:r>
        <w:rPr>
          <w:rFonts w:hint="eastAsia" w:ascii="仿宋_GB2312" w:eastAsia="仿宋_GB2312"/>
          <w:color w:val="auto"/>
          <w:sz w:val="32"/>
          <w:szCs w:val="32"/>
          <w:lang w:val="en-US" w:eastAsia="zh-CN"/>
        </w:rPr>
        <w:t>7735.71</w:t>
      </w:r>
      <w:r>
        <w:rPr>
          <w:rFonts w:hint="eastAsia" w:ascii="仿宋_GB2312" w:eastAsia="仿宋_GB2312"/>
          <w:color w:val="auto"/>
          <w:sz w:val="32"/>
          <w:szCs w:val="32"/>
        </w:rPr>
        <w:t>万元，是用于保障峨眉山市退役军人事务局为完成特定的行政工作任务或事业发展目标，用于专项业务工作的经费支出。</w:t>
      </w:r>
    </w:p>
    <w:p w14:paraId="7E73B483">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color w:val="auto"/>
          <w:sz w:val="32"/>
          <w:szCs w:val="32"/>
        </w:rPr>
      </w:pPr>
      <w:r>
        <w:rPr>
          <w:rFonts w:hint="eastAsia" w:ascii="黑体" w:eastAsia="黑体"/>
          <w:color w:val="auto"/>
          <w:sz w:val="32"/>
          <w:szCs w:val="32"/>
        </w:rPr>
        <w:t>五、一般公共预算当年拨款情况说明</w:t>
      </w:r>
    </w:p>
    <w:p w14:paraId="6916252C">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（一）一般公共预算当年拨款规模及变化情况</w:t>
      </w:r>
    </w:p>
    <w:p w14:paraId="2EC4AF20">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峨眉山市退役军人事务局</w:t>
      </w:r>
      <w:r>
        <w:rPr>
          <w:rFonts w:hint="eastAsia" w:ascii="仿宋_GB2312" w:eastAsia="仿宋_GB2312"/>
          <w:color w:val="auto"/>
          <w:sz w:val="32"/>
          <w:szCs w:val="32"/>
          <w:lang w:val="en-US" w:eastAsia="zh-CN"/>
        </w:rPr>
        <w:t>2024</w:t>
      </w:r>
      <w:r>
        <w:rPr>
          <w:rFonts w:hint="eastAsia" w:ascii="仿宋_GB2312" w:eastAsia="仿宋_GB2312"/>
          <w:color w:val="auto"/>
          <w:sz w:val="32"/>
          <w:szCs w:val="32"/>
        </w:rPr>
        <w:t>年一般公共预算当年拨款</w:t>
      </w:r>
      <w:r>
        <w:rPr>
          <w:rFonts w:hint="eastAsia" w:ascii="仿宋_GB2312" w:eastAsia="仿宋_GB2312"/>
          <w:color w:val="auto"/>
          <w:sz w:val="32"/>
          <w:szCs w:val="32"/>
          <w:lang w:val="en-US" w:eastAsia="zh-CN"/>
        </w:rPr>
        <w:t>8382.65</w:t>
      </w:r>
      <w:r>
        <w:rPr>
          <w:rFonts w:hint="eastAsia" w:ascii="仿宋_GB2312" w:eastAsia="仿宋_GB2312"/>
          <w:color w:val="auto"/>
          <w:sz w:val="32"/>
          <w:szCs w:val="32"/>
        </w:rPr>
        <w:t>万元，较上年预算数减少</w:t>
      </w:r>
      <w:r>
        <w:rPr>
          <w:rFonts w:hint="eastAsia" w:ascii="仿宋_GB2312" w:eastAsia="仿宋_GB2312"/>
          <w:color w:val="auto"/>
          <w:sz w:val="32"/>
          <w:szCs w:val="32"/>
          <w:lang w:val="en-US" w:eastAsia="zh-CN"/>
        </w:rPr>
        <w:t>436.87</w:t>
      </w:r>
      <w:r>
        <w:rPr>
          <w:rFonts w:hint="eastAsia" w:ascii="仿宋_GB2312" w:eastAsia="仿宋_GB2312"/>
          <w:color w:val="auto"/>
          <w:sz w:val="32"/>
          <w:szCs w:val="32"/>
        </w:rPr>
        <w:t>万元。主要原因是</w:t>
      </w:r>
      <w:r>
        <w:rPr>
          <w:rFonts w:hint="eastAsia" w:ascii="仿宋_GB2312" w:eastAsia="仿宋_GB2312"/>
          <w:color w:val="auto"/>
          <w:sz w:val="32"/>
          <w:szCs w:val="32"/>
          <w:lang w:eastAsia="zh-CN"/>
        </w:rPr>
        <w:t>基本支出及部分项目缩减开支</w:t>
      </w:r>
      <w:r>
        <w:rPr>
          <w:rFonts w:hint="eastAsia" w:ascii="仿宋_GB2312" w:eastAsia="仿宋_GB2312"/>
          <w:color w:val="auto"/>
          <w:sz w:val="32"/>
          <w:szCs w:val="32"/>
        </w:rPr>
        <w:t>。</w:t>
      </w:r>
    </w:p>
    <w:p w14:paraId="113BF7D6">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（二）一般公共预算当年拨款结构情况</w:t>
      </w:r>
    </w:p>
    <w:p w14:paraId="3B28F3F3">
      <w:pPr>
        <w:spacing w:line="600" w:lineRule="exact"/>
        <w:ind w:firstLine="640" w:firstLineChars="200"/>
        <w:rPr>
          <w:rFonts w:ascii="仿宋_GB2312" w:eastAsia="仿宋_GB2312"/>
          <w:b/>
          <w:color w:val="auto"/>
          <w:sz w:val="32"/>
          <w:szCs w:val="32"/>
        </w:rPr>
      </w:pPr>
      <w:r>
        <w:rPr>
          <w:rFonts w:hint="eastAsia" w:ascii="仿宋_GB2312" w:eastAsia="仿宋_GB2312"/>
          <w:color w:val="auto"/>
          <w:sz w:val="32"/>
          <w:szCs w:val="32"/>
        </w:rPr>
        <w:t>社会保障和就业支出</w:t>
      </w:r>
      <w:r>
        <w:rPr>
          <w:rFonts w:hint="eastAsia" w:ascii="仿宋_GB2312" w:eastAsia="仿宋_GB2312"/>
          <w:color w:val="auto"/>
          <w:sz w:val="32"/>
          <w:szCs w:val="32"/>
          <w:lang w:val="en-US" w:eastAsia="zh-CN"/>
        </w:rPr>
        <w:t>8265.99</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98.61</w:t>
      </w:r>
      <w:r>
        <w:rPr>
          <w:rFonts w:hint="eastAsia" w:ascii="仿宋_GB2312" w:eastAsia="仿宋_GB2312"/>
          <w:color w:val="auto"/>
          <w:sz w:val="32"/>
          <w:szCs w:val="32"/>
        </w:rPr>
        <w:t>%；卫生健康支出</w:t>
      </w:r>
      <w:r>
        <w:rPr>
          <w:rFonts w:hint="eastAsia" w:ascii="仿宋_GB2312" w:eastAsia="仿宋_GB2312"/>
          <w:color w:val="auto"/>
          <w:sz w:val="32"/>
          <w:szCs w:val="32"/>
          <w:lang w:val="en-US" w:eastAsia="zh-CN"/>
        </w:rPr>
        <w:t>70.34</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0.84</w:t>
      </w:r>
      <w:r>
        <w:rPr>
          <w:rFonts w:hint="eastAsia" w:ascii="仿宋_GB2312" w:eastAsia="仿宋_GB2312"/>
          <w:color w:val="auto"/>
          <w:sz w:val="32"/>
          <w:szCs w:val="32"/>
        </w:rPr>
        <w:t>%；住房保障支出</w:t>
      </w:r>
      <w:r>
        <w:rPr>
          <w:rFonts w:hint="eastAsia" w:ascii="仿宋_GB2312" w:eastAsia="仿宋_GB2312"/>
          <w:color w:val="auto"/>
          <w:sz w:val="32"/>
          <w:szCs w:val="32"/>
          <w:lang w:val="en-US" w:eastAsia="zh-CN"/>
        </w:rPr>
        <w:t>46.32</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0.55</w:t>
      </w:r>
      <w:r>
        <w:rPr>
          <w:rFonts w:hint="eastAsia" w:ascii="仿宋_GB2312" w:eastAsia="仿宋_GB2312"/>
          <w:color w:val="auto"/>
          <w:sz w:val="32"/>
          <w:szCs w:val="32"/>
        </w:rPr>
        <w:t>%。</w:t>
      </w:r>
    </w:p>
    <w:p w14:paraId="5DBED4EB">
      <w:pPr>
        <w:spacing w:line="600" w:lineRule="exact"/>
        <w:ind w:firstLine="640" w:firstLineChars="200"/>
        <w:outlineLvl w:val="1"/>
        <w:rPr>
          <w:rFonts w:hint="eastAsia" w:ascii="楷体_GB2312" w:hAnsi="楷体_GB2312" w:eastAsia="楷体_GB2312" w:cs="楷体_GB2312"/>
          <w:color w:val="auto"/>
          <w:sz w:val="32"/>
          <w:szCs w:val="32"/>
        </w:rPr>
      </w:pPr>
      <w:bookmarkStart w:id="1" w:name="_Toc28964"/>
      <w:r>
        <w:rPr>
          <w:rFonts w:hint="eastAsia" w:ascii="楷体_GB2312" w:hAnsi="楷体_GB2312" w:eastAsia="楷体_GB2312" w:cs="楷体_GB2312"/>
          <w:color w:val="auto"/>
          <w:sz w:val="32"/>
          <w:szCs w:val="32"/>
        </w:rPr>
        <w:t>（三）一般公共预算当年拨款具体使用情况</w:t>
      </w:r>
      <w:bookmarkEnd w:id="1"/>
    </w:p>
    <w:p w14:paraId="771DAF46">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rFonts w:hint="eastAsia" w:ascii="仿宋_GB2312" w:eastAsia="仿宋_GB2312"/>
          <w:color w:val="auto"/>
          <w:sz w:val="32"/>
          <w:szCs w:val="32"/>
        </w:rPr>
      </w:pPr>
      <w:r>
        <w:rPr>
          <w:rFonts w:hint="eastAsia" w:ascii="仿宋_GB2312" w:eastAsia="仿宋_GB2312"/>
          <w:color w:val="auto"/>
          <w:sz w:val="32"/>
          <w:szCs w:val="32"/>
        </w:rPr>
        <w:t>1.社会保障和就业</w:t>
      </w:r>
      <w:r>
        <w:rPr>
          <w:rFonts w:hint="eastAsia" w:ascii="仿宋_GB2312" w:eastAsia="仿宋_GB2312"/>
          <w:color w:val="auto"/>
          <w:sz w:val="32"/>
          <w:szCs w:val="32"/>
          <w:lang w:eastAsia="zh-CN"/>
        </w:rPr>
        <w:t>支出</w:t>
      </w:r>
      <w:r>
        <w:rPr>
          <w:rFonts w:hint="eastAsia" w:ascii="仿宋_GB2312" w:eastAsia="仿宋_GB2312"/>
          <w:color w:val="auto"/>
          <w:sz w:val="32"/>
          <w:szCs w:val="32"/>
        </w:rPr>
        <w:t>（类）行政事业单位养老支出（款）机关事业单位基本养老</w:t>
      </w:r>
      <w:r>
        <w:rPr>
          <w:rFonts w:hint="eastAsia" w:ascii="仿宋_GB2312" w:eastAsia="仿宋_GB2312"/>
          <w:color w:val="auto"/>
          <w:sz w:val="32"/>
          <w:szCs w:val="32"/>
          <w:lang w:eastAsia="zh-CN"/>
        </w:rPr>
        <w:t>保险</w:t>
      </w:r>
      <w:r>
        <w:rPr>
          <w:rFonts w:hint="eastAsia" w:ascii="仿宋_GB2312" w:eastAsia="仿宋_GB2312"/>
          <w:color w:val="auto"/>
          <w:sz w:val="32"/>
          <w:szCs w:val="32"/>
        </w:rPr>
        <w:t>缴费支出（项），</w:t>
      </w:r>
      <w:r>
        <w:rPr>
          <w:rFonts w:hint="eastAsia" w:ascii="仿宋_GB2312" w:eastAsia="仿宋_GB2312"/>
          <w:color w:val="auto"/>
          <w:sz w:val="32"/>
          <w:szCs w:val="32"/>
          <w:lang w:val="en-US" w:eastAsia="zh-CN"/>
        </w:rPr>
        <w:t>2024</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53.35</w:t>
      </w:r>
      <w:r>
        <w:rPr>
          <w:rFonts w:hint="eastAsia" w:ascii="仿宋_GB2312" w:eastAsia="仿宋_GB2312"/>
          <w:color w:val="auto"/>
          <w:sz w:val="32"/>
          <w:szCs w:val="32"/>
        </w:rPr>
        <w:t>万元，占0.</w:t>
      </w:r>
      <w:r>
        <w:rPr>
          <w:rFonts w:hint="eastAsia" w:ascii="仿宋_GB2312" w:eastAsia="仿宋_GB2312"/>
          <w:color w:val="auto"/>
          <w:sz w:val="32"/>
          <w:szCs w:val="32"/>
          <w:lang w:val="en-US" w:eastAsia="zh-CN"/>
        </w:rPr>
        <w:t>64</w:t>
      </w:r>
      <w:r>
        <w:rPr>
          <w:rFonts w:hint="eastAsia" w:ascii="仿宋_GB2312" w:eastAsia="仿宋_GB2312"/>
          <w:color w:val="auto"/>
          <w:sz w:val="32"/>
          <w:szCs w:val="32"/>
        </w:rPr>
        <w:t>%，主要用于：单位养老保险缴费支出。</w:t>
      </w:r>
    </w:p>
    <w:p w14:paraId="53D815CC">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rFonts w:hint="eastAsia" w:eastAsia="仿宋_GB2312"/>
          <w:color w:val="auto"/>
          <w:sz w:val="32"/>
          <w:szCs w:val="32"/>
          <w:lang w:eastAsia="zh-CN"/>
        </w:rPr>
      </w:pPr>
      <w:r>
        <w:rPr>
          <w:rFonts w:hint="eastAsia" w:ascii="仿宋_GB2312" w:eastAsia="仿宋_GB2312"/>
          <w:color w:val="auto"/>
          <w:sz w:val="32"/>
          <w:szCs w:val="32"/>
        </w:rPr>
        <w:t>2.社会保障和就业支出（类）行政事业单位养老支出（款）机关事业单位职业年金缴费支出（项），</w:t>
      </w:r>
      <w:r>
        <w:rPr>
          <w:rFonts w:hint="eastAsia" w:ascii="仿宋_GB2312" w:eastAsia="仿宋_GB2312"/>
          <w:color w:val="auto"/>
          <w:sz w:val="32"/>
          <w:szCs w:val="32"/>
          <w:lang w:val="en-US" w:eastAsia="zh-CN"/>
        </w:rPr>
        <w:t>2024</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26.68</w:t>
      </w:r>
      <w:r>
        <w:rPr>
          <w:rFonts w:hint="eastAsia" w:ascii="仿宋_GB2312" w:eastAsia="仿宋_GB2312"/>
          <w:color w:val="auto"/>
          <w:sz w:val="32"/>
          <w:szCs w:val="32"/>
        </w:rPr>
        <w:t>万元，占0.</w:t>
      </w:r>
      <w:r>
        <w:rPr>
          <w:rFonts w:hint="eastAsia" w:ascii="仿宋_GB2312" w:eastAsia="仿宋_GB2312"/>
          <w:color w:val="auto"/>
          <w:sz w:val="32"/>
          <w:szCs w:val="32"/>
          <w:lang w:val="en-US" w:eastAsia="zh-CN"/>
        </w:rPr>
        <w:t>32</w:t>
      </w:r>
      <w:r>
        <w:rPr>
          <w:rFonts w:hint="eastAsia" w:ascii="仿宋_GB2312" w:eastAsia="仿宋_GB2312"/>
          <w:color w:val="auto"/>
          <w:sz w:val="32"/>
          <w:szCs w:val="32"/>
        </w:rPr>
        <w:t>%，主要用于：单位职业年金缴费支出。</w:t>
      </w:r>
    </w:p>
    <w:p w14:paraId="3609A9A5">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.社会保障和就业支出（类）抚恤（款），</w:t>
      </w:r>
      <w:r>
        <w:rPr>
          <w:rFonts w:hint="eastAsia" w:ascii="仿宋_GB2312" w:eastAsia="仿宋_GB2312"/>
          <w:color w:val="auto"/>
          <w:sz w:val="32"/>
          <w:szCs w:val="32"/>
          <w:lang w:val="en-US" w:eastAsia="zh-CN"/>
        </w:rPr>
        <w:t>2024</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4924.00</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58.74</w:t>
      </w:r>
      <w:r>
        <w:rPr>
          <w:rFonts w:hint="eastAsia" w:ascii="仿宋_GB2312" w:eastAsia="仿宋_GB2312"/>
          <w:color w:val="auto"/>
          <w:sz w:val="32"/>
          <w:szCs w:val="32"/>
        </w:rPr>
        <w:t>%，主要用于：对我市义务兵家属进行优待</w:t>
      </w:r>
      <w:r>
        <w:rPr>
          <w:rFonts w:hint="eastAsia" w:ascii="仿宋_GB2312" w:eastAsia="仿宋_GB2312"/>
          <w:color w:val="auto"/>
          <w:sz w:val="32"/>
          <w:szCs w:val="32"/>
          <w:lang w:eastAsia="zh-CN"/>
        </w:rPr>
        <w:t>、</w:t>
      </w:r>
      <w:r>
        <w:rPr>
          <w:rFonts w:hint="eastAsia" w:ascii="仿宋_GB2312" w:eastAsia="仿宋_GB2312"/>
          <w:color w:val="auto"/>
          <w:sz w:val="32"/>
          <w:szCs w:val="32"/>
        </w:rPr>
        <w:t>新入伍大学生奖励</w:t>
      </w:r>
      <w:r>
        <w:rPr>
          <w:rFonts w:hint="eastAsia" w:ascii="仿宋_GB2312" w:eastAsia="仿宋_GB2312"/>
          <w:color w:val="auto"/>
          <w:sz w:val="32"/>
          <w:szCs w:val="32"/>
          <w:lang w:eastAsia="zh-CN"/>
        </w:rPr>
        <w:t>和艰苦边远地区补助等优抚支出</w:t>
      </w:r>
      <w:r>
        <w:rPr>
          <w:rFonts w:hint="eastAsia" w:ascii="仿宋_GB2312" w:eastAsia="仿宋_GB2312"/>
          <w:color w:val="auto"/>
          <w:sz w:val="32"/>
          <w:szCs w:val="32"/>
        </w:rPr>
        <w:t>。</w:t>
      </w:r>
    </w:p>
    <w:p w14:paraId="1DA5CC74">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社会保障和就业支出（类）退役军人管理事务（款）行政运行（项），</w:t>
      </w:r>
      <w:r>
        <w:rPr>
          <w:rFonts w:hint="eastAsia" w:ascii="仿宋_GB2312" w:eastAsia="仿宋_GB2312"/>
          <w:color w:val="auto"/>
          <w:sz w:val="32"/>
          <w:szCs w:val="32"/>
          <w:lang w:val="en-US" w:eastAsia="zh-CN"/>
        </w:rPr>
        <w:t>2024</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158.56</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1.89</w:t>
      </w:r>
      <w:r>
        <w:rPr>
          <w:rFonts w:hint="eastAsia" w:ascii="仿宋_GB2312" w:eastAsia="仿宋_GB2312"/>
          <w:color w:val="auto"/>
          <w:sz w:val="32"/>
          <w:szCs w:val="32"/>
        </w:rPr>
        <w:t>%，主要用于：市退役军人局机关职工基本工资、津贴补贴等人员经费以及办公费、印刷费、电费、伙食补助费、工会费等日常公用经费支出。</w:t>
      </w:r>
    </w:p>
    <w:p w14:paraId="3D4E88C8">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.社会保障和就业支出（类）退役军人管理事务（款）一般行政管理事务（项），202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566.00</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6.75</w:t>
      </w:r>
      <w:r>
        <w:rPr>
          <w:rFonts w:hint="eastAsia" w:ascii="仿宋_GB2312" w:eastAsia="仿宋_GB2312"/>
          <w:color w:val="auto"/>
          <w:sz w:val="32"/>
          <w:szCs w:val="32"/>
        </w:rPr>
        <w:t>%，主要用于：一般行政管理事务、</w:t>
      </w:r>
      <w:r>
        <w:rPr>
          <w:rFonts w:hint="eastAsia" w:ascii="仿宋_GB2312" w:eastAsia="仿宋_GB2312"/>
          <w:color w:val="auto"/>
          <w:sz w:val="32"/>
          <w:szCs w:val="32"/>
          <w:lang w:eastAsia="zh-CN"/>
        </w:rPr>
        <w:t>烈士陵园管理</w:t>
      </w:r>
      <w:r>
        <w:rPr>
          <w:rFonts w:hint="eastAsia" w:ascii="仿宋_GB2312" w:eastAsia="仿宋_GB2312"/>
          <w:color w:val="auto"/>
          <w:sz w:val="32"/>
          <w:szCs w:val="32"/>
        </w:rPr>
        <w:t>经费支出。</w:t>
      </w:r>
    </w:p>
    <w:p w14:paraId="14B0B1B1">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.社会保障和就业支出（类）退役军人管理事务（款）拥军优属（项），</w:t>
      </w:r>
      <w:r>
        <w:rPr>
          <w:rFonts w:hint="eastAsia" w:ascii="仿宋_GB2312" w:eastAsia="仿宋_GB2312"/>
          <w:color w:val="auto"/>
          <w:sz w:val="32"/>
          <w:szCs w:val="32"/>
          <w:lang w:val="en-US" w:eastAsia="zh-CN"/>
        </w:rPr>
        <w:t>2024</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0.12</w:t>
      </w:r>
      <w:r>
        <w:rPr>
          <w:rFonts w:hint="eastAsia" w:ascii="仿宋_GB2312" w:eastAsia="仿宋_GB2312"/>
          <w:color w:val="auto"/>
          <w:sz w:val="32"/>
          <w:szCs w:val="32"/>
        </w:rPr>
        <w:t>%，主要用于：开展地方拥军优属军队拥政爱民宣传活动、双拥氛围营造及创建专项工作支出。</w:t>
      </w:r>
    </w:p>
    <w:p w14:paraId="3CF0BDCA">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.社会保障和就业支出（类）退役军人管理事务（款）事业运行（项），202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57.31</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0.68</w:t>
      </w:r>
      <w:r>
        <w:rPr>
          <w:rFonts w:hint="eastAsia" w:ascii="仿宋_GB2312" w:eastAsia="仿宋_GB2312"/>
          <w:color w:val="auto"/>
          <w:sz w:val="32"/>
          <w:szCs w:val="32"/>
        </w:rPr>
        <w:t>%，主要用于：市退役军人服务中心职工基本工资、津贴补贴（或绩效工资）等人员经费以及办公费、印刷费等日常公用经费支出。</w:t>
      </w:r>
    </w:p>
    <w:p w14:paraId="1616D21B">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8</w:t>
      </w:r>
      <w:r>
        <w:rPr>
          <w:rFonts w:hint="eastAsia" w:ascii="仿宋_GB2312" w:eastAsia="仿宋_GB2312"/>
          <w:color w:val="auto"/>
          <w:sz w:val="32"/>
          <w:szCs w:val="32"/>
        </w:rPr>
        <w:t>.社会保障和就业支出（类）其他社会保障和就业支出（款）其他社会保障和就业支出（项），202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0.53</w:t>
      </w:r>
      <w:r>
        <w:rPr>
          <w:rFonts w:hint="eastAsia" w:ascii="仿宋_GB2312" w:eastAsia="仿宋_GB2312"/>
          <w:color w:val="auto"/>
          <w:sz w:val="32"/>
          <w:szCs w:val="32"/>
        </w:rPr>
        <w:t>万元，占0.0</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%，主要用于：工伤保险支出</w:t>
      </w:r>
      <w:r>
        <w:rPr>
          <w:rFonts w:hint="eastAsia" w:ascii="仿宋_GB2312" w:eastAsia="仿宋_GB2312"/>
          <w:color w:val="auto"/>
          <w:sz w:val="32"/>
          <w:szCs w:val="32"/>
          <w:lang w:val="en-US" w:eastAsia="zh-CN"/>
        </w:rPr>
        <w:t>等</w:t>
      </w:r>
      <w:r>
        <w:rPr>
          <w:rFonts w:hint="eastAsia" w:ascii="仿宋_GB2312" w:eastAsia="仿宋_GB2312"/>
          <w:color w:val="auto"/>
          <w:sz w:val="32"/>
          <w:szCs w:val="32"/>
        </w:rPr>
        <w:t>其他社会保障和就业支出。</w:t>
      </w:r>
    </w:p>
    <w:p w14:paraId="74C3BEEE">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9</w:t>
      </w:r>
      <w:r>
        <w:rPr>
          <w:rFonts w:hint="eastAsia" w:ascii="仿宋_GB2312" w:eastAsia="仿宋_GB2312"/>
          <w:color w:val="auto"/>
          <w:sz w:val="32"/>
          <w:szCs w:val="32"/>
        </w:rPr>
        <w:t>.卫生健康支出（类）行政事业单位医疗（款）行政单位医疗（项），202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6.93</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0.08</w:t>
      </w:r>
      <w:r>
        <w:rPr>
          <w:rFonts w:hint="eastAsia" w:ascii="仿宋_GB2312" w:eastAsia="仿宋_GB2312"/>
          <w:color w:val="auto"/>
          <w:sz w:val="32"/>
          <w:szCs w:val="32"/>
        </w:rPr>
        <w:t>%，主要用于：行政单位职工医疗保险缴费支出。</w:t>
      </w:r>
    </w:p>
    <w:p w14:paraId="6EFDA4A7">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10</w:t>
      </w:r>
      <w:r>
        <w:rPr>
          <w:rFonts w:hint="eastAsia" w:ascii="仿宋_GB2312" w:eastAsia="仿宋_GB2312"/>
          <w:color w:val="auto"/>
          <w:sz w:val="32"/>
          <w:szCs w:val="32"/>
        </w:rPr>
        <w:t>.卫生健康支出（类）行政事业单位医疗（款）事业单位医疗（项），202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13.41</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0.16</w:t>
      </w:r>
      <w:r>
        <w:rPr>
          <w:rFonts w:hint="eastAsia" w:ascii="仿宋_GB2312" w:eastAsia="仿宋_GB2312"/>
          <w:color w:val="auto"/>
          <w:sz w:val="32"/>
          <w:szCs w:val="32"/>
        </w:rPr>
        <w:t>%，主要用于：事业单位职工医疗保险缴费支出。</w:t>
      </w:r>
    </w:p>
    <w:p w14:paraId="6C42F9AB">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color w:val="auto"/>
          <w:sz w:val="32"/>
          <w:szCs w:val="32"/>
        </w:rPr>
      </w:pPr>
      <w:r>
        <w:rPr>
          <w:rFonts w:hint="eastAsia" w:ascii="仿宋_GB2312" w:eastAsia="仿宋_GB2312"/>
          <w:color w:val="auto"/>
          <w:sz w:val="32"/>
          <w:szCs w:val="32"/>
          <w:lang w:val="en-US" w:eastAsia="zh-CN"/>
        </w:rPr>
        <w:t>11</w:t>
      </w:r>
      <w:r>
        <w:rPr>
          <w:rFonts w:hint="eastAsia" w:ascii="仿宋_GB2312" w:eastAsia="仿宋_GB2312"/>
          <w:color w:val="auto"/>
          <w:sz w:val="32"/>
          <w:szCs w:val="32"/>
        </w:rPr>
        <w:t>.住房保障支出（类）住房改革支出（款）住房公积金（项），202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46.32</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0.55</w:t>
      </w:r>
      <w:r>
        <w:rPr>
          <w:rFonts w:hint="eastAsia" w:ascii="仿宋_GB2312" w:eastAsia="仿宋_GB2312"/>
          <w:color w:val="auto"/>
          <w:sz w:val="32"/>
          <w:szCs w:val="32"/>
        </w:rPr>
        <w:t>%，主要用于：部门按人力资源和社会保障部、财政部规定的基本工资和津贴补贴以及规定比例为职工缴纳的住房公积金支出。</w:t>
      </w:r>
    </w:p>
    <w:p w14:paraId="5892EE1E">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color w:val="auto"/>
          <w:sz w:val="32"/>
          <w:szCs w:val="32"/>
        </w:rPr>
      </w:pPr>
      <w:r>
        <w:rPr>
          <w:rFonts w:hint="eastAsia" w:ascii="黑体" w:eastAsia="黑体"/>
          <w:color w:val="auto"/>
          <w:sz w:val="32"/>
          <w:szCs w:val="32"/>
        </w:rPr>
        <w:t>六、一般公共预算基本支出情况说明</w:t>
      </w:r>
    </w:p>
    <w:p w14:paraId="09F994B7">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color w:val="auto"/>
          <w:sz w:val="32"/>
          <w:szCs w:val="32"/>
        </w:rPr>
      </w:pPr>
      <w:r>
        <w:rPr>
          <w:rFonts w:hint="eastAsia" w:ascii="仿宋_GB2312" w:eastAsia="仿宋_GB2312"/>
          <w:color w:val="auto"/>
          <w:sz w:val="32"/>
          <w:szCs w:val="32"/>
          <w:lang w:eastAsia="zh-CN"/>
        </w:rPr>
        <w:t>峨眉山市退役军人事务局</w:t>
      </w:r>
      <w:r>
        <w:rPr>
          <w:rFonts w:hint="eastAsia" w:ascii="仿宋_GB2312" w:eastAsia="仿宋_GB2312"/>
          <w:color w:val="auto"/>
          <w:sz w:val="32"/>
          <w:szCs w:val="32"/>
          <w:lang w:val="en-US" w:eastAsia="zh-CN"/>
        </w:rPr>
        <w:t>2024</w:t>
      </w:r>
      <w:r>
        <w:rPr>
          <w:rFonts w:hint="eastAsia" w:ascii="仿宋_GB2312" w:eastAsia="仿宋_GB2312"/>
          <w:color w:val="auto"/>
          <w:sz w:val="32"/>
          <w:szCs w:val="32"/>
        </w:rPr>
        <w:t>年一般公共预算基本支出</w:t>
      </w:r>
      <w:r>
        <w:rPr>
          <w:rFonts w:hint="eastAsia" w:ascii="仿宋_GB2312" w:eastAsia="仿宋_GB2312"/>
          <w:color w:val="auto"/>
          <w:sz w:val="32"/>
          <w:szCs w:val="32"/>
          <w:lang w:val="en-US" w:eastAsia="zh-CN"/>
        </w:rPr>
        <w:t>646.94</w:t>
      </w:r>
      <w:r>
        <w:rPr>
          <w:rFonts w:hint="eastAsia" w:ascii="仿宋_GB2312" w:eastAsia="仿宋_GB2312"/>
          <w:color w:val="auto"/>
          <w:sz w:val="32"/>
          <w:szCs w:val="32"/>
        </w:rPr>
        <w:t>万元，其中：</w:t>
      </w:r>
    </w:p>
    <w:p w14:paraId="358C2B4E">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ascii="仿宋_GB2312" w:eastAsia="仿宋_GB2312"/>
          <w:color w:val="auto"/>
          <w:sz w:val="32"/>
          <w:szCs w:val="32"/>
        </w:rPr>
      </w:pPr>
      <w:r>
        <w:rPr>
          <w:rFonts w:hint="eastAsia" w:ascii="仿宋_GB2312" w:eastAsia="仿宋_GB2312"/>
          <w:color w:val="auto"/>
          <w:sz w:val="32"/>
          <w:szCs w:val="32"/>
        </w:rPr>
        <w:t>人员经费</w:t>
      </w:r>
      <w:r>
        <w:rPr>
          <w:rFonts w:hint="eastAsia" w:ascii="仿宋_GB2312" w:eastAsia="仿宋_GB2312"/>
          <w:color w:val="auto"/>
          <w:sz w:val="32"/>
          <w:szCs w:val="32"/>
          <w:lang w:val="en-US" w:eastAsia="zh-CN"/>
        </w:rPr>
        <w:t>549.64</w:t>
      </w:r>
      <w:r>
        <w:rPr>
          <w:rFonts w:hint="eastAsia" w:ascii="仿宋_GB2312" w:eastAsia="仿宋_GB2312"/>
          <w:color w:val="auto"/>
          <w:sz w:val="32"/>
          <w:szCs w:val="32"/>
        </w:rPr>
        <w:t>万元，主要包括：基本工资、津贴补贴、绩效工资、奖金、各类社会保险缴费、住房公积金、军队移交政府离退休干部管理经费、部队供应、其他优抚支出、其他社会保障和就业支出等。</w:t>
      </w:r>
    </w:p>
    <w:p w14:paraId="05C5058C">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hint="eastAsia" w:ascii="仿宋_GB2312" w:eastAsia="仿宋_GB2312"/>
          <w:color w:val="auto"/>
          <w:sz w:val="32"/>
          <w:szCs w:val="32"/>
          <w:lang w:eastAsia="zh-CN"/>
        </w:rPr>
      </w:pPr>
      <w:r>
        <w:rPr>
          <w:rFonts w:hint="eastAsia" w:ascii="仿宋_GB2312" w:eastAsia="仿宋_GB2312"/>
          <w:color w:val="auto"/>
          <w:sz w:val="32"/>
          <w:szCs w:val="32"/>
        </w:rPr>
        <w:t>公用经费</w:t>
      </w:r>
      <w:r>
        <w:rPr>
          <w:rFonts w:hint="eastAsia" w:ascii="仿宋_GB2312" w:eastAsia="仿宋_GB2312"/>
          <w:color w:val="auto"/>
          <w:sz w:val="32"/>
          <w:szCs w:val="32"/>
          <w:lang w:val="en-US" w:eastAsia="zh-CN"/>
        </w:rPr>
        <w:t>97.30</w:t>
      </w:r>
      <w:r>
        <w:rPr>
          <w:rFonts w:hint="eastAsia" w:ascii="仿宋_GB2312" w:eastAsia="仿宋_GB2312"/>
          <w:color w:val="auto"/>
          <w:sz w:val="32"/>
          <w:szCs w:val="32"/>
        </w:rPr>
        <w:t>万元，主要包括：办公费、印刷费、手续费、水费、电费、邮电费、工会费、其他交通费等</w:t>
      </w:r>
      <w:r>
        <w:rPr>
          <w:rFonts w:hint="eastAsia" w:ascii="仿宋_GB2312" w:eastAsia="仿宋_GB2312"/>
          <w:color w:val="auto"/>
          <w:sz w:val="32"/>
          <w:szCs w:val="32"/>
          <w:lang w:eastAsia="zh-CN"/>
        </w:rPr>
        <w:t>。</w:t>
      </w:r>
    </w:p>
    <w:p w14:paraId="1430D497">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color w:val="auto"/>
          <w:sz w:val="32"/>
          <w:szCs w:val="32"/>
        </w:rPr>
      </w:pPr>
      <w:r>
        <w:rPr>
          <w:rFonts w:hint="eastAsia" w:ascii="黑体" w:eastAsia="黑体"/>
          <w:color w:val="auto"/>
          <w:sz w:val="32"/>
          <w:szCs w:val="32"/>
        </w:rPr>
        <w:t>七、政府性基金预算支出规模及变化情况说明</w:t>
      </w:r>
    </w:p>
    <w:p w14:paraId="1C609FEC">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b/>
          <w:color w:val="auto"/>
          <w:sz w:val="32"/>
          <w:szCs w:val="32"/>
        </w:rPr>
      </w:pPr>
      <w:r>
        <w:rPr>
          <w:rFonts w:hint="eastAsia" w:ascii="仿宋_GB2312" w:eastAsia="仿宋_GB2312"/>
          <w:color w:val="auto"/>
          <w:sz w:val="32"/>
          <w:szCs w:val="32"/>
          <w:lang w:eastAsia="zh-CN"/>
        </w:rPr>
        <w:t>峨眉山市退役军人事务局2024年无政府性基金预算。</w:t>
      </w:r>
    </w:p>
    <w:p w14:paraId="335EB226">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color w:val="auto"/>
          <w:sz w:val="32"/>
          <w:szCs w:val="32"/>
        </w:rPr>
      </w:pPr>
      <w:r>
        <w:rPr>
          <w:rFonts w:hint="eastAsia" w:ascii="黑体" w:eastAsia="黑体"/>
          <w:color w:val="auto"/>
          <w:sz w:val="32"/>
          <w:szCs w:val="32"/>
        </w:rPr>
        <w:t>八、“三公”经费预算安排情况说明</w:t>
      </w:r>
    </w:p>
    <w:p w14:paraId="17206988">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楷体_GB2312" w:eastAsia="楷体_GB2312"/>
          <w:color w:val="auto"/>
          <w:sz w:val="32"/>
          <w:szCs w:val="32"/>
        </w:rPr>
      </w:pPr>
      <w:r>
        <w:rPr>
          <w:rFonts w:hint="eastAsia" w:ascii="仿宋_GB2312" w:eastAsia="仿宋_GB2312"/>
          <w:color w:val="auto"/>
          <w:sz w:val="32"/>
          <w:szCs w:val="32"/>
          <w:lang w:eastAsia="zh-CN"/>
        </w:rPr>
        <w:t>峨眉山市退役军人事务局</w:t>
      </w:r>
      <w:r>
        <w:rPr>
          <w:rFonts w:hint="eastAsia" w:ascii="仿宋_GB2312" w:eastAsia="仿宋_GB2312"/>
          <w:color w:val="auto"/>
          <w:sz w:val="32"/>
          <w:szCs w:val="32"/>
          <w:lang w:val="en-US" w:eastAsia="zh-CN"/>
        </w:rPr>
        <w:t>2024</w:t>
      </w:r>
      <w:r>
        <w:rPr>
          <w:rFonts w:hint="eastAsia" w:ascii="仿宋_GB2312" w:eastAsia="仿宋_GB2312"/>
          <w:color w:val="auto"/>
          <w:sz w:val="32"/>
          <w:szCs w:val="32"/>
        </w:rPr>
        <w:t>年“三公”经费预算数</w:t>
      </w:r>
      <w:r>
        <w:rPr>
          <w:rFonts w:hint="eastAsia" w:ascii="仿宋_GB2312" w:eastAsia="仿宋_GB2312"/>
          <w:color w:val="auto"/>
          <w:sz w:val="32"/>
          <w:szCs w:val="32"/>
          <w:lang w:val="en-US" w:eastAsia="zh-CN"/>
        </w:rPr>
        <w:t>16.19</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r>
        <w:rPr>
          <w:rFonts w:hint="eastAsia" w:ascii="仿宋_GB2312" w:eastAsia="仿宋_GB2312"/>
          <w:color w:val="auto"/>
          <w:sz w:val="32"/>
          <w:szCs w:val="32"/>
        </w:rPr>
        <w:t>其中财政拨款安排“三公”经费</w:t>
      </w:r>
      <w:r>
        <w:rPr>
          <w:rFonts w:hint="eastAsia" w:ascii="仿宋_GB2312" w:eastAsia="仿宋_GB2312"/>
          <w:color w:val="auto"/>
          <w:sz w:val="32"/>
          <w:szCs w:val="32"/>
          <w:lang w:val="en-US" w:eastAsia="zh-CN"/>
        </w:rPr>
        <w:t>16.19</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r>
        <w:rPr>
          <w:rFonts w:hint="eastAsia" w:ascii="仿宋_GB2312" w:eastAsia="仿宋_GB2312"/>
          <w:color w:val="auto"/>
          <w:sz w:val="32"/>
          <w:szCs w:val="32"/>
        </w:rPr>
        <w:t>较上年“三公”经费预算数减少</w:t>
      </w:r>
      <w:r>
        <w:rPr>
          <w:rFonts w:hint="eastAsia" w:ascii="仿宋_GB2312" w:eastAsia="仿宋_GB2312"/>
          <w:color w:val="auto"/>
          <w:sz w:val="32"/>
          <w:szCs w:val="32"/>
          <w:lang w:val="en-US" w:eastAsia="zh-CN"/>
        </w:rPr>
        <w:t>4.69</w:t>
      </w:r>
      <w:r>
        <w:rPr>
          <w:rFonts w:hint="eastAsia" w:ascii="仿宋_GB2312" w:eastAsia="仿宋_GB2312"/>
          <w:color w:val="auto"/>
          <w:sz w:val="32"/>
          <w:szCs w:val="32"/>
        </w:rPr>
        <w:t>万元</w:t>
      </w:r>
      <w:r>
        <w:rPr>
          <w:rFonts w:hint="eastAsia" w:ascii="仿宋_GB2312" w:eastAsia="仿宋_GB2312"/>
          <w:color w:val="auto"/>
          <w:sz w:val="32"/>
          <w:szCs w:val="32"/>
          <w:lang w:eastAsia="zh-CN"/>
        </w:rPr>
        <w:t>，主要原因是：厉行节俭</w:t>
      </w:r>
      <w:r>
        <w:rPr>
          <w:rFonts w:hint="eastAsia" w:ascii="仿宋_GB2312" w:eastAsia="仿宋_GB2312"/>
          <w:color w:val="auto"/>
          <w:sz w:val="32"/>
          <w:szCs w:val="32"/>
        </w:rPr>
        <w:t>。因公出国（境）经费</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万元，公务接待费</w:t>
      </w:r>
      <w:r>
        <w:rPr>
          <w:rFonts w:hint="eastAsia" w:ascii="仿宋_GB2312" w:eastAsia="仿宋_GB2312"/>
          <w:color w:val="auto"/>
          <w:sz w:val="32"/>
          <w:szCs w:val="32"/>
          <w:lang w:val="en-US" w:eastAsia="zh-CN"/>
        </w:rPr>
        <w:t>0.29</w:t>
      </w:r>
      <w:r>
        <w:rPr>
          <w:rFonts w:hint="eastAsia" w:ascii="仿宋_GB2312" w:eastAsia="仿宋_GB2312"/>
          <w:color w:val="auto"/>
          <w:sz w:val="32"/>
          <w:szCs w:val="32"/>
        </w:rPr>
        <w:t>万元，公务用车购置及运行维护费</w:t>
      </w:r>
      <w:r>
        <w:rPr>
          <w:rFonts w:hint="eastAsia" w:ascii="仿宋_GB2312" w:eastAsia="仿宋_GB2312"/>
          <w:color w:val="auto"/>
          <w:sz w:val="32"/>
          <w:szCs w:val="32"/>
          <w:lang w:val="en-US" w:eastAsia="zh-CN"/>
        </w:rPr>
        <w:t>15.90</w:t>
      </w:r>
      <w:r>
        <w:rPr>
          <w:rFonts w:hint="eastAsia" w:ascii="仿宋_GB2312" w:eastAsia="仿宋_GB2312"/>
          <w:color w:val="auto"/>
          <w:sz w:val="32"/>
          <w:szCs w:val="32"/>
        </w:rPr>
        <w:t>万元。</w:t>
      </w:r>
    </w:p>
    <w:p w14:paraId="49D13F1E">
      <w:pPr>
        <w:keepNext w:val="0"/>
        <w:keepLines w:val="0"/>
        <w:pageBreakBefore w:val="0"/>
        <w:widowControl w:val="0"/>
        <w:numPr>
          <w:ilvl w:val="0"/>
          <w:numId w:val="1"/>
        </w:numPr>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因公出国（境）经费</w:t>
      </w:r>
    </w:p>
    <w:p w14:paraId="29FDFE05">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b w:val="0"/>
          <w:bCs/>
          <w:color w:val="auto"/>
          <w:sz w:val="32"/>
          <w:szCs w:val="32"/>
        </w:rPr>
      </w:pPr>
      <w:r>
        <w:rPr>
          <w:rFonts w:hint="eastAsia" w:ascii="仿宋_GB2312" w:eastAsia="仿宋_GB2312"/>
          <w:b w:val="0"/>
          <w:bCs/>
          <w:color w:val="auto"/>
          <w:sz w:val="32"/>
          <w:szCs w:val="32"/>
        </w:rPr>
        <w:t>无因公出国（境）预算。</w:t>
      </w:r>
      <w:r>
        <w:rPr>
          <w:rFonts w:hint="eastAsia" w:ascii="仿宋_GB2312" w:eastAsia="仿宋_GB2312"/>
          <w:b w:val="0"/>
          <w:bCs/>
          <w:color w:val="auto"/>
          <w:sz w:val="32"/>
          <w:szCs w:val="32"/>
          <w:lang w:val="en-US" w:eastAsia="zh-CN"/>
        </w:rPr>
        <w:t>2024</w:t>
      </w:r>
      <w:r>
        <w:rPr>
          <w:rFonts w:hint="eastAsia" w:ascii="仿宋_GB2312" w:eastAsia="仿宋_GB2312"/>
          <w:b w:val="0"/>
          <w:bCs/>
          <w:color w:val="auto"/>
          <w:sz w:val="32"/>
          <w:szCs w:val="32"/>
        </w:rPr>
        <w:t>年因公临时出国（境）未安排人次。</w:t>
      </w:r>
    </w:p>
    <w:p w14:paraId="5D3443B7">
      <w:pPr>
        <w:keepNext w:val="0"/>
        <w:keepLines w:val="0"/>
        <w:pageBreakBefore w:val="0"/>
        <w:widowControl w:val="0"/>
        <w:numPr>
          <w:ilvl w:val="0"/>
          <w:numId w:val="1"/>
        </w:numPr>
        <w:kinsoku/>
        <w:wordWrap/>
        <w:overflowPunct/>
        <w:topLinePunct w:val="0"/>
        <w:bidi w:val="0"/>
        <w:snapToGrid/>
        <w:spacing w:line="600" w:lineRule="exact"/>
        <w:ind w:left="0" w:leftChars="0" w:firstLine="640" w:firstLineChars="200"/>
        <w:textAlignment w:val="auto"/>
        <w:outlineLvl w:val="1"/>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公务接待费</w:t>
      </w:r>
    </w:p>
    <w:p w14:paraId="603FA566">
      <w:pPr>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outlineLvl w:val="1"/>
        <w:rPr>
          <w:rFonts w:hint="eastAsia" w:ascii="仿宋_GB2312" w:eastAsia="仿宋_GB2312"/>
          <w:color w:val="auto"/>
          <w:sz w:val="32"/>
          <w:szCs w:val="32"/>
          <w:lang w:eastAsia="zh-CN"/>
        </w:rPr>
      </w:pPr>
      <w:r>
        <w:rPr>
          <w:rFonts w:hint="eastAsia" w:ascii="仿宋_GB2312" w:eastAsia="仿宋_GB2312"/>
          <w:color w:val="auto"/>
          <w:sz w:val="32"/>
          <w:szCs w:val="32"/>
        </w:rPr>
        <w:t>较上年预算减少</w:t>
      </w:r>
      <w:r>
        <w:rPr>
          <w:rFonts w:hint="eastAsia" w:ascii="仿宋_GB2312" w:eastAsia="仿宋_GB2312"/>
          <w:color w:val="auto"/>
          <w:sz w:val="32"/>
          <w:szCs w:val="32"/>
          <w:lang w:val="en-US" w:eastAsia="zh-CN"/>
        </w:rPr>
        <w:t>1.92</w:t>
      </w:r>
      <w:r>
        <w:rPr>
          <w:rFonts w:hint="eastAsia" w:ascii="仿宋_GB2312" w:eastAsia="仿宋_GB2312"/>
          <w:color w:val="auto"/>
          <w:sz w:val="32"/>
          <w:szCs w:val="32"/>
        </w:rPr>
        <w:t>万元，下降</w:t>
      </w:r>
      <w:r>
        <w:rPr>
          <w:rFonts w:hint="eastAsia" w:ascii="仿宋_GB2312" w:eastAsia="仿宋_GB2312"/>
          <w:color w:val="auto"/>
          <w:sz w:val="32"/>
          <w:szCs w:val="32"/>
          <w:lang w:val="en-US" w:eastAsia="zh-CN"/>
        </w:rPr>
        <w:t>86.88</w:t>
      </w:r>
      <w:r>
        <w:rPr>
          <w:rFonts w:hint="eastAsia" w:ascii="仿宋_GB2312" w:eastAsia="仿宋_GB2312"/>
          <w:color w:val="auto"/>
          <w:sz w:val="32"/>
          <w:szCs w:val="32"/>
        </w:rPr>
        <w:t>%。减少</w:t>
      </w:r>
      <w:r>
        <w:rPr>
          <w:rFonts w:hint="eastAsia" w:ascii="仿宋_GB2312" w:eastAsia="仿宋_GB2312"/>
          <w:color w:val="auto"/>
          <w:sz w:val="32"/>
          <w:szCs w:val="32"/>
          <w:lang w:eastAsia="zh-CN"/>
        </w:rPr>
        <w:t>原因：厉行节俭</w:t>
      </w:r>
      <w:r>
        <w:rPr>
          <w:rFonts w:hint="eastAsia" w:ascii="仿宋_GB2312" w:eastAsia="仿宋_GB2312"/>
          <w:color w:val="auto"/>
          <w:sz w:val="32"/>
          <w:szCs w:val="32"/>
        </w:rPr>
        <w:t>。</w:t>
      </w:r>
    </w:p>
    <w:p w14:paraId="5826E690">
      <w:pPr>
        <w:spacing w:line="600" w:lineRule="exact"/>
        <w:ind w:firstLine="640" w:firstLineChars="200"/>
        <w:outlineLvl w:val="1"/>
        <w:rPr>
          <w:rFonts w:ascii="仿宋_GB2312" w:eastAsia="仿宋_GB2312"/>
          <w:color w:val="auto"/>
          <w:sz w:val="32"/>
          <w:szCs w:val="32"/>
        </w:rPr>
      </w:pPr>
      <w:r>
        <w:rPr>
          <w:rFonts w:hint="eastAsia" w:ascii="仿宋_GB2312" w:eastAsia="仿宋_GB2312"/>
          <w:color w:val="auto"/>
          <w:sz w:val="32"/>
          <w:szCs w:val="32"/>
          <w:lang w:val="en-US" w:eastAsia="zh-CN"/>
        </w:rPr>
        <w:t>2024</w:t>
      </w:r>
      <w:r>
        <w:rPr>
          <w:rFonts w:hint="eastAsia" w:ascii="仿宋_GB2312" w:eastAsia="仿宋_GB2312"/>
          <w:color w:val="auto"/>
          <w:sz w:val="32"/>
          <w:szCs w:val="32"/>
        </w:rPr>
        <w:t>年公务接待费计划用于</w:t>
      </w:r>
      <w:r>
        <w:rPr>
          <w:rFonts w:hint="eastAsia" w:ascii="仿宋_GB2312" w:eastAsia="仿宋_GB2312"/>
          <w:color w:val="auto"/>
          <w:sz w:val="32"/>
          <w:szCs w:val="32"/>
          <w:lang w:eastAsia="zh-CN"/>
        </w:rPr>
        <w:t>国内公务接待</w:t>
      </w:r>
      <w:r>
        <w:rPr>
          <w:rFonts w:hint="eastAsia" w:ascii="仿宋_GB2312" w:eastAsia="仿宋_GB2312"/>
          <w:color w:val="auto"/>
          <w:sz w:val="32"/>
          <w:szCs w:val="32"/>
        </w:rPr>
        <w:t>。</w:t>
      </w:r>
    </w:p>
    <w:p w14:paraId="6F5A9144">
      <w:pPr>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rPr>
        <w:t>公务用车购置及运行维护费</w:t>
      </w:r>
    </w:p>
    <w:p w14:paraId="5CA8DCD0">
      <w:pPr>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outlineLvl w:val="1"/>
        <w:rPr>
          <w:rFonts w:hint="eastAsia" w:ascii="仿宋_GB2312" w:eastAsia="仿宋_GB2312"/>
          <w:color w:val="auto"/>
          <w:sz w:val="32"/>
          <w:szCs w:val="32"/>
          <w:lang w:eastAsia="zh-CN"/>
        </w:rPr>
      </w:pPr>
      <w:r>
        <w:rPr>
          <w:rFonts w:hint="eastAsia" w:ascii="仿宋_GB2312" w:eastAsia="仿宋_GB2312"/>
          <w:color w:val="auto"/>
          <w:sz w:val="32"/>
          <w:szCs w:val="32"/>
        </w:rPr>
        <w:t>较上年预算减少</w:t>
      </w:r>
      <w:r>
        <w:rPr>
          <w:rFonts w:hint="eastAsia" w:ascii="仿宋_GB2312" w:eastAsia="仿宋_GB2312"/>
          <w:color w:val="auto"/>
          <w:sz w:val="32"/>
          <w:szCs w:val="32"/>
          <w:lang w:val="en-US" w:eastAsia="zh-CN"/>
        </w:rPr>
        <w:t>1.66</w:t>
      </w:r>
      <w:r>
        <w:rPr>
          <w:rFonts w:hint="eastAsia" w:ascii="仿宋_GB2312" w:eastAsia="仿宋_GB2312"/>
          <w:color w:val="auto"/>
          <w:sz w:val="32"/>
          <w:szCs w:val="32"/>
        </w:rPr>
        <w:t>万元，下降</w:t>
      </w:r>
      <w:r>
        <w:rPr>
          <w:rFonts w:hint="eastAsia" w:ascii="仿宋_GB2312" w:eastAsia="仿宋_GB2312"/>
          <w:color w:val="auto"/>
          <w:sz w:val="32"/>
          <w:szCs w:val="32"/>
          <w:lang w:val="en-US" w:eastAsia="zh-CN"/>
        </w:rPr>
        <w:t>9.45</w:t>
      </w:r>
      <w:r>
        <w:rPr>
          <w:rFonts w:hint="eastAsia" w:ascii="仿宋_GB2312" w:eastAsia="仿宋_GB2312"/>
          <w:color w:val="auto"/>
          <w:sz w:val="32"/>
          <w:szCs w:val="32"/>
        </w:rPr>
        <w:t>%。减少</w:t>
      </w:r>
      <w:r>
        <w:rPr>
          <w:rFonts w:hint="eastAsia" w:ascii="仿宋_GB2312" w:eastAsia="仿宋_GB2312"/>
          <w:color w:val="auto"/>
          <w:sz w:val="32"/>
          <w:szCs w:val="32"/>
          <w:lang w:eastAsia="zh-CN"/>
        </w:rPr>
        <w:t>原因：厉行节俭</w:t>
      </w:r>
      <w:r>
        <w:rPr>
          <w:rFonts w:hint="eastAsia" w:ascii="仿宋_GB2312" w:eastAsia="仿宋_GB2312"/>
          <w:color w:val="auto"/>
          <w:sz w:val="32"/>
          <w:szCs w:val="32"/>
        </w:rPr>
        <w:t>。</w:t>
      </w:r>
    </w:p>
    <w:p w14:paraId="26C928E7">
      <w:pPr>
        <w:spacing w:line="600" w:lineRule="exact"/>
        <w:ind w:firstLine="640" w:firstLineChars="200"/>
        <w:outlineLvl w:val="1"/>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下属</w:t>
      </w:r>
      <w:r>
        <w:rPr>
          <w:rFonts w:hint="eastAsia" w:ascii="仿宋_GB2312" w:eastAsia="仿宋_GB2312"/>
          <w:color w:val="auto"/>
          <w:sz w:val="32"/>
          <w:szCs w:val="32"/>
          <w:highlight w:val="none"/>
        </w:rPr>
        <w:t>单位现有公务用车</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1辆、</w:t>
      </w:r>
      <w:r>
        <w:rPr>
          <w:rFonts w:hint="eastAsia" w:ascii="仿宋_GB2312" w:eastAsia="仿宋_GB2312"/>
          <w:color w:val="auto"/>
          <w:sz w:val="32"/>
          <w:szCs w:val="32"/>
          <w:highlight w:val="none"/>
          <w:lang w:eastAsia="zh-CN"/>
        </w:rPr>
        <w:t>特种专业技术用车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皮卡</w:t>
      </w:r>
      <w:r>
        <w:rPr>
          <w:rFonts w:hint="eastAsia" w:ascii="仿宋_GB2312" w:eastAsia="仿宋_GB2312"/>
          <w:color w:val="auto"/>
          <w:sz w:val="32"/>
          <w:szCs w:val="32"/>
          <w:highlight w:val="none"/>
        </w:rPr>
        <w:t>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、城市越野车</w:t>
      </w:r>
      <w:r>
        <w:rPr>
          <w:rFonts w:hint="eastAsia" w:ascii="仿宋_GB2312" w:eastAsia="仿宋_GB2312"/>
          <w:color w:val="auto"/>
          <w:sz w:val="32"/>
          <w:szCs w:val="32"/>
          <w:highlight w:val="none"/>
          <w:lang w:val="en-US" w:eastAsia="zh-CN"/>
        </w:rPr>
        <w:t>2辆</w:t>
      </w:r>
      <w:r>
        <w:rPr>
          <w:rFonts w:hint="eastAsia" w:ascii="仿宋_GB2312" w:eastAsia="仿宋_GB2312"/>
          <w:color w:val="auto"/>
          <w:sz w:val="32"/>
          <w:szCs w:val="32"/>
          <w:highlight w:val="none"/>
        </w:rPr>
        <w:t>。</w:t>
      </w:r>
    </w:p>
    <w:p w14:paraId="0E3CBB83">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color w:val="auto"/>
          <w:sz w:val="32"/>
          <w:szCs w:val="32"/>
        </w:rPr>
      </w:pPr>
      <w:r>
        <w:rPr>
          <w:rFonts w:hint="eastAsia" w:ascii="仿宋_GB2312" w:eastAsia="仿宋_GB2312"/>
          <w:color w:val="auto"/>
          <w:sz w:val="32"/>
          <w:szCs w:val="32"/>
          <w:lang w:val="en-US" w:eastAsia="zh-CN"/>
        </w:rPr>
        <w:t>2024</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未</w:t>
      </w:r>
      <w:r>
        <w:rPr>
          <w:rFonts w:hint="eastAsia" w:ascii="仿宋_GB2312" w:eastAsia="仿宋_GB2312"/>
          <w:color w:val="auto"/>
          <w:sz w:val="32"/>
          <w:szCs w:val="32"/>
        </w:rPr>
        <w:t>安排公务用车购置费。</w:t>
      </w:r>
    </w:p>
    <w:p w14:paraId="04E5A2DF">
      <w:pPr>
        <w:spacing w:line="600" w:lineRule="exact"/>
        <w:ind w:firstLine="640" w:firstLineChars="200"/>
        <w:outlineLvl w:val="1"/>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2024</w:t>
      </w:r>
      <w:r>
        <w:rPr>
          <w:rFonts w:hint="eastAsia" w:ascii="仿宋_GB2312" w:eastAsia="仿宋_GB2312"/>
          <w:color w:val="auto"/>
          <w:sz w:val="32"/>
          <w:szCs w:val="32"/>
        </w:rPr>
        <w:t>年安排公务用车运行维护费</w:t>
      </w:r>
      <w:r>
        <w:rPr>
          <w:rFonts w:hint="eastAsia" w:ascii="仿宋_GB2312" w:eastAsia="仿宋_GB2312"/>
          <w:color w:val="auto"/>
          <w:sz w:val="32"/>
          <w:szCs w:val="32"/>
          <w:lang w:val="en-US" w:eastAsia="zh-CN"/>
        </w:rPr>
        <w:t>15.90</w:t>
      </w:r>
      <w:r>
        <w:rPr>
          <w:rFonts w:hint="eastAsia" w:ascii="仿宋_GB2312" w:eastAsia="仿宋_GB2312"/>
          <w:color w:val="auto"/>
          <w:sz w:val="32"/>
          <w:szCs w:val="32"/>
        </w:rPr>
        <w:t>万元，减少</w:t>
      </w:r>
      <w:r>
        <w:rPr>
          <w:rFonts w:hint="eastAsia" w:ascii="仿宋_GB2312" w:eastAsia="仿宋_GB2312"/>
          <w:color w:val="auto"/>
          <w:sz w:val="32"/>
          <w:szCs w:val="32"/>
          <w:lang w:eastAsia="zh-CN"/>
        </w:rPr>
        <w:t>原因：厉行节俭</w:t>
      </w:r>
      <w:r>
        <w:rPr>
          <w:rFonts w:hint="eastAsia" w:ascii="仿宋_GB2312" w:eastAsia="仿宋_GB2312"/>
          <w:color w:val="auto"/>
          <w:sz w:val="32"/>
          <w:szCs w:val="32"/>
        </w:rPr>
        <w:t>。</w:t>
      </w:r>
      <w:r>
        <w:rPr>
          <w:rFonts w:hint="eastAsia" w:ascii="仿宋_GB2312" w:eastAsia="仿宋_GB2312"/>
          <w:color w:val="auto"/>
          <w:sz w:val="32"/>
          <w:szCs w:val="32"/>
          <w:lang w:eastAsia="zh-CN"/>
        </w:rPr>
        <w:t>公务用车日常的运转（加油、维修、保险、洗车等）</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 xml:space="preserve">  </w:t>
      </w:r>
    </w:p>
    <w:p w14:paraId="72AFE301">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color w:val="auto"/>
          <w:sz w:val="32"/>
          <w:szCs w:val="32"/>
        </w:rPr>
      </w:pPr>
      <w:r>
        <w:rPr>
          <w:rFonts w:hint="eastAsia" w:ascii="黑体" w:eastAsia="黑体"/>
          <w:color w:val="auto"/>
          <w:sz w:val="32"/>
          <w:szCs w:val="32"/>
        </w:rPr>
        <w:t>九、其他重要事项的情况说明</w:t>
      </w:r>
    </w:p>
    <w:p w14:paraId="47534C57">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（一）机关运行经费</w:t>
      </w:r>
    </w:p>
    <w:p w14:paraId="69521C8A">
      <w:pPr>
        <w:spacing w:line="600" w:lineRule="exact"/>
        <w:ind w:firstLine="640" w:firstLineChars="200"/>
        <w:outlineLvl w:val="1"/>
        <w:rPr>
          <w:rFonts w:ascii="仿宋_GB2312" w:eastAsia="仿宋_GB2312"/>
          <w:color w:val="auto"/>
          <w:sz w:val="32"/>
          <w:szCs w:val="32"/>
        </w:rPr>
      </w:pPr>
      <w:r>
        <w:rPr>
          <w:rFonts w:hint="eastAsia" w:ascii="仿宋_GB2312" w:eastAsia="仿宋_GB2312"/>
          <w:color w:val="auto"/>
          <w:sz w:val="32"/>
          <w:szCs w:val="32"/>
          <w:lang w:val="en-US" w:eastAsia="zh-CN"/>
        </w:rPr>
        <w:t>2024</w:t>
      </w:r>
      <w:r>
        <w:rPr>
          <w:rFonts w:hint="eastAsia" w:ascii="仿宋_GB2312" w:eastAsia="仿宋_GB2312"/>
          <w:color w:val="auto"/>
          <w:sz w:val="32"/>
          <w:szCs w:val="32"/>
        </w:rPr>
        <w:t>年，峨眉山市退役军人事务局为保障</w:t>
      </w:r>
      <w:r>
        <w:rPr>
          <w:rFonts w:hint="eastAsia" w:ascii="仿宋_GB2312" w:eastAsia="仿宋_GB2312"/>
          <w:color w:val="auto"/>
          <w:sz w:val="32"/>
          <w:szCs w:val="32"/>
          <w:lang w:eastAsia="zh-CN"/>
        </w:rPr>
        <w:t>机关</w:t>
      </w:r>
      <w:r>
        <w:rPr>
          <w:rFonts w:hint="eastAsia" w:ascii="仿宋_GB2312" w:eastAsia="仿宋_GB2312"/>
          <w:color w:val="auto"/>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color w:val="auto"/>
          <w:sz w:val="32"/>
          <w:szCs w:val="32"/>
          <w:lang w:val="en-US" w:eastAsia="zh-CN"/>
        </w:rPr>
        <w:t>215.87</w:t>
      </w:r>
      <w:r>
        <w:rPr>
          <w:rFonts w:hint="eastAsia" w:ascii="仿宋_GB2312" w:eastAsia="仿宋_GB2312"/>
          <w:color w:val="auto"/>
          <w:sz w:val="32"/>
          <w:szCs w:val="32"/>
        </w:rPr>
        <w:t>万元，较上年预算</w:t>
      </w:r>
      <w:r>
        <w:rPr>
          <w:rFonts w:hint="eastAsia" w:ascii="仿宋_GB2312" w:eastAsia="仿宋_GB2312"/>
          <w:color w:val="auto"/>
          <w:sz w:val="32"/>
          <w:szCs w:val="32"/>
          <w:lang w:eastAsia="zh-CN"/>
        </w:rPr>
        <w:t>减少</w:t>
      </w:r>
      <w:r>
        <w:rPr>
          <w:rFonts w:hint="eastAsia" w:ascii="仿宋_GB2312" w:eastAsia="仿宋_GB2312"/>
          <w:color w:val="auto"/>
          <w:sz w:val="32"/>
          <w:szCs w:val="32"/>
          <w:lang w:val="en-US" w:eastAsia="zh-CN"/>
        </w:rPr>
        <w:t>22.02</w:t>
      </w:r>
      <w:r>
        <w:rPr>
          <w:rFonts w:hint="eastAsia" w:ascii="仿宋_GB2312" w:eastAsia="仿宋_GB2312"/>
          <w:color w:val="auto"/>
          <w:sz w:val="32"/>
          <w:szCs w:val="32"/>
        </w:rPr>
        <w:t>万元，</w:t>
      </w:r>
      <w:r>
        <w:rPr>
          <w:rFonts w:hint="eastAsia" w:ascii="仿宋_GB2312" w:eastAsia="仿宋_GB2312"/>
          <w:color w:val="auto"/>
          <w:sz w:val="32"/>
          <w:szCs w:val="32"/>
          <w:lang w:eastAsia="zh-CN"/>
        </w:rPr>
        <w:t>降低</w:t>
      </w:r>
      <w:r>
        <w:rPr>
          <w:rFonts w:hint="eastAsia" w:ascii="仿宋_GB2312" w:eastAsia="仿宋_GB2312"/>
          <w:color w:val="auto"/>
          <w:sz w:val="32"/>
          <w:szCs w:val="32"/>
          <w:lang w:val="en-US" w:eastAsia="zh-CN"/>
        </w:rPr>
        <w:t>9.26</w:t>
      </w:r>
      <w:r>
        <w:rPr>
          <w:rFonts w:hint="eastAsia" w:ascii="仿宋_GB2312" w:eastAsia="仿宋_GB2312"/>
          <w:color w:val="auto"/>
          <w:sz w:val="32"/>
          <w:szCs w:val="32"/>
        </w:rPr>
        <w:t>%。</w:t>
      </w:r>
    </w:p>
    <w:p w14:paraId="1251ADE7">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（二）政府采购情况</w:t>
      </w:r>
    </w:p>
    <w:p w14:paraId="07DC3412">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color w:val="auto"/>
          <w:sz w:val="32"/>
          <w:szCs w:val="32"/>
        </w:rPr>
      </w:pPr>
      <w:r>
        <w:rPr>
          <w:rFonts w:hint="eastAsia" w:ascii="仿宋_GB2312" w:eastAsia="仿宋_GB2312"/>
          <w:color w:val="auto"/>
          <w:sz w:val="32"/>
          <w:szCs w:val="32"/>
          <w:lang w:val="en-US" w:eastAsia="zh-CN"/>
        </w:rPr>
        <w:t>2024</w:t>
      </w:r>
      <w:r>
        <w:rPr>
          <w:rFonts w:hint="eastAsia" w:ascii="仿宋_GB2312" w:eastAsia="仿宋_GB2312"/>
          <w:color w:val="auto"/>
          <w:sz w:val="32"/>
          <w:szCs w:val="32"/>
        </w:rPr>
        <w:t>年，峨眉山市退役军人事务局</w:t>
      </w:r>
      <w:r>
        <w:rPr>
          <w:rFonts w:hint="eastAsia" w:ascii="仿宋_GB2312" w:eastAsia="仿宋_GB2312"/>
          <w:color w:val="auto"/>
          <w:sz w:val="32"/>
          <w:szCs w:val="32"/>
          <w:lang w:eastAsia="zh-CN"/>
        </w:rPr>
        <w:t>未</w:t>
      </w:r>
      <w:r>
        <w:rPr>
          <w:rFonts w:hint="eastAsia" w:ascii="仿宋_GB2312" w:eastAsia="仿宋_GB2312"/>
          <w:color w:val="auto"/>
          <w:sz w:val="32"/>
          <w:szCs w:val="32"/>
        </w:rPr>
        <w:t>安排政府采购预算。</w:t>
      </w:r>
    </w:p>
    <w:p w14:paraId="6090A117">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（三）国有资产占有使用情况</w:t>
      </w:r>
    </w:p>
    <w:p w14:paraId="0A4E6B8A">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color w:val="auto"/>
          <w:sz w:val="32"/>
          <w:szCs w:val="32"/>
        </w:rPr>
      </w:pPr>
      <w:r>
        <w:rPr>
          <w:rFonts w:hint="eastAsia" w:ascii="仿宋_GB2312" w:eastAsia="仿宋_GB2312"/>
          <w:color w:val="auto"/>
          <w:sz w:val="32"/>
          <w:szCs w:val="32"/>
          <w:highlight w:val="none"/>
        </w:rPr>
        <w:t>截至去年底，峨眉山市退役军人事务局实际共有车辆</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其中，</w:t>
      </w:r>
      <w:r>
        <w:rPr>
          <w:rFonts w:hint="eastAsia" w:ascii="仿宋_GB2312" w:eastAsia="仿宋_GB2312"/>
          <w:color w:val="auto"/>
          <w:sz w:val="32"/>
          <w:szCs w:val="32"/>
          <w:highlight w:val="none"/>
        </w:rPr>
        <w:t>峨眉山市退役军人事务局</w:t>
      </w:r>
      <w:r>
        <w:rPr>
          <w:rFonts w:hint="eastAsia" w:ascii="仿宋_GB2312" w:eastAsia="仿宋_GB2312"/>
          <w:color w:val="auto"/>
          <w:sz w:val="32"/>
          <w:szCs w:val="32"/>
          <w:highlight w:val="none"/>
          <w:lang w:eastAsia="zh-CN"/>
        </w:rPr>
        <w:t>本级实有</w:t>
      </w:r>
      <w:r>
        <w:rPr>
          <w:rFonts w:hint="eastAsia" w:ascii="仿宋_GB2312" w:eastAsia="仿宋_GB2312"/>
          <w:color w:val="auto"/>
          <w:sz w:val="32"/>
          <w:szCs w:val="32"/>
          <w:highlight w:val="none"/>
        </w:rPr>
        <w:t>车辆</w:t>
      </w:r>
      <w:r>
        <w:rPr>
          <w:rFonts w:hint="eastAsia" w:ascii="仿宋_GB2312" w:eastAsia="仿宋_GB2312"/>
          <w:color w:val="auto"/>
          <w:sz w:val="32"/>
          <w:szCs w:val="32"/>
          <w:highlight w:val="none"/>
          <w:lang w:val="en-US" w:eastAsia="zh-CN"/>
        </w:rPr>
        <w:t>0辆；</w:t>
      </w:r>
      <w:r>
        <w:rPr>
          <w:rFonts w:hint="eastAsia" w:ascii="仿宋_GB2312" w:eastAsia="仿宋_GB2312"/>
          <w:color w:val="auto"/>
          <w:sz w:val="32"/>
          <w:szCs w:val="32"/>
          <w:highlight w:val="none"/>
        </w:rPr>
        <w:t>峨眉山市军队离退休干部干休所实际共有车辆</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；峨眉山军供站</w:t>
      </w:r>
      <w:r>
        <w:rPr>
          <w:rFonts w:hint="eastAsia" w:ascii="仿宋_GB2312" w:eastAsia="仿宋_GB2312"/>
          <w:color w:val="auto"/>
          <w:sz w:val="32"/>
          <w:szCs w:val="32"/>
          <w:highlight w:val="none"/>
        </w:rPr>
        <w:t>实际共有车辆</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w:t>
      </w:r>
      <w:r>
        <w:rPr>
          <w:rFonts w:hint="eastAsia" w:ascii="仿宋_GB2312" w:eastAsia="仿宋_GB2312"/>
          <w:color w:val="auto"/>
          <w:sz w:val="32"/>
          <w:szCs w:val="32"/>
        </w:rPr>
        <w:br w:type="textWrapping"/>
      </w:r>
      <w:r>
        <w:rPr>
          <w:rFonts w:hint="eastAsia" w:ascii="仿宋_GB2312" w:eastAsia="仿宋_GB2312"/>
          <w:color w:val="auto"/>
          <w:sz w:val="32"/>
          <w:szCs w:val="32"/>
        </w:rPr>
        <w:t>　　</w:t>
      </w:r>
      <w:r>
        <w:rPr>
          <w:rFonts w:hint="eastAsia" w:ascii="仿宋_GB2312" w:eastAsia="仿宋_GB2312"/>
          <w:color w:val="auto"/>
          <w:sz w:val="32"/>
          <w:szCs w:val="32"/>
          <w:lang w:val="en-US" w:eastAsia="zh-CN"/>
        </w:rPr>
        <w:t>2024</w:t>
      </w:r>
      <w:r>
        <w:rPr>
          <w:rFonts w:hint="eastAsia" w:ascii="仿宋_GB2312" w:eastAsia="仿宋_GB2312"/>
          <w:color w:val="auto"/>
          <w:sz w:val="32"/>
          <w:szCs w:val="32"/>
        </w:rPr>
        <w:t>年，预算</w:t>
      </w:r>
      <w:r>
        <w:rPr>
          <w:rFonts w:hint="eastAsia" w:ascii="仿宋_GB2312" w:eastAsia="仿宋_GB2312"/>
          <w:color w:val="auto"/>
          <w:sz w:val="32"/>
          <w:szCs w:val="32"/>
          <w:lang w:eastAsia="zh-CN"/>
        </w:rPr>
        <w:t>未</w:t>
      </w:r>
      <w:r>
        <w:rPr>
          <w:rFonts w:hint="eastAsia" w:ascii="仿宋_GB2312" w:eastAsia="仿宋_GB2312"/>
          <w:color w:val="auto"/>
          <w:sz w:val="32"/>
          <w:szCs w:val="32"/>
        </w:rPr>
        <w:t>安排购置车辆及单位价值200万元以上大型设备。</w:t>
      </w:r>
    </w:p>
    <w:p w14:paraId="74BE77F1">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（四）绩效目标设置情况</w:t>
      </w:r>
    </w:p>
    <w:p w14:paraId="41DC7F24">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color w:val="auto"/>
          <w:sz w:val="32"/>
          <w:szCs w:val="32"/>
        </w:rPr>
      </w:pPr>
      <w:r>
        <w:rPr>
          <w:rFonts w:hint="eastAsia" w:ascii="仿宋_GB2312" w:eastAsia="仿宋_GB2312"/>
          <w:color w:val="auto"/>
          <w:sz w:val="32"/>
          <w:szCs w:val="32"/>
          <w:lang w:val="en-US" w:eastAsia="zh-CN"/>
        </w:rPr>
        <w:t>2024</w:t>
      </w:r>
      <w:r>
        <w:rPr>
          <w:rFonts w:hint="eastAsia" w:ascii="仿宋_GB2312" w:eastAsia="仿宋_GB2312"/>
          <w:color w:val="auto"/>
          <w:sz w:val="32"/>
          <w:szCs w:val="32"/>
        </w:rPr>
        <w:t>年，</w:t>
      </w:r>
      <w:r>
        <w:rPr>
          <w:rFonts w:hint="eastAsia" w:ascii="仿宋_GB2312" w:eastAsia="仿宋_GB2312"/>
          <w:color w:val="auto"/>
          <w:sz w:val="32"/>
          <w:szCs w:val="32"/>
          <w:highlight w:val="none"/>
        </w:rPr>
        <w:t>峨眉山市退役军人事务局</w:t>
      </w:r>
      <w:r>
        <w:rPr>
          <w:rFonts w:hint="eastAsia" w:ascii="仿宋_GB2312" w:eastAsia="仿宋_GB2312"/>
          <w:color w:val="auto"/>
          <w:sz w:val="32"/>
          <w:szCs w:val="32"/>
        </w:rPr>
        <w:t>按要求实行绩效目标管理，</w:t>
      </w:r>
      <w:r>
        <w:rPr>
          <w:rFonts w:hint="eastAsia" w:ascii="仿宋_GB2312" w:eastAsia="仿宋_GB2312"/>
          <w:color w:val="auto"/>
          <w:sz w:val="32"/>
          <w:szCs w:val="32"/>
          <w:lang w:eastAsia="zh-CN"/>
        </w:rPr>
        <w:t>部门</w:t>
      </w:r>
      <w:r>
        <w:rPr>
          <w:rFonts w:hint="eastAsia" w:ascii="仿宋_GB2312" w:eastAsia="仿宋_GB2312"/>
          <w:color w:val="auto"/>
          <w:sz w:val="32"/>
          <w:szCs w:val="32"/>
        </w:rPr>
        <w:t>整体绩效目标涉及预算安排</w:t>
      </w:r>
      <w:r>
        <w:rPr>
          <w:rFonts w:hint="eastAsia" w:ascii="仿宋_GB2312" w:eastAsia="仿宋_GB2312"/>
          <w:color w:val="auto"/>
          <w:sz w:val="32"/>
          <w:szCs w:val="32"/>
          <w:lang w:val="en-US" w:eastAsia="zh-CN"/>
        </w:rPr>
        <w:t>8535.29</w:t>
      </w:r>
      <w:r>
        <w:rPr>
          <w:rFonts w:hint="eastAsia" w:ascii="仿宋_GB2312" w:eastAsia="仿宋_GB2312"/>
          <w:color w:val="auto"/>
          <w:sz w:val="32"/>
          <w:szCs w:val="32"/>
        </w:rPr>
        <w:t>万元，其中基本支出</w:t>
      </w:r>
      <w:r>
        <w:rPr>
          <w:rFonts w:hint="eastAsia" w:ascii="仿宋_GB2312" w:eastAsia="仿宋_GB2312"/>
          <w:color w:val="auto"/>
          <w:sz w:val="32"/>
          <w:szCs w:val="32"/>
          <w:lang w:val="en-US" w:eastAsia="zh-CN"/>
        </w:rPr>
        <w:t>506.44</w:t>
      </w:r>
      <w:r>
        <w:rPr>
          <w:rFonts w:hint="eastAsia" w:ascii="仿宋_GB2312" w:eastAsia="仿宋_GB2312"/>
          <w:color w:val="auto"/>
          <w:sz w:val="32"/>
          <w:szCs w:val="32"/>
        </w:rPr>
        <w:t>万元，项目支出</w:t>
      </w:r>
      <w:r>
        <w:rPr>
          <w:rFonts w:hint="eastAsia" w:ascii="仿宋_GB2312" w:eastAsia="仿宋_GB2312"/>
          <w:color w:val="auto"/>
          <w:sz w:val="32"/>
          <w:szCs w:val="32"/>
          <w:lang w:val="en-US" w:eastAsia="zh-CN"/>
        </w:rPr>
        <w:t>8028.85</w:t>
      </w:r>
      <w:r>
        <w:rPr>
          <w:rFonts w:hint="eastAsia" w:ascii="仿宋_GB2312" w:eastAsia="仿宋_GB2312"/>
          <w:color w:val="auto"/>
          <w:sz w:val="32"/>
          <w:szCs w:val="32"/>
        </w:rPr>
        <w:t>万元。其中编制了项目绩效目标的预算</w:t>
      </w:r>
      <w:r>
        <w:rPr>
          <w:rFonts w:hint="eastAsia" w:ascii="仿宋_GB2312" w:eastAsia="仿宋_GB2312"/>
          <w:color w:val="auto"/>
          <w:sz w:val="32"/>
          <w:szCs w:val="32"/>
          <w:lang w:val="en-US" w:eastAsia="zh-CN"/>
        </w:rPr>
        <w:t>8028.85</w:t>
      </w:r>
      <w:r>
        <w:rPr>
          <w:rFonts w:hint="eastAsia" w:ascii="仿宋_GB2312" w:eastAsia="仿宋_GB2312"/>
          <w:color w:val="auto"/>
          <w:sz w:val="32"/>
          <w:szCs w:val="32"/>
        </w:rPr>
        <w:t>万元，主要为烈士陵园管理经费及活动经费</w:t>
      </w:r>
      <w:r>
        <w:rPr>
          <w:rFonts w:hint="eastAsia" w:ascii="仿宋_GB2312" w:eastAsia="仿宋_GB2312"/>
          <w:color w:val="auto"/>
          <w:sz w:val="32"/>
          <w:szCs w:val="32"/>
          <w:lang w:eastAsia="zh-CN"/>
        </w:rPr>
        <w:t>、双拥工作经费、义务兵优待金、优抚配套经费</w:t>
      </w:r>
      <w:r>
        <w:rPr>
          <w:rFonts w:hint="eastAsia" w:ascii="仿宋_GB2312" w:eastAsia="仿宋_GB2312"/>
          <w:color w:val="auto"/>
          <w:sz w:val="32"/>
          <w:szCs w:val="32"/>
        </w:rPr>
        <w:t>等项目。</w:t>
      </w:r>
    </w:p>
    <w:p w14:paraId="325BD5C7">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color w:val="auto"/>
          <w:sz w:val="32"/>
          <w:szCs w:val="32"/>
        </w:rPr>
      </w:pPr>
      <w:r>
        <w:rPr>
          <w:rFonts w:hint="eastAsia" w:ascii="黑体" w:eastAsia="黑体"/>
          <w:color w:val="auto"/>
          <w:sz w:val="32"/>
          <w:szCs w:val="32"/>
        </w:rPr>
        <w:t>十、名词解释</w:t>
      </w:r>
    </w:p>
    <w:p w14:paraId="6941DA96">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rPr>
        <w:t>1.财政拨款收支情况：指一般公共预算、政府性基金预算、国有资产经营预算拨款收支情况。</w:t>
      </w:r>
    </w:p>
    <w:p w14:paraId="458162A5">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rPr>
        <w:t>2.一般公共预算拨款收入：指本级财政当年拨付的资金。</w:t>
      </w:r>
    </w:p>
    <w:p w14:paraId="20DD3A22">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rPr>
        <w:t>3.其他收入：指除上述“财政拨款收入”“事业收入”“经营收入”等以外的收入。</w:t>
      </w:r>
    </w:p>
    <w:p w14:paraId="0474BAB6">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rPr>
        <w:t>4.社会保障和就业（类）行政事业单位养老支出（款）机关事业单位基本养老保障缴费支出（项），反映单位养老保险缴费支出。</w:t>
      </w:r>
    </w:p>
    <w:p w14:paraId="42CBD72D">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rPr>
        <w:t>5.社会保障和就业支出（类）行政事业单位离退休（款）机关事业单位职业年金缴费支出（项），反映单位职业年金缴费支出。</w:t>
      </w:r>
    </w:p>
    <w:p w14:paraId="312FE231">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rPr>
        <w:t>6.社会保障和就业支出（类）抚恤（款）义务兵优待（项），反映义务兵家属优待金和新入伍大学生奖励金支出。</w:t>
      </w:r>
      <w:r>
        <w:rPr>
          <w:rFonts w:ascii="仿宋_GB2312" w:eastAsia="仿宋_GB2312"/>
          <w:color w:val="auto"/>
          <w:sz w:val="32"/>
          <w:szCs w:val="32"/>
        </w:rPr>
        <w:t xml:space="preserve"> </w:t>
      </w:r>
    </w:p>
    <w:p w14:paraId="53683FE9">
      <w:pPr>
        <w:ind w:firstLine="640" w:firstLineChars="200"/>
        <w:jc w:val="left"/>
        <w:rPr>
          <w:rFonts w:ascii="仿宋_GB2312" w:eastAsia="仿宋_GB2312"/>
          <w:color w:val="auto"/>
          <w:sz w:val="32"/>
          <w:szCs w:val="32"/>
        </w:rPr>
      </w:pPr>
      <w:r>
        <w:rPr>
          <w:rFonts w:hint="eastAsia" w:ascii="仿宋_GB2312" w:eastAsia="仿宋_GB2312"/>
          <w:color w:val="auto"/>
          <w:sz w:val="32"/>
          <w:szCs w:val="32"/>
        </w:rPr>
        <w:t>7.社会保障和就业支出（类）抚恤（款）其他优抚支出（项），反映保障开展在乡复退军人、无军籍职工、退役士兵技能培训等相关优抚对象工作方面的支出。</w:t>
      </w:r>
    </w:p>
    <w:p w14:paraId="3E794FB1">
      <w:pPr>
        <w:ind w:firstLine="640" w:firstLineChars="200"/>
        <w:jc w:val="left"/>
        <w:rPr>
          <w:rFonts w:ascii="仿宋_GB2312" w:eastAsia="仿宋_GB2312"/>
          <w:color w:val="auto"/>
          <w:sz w:val="32"/>
          <w:szCs w:val="32"/>
        </w:rPr>
      </w:pPr>
      <w:r>
        <w:rPr>
          <w:rFonts w:hint="eastAsia" w:ascii="仿宋_GB2312" w:eastAsia="仿宋_GB2312"/>
          <w:color w:val="auto"/>
          <w:sz w:val="32"/>
          <w:szCs w:val="32"/>
        </w:rPr>
        <w:t>8.社会保障和就业支出（类）退役安置（款）退役士兵安置（项），反映退役军人一次性货币安置经费支出。</w:t>
      </w:r>
    </w:p>
    <w:p w14:paraId="0F5441DE">
      <w:pPr>
        <w:ind w:firstLine="640" w:firstLineChars="200"/>
        <w:jc w:val="left"/>
        <w:rPr>
          <w:rFonts w:ascii="仿宋_GB2312" w:eastAsia="仿宋_GB2312"/>
          <w:color w:val="auto"/>
          <w:sz w:val="32"/>
          <w:szCs w:val="32"/>
        </w:rPr>
      </w:pPr>
      <w:r>
        <w:rPr>
          <w:rFonts w:hint="eastAsia" w:ascii="仿宋_GB2312" w:eastAsia="仿宋_GB2312"/>
          <w:color w:val="auto"/>
          <w:sz w:val="32"/>
          <w:szCs w:val="32"/>
        </w:rPr>
        <w:t>9.社会保障和就业支出（类）退役安置（款）军队移交政府离退休干部管理机构（项），反映军休干部“两个待遇”和服务管理工作方面支出。</w:t>
      </w:r>
    </w:p>
    <w:p w14:paraId="4330F8FC">
      <w:pPr>
        <w:ind w:firstLine="640" w:firstLineChars="200"/>
        <w:jc w:val="left"/>
        <w:rPr>
          <w:rFonts w:ascii="仿宋_GB2312" w:eastAsia="仿宋_GB2312"/>
          <w:color w:val="auto"/>
          <w:sz w:val="32"/>
          <w:szCs w:val="32"/>
        </w:rPr>
      </w:pPr>
      <w:r>
        <w:rPr>
          <w:rFonts w:hint="eastAsia" w:ascii="仿宋_GB2312" w:eastAsia="仿宋_GB2312"/>
          <w:color w:val="auto"/>
          <w:sz w:val="32"/>
          <w:szCs w:val="32"/>
        </w:rPr>
        <w:t>10.社会保障和就业支出（类）退役安置（款）军队转业干部安置（项），反映补充医疗、门诊补助、丧葬补助、退休生活困难补助、未退休人员全年工资保险等方面支出。</w:t>
      </w:r>
    </w:p>
    <w:p w14:paraId="6B629858">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11.社会保障和就业支出（类）退役军人管理事务（款）行政运行（项），反映市退役军人局机关职工基本工资、津贴补贴等人员经费以及办公费、印刷费、电费、伙食补助费、工会费等日常公用经费支出。</w:t>
      </w:r>
    </w:p>
    <w:p w14:paraId="4BA9C49A">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12.社会保障和就业支出（类）退役军人管理事务（款）一般行政管理事务（项），反映乡镇人文关怀经费、应急指挥视频综合应用平台建设经费支出。</w:t>
      </w:r>
    </w:p>
    <w:p w14:paraId="1ABFDE29">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13.社会保障和就业支出（类）退役军人管理事务（款）拥军优属（项），反映开展地方拥军优属军队拥政爱民宣传活动、双拥氛围营造及创建专项工作支出。</w:t>
      </w:r>
    </w:p>
    <w:p w14:paraId="4A58EAB2">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14.社会保障和就业支出（类）退役军人管理事务（款）部队供应（项），反映军事供应保障任务经费支出。</w:t>
      </w:r>
    </w:p>
    <w:p w14:paraId="3C6CC146">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15.社会保障和就业支出（类）退役军人管理事务（款）事业运行（项），反映市退役军人服务中心职工基本工资、津贴补贴（或绩效工资）等人员经费以及办公费、印刷费、差旅费等日常公用经费支出。</w:t>
      </w:r>
    </w:p>
    <w:p w14:paraId="31F00C11">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16.社会保障和就业支出（类）退役军人管理事务（款）其他退役军人事务管理支出（项），反映优抚对象临时生活困难补助、烈士亲属异地扫墓经费支出。</w:t>
      </w:r>
    </w:p>
    <w:p w14:paraId="7537382E">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17.社会保障和就业支出（类）其他社会保障和就业支出（款）其他社会保障和就业支出（项），反映单位职工工伤保险支出。</w:t>
      </w:r>
    </w:p>
    <w:p w14:paraId="66111F94">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18.卫生健康支出（类）行政事业单位医疗（款）行政单位医疗（项），反映行政单位职工医疗保险缴费支出。</w:t>
      </w:r>
    </w:p>
    <w:p w14:paraId="5BA33B4F">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19.卫生健康支出（类）行政事业单位医疗（款）事业单位医疗（项），反映事业单位职工医疗保险缴费支出。</w:t>
      </w:r>
    </w:p>
    <w:p w14:paraId="04ECFBA8">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20.卫生健康支出（类）优抚对象医疗（款）其他优抚对象医疗支出（项），反映自主择业军转干部医疗保险缴费支出。</w:t>
      </w:r>
    </w:p>
    <w:p w14:paraId="6E02560A">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21.住房保障支出（类）住房改革支出（款）住房公积金（项），反映部门按人力资源和社会保障部、财政部规定的基本工资和津贴补贴以及规定比例为职工缴纳的住房公积金支出。</w:t>
      </w:r>
    </w:p>
    <w:p w14:paraId="02413988">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lang w:val="en-US" w:eastAsia="zh-CN"/>
        </w:rPr>
        <w:t>22</w:t>
      </w:r>
      <w:r>
        <w:rPr>
          <w:rFonts w:hint="eastAsia" w:ascii="仿宋_GB2312" w:eastAsia="仿宋_GB2312"/>
          <w:color w:val="auto"/>
          <w:sz w:val="32"/>
          <w:szCs w:val="32"/>
        </w:rPr>
        <w:t>.社会保障和就业支出（类）退役安置（款）军队移交政府离退休干部管理机构（项）</w:t>
      </w:r>
      <w:r>
        <w:rPr>
          <w:rFonts w:hint="eastAsia" w:ascii="仿宋_GB2312" w:eastAsia="仿宋_GB2312"/>
          <w:color w:val="auto"/>
          <w:sz w:val="32"/>
          <w:szCs w:val="32"/>
          <w:lang w:eastAsia="zh-CN"/>
        </w:rPr>
        <w:t>反映单位正常运行所需</w:t>
      </w:r>
      <w:r>
        <w:rPr>
          <w:rFonts w:hint="eastAsia" w:ascii="仿宋_GB2312" w:eastAsia="仿宋_GB2312"/>
          <w:color w:val="auto"/>
          <w:sz w:val="32"/>
          <w:szCs w:val="32"/>
        </w:rPr>
        <w:t>职工基本工资、津贴补贴</w:t>
      </w:r>
      <w:r>
        <w:rPr>
          <w:rFonts w:hint="eastAsia" w:ascii="仿宋_GB2312" w:eastAsia="仿宋_GB2312"/>
          <w:color w:val="auto"/>
          <w:sz w:val="32"/>
          <w:szCs w:val="32"/>
          <w:lang w:eastAsia="zh-CN"/>
        </w:rPr>
        <w:t>、绩效工资</w:t>
      </w:r>
      <w:r>
        <w:rPr>
          <w:rFonts w:hint="eastAsia" w:ascii="仿宋_GB2312" w:eastAsia="仿宋_GB2312"/>
          <w:color w:val="auto"/>
          <w:sz w:val="32"/>
          <w:szCs w:val="32"/>
        </w:rPr>
        <w:t>等人员经费。</w:t>
      </w:r>
    </w:p>
    <w:p w14:paraId="0DEF76E5">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lang w:val="en-US" w:eastAsia="zh-CN"/>
        </w:rPr>
        <w:t>23</w:t>
      </w:r>
      <w:r>
        <w:rPr>
          <w:rFonts w:hint="eastAsia" w:ascii="仿宋_GB2312" w:eastAsia="仿宋_GB2312"/>
          <w:color w:val="auto"/>
          <w:sz w:val="32"/>
          <w:szCs w:val="32"/>
        </w:rPr>
        <w:t>.社会保障和就业支出（类）</w:t>
      </w:r>
      <w:r>
        <w:rPr>
          <w:rFonts w:hint="eastAsia" w:ascii="仿宋_GB2312" w:eastAsia="仿宋_GB2312"/>
          <w:color w:val="auto"/>
          <w:sz w:val="32"/>
          <w:szCs w:val="32"/>
          <w:lang w:eastAsia="zh-CN"/>
        </w:rPr>
        <w:t>退役军人管理事务</w:t>
      </w:r>
      <w:r>
        <w:rPr>
          <w:rFonts w:hint="eastAsia" w:ascii="仿宋_GB2312" w:eastAsia="仿宋_GB2312"/>
          <w:color w:val="auto"/>
          <w:sz w:val="32"/>
          <w:szCs w:val="32"/>
        </w:rPr>
        <w:t>（款）</w:t>
      </w:r>
      <w:r>
        <w:rPr>
          <w:rFonts w:hint="eastAsia" w:ascii="仿宋_GB2312" w:eastAsia="仿宋_GB2312"/>
          <w:color w:val="auto"/>
          <w:sz w:val="32"/>
          <w:szCs w:val="32"/>
          <w:lang w:eastAsia="zh-CN"/>
        </w:rPr>
        <w:t>部队供应</w:t>
      </w:r>
      <w:r>
        <w:rPr>
          <w:rFonts w:hint="eastAsia" w:ascii="仿宋_GB2312" w:eastAsia="仿宋_GB2312"/>
          <w:color w:val="auto"/>
          <w:sz w:val="32"/>
          <w:szCs w:val="32"/>
        </w:rPr>
        <w:t>（项）</w:t>
      </w:r>
      <w:r>
        <w:rPr>
          <w:rFonts w:hint="eastAsia" w:ascii="仿宋_GB2312" w:eastAsia="仿宋_GB2312"/>
          <w:color w:val="auto"/>
          <w:sz w:val="32"/>
          <w:szCs w:val="32"/>
          <w:lang w:eastAsia="zh-CN"/>
        </w:rPr>
        <w:t>反映单位正常运行所需</w:t>
      </w:r>
      <w:r>
        <w:rPr>
          <w:rFonts w:hint="eastAsia" w:ascii="仿宋_GB2312" w:eastAsia="仿宋_GB2312"/>
          <w:color w:val="auto"/>
          <w:sz w:val="32"/>
          <w:szCs w:val="32"/>
        </w:rPr>
        <w:t>职工基本工资、津贴补贴</w:t>
      </w:r>
      <w:r>
        <w:rPr>
          <w:rFonts w:hint="eastAsia" w:ascii="仿宋_GB2312" w:eastAsia="仿宋_GB2312"/>
          <w:color w:val="auto"/>
          <w:sz w:val="32"/>
          <w:szCs w:val="32"/>
          <w:lang w:eastAsia="zh-CN"/>
        </w:rPr>
        <w:t>、绩效工资</w:t>
      </w:r>
      <w:r>
        <w:rPr>
          <w:rFonts w:hint="eastAsia" w:ascii="仿宋_GB2312" w:eastAsia="仿宋_GB2312"/>
          <w:color w:val="auto"/>
          <w:sz w:val="32"/>
          <w:szCs w:val="32"/>
        </w:rPr>
        <w:t>等人员经费。</w:t>
      </w:r>
    </w:p>
    <w:p w14:paraId="7EA628E3">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.基本支出：指为保障机构正常运转、完成日常工作任务而发生的人员支出和公用支出。</w:t>
      </w:r>
    </w:p>
    <w:p w14:paraId="40620066">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.项目支出：指在基本支出之外为完成特定行政任务和事业发展目标所发生的支出。</w:t>
      </w:r>
    </w:p>
    <w:p w14:paraId="2A420C7C">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30334C24">
      <w:pPr>
        <w:keepNext w:val="0"/>
        <w:keepLines w:val="0"/>
        <w:pageBreakBefore w:val="0"/>
        <w:widowControl w:val="0"/>
        <w:kinsoku/>
        <w:wordWrap/>
        <w:overflowPunct/>
        <w:topLinePunct w:val="0"/>
        <w:bidi w:val="0"/>
        <w:snapToGrid/>
        <w:spacing w:line="600" w:lineRule="exact"/>
        <w:textAlignment w:val="auto"/>
        <w:outlineLvl w:val="1"/>
        <w:rPr>
          <w:color w:val="auto"/>
        </w:rPr>
      </w:pPr>
    </w:p>
    <w:sectPr>
      <w:footerReference r:id="rId5" w:type="default"/>
      <w:footerReference r:id="rId6" w:type="even"/>
      <w:pgSz w:w="11906" w:h="16838"/>
      <w:pgMar w:top="2041" w:right="1468" w:bottom="1587" w:left="1468"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6BAF5">
    <w:pPr>
      <w:pStyle w:val="4"/>
      <w:wordWrap w:val="0"/>
      <w:jc w:val="right"/>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BE751">
    <w:pPr>
      <w:pStyle w:val="4"/>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379A1">
    <w:pPr>
      <w:pStyle w:val="4"/>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0AF36">
    <w:pPr>
      <w:pStyle w:val="4"/>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DB56F"/>
    <w:multiLevelType w:val="singleLevel"/>
    <w:tmpl w:val="17EDB56F"/>
    <w:lvl w:ilvl="0" w:tentative="0">
      <w:start w:val="1"/>
      <w:numFmt w:val="chineseCounting"/>
      <w:suff w:val="nothing"/>
      <w:lvlText w:val="（%1）"/>
      <w:lvlJc w:val="left"/>
      <w:rPr>
        <w:rFonts w:hint="eastAsia"/>
      </w:rPr>
    </w:lvl>
  </w:abstractNum>
  <w:abstractNum w:abstractNumId="1">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1D92054"/>
    <w:rsid w:val="06281475"/>
    <w:rsid w:val="066D6077"/>
    <w:rsid w:val="07D15448"/>
    <w:rsid w:val="08BA7F31"/>
    <w:rsid w:val="15D35DF5"/>
    <w:rsid w:val="21D6157A"/>
    <w:rsid w:val="270B2E60"/>
    <w:rsid w:val="276557C3"/>
    <w:rsid w:val="2ED21556"/>
    <w:rsid w:val="36DD628E"/>
    <w:rsid w:val="3C21458C"/>
    <w:rsid w:val="3C4D0ADB"/>
    <w:rsid w:val="3C6F5A34"/>
    <w:rsid w:val="3EE741B8"/>
    <w:rsid w:val="3F3D2EDD"/>
    <w:rsid w:val="40C8289D"/>
    <w:rsid w:val="45205EC1"/>
    <w:rsid w:val="46C53364"/>
    <w:rsid w:val="472A5D26"/>
    <w:rsid w:val="48134D91"/>
    <w:rsid w:val="493C20A5"/>
    <w:rsid w:val="49DF285C"/>
    <w:rsid w:val="4DEE5E92"/>
    <w:rsid w:val="50041FB8"/>
    <w:rsid w:val="50D258ED"/>
    <w:rsid w:val="585D4886"/>
    <w:rsid w:val="590E638B"/>
    <w:rsid w:val="67D2734F"/>
    <w:rsid w:val="6FD95933"/>
    <w:rsid w:val="70E15499"/>
    <w:rsid w:val="745F682E"/>
    <w:rsid w:val="7697339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rPr>
      <w:rFonts w:hint="eastAsi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0"/>
    <w:pPr>
      <w:spacing w:before="240" w:after="60"/>
      <w:jc w:val="center"/>
      <w:outlineLvl w:val="0"/>
    </w:pPr>
    <w:rPr>
      <w:rFonts w:ascii="Arial" w:hAnsi="Arial" w:cs="Arial"/>
      <w:b/>
      <w:bCs/>
      <w:sz w:val="32"/>
      <w:szCs w:val="32"/>
    </w:rPr>
  </w:style>
  <w:style w:type="paragraph" w:customStyle="1" w:styleId="9">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0">
    <w:name w:val="WPSOffice手动目录 1"/>
    <w:qFormat/>
    <w:uiPriority w:val="0"/>
    <w:pPr>
      <w:ind w:leftChars="0"/>
    </w:pPr>
    <w:rPr>
      <w:rFonts w:ascii="Times New Roman" w:hAnsi="Times New Roman" w:eastAsia="宋体" w:cs="Times New Roman"/>
      <w:sz w:val="20"/>
      <w:szCs w:val="20"/>
    </w:rPr>
  </w:style>
  <w:style w:type="paragraph" w:customStyle="1" w:styleId="1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15</Pages>
  <Words>5732</Words>
  <Characters>6171</Characters>
  <Lines>20</Lines>
  <Paragraphs>5</Paragraphs>
  <TotalTime>295</TotalTime>
  <ScaleCrop>false</ScaleCrop>
  <LinksUpToDate>false</LinksUpToDate>
  <CharactersWithSpaces>6257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林二娃</cp:lastModifiedBy>
  <cp:lastPrinted>2024-03-07T08:44:00Z</cp:lastPrinted>
  <dcterms:modified xsi:type="dcterms:W3CDTF">2025-05-27T03:31:49Z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FD26B012EC2047EF9BBFD45479BA6981</vt:lpwstr>
  </property>
  <property fmtid="{D5CDD505-2E9C-101B-9397-08002B2CF9AE}" pid="4" name="KSOTemplateDocerSaveRecord">
    <vt:lpwstr>eyJoZGlkIjoiMDUxODc3ODM0YWIyNjA3ZGJjNDdhOGU4ZDM2YjFkNmUiLCJ1c2VySWQiOiIzNDIxMjQ1NjcifQ==</vt:lpwstr>
  </property>
</Properties>
</file>