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峨眉山市财政局（机关）</w:t>
      </w:r>
      <w:r>
        <w:rPr>
          <w:rFonts w:ascii="方正小标宋简体" w:eastAsia="方正小标宋简体"/>
          <w:sz w:val="44"/>
          <w:szCs w:val="44"/>
        </w:rPr>
        <w:br w:type="textWrapping"/>
      </w:r>
      <w:r>
        <w:rPr>
          <w:rFonts w:hint="eastAsia" w:ascii="方正小标宋简体" w:eastAsia="方正小标宋简体"/>
          <w:sz w:val="44"/>
          <w:szCs w:val="44"/>
          <w:lang w:eastAsia="zh-CN"/>
        </w:rPr>
        <w:t>2024</w:t>
      </w:r>
      <w:r>
        <w:rPr>
          <w:rFonts w:hint="eastAsia" w:ascii="方正小标宋简体" w:eastAsia="方正小标宋简体"/>
          <w:sz w:val="44"/>
          <w:szCs w:val="44"/>
        </w:rPr>
        <w:t>年预算编制的说明</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按照预算管理有关规定，目前</w:t>
      </w:r>
      <w:r>
        <w:rPr>
          <w:rFonts w:hint="eastAsia" w:ascii="仿宋_GB2312" w:eastAsia="仿宋_GB2312"/>
          <w:sz w:val="32"/>
          <w:szCs w:val="32"/>
          <w:lang w:eastAsia="zh-CN"/>
        </w:rPr>
        <w:t>部门及单位</w:t>
      </w:r>
      <w:r>
        <w:rPr>
          <w:rFonts w:hint="eastAsia" w:ascii="仿宋_GB2312" w:eastAsia="仿宋_GB2312"/>
          <w:sz w:val="32"/>
          <w:szCs w:val="32"/>
        </w:rPr>
        <w:t>预算编制实行综合预算制度，即全部收入和支出都反映在预算中。</w:t>
      </w:r>
    </w:p>
    <w:p>
      <w:pPr>
        <w:spacing w:line="600" w:lineRule="exact"/>
        <w:ind w:firstLine="640" w:firstLineChars="200"/>
        <w:outlineLvl w:val="1"/>
        <w:rPr>
          <w:rFonts w:ascii="黑体" w:eastAsia="黑体"/>
          <w:sz w:val="32"/>
          <w:szCs w:val="32"/>
        </w:rPr>
      </w:pPr>
      <w:r>
        <w:rPr>
          <w:rFonts w:hint="eastAsia" w:ascii="黑体" w:eastAsia="黑体"/>
          <w:sz w:val="32"/>
          <w:szCs w:val="32"/>
        </w:rPr>
        <w:t>一、基本职能及主要工作</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（一）主要职能</w:t>
      </w:r>
    </w:p>
    <w:p>
      <w:pPr>
        <w:pageBreakBefore w:val="0"/>
        <w:widowControl w:val="0"/>
        <w:kinsoku/>
        <w:wordWrap/>
        <w:overflowPunct/>
        <w:topLinePunct w:val="0"/>
        <w:bidi w:val="0"/>
        <w:snapToGrid/>
        <w:spacing w:line="240" w:lineRule="auto"/>
        <w:ind w:firstLine="640" w:firstLineChars="200"/>
        <w:textAlignment w:val="auto"/>
        <w:rPr>
          <w:rFonts w:ascii="仿宋_GB2312" w:eastAsia="仿宋_GB2312"/>
          <w:sz w:val="32"/>
          <w:szCs w:val="32"/>
        </w:rPr>
      </w:pPr>
      <w:r>
        <w:rPr>
          <w:rFonts w:hint="eastAsia" w:ascii="Times New Roman" w:hAnsi="Times New Roman" w:eastAsia="仿宋_GB2312"/>
          <w:sz w:val="32"/>
          <w:szCs w:val="32"/>
        </w:rPr>
        <w:t>市</w:t>
      </w:r>
      <w:r>
        <w:rPr>
          <w:rFonts w:hint="eastAsia" w:ascii="Times New Roman" w:hAnsi="Times New Roman" w:eastAsia="仿宋_GB2312"/>
          <w:sz w:val="32"/>
          <w:szCs w:val="32"/>
          <w:lang w:eastAsia="zh-CN"/>
        </w:rPr>
        <w:t>财政局机关</w:t>
      </w:r>
      <w:r>
        <w:rPr>
          <w:rFonts w:hint="eastAsia" w:ascii="Times New Roman" w:hAnsi="Times New Roman" w:eastAsia="仿宋_GB2312"/>
          <w:sz w:val="32"/>
          <w:szCs w:val="32"/>
        </w:rPr>
        <w:t>基本职能为贯彻执行国家、省</w:t>
      </w:r>
      <w:r>
        <w:rPr>
          <w:rFonts w:hint="eastAsia" w:ascii="Times New Roman" w:hAnsi="Times New Roman" w:eastAsia="仿宋_GB2312"/>
          <w:sz w:val="32"/>
          <w:szCs w:val="32"/>
          <w:lang w:eastAsia="zh-CN"/>
        </w:rPr>
        <w:t>、市</w:t>
      </w:r>
      <w:r>
        <w:rPr>
          <w:rFonts w:hint="eastAsia" w:ascii="Times New Roman" w:hAnsi="Times New Roman" w:eastAsia="仿宋_GB2312"/>
          <w:sz w:val="32"/>
          <w:szCs w:val="32"/>
        </w:rPr>
        <w:t>财税方面的方针、政策和法律、法规，按照管理权限管理全市税政事项，拟订全市财税（含财政、预算、税收、非税收入、财务、会计、国有资产等）发展战略、规划、政策和改革方案并组织实施，分析预测宏观经济形势，参与制定各项宏观经济政策。承担各项财政收支管理的责任，按规定开展国库现金管理工作。负责制定政府采购制度，监督管理全市政府采购工作。组织实施企业财务制度。负责管理政府债务，防范财政风险。负责管理全市的会计工作，组织和管理全市财政业务培训，监督和规范会计行为，协助指导和管理社会审计。依法查处违反财经法纪的行为。</w:t>
      </w:r>
    </w:p>
    <w:p>
      <w:pPr>
        <w:pageBreakBefore w:val="0"/>
        <w:widowControl w:val="0"/>
        <w:kinsoku/>
        <w:wordWrap/>
        <w:overflowPunct/>
        <w:topLinePunct w:val="0"/>
        <w:bidi w:val="0"/>
        <w:snapToGrid/>
        <w:spacing w:line="240" w:lineRule="auto"/>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（二）</w:t>
      </w:r>
      <w:r>
        <w:rPr>
          <w:rFonts w:hint="eastAsia" w:ascii="Times New Roman" w:hAnsi="Times New Roman" w:eastAsia="仿宋_GB2312"/>
          <w:sz w:val="32"/>
          <w:szCs w:val="32"/>
          <w:lang w:val="en-US" w:eastAsia="zh-CN"/>
        </w:rPr>
        <w:t>2024</w:t>
      </w:r>
      <w:r>
        <w:rPr>
          <w:rFonts w:hint="eastAsia" w:ascii="Times New Roman" w:hAnsi="Times New Roman" w:eastAsia="仿宋_GB2312"/>
          <w:sz w:val="32"/>
          <w:szCs w:val="32"/>
        </w:rPr>
        <w:t>年重点工作任务</w:t>
      </w:r>
    </w:p>
    <w:p>
      <w:pPr>
        <w:spacing w:line="60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1.努力增收节支。一是</w:t>
      </w:r>
      <w:r>
        <w:rPr>
          <w:rFonts w:hint="eastAsia" w:ascii="仿宋_GB2312" w:hAnsi="Times New Roman" w:eastAsia="仿宋_GB2312" w:cs="Times New Roman"/>
          <w:sz w:val="32"/>
          <w:szCs w:val="32"/>
          <w:lang w:eastAsia="zh-CN"/>
        </w:rPr>
        <w:t>坚持以组织收入为中心，保障现金均衡入库为重点，</w:t>
      </w:r>
      <w:r>
        <w:rPr>
          <w:rFonts w:hint="eastAsia" w:ascii="仿宋_GB2312" w:hAnsi="Times New Roman" w:eastAsia="仿宋_GB2312" w:cs="Times New Roman"/>
          <w:sz w:val="32"/>
          <w:szCs w:val="32"/>
          <w:lang w:val="en-US" w:eastAsia="zh-CN"/>
        </w:rPr>
        <w:t>通过</w:t>
      </w:r>
      <w:r>
        <w:rPr>
          <w:rFonts w:hint="eastAsia" w:ascii="仿宋_GB2312" w:hAnsi="Times New Roman" w:eastAsia="仿宋_GB2312" w:cs="Times New Roman"/>
          <w:sz w:val="32"/>
          <w:szCs w:val="32"/>
        </w:rPr>
        <w:t>加强税源监控管理</w:t>
      </w:r>
      <w:r>
        <w:rPr>
          <w:rFonts w:hint="eastAsia" w:ascii="仿宋_GB2312" w:hAnsi="Times New Roman" w:eastAsia="仿宋_GB2312" w:cs="Times New Roman"/>
          <w:sz w:val="32"/>
          <w:szCs w:val="32"/>
          <w:lang w:eastAsia="zh-CN"/>
        </w:rPr>
        <w:t>，全面加强</w:t>
      </w:r>
      <w:r>
        <w:rPr>
          <w:rFonts w:hint="eastAsia" w:ascii="仿宋_GB2312" w:hAnsi="Times New Roman" w:eastAsia="仿宋_GB2312" w:cs="Times New Roman"/>
          <w:sz w:val="32"/>
          <w:szCs w:val="32"/>
          <w:lang w:val="en-US" w:eastAsia="zh-CN"/>
        </w:rPr>
        <w:t>税收征管工作，实现税收收入“应收尽收”；全面加强非税征缴，实现非税“颗粒归仓”。二是</w:t>
      </w:r>
      <w:r>
        <w:rPr>
          <w:rFonts w:hint="eastAsia" w:ascii="仿宋_GB2312" w:hAnsi="Times New Roman" w:eastAsia="仿宋_GB2312" w:cs="Times New Roman"/>
          <w:sz w:val="32"/>
          <w:szCs w:val="32"/>
        </w:rPr>
        <w:t>落实党政机关坚持过“紧日子”的要求，严禁无预算、超预算支出。严控一般性支出</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加大存量资金盘活力度，加强暂付款项管理，确保预算收支平衡。</w:t>
      </w:r>
      <w:r>
        <w:rPr>
          <w:rFonts w:hint="eastAsia" w:ascii="仿宋_GB2312" w:hAnsi="Times New Roman" w:eastAsia="仿宋_GB2312" w:cs="Times New Roman"/>
          <w:sz w:val="32"/>
          <w:szCs w:val="32"/>
          <w:lang w:eastAsia="zh-CN"/>
        </w:rPr>
        <w:t>三是加强项目经费预算审核。</w:t>
      </w:r>
      <w:r>
        <w:rPr>
          <w:rFonts w:hint="eastAsia" w:ascii="仿宋_GB2312" w:hAnsi="Times New Roman" w:eastAsia="仿宋_GB2312" w:cs="Times New Roman"/>
          <w:sz w:val="32"/>
          <w:szCs w:val="32"/>
          <w:lang w:val="en-US" w:eastAsia="zh-CN"/>
        </w:rPr>
        <w:t>从资金申请准确性、真实性、合理性、合法性上全面加强审核，确保财力集中用于市委、市政府确定的中心工作任务上来。四是加强财政评审。将预算评审工作前置到设计环节，以节约财政资金为目标，对项目设计提出合理化修改建议，从源头上控制项目资金预算。</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2.加大向上争取资金力度。积极争取中、省项目资金。</w:t>
      </w:r>
      <w:r>
        <w:rPr>
          <w:rFonts w:hint="eastAsia" w:ascii="仿宋_GB2312" w:hAnsi="Times New Roman" w:eastAsia="仿宋_GB2312" w:cs="Times New Roman"/>
          <w:sz w:val="32"/>
          <w:szCs w:val="32"/>
        </w:rPr>
        <w:t>大力争取均衡性转移支付资金、乡村振兴</w:t>
      </w:r>
      <w:r>
        <w:rPr>
          <w:rFonts w:hint="eastAsia" w:ascii="仿宋_GB2312" w:hAnsi="Times New Roman" w:eastAsia="仿宋_GB2312" w:cs="Times New Roman"/>
          <w:sz w:val="32"/>
          <w:szCs w:val="32"/>
          <w:lang w:eastAsia="zh-CN"/>
        </w:rPr>
        <w:t>资金以及</w:t>
      </w:r>
      <w:r>
        <w:rPr>
          <w:rFonts w:hint="eastAsia" w:ascii="仿宋_GB2312" w:hAnsi="Times New Roman" w:eastAsia="仿宋_GB2312" w:cs="Times New Roman"/>
          <w:sz w:val="32"/>
          <w:szCs w:val="32"/>
        </w:rPr>
        <w:t>环保</w:t>
      </w:r>
      <w:r>
        <w:rPr>
          <w:rFonts w:hint="eastAsia" w:ascii="仿宋_GB2312" w:hAnsi="Times New Roman" w:eastAsia="仿宋_GB2312" w:cs="Times New Roman"/>
          <w:sz w:val="32"/>
          <w:szCs w:val="32"/>
          <w:lang w:eastAsia="zh-CN"/>
        </w:rPr>
        <w:t>、交通、市政基础设施</w:t>
      </w:r>
      <w:r>
        <w:rPr>
          <w:rFonts w:hint="eastAsia" w:ascii="仿宋_GB2312" w:hAnsi="Times New Roman" w:eastAsia="仿宋_GB2312" w:cs="Times New Roman"/>
          <w:sz w:val="32"/>
          <w:szCs w:val="32"/>
        </w:rPr>
        <w:t>领域上级补助资金</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积极开展专项债券项目储备，会同发改等部门筹划包装、生成2024年新增专项债券项目，在债务风险指标可控的前提下，争取更多的债券资金支持地方经济建设。</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科学调度库款，确保财政平稳运行。积极统筹财政资源，优化支出结构，集中财力保障市委、市政府重点项目支出。一是牢固树立底线思维，全面落实中央、省保障范围和标准确定的“三保”责任，坚决兜牢三保底线。二是统筹各类资金，保持有序调度，明确“三保”等刚性支出在财政支出中的优先顺序，坚持把每一分钱都用在刀刃上、紧要处。三是全力保障教育、卫生、社保、乡村振兴等重点领域支出，确保重点考核任务、基本民生资金、民生实事资金足额拨付到位。</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全力防范化解地方政府债务风险。一是始终树立风险意识和底线思维，2024年政府债务规模严格控制在经批准的政府债务限额之内。二是妥善化解存量债务。积极盘活各类资源资产，统筹调度资金，按时足额保障政府债务还本付息，依法依规有序化解存量债务。三是坚决遏制新增隐性债务。严守不通过企事业单位举债、企事业单位举借</w:t>
      </w:r>
      <w:bookmarkStart w:id="3" w:name="_GoBack"/>
      <w:bookmarkEnd w:id="3"/>
      <w:r>
        <w:rPr>
          <w:rFonts w:hint="eastAsia" w:ascii="仿宋_GB2312" w:hAnsi="Times New Roman" w:eastAsia="仿宋_GB2312" w:cs="Times New Roman"/>
          <w:sz w:val="32"/>
          <w:szCs w:val="32"/>
          <w:lang w:val="en-US" w:eastAsia="zh-CN"/>
        </w:rPr>
        <w:t>的债务不推给政府偿还、财政不违规调用国企资金三条“铁律”，确保隐债只减不增。</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5.持续加强预算绩效管理。一是建立健全绩效约束机制，将绩效管理责任纳入部门主要负责人履职内容，对重大项目实行绩效终身责任追究制；完善绩效评价结果公开机制，强化部门主体责任意识，严格项目前期规划论证评估，健全项目管理制度，高效有序组织项目实施。二是充分利用绩效评价结果。推进预算绩效结果与预算安排挂钩机制，将绩效评价结果作为预算编制、加强预算管理和完善政策实施的重要依据。三是抓好绩效评价发现问题整改。严格实施项目全生命周期绩效管理，采取“清单制+责任制”强化绩效管理问题整改，责令单位限时整改落实，合理规范使用资金，切实做到“花钱必问效、无效必问责”，确保财政资源高效配置。</w:t>
      </w:r>
    </w:p>
    <w:p>
      <w:pPr>
        <w:spacing w:line="60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6.深入推进全面从严治党。一是坚持以严的基调强化正风肃纪，严格执行中央八项规定和省、市有关规定，加强教育培训，使干部职工自觉树立反腐倡廉意识，同时增强担当本领，推动全局党员干部真抓实干。二是严肃财经纪律，加强财会监督。继续对标财经法规制度，完善财会监督工作机制，加大重点领域财会监督力度，定期开展财会监督专项行动，规范财经秩序，促进内部监管职能有效履行。三是强化工作纪律约束。对标市委、市政府各项工作部署，以全面落实工作部署为目标，科学合理安排2024年财政工作，全力为市委、市政府工作部署做好资金保障。</w:t>
      </w:r>
    </w:p>
    <w:p>
      <w:pPr>
        <w:spacing w:line="600" w:lineRule="exact"/>
        <w:ind w:firstLine="640" w:firstLineChars="200"/>
        <w:outlineLvl w:val="1"/>
        <w:rPr>
          <w:rFonts w:ascii="黑体" w:eastAsia="黑体"/>
          <w:sz w:val="32"/>
          <w:szCs w:val="32"/>
        </w:rPr>
      </w:pPr>
      <w:r>
        <w:rPr>
          <w:rFonts w:hint="eastAsia" w:ascii="黑体" w:eastAsia="黑体"/>
          <w:sz w:val="32"/>
          <w:szCs w:val="32"/>
        </w:rPr>
        <w:t>二、收支预算总体情况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按照综合预算的原则，</w:t>
      </w: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rPr>
        <w:t>所有收入和支出均纳入预算管理。</w:t>
      </w: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rPr>
        <w:t>收入预算总额为</w:t>
      </w:r>
      <w:r>
        <w:rPr>
          <w:rFonts w:hint="eastAsia" w:ascii="仿宋_GB2312" w:eastAsia="仿宋_GB2312"/>
          <w:sz w:val="32"/>
          <w:szCs w:val="32"/>
          <w:lang w:val="en-US" w:eastAsia="zh-CN"/>
        </w:rPr>
        <w:t>1795.23</w:t>
      </w:r>
      <w:r>
        <w:rPr>
          <w:rFonts w:hint="eastAsia" w:ascii="仿宋_GB2312" w:eastAsia="仿宋_GB2312"/>
          <w:sz w:val="32"/>
          <w:szCs w:val="32"/>
        </w:rPr>
        <w:t>万元，较上年预算数减少</w:t>
      </w:r>
      <w:r>
        <w:rPr>
          <w:rFonts w:hint="eastAsia" w:ascii="仿宋_GB2312" w:eastAsia="仿宋_GB2312"/>
          <w:sz w:val="32"/>
          <w:szCs w:val="32"/>
          <w:lang w:val="en-US" w:eastAsia="zh-CN"/>
        </w:rPr>
        <w:t>427.5</w:t>
      </w:r>
      <w:r>
        <w:rPr>
          <w:rFonts w:hint="eastAsia" w:ascii="仿宋_GB2312" w:eastAsia="仿宋_GB2312"/>
          <w:sz w:val="32"/>
          <w:szCs w:val="32"/>
        </w:rPr>
        <w:t>万元。其中：当年财政拨款收</w:t>
      </w:r>
      <w:r>
        <w:rPr>
          <w:rFonts w:hint="eastAsia" w:ascii="仿宋_GB2312" w:eastAsia="仿宋_GB2312"/>
          <w:sz w:val="32"/>
          <w:szCs w:val="32"/>
          <w:lang w:eastAsia="zh-CN"/>
        </w:rPr>
        <w:t>入</w:t>
      </w:r>
      <w:r>
        <w:rPr>
          <w:rFonts w:hint="eastAsia" w:ascii="仿宋_GB2312" w:eastAsia="仿宋_GB2312"/>
          <w:sz w:val="32"/>
          <w:szCs w:val="32"/>
          <w:lang w:val="en-US" w:eastAsia="zh-CN"/>
        </w:rPr>
        <w:t>1795.23</w:t>
      </w:r>
      <w:r>
        <w:rPr>
          <w:rFonts w:hint="eastAsia" w:ascii="仿宋_GB2312" w:eastAsia="仿宋_GB2312"/>
          <w:sz w:val="32"/>
          <w:szCs w:val="32"/>
        </w:rPr>
        <w:t>万元，事业收入</w:t>
      </w:r>
      <w:r>
        <w:rPr>
          <w:rFonts w:hint="eastAsia" w:ascii="仿宋_GB2312" w:eastAsia="仿宋_GB2312"/>
          <w:sz w:val="32"/>
          <w:szCs w:val="32"/>
          <w:lang w:val="en-US" w:eastAsia="zh-CN"/>
        </w:rPr>
        <w:t>0</w:t>
      </w:r>
      <w:r>
        <w:rPr>
          <w:rFonts w:hint="eastAsia" w:ascii="仿宋_GB2312" w:eastAsia="仿宋_GB2312"/>
          <w:sz w:val="32"/>
          <w:szCs w:val="32"/>
        </w:rPr>
        <w:t>万元，其他收入</w:t>
      </w:r>
      <w:r>
        <w:rPr>
          <w:rFonts w:hint="eastAsia" w:ascii="仿宋_GB2312" w:eastAsia="仿宋_GB2312"/>
          <w:sz w:val="32"/>
          <w:szCs w:val="32"/>
          <w:lang w:val="en-US" w:eastAsia="zh-CN"/>
        </w:rPr>
        <w:t>0</w:t>
      </w:r>
      <w:r>
        <w:rPr>
          <w:rFonts w:hint="eastAsia" w:ascii="仿宋_GB2312" w:eastAsia="仿宋_GB2312"/>
          <w:sz w:val="32"/>
          <w:szCs w:val="32"/>
        </w:rPr>
        <w:t>万元。相应安排支出预算</w:t>
      </w:r>
      <w:r>
        <w:rPr>
          <w:rFonts w:hint="eastAsia" w:ascii="仿宋_GB2312" w:eastAsia="仿宋_GB2312"/>
          <w:sz w:val="32"/>
          <w:szCs w:val="32"/>
          <w:lang w:val="en-US" w:eastAsia="zh-CN"/>
        </w:rPr>
        <w:t>1795.23</w:t>
      </w:r>
      <w:r>
        <w:rPr>
          <w:rFonts w:hint="eastAsia" w:ascii="仿宋_GB2312" w:eastAsia="仿宋_GB2312"/>
          <w:sz w:val="32"/>
          <w:szCs w:val="32"/>
        </w:rPr>
        <w:t>万元，其中：人员支出</w:t>
      </w:r>
      <w:r>
        <w:rPr>
          <w:rFonts w:hint="eastAsia" w:ascii="仿宋_GB2312" w:eastAsia="仿宋_GB2312"/>
          <w:sz w:val="32"/>
          <w:szCs w:val="32"/>
          <w:lang w:val="en-US" w:eastAsia="zh-CN"/>
        </w:rPr>
        <w:t>855.29</w:t>
      </w:r>
      <w:r>
        <w:rPr>
          <w:rFonts w:hint="eastAsia" w:ascii="仿宋_GB2312" w:eastAsia="仿宋_GB2312"/>
          <w:sz w:val="32"/>
          <w:szCs w:val="32"/>
        </w:rPr>
        <w:t>万元，日常公用支出</w:t>
      </w:r>
      <w:r>
        <w:rPr>
          <w:rFonts w:hint="eastAsia" w:ascii="仿宋_GB2312" w:eastAsia="仿宋_GB2312"/>
          <w:sz w:val="32"/>
          <w:szCs w:val="32"/>
          <w:lang w:val="en-US" w:eastAsia="zh-CN"/>
        </w:rPr>
        <w:t>166.27</w:t>
      </w:r>
      <w:r>
        <w:rPr>
          <w:rFonts w:hint="eastAsia" w:ascii="仿宋_GB2312" w:eastAsia="仿宋_GB2312"/>
          <w:sz w:val="32"/>
          <w:szCs w:val="32"/>
        </w:rPr>
        <w:t>万元，对个人和家庭的补助支出</w:t>
      </w:r>
      <w:r>
        <w:rPr>
          <w:rFonts w:hint="eastAsia" w:ascii="仿宋_GB2312" w:eastAsia="仿宋_GB2312"/>
          <w:sz w:val="32"/>
          <w:szCs w:val="32"/>
          <w:lang w:val="en-US" w:eastAsia="zh-CN"/>
        </w:rPr>
        <w:t>6.82</w:t>
      </w:r>
      <w:r>
        <w:rPr>
          <w:rFonts w:hint="eastAsia" w:ascii="仿宋_GB2312" w:eastAsia="仿宋_GB2312"/>
          <w:sz w:val="32"/>
          <w:szCs w:val="32"/>
        </w:rPr>
        <w:t>万元，专项支出</w:t>
      </w:r>
      <w:r>
        <w:rPr>
          <w:rFonts w:hint="eastAsia" w:ascii="仿宋_GB2312" w:eastAsia="仿宋_GB2312"/>
          <w:sz w:val="32"/>
          <w:szCs w:val="32"/>
          <w:lang w:val="en-US" w:eastAsia="zh-CN"/>
        </w:rPr>
        <w:t>766.85</w:t>
      </w:r>
      <w:r>
        <w:rPr>
          <w:rFonts w:hint="eastAsia" w:ascii="仿宋_GB2312" w:eastAsia="仿宋_GB2312"/>
          <w:sz w:val="32"/>
          <w:szCs w:val="32"/>
        </w:rPr>
        <w:t>万元。</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三</w:t>
      </w:r>
      <w:r>
        <w:rPr>
          <w:rFonts w:hint="eastAsia" w:ascii="黑体" w:eastAsia="黑体"/>
          <w:sz w:val="32"/>
          <w:szCs w:val="32"/>
        </w:rPr>
        <w:t>、财政拨款支出预算安排情况</w:t>
      </w:r>
    </w:p>
    <w:p>
      <w:pPr>
        <w:spacing w:line="600" w:lineRule="exact"/>
        <w:ind w:firstLine="640" w:firstLineChars="200"/>
        <w:rPr>
          <w:rFonts w:ascii="仿宋_GB2312" w:eastAsia="仿宋_GB2312"/>
          <w:sz w:val="32"/>
          <w:szCs w:val="32"/>
        </w:rPr>
      </w:pP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lang w:val="en-US" w:eastAsia="zh-CN"/>
        </w:rPr>
        <w:t>2024</w:t>
      </w:r>
      <w:r>
        <w:rPr>
          <w:rFonts w:hint="eastAsia" w:ascii="仿宋_GB2312" w:eastAsia="仿宋_GB2312"/>
          <w:sz w:val="32"/>
          <w:szCs w:val="32"/>
        </w:rPr>
        <w:t>年财政拨款收支总预算</w:t>
      </w:r>
      <w:r>
        <w:rPr>
          <w:rFonts w:hint="eastAsia" w:ascii="仿宋_GB2312" w:eastAsia="仿宋_GB2312"/>
          <w:sz w:val="32"/>
          <w:szCs w:val="32"/>
          <w:lang w:val="en-US" w:eastAsia="zh-CN"/>
        </w:rPr>
        <w:t>1795.23</w:t>
      </w:r>
      <w:r>
        <w:rPr>
          <w:rFonts w:hint="eastAsia" w:ascii="仿宋_GB2312" w:eastAsia="仿宋_GB2312"/>
          <w:sz w:val="32"/>
          <w:szCs w:val="32"/>
        </w:rPr>
        <w:t>万元，主要用于保障</w:t>
      </w: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rPr>
        <w:t>机构正常运转、完成日常工作任务以及承担财政事业发展相关工作。其中：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w:t>
      </w:r>
      <w:r>
        <w:rPr>
          <w:rFonts w:hint="eastAsia" w:ascii="仿宋_GB2312" w:eastAsia="仿宋_GB2312"/>
          <w:sz w:val="32"/>
          <w:szCs w:val="32"/>
          <w:lang w:val="en-US" w:eastAsia="zh-CN"/>
        </w:rPr>
        <w:t>1028.38</w:t>
      </w:r>
      <w:r>
        <w:rPr>
          <w:rFonts w:hint="eastAsia" w:ascii="仿宋_GB2312" w:eastAsia="仿宋_GB2312"/>
          <w:sz w:val="32"/>
          <w:szCs w:val="32"/>
        </w:rPr>
        <w:t>万元，是用于保障</w:t>
      </w: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rPr>
        <w:t>正常运转的日常支出，包括基本工资、津贴补贴等人员经费以及办公费、印刷费、水电费、办公设备购置等日常公用经费。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w:t>
      </w:r>
      <w:r>
        <w:rPr>
          <w:rFonts w:hint="eastAsia" w:ascii="仿宋_GB2312" w:eastAsia="仿宋_GB2312"/>
          <w:sz w:val="32"/>
          <w:szCs w:val="32"/>
          <w:lang w:val="en-US" w:eastAsia="zh-CN"/>
        </w:rPr>
        <w:t>766.85</w:t>
      </w:r>
      <w:r>
        <w:rPr>
          <w:rFonts w:hint="eastAsia" w:ascii="仿宋_GB2312" w:eastAsia="仿宋_GB2312"/>
          <w:sz w:val="32"/>
          <w:szCs w:val="32"/>
        </w:rPr>
        <w:t>万元，是用于保障</w:t>
      </w: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rPr>
        <w:t>为完成特定的行政工作任务或事业发展目标，用于专项业务工作的经费支出。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四</w:t>
      </w:r>
      <w:r>
        <w:rPr>
          <w:rFonts w:hint="eastAsia" w:ascii="黑体" w:eastAsia="黑体"/>
          <w:sz w:val="32"/>
          <w:szCs w:val="32"/>
        </w:rPr>
        <w:t>、一般公共预算当年拨款情况说明</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（一）一般公共预算当年拨款规模及变化情况</w:t>
      </w:r>
    </w:p>
    <w:p>
      <w:pPr>
        <w:spacing w:line="600" w:lineRule="exact"/>
        <w:ind w:firstLine="640" w:firstLineChars="200"/>
        <w:rPr>
          <w:rFonts w:ascii="仿宋_GB2312" w:eastAsia="仿宋_GB2312"/>
          <w:sz w:val="32"/>
          <w:szCs w:val="32"/>
        </w:rPr>
      </w:pPr>
      <w:r>
        <w:rPr>
          <w:rFonts w:hint="eastAsia" w:ascii="仿宋_GB2312" w:hAnsi="Times New Roman" w:eastAsia="仿宋_GB2312"/>
          <w:sz w:val="32"/>
          <w:szCs w:val="32"/>
        </w:rPr>
        <w:t>峨眉山市</w:t>
      </w:r>
      <w:r>
        <w:rPr>
          <w:rFonts w:hint="eastAsia" w:ascii="仿宋_GB2312" w:hAnsi="Times New Roman" w:eastAsia="仿宋_GB2312"/>
          <w:sz w:val="32"/>
          <w:szCs w:val="32"/>
          <w:lang w:eastAsia="zh-CN"/>
        </w:rPr>
        <w:t>财政局机关</w:t>
      </w:r>
      <w:r>
        <w:rPr>
          <w:rFonts w:hint="eastAsia" w:ascii="仿宋_GB2312" w:eastAsia="仿宋_GB2312"/>
          <w:sz w:val="32"/>
          <w:szCs w:val="32"/>
          <w:lang w:val="en-US" w:eastAsia="zh-CN"/>
        </w:rPr>
        <w:t>2024</w:t>
      </w:r>
      <w:r>
        <w:rPr>
          <w:rFonts w:hint="eastAsia" w:ascii="仿宋_GB2312" w:eastAsia="仿宋_GB2312"/>
          <w:sz w:val="32"/>
          <w:szCs w:val="32"/>
        </w:rPr>
        <w:t>年一般公共预算当年拨款</w:t>
      </w:r>
      <w:r>
        <w:rPr>
          <w:rFonts w:hint="eastAsia" w:ascii="仿宋_GB2312" w:eastAsia="仿宋_GB2312"/>
          <w:sz w:val="32"/>
          <w:szCs w:val="32"/>
          <w:lang w:val="en-US" w:eastAsia="zh-CN"/>
        </w:rPr>
        <w:t>1795.23</w:t>
      </w:r>
      <w:r>
        <w:rPr>
          <w:rFonts w:hint="eastAsia" w:ascii="仿宋_GB2312" w:eastAsia="仿宋_GB2312"/>
          <w:sz w:val="32"/>
          <w:szCs w:val="32"/>
        </w:rPr>
        <w:t>万元，较上年预算数减少</w:t>
      </w:r>
      <w:r>
        <w:rPr>
          <w:rFonts w:hint="eastAsia" w:ascii="仿宋_GB2312" w:eastAsia="仿宋_GB2312"/>
          <w:sz w:val="32"/>
          <w:szCs w:val="32"/>
          <w:lang w:val="en-US" w:eastAsia="zh-CN"/>
        </w:rPr>
        <w:t>396.9</w:t>
      </w:r>
      <w:r>
        <w:rPr>
          <w:rFonts w:hint="eastAsia" w:ascii="仿宋_GB2312" w:eastAsia="仿宋_GB2312"/>
          <w:sz w:val="32"/>
          <w:szCs w:val="32"/>
        </w:rPr>
        <w:t>万元。主要原因是</w:t>
      </w:r>
      <w:r>
        <w:rPr>
          <w:rFonts w:hint="eastAsia" w:ascii="仿宋_GB2312" w:eastAsia="仿宋_GB2312"/>
          <w:sz w:val="32"/>
          <w:szCs w:val="32"/>
          <w:lang w:eastAsia="zh-CN"/>
        </w:rPr>
        <w:t>厉行节约，减少项目支出</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一般公共服务支出</w:t>
      </w:r>
      <w:r>
        <w:rPr>
          <w:rFonts w:hint="eastAsia" w:ascii="仿宋_GB2312" w:eastAsia="仿宋_GB2312"/>
          <w:sz w:val="32"/>
          <w:szCs w:val="32"/>
          <w:lang w:val="en-US" w:eastAsia="zh-CN"/>
        </w:rPr>
        <w:t>1539.79</w:t>
      </w:r>
      <w:r>
        <w:rPr>
          <w:rFonts w:hint="eastAsia" w:ascii="仿宋_GB2312" w:eastAsia="仿宋_GB2312"/>
          <w:sz w:val="32"/>
          <w:szCs w:val="32"/>
        </w:rPr>
        <w:t>万元，占</w:t>
      </w:r>
      <w:r>
        <w:rPr>
          <w:rFonts w:hint="eastAsia" w:ascii="仿宋_GB2312" w:eastAsia="仿宋_GB2312"/>
          <w:sz w:val="32"/>
          <w:szCs w:val="32"/>
          <w:lang w:val="en-US" w:eastAsia="zh-CN"/>
        </w:rPr>
        <w:t>85.77</w:t>
      </w:r>
      <w:r>
        <w:rPr>
          <w:rFonts w:hint="eastAsia" w:ascii="仿宋_GB2312" w:eastAsia="仿宋_GB2312"/>
          <w:sz w:val="32"/>
          <w:szCs w:val="32"/>
        </w:rPr>
        <w:t>%；社会保障和就业支出</w:t>
      </w:r>
      <w:r>
        <w:rPr>
          <w:rFonts w:hint="eastAsia" w:ascii="仿宋_GB2312" w:eastAsia="仿宋_GB2312"/>
          <w:sz w:val="32"/>
          <w:szCs w:val="32"/>
          <w:lang w:val="en-US" w:eastAsia="zh-CN"/>
        </w:rPr>
        <w:t>139.99</w:t>
      </w:r>
      <w:r>
        <w:rPr>
          <w:rFonts w:hint="eastAsia" w:ascii="仿宋_GB2312" w:eastAsia="仿宋_GB2312"/>
          <w:sz w:val="32"/>
          <w:szCs w:val="32"/>
        </w:rPr>
        <w:t>万元，占</w:t>
      </w:r>
      <w:r>
        <w:rPr>
          <w:rFonts w:hint="eastAsia" w:ascii="仿宋_GB2312" w:eastAsia="仿宋_GB2312"/>
          <w:sz w:val="32"/>
          <w:szCs w:val="32"/>
          <w:lang w:val="en-US" w:eastAsia="zh-CN"/>
        </w:rPr>
        <w:t>7.80</w:t>
      </w:r>
      <w:r>
        <w:rPr>
          <w:rFonts w:hint="eastAsia" w:ascii="仿宋_GB2312" w:eastAsia="仿宋_GB2312"/>
          <w:sz w:val="32"/>
          <w:szCs w:val="32"/>
        </w:rPr>
        <w:t>%；卫生健康支出</w:t>
      </w:r>
      <w:r>
        <w:rPr>
          <w:rFonts w:hint="eastAsia" w:ascii="仿宋_GB2312" w:eastAsia="仿宋_GB2312"/>
          <w:sz w:val="32"/>
          <w:szCs w:val="32"/>
          <w:lang w:val="en-US" w:eastAsia="zh-CN"/>
        </w:rPr>
        <w:t>35.35</w:t>
      </w:r>
      <w:r>
        <w:rPr>
          <w:rFonts w:hint="eastAsia" w:ascii="仿宋_GB2312" w:eastAsia="仿宋_GB2312"/>
          <w:sz w:val="32"/>
          <w:szCs w:val="32"/>
        </w:rPr>
        <w:t>万元，占</w:t>
      </w:r>
      <w:r>
        <w:rPr>
          <w:rFonts w:hint="eastAsia" w:ascii="仿宋_GB2312" w:eastAsia="仿宋_GB2312"/>
          <w:sz w:val="32"/>
          <w:szCs w:val="32"/>
          <w:lang w:val="en-US" w:eastAsia="zh-CN"/>
        </w:rPr>
        <w:t>1.97</w:t>
      </w:r>
      <w:r>
        <w:rPr>
          <w:rFonts w:ascii="仿宋_GB2312" w:eastAsia="仿宋_GB2312"/>
          <w:sz w:val="32"/>
          <w:szCs w:val="32"/>
        </w:rPr>
        <w:t>%</w:t>
      </w:r>
      <w:r>
        <w:rPr>
          <w:rFonts w:hint="eastAsia" w:ascii="仿宋_GB2312" w:eastAsia="仿宋_GB2312"/>
          <w:sz w:val="32"/>
          <w:szCs w:val="32"/>
        </w:rPr>
        <w:t>；住房保障支出</w:t>
      </w:r>
      <w:r>
        <w:rPr>
          <w:rFonts w:hint="eastAsia" w:ascii="仿宋_GB2312" w:eastAsia="仿宋_GB2312"/>
          <w:sz w:val="32"/>
          <w:szCs w:val="32"/>
          <w:lang w:val="en-US" w:eastAsia="zh-CN"/>
        </w:rPr>
        <w:t>80.1</w:t>
      </w:r>
      <w:r>
        <w:rPr>
          <w:rFonts w:hint="eastAsia" w:ascii="仿宋_GB2312" w:eastAsia="仿宋_GB2312"/>
          <w:sz w:val="32"/>
          <w:szCs w:val="32"/>
        </w:rPr>
        <w:t>万元，占</w:t>
      </w:r>
      <w:r>
        <w:rPr>
          <w:rFonts w:hint="eastAsia" w:ascii="仿宋_GB2312" w:eastAsia="仿宋_GB2312"/>
          <w:sz w:val="32"/>
          <w:szCs w:val="32"/>
          <w:lang w:val="en-US" w:eastAsia="zh-CN"/>
        </w:rPr>
        <w:t>4.46</w:t>
      </w:r>
      <w:r>
        <w:rPr>
          <w:rFonts w:ascii="仿宋_GB2312" w:eastAsia="仿宋_GB2312"/>
          <w:sz w:val="32"/>
          <w:szCs w:val="32"/>
        </w:rPr>
        <w:t>%</w:t>
      </w:r>
      <w:r>
        <w:rPr>
          <w:rFonts w:hint="eastAsia" w:ascii="仿宋_GB2312" w:eastAsia="仿宋_GB2312"/>
          <w:sz w:val="32"/>
          <w:szCs w:val="32"/>
        </w:rPr>
        <w:t>。</w:t>
      </w:r>
    </w:p>
    <w:p>
      <w:pPr>
        <w:spacing w:line="60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pageBreakBefore w:val="0"/>
        <w:widowControl w:val="0"/>
        <w:kinsoku/>
        <w:wordWrap/>
        <w:overflowPunct/>
        <w:topLinePunct w:val="0"/>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1.一般公共服务</w:t>
      </w:r>
      <w:r>
        <w:rPr>
          <w:rFonts w:hint="eastAsia" w:ascii="仿宋_GB2312" w:eastAsia="仿宋_GB2312"/>
          <w:sz w:val="32"/>
          <w:szCs w:val="32"/>
          <w:lang w:eastAsia="zh-CN"/>
        </w:rPr>
        <w:t>：</w:t>
      </w:r>
      <w:r>
        <w:rPr>
          <w:rFonts w:hint="eastAsia" w:ascii="仿宋_GB2312" w:eastAsia="仿宋_GB2312"/>
          <w:sz w:val="32"/>
          <w:szCs w:val="32"/>
        </w:rPr>
        <w:t>（类）一般公共服务支出（款）财政事务（项）行政运行/一般行政管理事务，</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1539.79</w:t>
      </w:r>
      <w:r>
        <w:rPr>
          <w:rFonts w:hint="eastAsia" w:ascii="仿宋_GB2312" w:eastAsia="仿宋_GB2312"/>
          <w:sz w:val="32"/>
          <w:szCs w:val="32"/>
        </w:rPr>
        <w:t>万元，主要用于机关人员工资、日常运转以及为完成特定行政工作任务和事业发展目标而安排的年度项目支出。主要包括：行政运行、一般行政管理事务、财政</w:t>
      </w:r>
      <w:r>
        <w:rPr>
          <w:rFonts w:hint="eastAsia" w:ascii="仿宋_GB2312" w:eastAsia="仿宋_GB2312"/>
          <w:sz w:val="32"/>
          <w:szCs w:val="32"/>
          <w:lang w:eastAsia="zh-CN"/>
        </w:rPr>
        <w:t>专项</w:t>
      </w:r>
      <w:r>
        <w:rPr>
          <w:rFonts w:hint="eastAsia" w:ascii="仿宋_GB2312" w:eastAsia="仿宋_GB2312"/>
          <w:sz w:val="32"/>
          <w:szCs w:val="32"/>
        </w:rPr>
        <w:t>业务等。</w:t>
      </w:r>
      <w:r>
        <w:rPr>
          <w:rFonts w:ascii="仿宋_GB2312" w:eastAsia="仿宋_GB2312"/>
          <w:sz w:val="32"/>
          <w:szCs w:val="32"/>
        </w:rPr>
        <w:t xml:space="preserve">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2.社会保障和就业</w:t>
      </w:r>
      <w:r>
        <w:rPr>
          <w:rFonts w:hint="eastAsia" w:ascii="仿宋_GB2312" w:eastAsia="仿宋_GB2312"/>
          <w:sz w:val="32"/>
          <w:szCs w:val="32"/>
          <w:lang w:eastAsia="zh-CN"/>
        </w:rPr>
        <w:t>：</w:t>
      </w:r>
      <w:r>
        <w:rPr>
          <w:rFonts w:hint="eastAsia" w:ascii="仿宋_GB2312" w:eastAsia="仿宋_GB2312"/>
          <w:sz w:val="32"/>
          <w:szCs w:val="32"/>
        </w:rPr>
        <w:t>（类）社会保障和就业支出（款）行政事业单位养老支出（项）机关事业单位基本养老保险缴费支出</w:t>
      </w:r>
      <w:r>
        <w:rPr>
          <w:rFonts w:ascii="仿宋_GB2312" w:eastAsia="仿宋_GB2312"/>
          <w:sz w:val="32"/>
          <w:szCs w:val="32"/>
        </w:rPr>
        <w:t>/</w:t>
      </w:r>
      <w:r>
        <w:rPr>
          <w:rFonts w:hint="eastAsia" w:ascii="仿宋_GB2312" w:eastAsia="仿宋_GB2312"/>
          <w:sz w:val="32"/>
          <w:szCs w:val="32"/>
        </w:rPr>
        <w:t>职业年金缴费支出，社会保障和就业（类）社会保障和就业支出（款）抚恤（项）其他优抚支出，社会保障和就业（类）社会保障和就业支出（款）其他社会保障和就业支出（项）其他社会保障和就业支出，</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139.99</w:t>
      </w:r>
      <w:r>
        <w:rPr>
          <w:rFonts w:hint="eastAsia" w:ascii="仿宋_GB2312" w:eastAsia="仿宋_GB2312"/>
          <w:sz w:val="32"/>
          <w:szCs w:val="32"/>
        </w:rPr>
        <w:t>万元，主要用于：机关在职人员养老保险、职业年金及遗属补助等支出。</w:t>
      </w:r>
    </w:p>
    <w:p>
      <w:pPr>
        <w:pageBreakBefore w:val="0"/>
        <w:widowControl w:val="0"/>
        <w:kinsoku/>
        <w:wordWrap/>
        <w:overflowPunct/>
        <w:topLinePunct w:val="0"/>
        <w:bidi w:val="0"/>
        <w:snapToGrid/>
        <w:spacing w:line="240" w:lineRule="auto"/>
        <w:ind w:firstLine="640" w:firstLineChars="200"/>
        <w:textAlignment w:val="auto"/>
        <w:rPr>
          <w:rFonts w:ascii="仿宋_GB2312" w:eastAsia="仿宋_GB2312"/>
          <w:sz w:val="32"/>
          <w:szCs w:val="32"/>
        </w:rPr>
      </w:pPr>
      <w:r>
        <w:rPr>
          <w:rFonts w:hint="eastAsia" w:ascii="仿宋_GB2312" w:eastAsia="仿宋_GB2312"/>
          <w:sz w:val="32"/>
          <w:szCs w:val="32"/>
        </w:rPr>
        <w:t>3.卫生健康</w:t>
      </w:r>
      <w:r>
        <w:rPr>
          <w:rFonts w:hint="eastAsia" w:ascii="仿宋_GB2312" w:eastAsia="仿宋_GB2312"/>
          <w:sz w:val="32"/>
          <w:szCs w:val="32"/>
          <w:lang w:eastAsia="zh-CN"/>
        </w:rPr>
        <w:t>：</w:t>
      </w:r>
      <w:r>
        <w:rPr>
          <w:rFonts w:hint="eastAsia" w:ascii="仿宋_GB2312" w:eastAsia="仿宋_GB2312"/>
          <w:sz w:val="32"/>
          <w:szCs w:val="32"/>
        </w:rPr>
        <w:t>（</w:t>
      </w:r>
      <w:r>
        <w:rPr>
          <w:rFonts w:hint="eastAsia" w:eastAsia="仿宋_GB2312"/>
          <w:sz w:val="32"/>
          <w:szCs w:val="32"/>
        </w:rPr>
        <w:t>类</w:t>
      </w:r>
      <w:r>
        <w:rPr>
          <w:rFonts w:hint="eastAsia" w:ascii="仿宋_GB2312" w:eastAsia="仿宋_GB2312"/>
          <w:sz w:val="32"/>
          <w:szCs w:val="32"/>
        </w:rPr>
        <w:t>）卫生健康支出（款）行政事业单位医疗（项）行政单位医疗，</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35.35</w:t>
      </w:r>
      <w:r>
        <w:rPr>
          <w:rFonts w:hint="eastAsia" w:ascii="仿宋_GB2312" w:eastAsia="仿宋_GB2312"/>
          <w:sz w:val="32"/>
          <w:szCs w:val="32"/>
        </w:rPr>
        <w:t>万元，主要用于：机关按照规定标准为职工缴纳的基本医疗保险等支出。</w:t>
      </w:r>
    </w:p>
    <w:p>
      <w:pPr>
        <w:pageBreakBefore w:val="0"/>
        <w:widowControl w:val="0"/>
        <w:kinsoku/>
        <w:wordWrap/>
        <w:overflowPunct/>
        <w:topLinePunct w:val="0"/>
        <w:bidi w:val="0"/>
        <w:snapToGrid/>
        <w:spacing w:line="240" w:lineRule="auto"/>
        <w:ind w:firstLine="640" w:firstLineChars="200"/>
        <w:textAlignment w:val="auto"/>
        <w:rPr>
          <w:rFonts w:ascii="仿宋_GB2312" w:eastAsia="仿宋_GB2312"/>
          <w:color w:val="FF0000"/>
          <w:sz w:val="32"/>
          <w:szCs w:val="32"/>
        </w:rPr>
      </w:pPr>
      <w:r>
        <w:rPr>
          <w:rFonts w:hint="eastAsia" w:ascii="仿宋_GB2312" w:eastAsia="仿宋_GB2312"/>
          <w:sz w:val="32"/>
          <w:szCs w:val="32"/>
        </w:rPr>
        <w:t>4.住房保障</w:t>
      </w:r>
      <w:r>
        <w:rPr>
          <w:rFonts w:hint="eastAsia" w:ascii="仿宋_GB2312" w:eastAsia="仿宋_GB2312"/>
          <w:sz w:val="32"/>
          <w:szCs w:val="32"/>
          <w:lang w:eastAsia="zh-CN"/>
        </w:rPr>
        <w:t>：</w:t>
      </w:r>
      <w:r>
        <w:rPr>
          <w:rFonts w:hint="eastAsia" w:ascii="仿宋_GB2312" w:eastAsia="仿宋_GB2312"/>
          <w:sz w:val="32"/>
          <w:szCs w:val="32"/>
        </w:rPr>
        <w:t>（类）住房保障支出（款）住房改革支出（项）住房公积金，</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年预算数为</w:t>
      </w:r>
      <w:r>
        <w:rPr>
          <w:rFonts w:hint="eastAsia" w:ascii="仿宋_GB2312" w:eastAsia="仿宋_GB2312"/>
          <w:sz w:val="32"/>
          <w:szCs w:val="32"/>
          <w:lang w:val="en-US" w:eastAsia="zh-CN"/>
        </w:rPr>
        <w:t>80.1</w:t>
      </w:r>
      <w:r>
        <w:rPr>
          <w:rFonts w:hint="eastAsia" w:ascii="仿宋_GB2312" w:eastAsia="仿宋_GB2312"/>
          <w:sz w:val="32"/>
          <w:szCs w:val="32"/>
        </w:rPr>
        <w:t>万元，主要用于：</w:t>
      </w:r>
      <w:r>
        <w:rPr>
          <w:rFonts w:hint="eastAsia" w:ascii="仿宋_GB2312" w:eastAsia="仿宋_GB2312"/>
          <w:sz w:val="32"/>
          <w:szCs w:val="32"/>
          <w:lang w:val="en-US" w:eastAsia="zh-CN"/>
        </w:rPr>
        <w:t>机关</w:t>
      </w:r>
      <w:r>
        <w:rPr>
          <w:rFonts w:hint="eastAsia" w:ascii="仿宋_GB2312" w:eastAsia="仿宋_GB2312"/>
          <w:sz w:val="32"/>
          <w:szCs w:val="32"/>
        </w:rPr>
        <w:t>按人力资源和社会保障部、财政部规定的基本工资和津贴补贴以及规定比例为职工缴纳的住房公积金支出。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五</w:t>
      </w:r>
      <w:r>
        <w:rPr>
          <w:rFonts w:hint="eastAsia" w:ascii="黑体" w:eastAsia="黑体"/>
          <w:sz w:val="32"/>
          <w:szCs w:val="32"/>
        </w:rPr>
        <w:t>、一般公共预算基本支出情况说明</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峨眉山市</w:t>
      </w:r>
      <w:r>
        <w:rPr>
          <w:rFonts w:hint="eastAsia" w:ascii="仿宋_GB2312" w:eastAsia="仿宋_GB2312"/>
          <w:sz w:val="32"/>
          <w:szCs w:val="32"/>
          <w:lang w:eastAsia="zh-CN"/>
        </w:rPr>
        <w:t>财政局机关</w:t>
      </w:r>
      <w:r>
        <w:rPr>
          <w:rFonts w:hint="eastAsia" w:ascii="仿宋_GB2312" w:eastAsia="仿宋_GB2312"/>
          <w:sz w:val="32"/>
          <w:szCs w:val="32"/>
          <w:lang w:val="en-US" w:eastAsia="zh-CN"/>
        </w:rPr>
        <w:t>2024</w:t>
      </w:r>
      <w:r>
        <w:rPr>
          <w:rFonts w:hint="eastAsia" w:ascii="仿宋_GB2312" w:eastAsia="仿宋_GB2312"/>
          <w:sz w:val="32"/>
          <w:szCs w:val="32"/>
        </w:rPr>
        <w:t>年一般公共预算基本支出</w:t>
      </w:r>
      <w:r>
        <w:rPr>
          <w:rFonts w:hint="eastAsia" w:ascii="仿宋_GB2312" w:eastAsia="仿宋_GB2312"/>
          <w:sz w:val="32"/>
          <w:szCs w:val="32"/>
          <w:lang w:val="en-US" w:eastAsia="zh-CN"/>
        </w:rPr>
        <w:t>1028.38</w:t>
      </w:r>
      <w:r>
        <w:rPr>
          <w:rFonts w:hint="eastAsia" w:ascii="仿宋_GB2312" w:eastAsia="仿宋_GB2312"/>
          <w:sz w:val="32"/>
          <w:szCs w:val="32"/>
        </w:rPr>
        <w:t>万元，其中：</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862.11</w:t>
      </w:r>
      <w:r>
        <w:rPr>
          <w:rFonts w:hint="eastAsia" w:ascii="仿宋_GB2312" w:eastAsia="仿宋_GB2312"/>
          <w:sz w:val="32"/>
          <w:szCs w:val="32"/>
        </w:rPr>
        <w:t>万元，主要包括：基本工资、津贴补贴、奖金、养老保险、职业年金、基本医疗保险缴费、其他社会保障缴费、住房公积金</w:t>
      </w:r>
      <w:r>
        <w:rPr>
          <w:rFonts w:hint="eastAsia" w:ascii="仿宋_GB2312" w:eastAsia="仿宋_GB2312"/>
          <w:sz w:val="32"/>
          <w:szCs w:val="32"/>
          <w:lang w:eastAsia="zh-CN"/>
        </w:rPr>
        <w:t>和</w:t>
      </w:r>
      <w:r>
        <w:rPr>
          <w:rFonts w:hint="eastAsia" w:ascii="仿宋_GB2312" w:eastAsia="仿宋_GB2312"/>
          <w:sz w:val="32"/>
          <w:szCs w:val="32"/>
        </w:rPr>
        <w:t>对个人和家庭的补助。</w:t>
      </w:r>
    </w:p>
    <w:p>
      <w:pPr>
        <w:pageBreakBefore w:val="0"/>
        <w:widowControl w:val="0"/>
        <w:kinsoku/>
        <w:wordWrap/>
        <w:overflowPunct/>
        <w:topLinePunct w:val="0"/>
        <w:bidi w:val="0"/>
        <w:snapToGrid/>
        <w:spacing w:line="240" w:lineRule="auto"/>
        <w:ind w:firstLine="640" w:firstLineChars="200"/>
        <w:textAlignment w:val="auto"/>
        <w:outlineLvl w:val="1"/>
        <w:rPr>
          <w:rFonts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166.27</w:t>
      </w:r>
      <w:r>
        <w:rPr>
          <w:rFonts w:hint="eastAsia" w:ascii="仿宋_GB2312" w:eastAsia="仿宋_GB2312"/>
          <w:sz w:val="32"/>
          <w:szCs w:val="32"/>
        </w:rPr>
        <w:t>万元，主要包括：办公费、</w:t>
      </w:r>
      <w:r>
        <w:rPr>
          <w:rFonts w:hint="eastAsia" w:ascii="仿宋_GB2312" w:eastAsia="仿宋_GB2312"/>
          <w:sz w:val="32"/>
          <w:szCs w:val="32"/>
          <w:lang w:eastAsia="zh-CN"/>
        </w:rPr>
        <w:t>印刷费、手续费、</w:t>
      </w:r>
      <w:r>
        <w:rPr>
          <w:rFonts w:hint="eastAsia" w:ascii="仿宋_GB2312" w:eastAsia="仿宋_GB2312"/>
          <w:sz w:val="32"/>
          <w:szCs w:val="32"/>
        </w:rPr>
        <w:t>水费、电费、邮电费、差旅费、物业管理费</w:t>
      </w:r>
      <w:r>
        <w:rPr>
          <w:rFonts w:hint="eastAsia" w:ascii="仿宋_GB2312" w:eastAsia="仿宋_GB2312"/>
          <w:sz w:val="32"/>
          <w:szCs w:val="32"/>
          <w:lang w:eastAsia="zh-CN"/>
        </w:rPr>
        <w:t>、</w:t>
      </w:r>
      <w:r>
        <w:rPr>
          <w:rFonts w:hint="eastAsia" w:ascii="仿宋_GB2312" w:eastAsia="仿宋_GB2312"/>
          <w:sz w:val="32"/>
          <w:szCs w:val="32"/>
        </w:rPr>
        <w:t>维修（护）费、劳务费、公务接待费、工会经费、公务用车运行维护费、</w:t>
      </w:r>
      <w:r>
        <w:rPr>
          <w:rFonts w:hint="eastAsia" w:ascii="仿宋_GB2312" w:eastAsia="仿宋_GB2312"/>
          <w:sz w:val="32"/>
          <w:szCs w:val="32"/>
          <w:lang w:eastAsia="zh-CN"/>
        </w:rPr>
        <w:t>其他交通费用、</w:t>
      </w:r>
      <w:r>
        <w:rPr>
          <w:rFonts w:hint="eastAsia" w:ascii="仿宋_GB2312" w:eastAsia="仿宋_GB2312"/>
          <w:sz w:val="32"/>
          <w:szCs w:val="32"/>
        </w:rPr>
        <w:t>其他商品服务支出。</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六</w:t>
      </w:r>
      <w:r>
        <w:rPr>
          <w:rFonts w:hint="eastAsia" w:ascii="黑体" w:eastAsia="黑体"/>
          <w:sz w:val="32"/>
          <w:szCs w:val="32"/>
        </w:rPr>
        <w:t>、政府性基金预算支出规模及变化情况说明</w:t>
      </w:r>
    </w:p>
    <w:p>
      <w:pPr>
        <w:spacing w:line="600" w:lineRule="exact"/>
        <w:ind w:firstLine="640" w:firstLineChars="200"/>
        <w:outlineLvl w:val="1"/>
        <w:rPr>
          <w:rFonts w:ascii="仿宋_GB2312" w:eastAsia="仿宋_GB2312"/>
          <w:b/>
          <w:color w:val="FF0000"/>
          <w:sz w:val="32"/>
          <w:szCs w:val="32"/>
        </w:rPr>
      </w:pPr>
      <w:r>
        <w:rPr>
          <w:rFonts w:hint="eastAsia" w:ascii="仿宋_GB2312" w:eastAsia="仿宋_GB2312"/>
          <w:sz w:val="32"/>
          <w:szCs w:val="32"/>
        </w:rPr>
        <w:t>峨眉山市</w:t>
      </w:r>
      <w:r>
        <w:rPr>
          <w:rFonts w:hint="eastAsia" w:ascii="仿宋_GB2312" w:eastAsia="仿宋_GB2312"/>
          <w:sz w:val="32"/>
          <w:szCs w:val="32"/>
          <w:lang w:eastAsia="zh-CN"/>
        </w:rPr>
        <w:t>财政局机关</w:t>
      </w:r>
      <w:r>
        <w:rPr>
          <w:rFonts w:hint="eastAsia" w:ascii="仿宋_GB2312" w:eastAsia="仿宋_GB2312"/>
          <w:sz w:val="32"/>
          <w:szCs w:val="32"/>
          <w:lang w:val="en-US" w:eastAsia="zh-CN"/>
        </w:rPr>
        <w:t>2024</w:t>
      </w:r>
      <w:r>
        <w:rPr>
          <w:rFonts w:hint="eastAsia" w:ascii="仿宋_GB2312" w:eastAsia="仿宋_GB2312" w:cs="Times New Roman"/>
          <w:sz w:val="32"/>
          <w:szCs w:val="32"/>
          <w:lang w:val="en-US" w:eastAsia="zh-CN"/>
        </w:rPr>
        <w:t>年无政府性基金预算。</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七</w:t>
      </w:r>
      <w:r>
        <w:rPr>
          <w:rFonts w:hint="eastAsia" w:ascii="黑体" w:eastAsia="黑体"/>
          <w:sz w:val="32"/>
          <w:szCs w:val="32"/>
        </w:rPr>
        <w:t>、“三公”经费预算安排情况说明</w:t>
      </w:r>
    </w:p>
    <w:p>
      <w:pPr>
        <w:spacing w:line="600" w:lineRule="exact"/>
        <w:ind w:firstLine="640" w:firstLineChars="200"/>
        <w:outlineLvl w:val="1"/>
        <w:rPr>
          <w:rFonts w:ascii="楷体_GB2312" w:eastAsia="楷体_GB2312"/>
          <w:sz w:val="32"/>
          <w:szCs w:val="32"/>
        </w:rPr>
      </w:pPr>
      <w:r>
        <w:rPr>
          <w:rFonts w:hint="eastAsia" w:ascii="仿宋_GB2312" w:eastAsia="仿宋_GB2312"/>
          <w:sz w:val="32"/>
          <w:szCs w:val="32"/>
        </w:rPr>
        <w:t>峨眉山市</w:t>
      </w:r>
      <w:r>
        <w:rPr>
          <w:rFonts w:hint="eastAsia" w:ascii="仿宋_GB2312" w:eastAsia="仿宋_GB2312"/>
          <w:sz w:val="32"/>
          <w:szCs w:val="32"/>
          <w:lang w:eastAsia="zh-CN"/>
        </w:rPr>
        <w:t>财政局机关</w:t>
      </w:r>
      <w:r>
        <w:rPr>
          <w:rFonts w:hint="eastAsia" w:ascii="仿宋_GB2312" w:eastAsia="仿宋_GB2312"/>
          <w:sz w:val="32"/>
          <w:szCs w:val="32"/>
          <w:lang w:val="en-US" w:eastAsia="zh-CN"/>
        </w:rPr>
        <w:t>2024</w:t>
      </w:r>
      <w:r>
        <w:rPr>
          <w:rFonts w:hint="eastAsia" w:ascii="仿宋_GB2312" w:eastAsia="仿宋_GB2312"/>
          <w:sz w:val="32"/>
          <w:szCs w:val="32"/>
        </w:rPr>
        <w:t>年“三公”经费预算数</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其中财政拨款安排“三公”经费</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较上年“三公”经费预算数</w:t>
      </w:r>
      <w:r>
        <w:rPr>
          <w:rFonts w:hint="eastAsia" w:ascii="仿宋_GB2312" w:eastAsia="仿宋_GB2312"/>
          <w:sz w:val="32"/>
          <w:szCs w:val="32"/>
          <w:lang w:eastAsia="zh-CN"/>
        </w:rPr>
        <w:t>与上年持平</w:t>
      </w:r>
      <w:r>
        <w:rPr>
          <w:rFonts w:hint="eastAsia" w:ascii="仿宋_GB2312" w:eastAsia="仿宋_GB2312"/>
          <w:sz w:val="32"/>
          <w:szCs w:val="32"/>
        </w:rPr>
        <w:t>。因公出国（境）经费</w:t>
      </w:r>
      <w:r>
        <w:rPr>
          <w:rFonts w:hint="eastAsia" w:ascii="仿宋_GB2312" w:eastAsia="仿宋_GB2312"/>
          <w:sz w:val="32"/>
          <w:szCs w:val="32"/>
          <w:lang w:val="en-US" w:eastAsia="zh-CN"/>
        </w:rPr>
        <w:t>0</w:t>
      </w:r>
      <w:r>
        <w:rPr>
          <w:rFonts w:hint="eastAsia" w:ascii="仿宋_GB2312" w:eastAsia="仿宋_GB2312"/>
          <w:sz w:val="32"/>
          <w:szCs w:val="32"/>
        </w:rPr>
        <w:t>万元，公务接待费</w:t>
      </w:r>
      <w:r>
        <w:rPr>
          <w:rFonts w:hint="eastAsia" w:ascii="仿宋_GB2312" w:eastAsia="仿宋_GB2312"/>
          <w:sz w:val="32"/>
          <w:szCs w:val="32"/>
          <w:lang w:val="en-US" w:eastAsia="zh-CN"/>
        </w:rPr>
        <w:t>0.5</w:t>
      </w:r>
      <w:r>
        <w:rPr>
          <w:rFonts w:hint="eastAsia" w:ascii="仿宋_GB2312" w:eastAsia="仿宋_GB2312"/>
          <w:sz w:val="32"/>
          <w:szCs w:val="32"/>
        </w:rPr>
        <w:t>万元，公务用车购置及运行维护费</w:t>
      </w:r>
      <w:r>
        <w:rPr>
          <w:rFonts w:hint="eastAsia" w:ascii="仿宋_GB2312" w:eastAsia="仿宋_GB2312"/>
          <w:sz w:val="32"/>
          <w:szCs w:val="32"/>
          <w:lang w:val="en-US" w:eastAsia="zh-CN"/>
        </w:rPr>
        <w:t>3</w:t>
      </w:r>
      <w:r>
        <w:rPr>
          <w:rFonts w:hint="eastAsia" w:ascii="仿宋_GB2312" w:eastAsia="仿宋_GB2312"/>
          <w:sz w:val="32"/>
          <w:szCs w:val="32"/>
        </w:rPr>
        <w:t>万元。</w:t>
      </w:r>
    </w:p>
    <w:p>
      <w:pPr>
        <w:numPr>
          <w:ilvl w:val="0"/>
          <w:numId w:val="1"/>
        </w:num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因公出国（境）经费</w:t>
      </w:r>
    </w:p>
    <w:p>
      <w:pPr>
        <w:spacing w:line="600" w:lineRule="exact"/>
        <w:ind w:firstLine="640" w:firstLineChars="200"/>
        <w:outlineLvl w:val="1"/>
        <w:rPr>
          <w:rFonts w:hint="eastAsia" w:ascii="仿宋_GB2312" w:eastAsia="仿宋_GB2312" w:cs="Times New Roman"/>
          <w:sz w:val="32"/>
          <w:szCs w:val="32"/>
        </w:rPr>
      </w:pPr>
      <w:r>
        <w:rPr>
          <w:rFonts w:hint="eastAsia" w:ascii="仿宋_GB2312" w:eastAsia="仿宋_GB2312" w:cs="Times New Roman"/>
          <w:sz w:val="32"/>
          <w:szCs w:val="32"/>
        </w:rPr>
        <w:t>无因公出国（境）预算。</w:t>
      </w:r>
      <w:r>
        <w:rPr>
          <w:rFonts w:hint="eastAsia" w:ascii="仿宋_GB2312" w:eastAsia="仿宋_GB2312" w:cs="Times New Roman"/>
          <w:sz w:val="32"/>
          <w:szCs w:val="32"/>
          <w:lang w:val="en-US" w:eastAsia="zh-CN"/>
        </w:rPr>
        <w:t>2024</w:t>
      </w:r>
      <w:r>
        <w:rPr>
          <w:rFonts w:hint="eastAsia" w:ascii="仿宋_GB2312" w:eastAsia="仿宋_GB2312" w:cs="Times New Roman"/>
          <w:sz w:val="32"/>
          <w:szCs w:val="32"/>
        </w:rPr>
        <w:t>年因公临时出国（境）未安排人次。</w:t>
      </w:r>
    </w:p>
    <w:p>
      <w:pPr>
        <w:numPr>
          <w:ilvl w:val="0"/>
          <w:numId w:val="1"/>
        </w:numPr>
        <w:spacing w:line="600" w:lineRule="exact"/>
        <w:ind w:left="0" w:leftChars="0"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公务接待费</w:t>
      </w:r>
    </w:p>
    <w:p>
      <w:pPr>
        <w:pageBreakBefore w:val="0"/>
        <w:widowControl w:val="0"/>
        <w:kinsoku/>
        <w:wordWrap/>
        <w:overflowPunct/>
        <w:topLinePunct w:val="0"/>
        <w:bidi w:val="0"/>
        <w:snapToGrid/>
        <w:spacing w:line="240" w:lineRule="auto"/>
        <w:ind w:firstLine="640" w:firstLineChars="200"/>
        <w:textAlignment w:val="auto"/>
        <w:outlineLvl w:val="1"/>
        <w:rPr>
          <w:rFonts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eastAsia="zh-CN"/>
        </w:rPr>
        <w:t>与</w:t>
      </w:r>
      <w:r>
        <w:rPr>
          <w:rFonts w:hint="eastAsia" w:ascii="仿宋_GB2312" w:eastAsia="仿宋_GB2312"/>
          <w:sz w:val="32"/>
          <w:szCs w:val="32"/>
        </w:rPr>
        <w:t>上年预算</w:t>
      </w:r>
      <w:r>
        <w:rPr>
          <w:rFonts w:hint="eastAsia" w:ascii="仿宋_GB2312" w:eastAsia="仿宋_GB2312"/>
          <w:sz w:val="32"/>
          <w:szCs w:val="32"/>
          <w:lang w:eastAsia="zh-CN"/>
        </w:rPr>
        <w:t>持平，</w:t>
      </w:r>
      <w:r>
        <w:rPr>
          <w:rFonts w:hint="eastAsia" w:ascii="仿宋_GB2312" w:eastAsia="仿宋_GB2312"/>
          <w:sz w:val="32"/>
          <w:szCs w:val="32"/>
          <w:lang w:val="en-US" w:eastAsia="zh-CN"/>
        </w:rPr>
        <w:t>2024</w:t>
      </w:r>
      <w:r>
        <w:rPr>
          <w:rFonts w:hint="eastAsia" w:ascii="仿宋_GB2312" w:eastAsia="仿宋_GB2312"/>
          <w:sz w:val="32"/>
          <w:szCs w:val="32"/>
        </w:rPr>
        <w:t>年公务接待费计划用于</w:t>
      </w:r>
      <w:bookmarkStart w:id="0" w:name="_Toc20754"/>
      <w:r>
        <w:rPr>
          <w:rFonts w:hint="eastAsia" w:ascii="仿宋_GB2312" w:eastAsia="仿宋_GB2312"/>
          <w:sz w:val="32"/>
          <w:szCs w:val="32"/>
        </w:rPr>
        <w:t>接待各级单位检查以及各区市县</w:t>
      </w:r>
      <w:r>
        <w:rPr>
          <w:rFonts w:hint="eastAsia" w:ascii="仿宋_GB2312" w:eastAsia="仿宋_GB2312"/>
          <w:sz w:val="32"/>
          <w:szCs w:val="32"/>
          <w:lang w:eastAsia="zh-CN"/>
        </w:rPr>
        <w:t>财政局机关</w:t>
      </w:r>
      <w:r>
        <w:rPr>
          <w:rFonts w:hint="eastAsia" w:ascii="仿宋_GB2312" w:eastAsia="仿宋_GB2312"/>
          <w:sz w:val="32"/>
          <w:szCs w:val="32"/>
        </w:rPr>
        <w:t>来本单位检查学习交流等。</w:t>
      </w:r>
      <w:bookmarkEnd w:id="0"/>
    </w:p>
    <w:p>
      <w:pPr>
        <w:numPr>
          <w:ilvl w:val="0"/>
          <w:numId w:val="2"/>
        </w:numPr>
        <w:spacing w:line="600" w:lineRule="exact"/>
        <w:ind w:firstLine="640" w:firstLineChars="200"/>
        <w:outlineLvl w:val="1"/>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公务用车购置及运行维护费</w:t>
      </w:r>
    </w:p>
    <w:p>
      <w:pPr>
        <w:numPr>
          <w:ilvl w:val="0"/>
          <w:numId w:val="0"/>
        </w:numPr>
        <w:spacing w:line="600" w:lineRule="exact"/>
        <w:ind w:firstLine="640" w:firstLineChars="200"/>
        <w:outlineLvl w:val="1"/>
        <w:rPr>
          <w:rFonts w:ascii="仿宋_GB2312" w:eastAsia="仿宋_GB2312"/>
          <w:color w:val="auto"/>
          <w:sz w:val="32"/>
          <w:szCs w:val="32"/>
        </w:rPr>
      </w:pPr>
      <w:r>
        <w:rPr>
          <w:rFonts w:hint="eastAsia" w:ascii="仿宋_GB2312" w:eastAsia="仿宋_GB2312"/>
          <w:sz w:val="32"/>
          <w:szCs w:val="32"/>
          <w:lang w:eastAsia="zh-CN"/>
        </w:rPr>
        <w:t>与</w:t>
      </w:r>
      <w:r>
        <w:rPr>
          <w:rFonts w:hint="eastAsia" w:ascii="仿宋_GB2312" w:eastAsia="仿宋_GB2312"/>
          <w:sz w:val="32"/>
          <w:szCs w:val="32"/>
        </w:rPr>
        <w:t>上年预算</w:t>
      </w:r>
      <w:r>
        <w:rPr>
          <w:rFonts w:hint="eastAsia" w:ascii="仿宋_GB2312" w:eastAsia="仿宋_GB2312"/>
          <w:sz w:val="32"/>
          <w:szCs w:val="32"/>
          <w:lang w:eastAsia="zh-CN"/>
        </w:rPr>
        <w:t>持平</w:t>
      </w:r>
      <w:r>
        <w:rPr>
          <w:rFonts w:hint="eastAsia" w:ascii="仿宋_GB2312" w:eastAsia="仿宋_GB2312"/>
          <w:sz w:val="32"/>
          <w:szCs w:val="32"/>
        </w:rPr>
        <w:t>，</w:t>
      </w:r>
      <w:r>
        <w:rPr>
          <w:rFonts w:hint="eastAsia" w:ascii="仿宋_GB2312" w:eastAsia="仿宋_GB2312"/>
          <w:color w:val="auto"/>
          <w:sz w:val="32"/>
          <w:szCs w:val="32"/>
        </w:rPr>
        <w:t>单位现有公务用车</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辆</w:t>
      </w:r>
      <w:r>
        <w:rPr>
          <w:rFonts w:hint="eastAsia" w:ascii="仿宋_GB2312" w:eastAsia="仿宋_GB2312"/>
          <w:color w:val="auto"/>
          <w:sz w:val="32"/>
          <w:szCs w:val="32"/>
          <w:lang w:eastAsia="zh-CN"/>
        </w:rPr>
        <w:t>（</w:t>
      </w:r>
      <w:r>
        <w:rPr>
          <w:rFonts w:hint="eastAsia" w:ascii="仿宋_GB2312" w:eastAsia="仿宋_GB2312"/>
          <w:sz w:val="32"/>
          <w:szCs w:val="32"/>
          <w:lang w:val="en-US" w:eastAsia="zh-CN"/>
        </w:rPr>
        <w:t>2辆纳入政府公务服务中心集中管理</w:t>
      </w:r>
      <w:r>
        <w:rPr>
          <w:rFonts w:hint="eastAsia" w:ascii="仿宋_GB2312" w:eastAsia="仿宋_GB2312"/>
          <w:color w:val="auto"/>
          <w:sz w:val="32"/>
          <w:szCs w:val="32"/>
          <w:lang w:eastAsia="zh-CN"/>
        </w:rPr>
        <w:t>）</w:t>
      </w:r>
      <w:r>
        <w:rPr>
          <w:rFonts w:hint="eastAsia" w:ascii="仿宋_GB2312" w:eastAsia="仿宋_GB2312"/>
          <w:color w:val="auto"/>
          <w:sz w:val="32"/>
          <w:szCs w:val="32"/>
        </w:rPr>
        <w:t>，其中：轿车</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辆、越野车</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辆。</w:t>
      </w:r>
    </w:p>
    <w:p>
      <w:pPr>
        <w:pageBreakBefore w:val="0"/>
        <w:widowControl w:val="0"/>
        <w:kinsoku/>
        <w:wordWrap/>
        <w:overflowPunct/>
        <w:topLinePunct w:val="0"/>
        <w:bidi w:val="0"/>
        <w:snapToGrid/>
        <w:spacing w:line="240" w:lineRule="auto"/>
        <w:ind w:firstLine="640" w:firstLineChars="200"/>
        <w:textAlignment w:val="auto"/>
        <w:outlineLvl w:val="1"/>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年未安排公务用车购置费。</w:t>
      </w:r>
    </w:p>
    <w:p>
      <w:pPr>
        <w:numPr>
          <w:ilvl w:val="0"/>
          <w:numId w:val="0"/>
        </w:num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年安排公务用车运行维护费</w:t>
      </w:r>
      <w:r>
        <w:rPr>
          <w:rFonts w:hint="eastAsia" w:ascii="仿宋_GB2312" w:eastAsia="仿宋_GB2312"/>
          <w:sz w:val="32"/>
          <w:szCs w:val="32"/>
          <w:lang w:val="en-US" w:eastAsia="zh-CN"/>
        </w:rPr>
        <w:t>3</w:t>
      </w:r>
      <w:r>
        <w:rPr>
          <w:rFonts w:hint="eastAsia" w:ascii="仿宋_GB2312" w:eastAsia="仿宋_GB2312"/>
          <w:sz w:val="32"/>
          <w:szCs w:val="32"/>
        </w:rPr>
        <w:t>万元，用于车辆的日常维护保养，车辆保险费以及车辆油费等。</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八</w:t>
      </w:r>
      <w:r>
        <w:rPr>
          <w:rFonts w:hint="eastAsia" w:ascii="黑体" w:eastAsia="黑体"/>
          <w:sz w:val="32"/>
          <w:szCs w:val="32"/>
        </w:rPr>
        <w:t>、其他重要事项的情况说明</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年，峨眉山市</w:t>
      </w:r>
      <w:r>
        <w:rPr>
          <w:rFonts w:hint="eastAsia" w:ascii="仿宋_GB2312" w:eastAsia="仿宋_GB2312"/>
          <w:sz w:val="32"/>
          <w:szCs w:val="32"/>
          <w:lang w:eastAsia="zh-CN"/>
        </w:rPr>
        <w:t>财政局机关</w:t>
      </w:r>
      <w:r>
        <w:rPr>
          <w:rFonts w:hint="eastAsia" w:ascii="仿宋_GB2312" w:eastAsia="仿宋_GB2312"/>
          <w:sz w:val="32"/>
          <w:szCs w:val="32"/>
        </w:rPr>
        <w:t>为保障</w:t>
      </w:r>
      <w:r>
        <w:rPr>
          <w:rFonts w:hint="eastAsia" w:ascii="仿宋_GB2312" w:eastAsia="仿宋_GB2312"/>
          <w:sz w:val="32"/>
          <w:szCs w:val="32"/>
          <w:lang w:eastAsia="zh-CN"/>
        </w:rPr>
        <w:t>机关</w:t>
      </w:r>
      <w:r>
        <w:rPr>
          <w:rFonts w:hint="eastAsia" w:ascii="仿宋_GB2312" w:eastAsia="仿宋_GB2312"/>
          <w:sz w:val="32"/>
          <w:szCs w:val="32"/>
        </w:rPr>
        <w:t>运行，安排的包括办公及印刷费、邮电费、差旅费、日常维修费、办公用房水电费、办公用房物业管理费、公务用车运行维护费以及其他费用等机关运行经费预算为</w:t>
      </w:r>
      <w:r>
        <w:rPr>
          <w:rFonts w:hint="eastAsia" w:ascii="仿宋_GB2312" w:eastAsia="仿宋_GB2312"/>
          <w:sz w:val="32"/>
          <w:szCs w:val="32"/>
          <w:lang w:val="en-US" w:eastAsia="zh-CN"/>
        </w:rPr>
        <w:t>166.27</w:t>
      </w:r>
      <w:r>
        <w:rPr>
          <w:rFonts w:hint="eastAsia" w:ascii="仿宋_GB2312" w:eastAsia="仿宋_GB2312"/>
          <w:sz w:val="32"/>
          <w:szCs w:val="32"/>
        </w:rPr>
        <w:t>万元，较上年预算增加</w:t>
      </w:r>
      <w:r>
        <w:rPr>
          <w:rFonts w:hint="eastAsia" w:ascii="仿宋_GB2312" w:eastAsia="仿宋_GB2312"/>
          <w:sz w:val="32"/>
          <w:szCs w:val="32"/>
          <w:lang w:val="en-US" w:eastAsia="zh-CN"/>
        </w:rPr>
        <w:t>5.04</w:t>
      </w:r>
      <w:r>
        <w:rPr>
          <w:rFonts w:hint="eastAsia" w:ascii="仿宋_GB2312" w:eastAsia="仿宋_GB2312"/>
          <w:sz w:val="32"/>
          <w:szCs w:val="32"/>
        </w:rPr>
        <w:t>万元，增长</w:t>
      </w:r>
      <w:r>
        <w:rPr>
          <w:rFonts w:hint="eastAsia" w:ascii="仿宋_GB2312" w:eastAsia="仿宋_GB2312"/>
          <w:sz w:val="32"/>
          <w:szCs w:val="32"/>
          <w:lang w:val="en-US" w:eastAsia="zh-CN"/>
        </w:rPr>
        <w:t>3.13</w:t>
      </w:r>
      <w:r>
        <w:rPr>
          <w:rFonts w:hint="eastAsia" w:ascii="仿宋_GB2312" w:eastAsia="仿宋_GB2312"/>
          <w:sz w:val="32"/>
          <w:szCs w:val="32"/>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pageBreakBefore w:val="0"/>
        <w:widowControl w:val="0"/>
        <w:kinsoku/>
        <w:wordWrap/>
        <w:overflowPunct/>
        <w:topLinePunct w:val="0"/>
        <w:bidi w:val="0"/>
        <w:snapToGrid/>
        <w:spacing w:line="240" w:lineRule="auto"/>
        <w:ind w:firstLine="640" w:firstLineChars="200"/>
        <w:textAlignment w:val="auto"/>
        <w:outlineLvl w:val="1"/>
        <w:rPr>
          <w:rFonts w:hint="eastAsia" w:ascii="仿宋_GB2312" w:eastAsia="仿宋_GB2312"/>
          <w:sz w:val="32"/>
          <w:szCs w:val="32"/>
          <w:lang w:eastAsia="zh-CN"/>
        </w:rPr>
      </w:pPr>
      <w:bookmarkStart w:id="1" w:name="_Toc8786"/>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年峨眉山市</w:t>
      </w:r>
      <w:r>
        <w:rPr>
          <w:rFonts w:hint="eastAsia" w:ascii="仿宋_GB2312" w:eastAsia="仿宋_GB2312"/>
          <w:sz w:val="32"/>
          <w:szCs w:val="32"/>
          <w:lang w:eastAsia="zh-CN"/>
        </w:rPr>
        <w:t>财政局机关</w:t>
      </w:r>
      <w:r>
        <w:rPr>
          <w:rFonts w:hint="eastAsia" w:ascii="仿宋_GB2312" w:eastAsia="仿宋_GB2312"/>
          <w:sz w:val="32"/>
          <w:szCs w:val="32"/>
        </w:rPr>
        <w:t>未安排政府采购计划</w:t>
      </w:r>
      <w:bookmarkEnd w:id="1"/>
      <w:r>
        <w:rPr>
          <w:rFonts w:hint="eastAsia" w:ascii="仿宋_GB2312" w:eastAsia="仿宋_GB2312"/>
          <w:sz w:val="32"/>
          <w:szCs w:val="32"/>
          <w:lang w:eastAsia="zh-CN"/>
        </w:rPr>
        <w:t>。</w:t>
      </w:r>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600" w:lineRule="exact"/>
        <w:ind w:firstLine="640" w:firstLineChars="200"/>
        <w:outlineLvl w:val="1"/>
        <w:rPr>
          <w:rFonts w:hint="eastAsia" w:ascii="仿宋_GB2312" w:eastAsia="仿宋_GB2312"/>
          <w:sz w:val="32"/>
          <w:szCs w:val="32"/>
        </w:rPr>
      </w:pPr>
      <w:bookmarkStart w:id="2" w:name="_Toc3129"/>
      <w:r>
        <w:rPr>
          <w:rFonts w:hint="eastAsia" w:ascii="仿宋_GB2312" w:eastAsia="仿宋_GB2312"/>
          <w:sz w:val="32"/>
          <w:szCs w:val="32"/>
        </w:rPr>
        <w:t>截至去年底，峨眉山市</w:t>
      </w:r>
      <w:r>
        <w:rPr>
          <w:rFonts w:hint="eastAsia" w:ascii="仿宋_GB2312" w:eastAsia="仿宋_GB2312"/>
          <w:sz w:val="32"/>
          <w:szCs w:val="32"/>
          <w:lang w:eastAsia="zh-CN"/>
        </w:rPr>
        <w:t>财政局机关</w:t>
      </w:r>
      <w:r>
        <w:rPr>
          <w:rFonts w:hint="eastAsia" w:ascii="仿宋_GB2312" w:eastAsia="仿宋_GB2312"/>
          <w:sz w:val="32"/>
          <w:szCs w:val="32"/>
        </w:rPr>
        <w:t>实际共有车辆</w:t>
      </w:r>
      <w:r>
        <w:rPr>
          <w:rFonts w:hint="eastAsia" w:ascii="仿宋_GB2312" w:eastAsia="仿宋_GB2312"/>
          <w:sz w:val="32"/>
          <w:szCs w:val="32"/>
          <w:lang w:val="en-US" w:eastAsia="zh-CN"/>
        </w:rPr>
        <w:t>3</w:t>
      </w:r>
      <w:r>
        <w:rPr>
          <w:rFonts w:hint="eastAsia" w:ascii="仿宋_GB2312" w:eastAsia="仿宋_GB2312"/>
          <w:sz w:val="32"/>
          <w:szCs w:val="32"/>
        </w:rPr>
        <w:t>辆。单位价值</w:t>
      </w:r>
      <w:r>
        <w:rPr>
          <w:rFonts w:ascii="仿宋_GB2312" w:eastAsia="仿宋_GB2312"/>
          <w:sz w:val="32"/>
          <w:szCs w:val="32"/>
        </w:rPr>
        <w:t>200</w:t>
      </w:r>
      <w:r>
        <w:rPr>
          <w:rFonts w:hint="eastAsia" w:ascii="仿宋_GB2312" w:eastAsia="仿宋_GB2312"/>
          <w:sz w:val="32"/>
          <w:szCs w:val="32"/>
        </w:rPr>
        <w:t>万元以上大型设备</w:t>
      </w:r>
      <w:r>
        <w:rPr>
          <w:rFonts w:ascii="仿宋_GB2312" w:eastAsia="仿宋_GB2312"/>
          <w:sz w:val="32"/>
          <w:szCs w:val="32"/>
        </w:rPr>
        <w:t>0</w:t>
      </w:r>
      <w:r>
        <w:rPr>
          <w:rFonts w:hint="eastAsia" w:ascii="仿宋_GB2312" w:eastAsia="仿宋_GB2312"/>
          <w:sz w:val="32"/>
          <w:szCs w:val="32"/>
        </w:rPr>
        <w:t>台（套）。</w:t>
      </w:r>
      <w:r>
        <w:rPr>
          <w:rFonts w:ascii="仿宋_GB2312" w:eastAsia="仿宋_GB2312"/>
          <w:sz w:val="32"/>
          <w:szCs w:val="32"/>
        </w:rPr>
        <w:br w:type="textWrapping"/>
      </w:r>
      <w:r>
        <w:rPr>
          <w:rFonts w:hint="eastAsia" w:ascii="仿宋_GB2312" w:eastAsia="仿宋_GB2312"/>
          <w:sz w:val="32"/>
          <w:szCs w:val="32"/>
        </w:rPr>
        <w:t>　　</w:t>
      </w:r>
      <w:r>
        <w:rPr>
          <w:rFonts w:hint="eastAsia" w:ascii="仿宋_GB2312" w:eastAsia="仿宋_GB2312"/>
          <w:sz w:val="32"/>
          <w:szCs w:val="32"/>
          <w:lang w:eastAsia="zh-CN"/>
        </w:rPr>
        <w:t>202</w:t>
      </w:r>
      <w:r>
        <w:rPr>
          <w:rFonts w:hint="eastAsia" w:ascii="仿宋_GB2312" w:eastAsia="仿宋_GB2312"/>
          <w:sz w:val="32"/>
          <w:szCs w:val="32"/>
          <w:lang w:val="en-US" w:eastAsia="zh-CN"/>
        </w:rPr>
        <w:t>4</w:t>
      </w:r>
      <w:r>
        <w:rPr>
          <w:rFonts w:hint="eastAsia" w:ascii="仿宋_GB2312" w:eastAsia="仿宋_GB2312"/>
          <w:sz w:val="32"/>
          <w:szCs w:val="32"/>
        </w:rPr>
        <w:t>年，峨眉山市</w:t>
      </w:r>
      <w:r>
        <w:rPr>
          <w:rFonts w:hint="eastAsia" w:ascii="仿宋_GB2312" w:eastAsia="仿宋_GB2312"/>
          <w:sz w:val="32"/>
          <w:szCs w:val="32"/>
          <w:lang w:eastAsia="zh-CN"/>
        </w:rPr>
        <w:t>财政局机关</w:t>
      </w:r>
      <w:r>
        <w:rPr>
          <w:rFonts w:hint="eastAsia" w:ascii="仿宋_GB2312" w:eastAsia="仿宋_GB2312"/>
          <w:sz w:val="32"/>
          <w:szCs w:val="32"/>
        </w:rPr>
        <w:t>未预算安排购置车辆及单位价值</w:t>
      </w:r>
      <w:r>
        <w:rPr>
          <w:rFonts w:ascii="仿宋_GB2312" w:eastAsia="仿宋_GB2312"/>
          <w:sz w:val="32"/>
          <w:szCs w:val="32"/>
        </w:rPr>
        <w:t>200</w:t>
      </w:r>
      <w:r>
        <w:rPr>
          <w:rFonts w:hint="eastAsia" w:ascii="仿宋_GB2312" w:eastAsia="仿宋_GB2312"/>
          <w:sz w:val="32"/>
          <w:szCs w:val="32"/>
        </w:rPr>
        <w:t>万元以上大型设备。</w:t>
      </w:r>
      <w:bookmarkEnd w:id="2"/>
    </w:p>
    <w:p>
      <w:pPr>
        <w:spacing w:line="600" w:lineRule="exact"/>
        <w:ind w:firstLine="640" w:firstLineChars="200"/>
        <w:outlineLvl w:val="1"/>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600" w:lineRule="exact"/>
        <w:ind w:firstLine="640" w:firstLineChars="200"/>
        <w:outlineLvl w:val="1"/>
        <w:rPr>
          <w:rFonts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年，峨眉山市</w:t>
      </w:r>
      <w:r>
        <w:rPr>
          <w:rFonts w:hint="eastAsia" w:ascii="仿宋_GB2312" w:eastAsia="仿宋_GB2312"/>
          <w:sz w:val="32"/>
          <w:szCs w:val="32"/>
          <w:lang w:eastAsia="zh-CN"/>
        </w:rPr>
        <w:t>财政局机关</w:t>
      </w:r>
      <w:r>
        <w:rPr>
          <w:rFonts w:hint="eastAsia" w:ascii="仿宋_GB2312" w:eastAsia="仿宋_GB2312"/>
          <w:sz w:val="32"/>
          <w:szCs w:val="32"/>
        </w:rPr>
        <w:t>按要求实行绩效目标管理，</w:t>
      </w:r>
      <w:r>
        <w:rPr>
          <w:rFonts w:hint="eastAsia" w:ascii="仿宋_GB2312" w:eastAsia="仿宋_GB2312"/>
          <w:sz w:val="32"/>
          <w:szCs w:val="32"/>
          <w:lang w:val="en-US" w:eastAsia="zh-CN"/>
        </w:rPr>
        <w:t>单位</w:t>
      </w:r>
      <w:r>
        <w:rPr>
          <w:rFonts w:hint="eastAsia" w:ascii="仿宋_GB2312" w:eastAsia="仿宋_GB2312"/>
          <w:sz w:val="32"/>
          <w:szCs w:val="32"/>
        </w:rPr>
        <w:t>整体绩效目标涉及预算安排</w:t>
      </w:r>
      <w:r>
        <w:rPr>
          <w:rFonts w:hint="eastAsia" w:ascii="仿宋_GB2312" w:eastAsia="仿宋_GB2312"/>
          <w:sz w:val="32"/>
          <w:szCs w:val="32"/>
          <w:lang w:val="en-US" w:eastAsia="zh-CN"/>
        </w:rPr>
        <w:t>1795.23</w:t>
      </w:r>
      <w:r>
        <w:rPr>
          <w:rFonts w:hint="eastAsia" w:ascii="仿宋_GB2312" w:eastAsia="仿宋_GB2312"/>
          <w:sz w:val="32"/>
          <w:szCs w:val="32"/>
        </w:rPr>
        <w:t>万元，其中基本支出</w:t>
      </w:r>
      <w:r>
        <w:rPr>
          <w:rFonts w:hint="eastAsia" w:ascii="仿宋_GB2312" w:eastAsia="仿宋_GB2312"/>
          <w:sz w:val="32"/>
          <w:szCs w:val="32"/>
          <w:lang w:val="en-US" w:eastAsia="zh-CN"/>
        </w:rPr>
        <w:t>1028.38</w:t>
      </w:r>
      <w:r>
        <w:rPr>
          <w:rFonts w:hint="eastAsia" w:ascii="仿宋_GB2312" w:eastAsia="仿宋_GB2312"/>
          <w:sz w:val="32"/>
          <w:szCs w:val="32"/>
        </w:rPr>
        <w:t>万元，项目支出</w:t>
      </w:r>
      <w:r>
        <w:rPr>
          <w:rFonts w:hint="eastAsia" w:ascii="仿宋_GB2312" w:eastAsia="仿宋_GB2312"/>
          <w:sz w:val="32"/>
          <w:szCs w:val="32"/>
          <w:lang w:val="en-US" w:eastAsia="zh-CN"/>
        </w:rPr>
        <w:t>766.85</w:t>
      </w:r>
      <w:r>
        <w:rPr>
          <w:rFonts w:hint="eastAsia" w:ascii="仿宋_GB2312" w:eastAsia="仿宋_GB2312"/>
          <w:sz w:val="32"/>
          <w:szCs w:val="32"/>
        </w:rPr>
        <w:t>万元。其中编制了项目绩效目标的预算</w:t>
      </w:r>
      <w:r>
        <w:rPr>
          <w:rFonts w:hint="eastAsia" w:ascii="仿宋_GB2312" w:eastAsia="仿宋_GB2312"/>
          <w:sz w:val="32"/>
          <w:szCs w:val="32"/>
          <w:lang w:val="en-US" w:eastAsia="zh-CN"/>
        </w:rPr>
        <w:t>766.85</w:t>
      </w:r>
      <w:r>
        <w:rPr>
          <w:rFonts w:hint="eastAsia" w:ascii="仿宋_GB2312" w:eastAsia="仿宋_GB2312"/>
          <w:sz w:val="32"/>
          <w:szCs w:val="32"/>
        </w:rPr>
        <w:t>万元，主要为财政</w:t>
      </w:r>
      <w:r>
        <w:rPr>
          <w:rFonts w:hint="eastAsia" w:ascii="仿宋_GB2312" w:eastAsia="仿宋_GB2312"/>
          <w:sz w:val="32"/>
          <w:szCs w:val="32"/>
          <w:lang w:eastAsia="zh-CN"/>
        </w:rPr>
        <w:t>金财网</w:t>
      </w:r>
      <w:r>
        <w:rPr>
          <w:rFonts w:hint="eastAsia" w:ascii="仿宋_GB2312" w:eastAsia="仿宋_GB2312"/>
          <w:sz w:val="32"/>
          <w:szCs w:val="32"/>
        </w:rPr>
        <w:t>信息化建设及</w:t>
      </w:r>
      <w:r>
        <w:rPr>
          <w:rFonts w:hint="eastAsia" w:ascii="仿宋_GB2312" w:eastAsia="仿宋_GB2312"/>
          <w:sz w:val="32"/>
          <w:szCs w:val="32"/>
          <w:lang w:eastAsia="zh-CN"/>
        </w:rPr>
        <w:t>运维等经费</w:t>
      </w:r>
      <w:r>
        <w:rPr>
          <w:rFonts w:hint="eastAsia" w:ascii="仿宋_GB2312" w:eastAsia="仿宋_GB2312"/>
          <w:sz w:val="32"/>
          <w:szCs w:val="32"/>
        </w:rPr>
        <w:t>、</w:t>
      </w:r>
      <w:r>
        <w:rPr>
          <w:rFonts w:hint="eastAsia" w:ascii="仿宋_GB2312" w:eastAsia="仿宋_GB2312"/>
          <w:sz w:val="32"/>
          <w:szCs w:val="32"/>
          <w:lang w:eastAsia="zh-CN"/>
        </w:rPr>
        <w:t>财政预算一体化系统运维服务等费用</w:t>
      </w:r>
      <w:r>
        <w:rPr>
          <w:rFonts w:hint="eastAsia" w:ascii="仿宋_GB2312" w:eastAsia="仿宋_GB2312"/>
          <w:sz w:val="32"/>
          <w:szCs w:val="32"/>
        </w:rPr>
        <w:t>、全市执法执勤车GPS服务费等项目。</w:t>
      </w:r>
    </w:p>
    <w:p>
      <w:pPr>
        <w:spacing w:line="600" w:lineRule="exact"/>
        <w:ind w:firstLine="640" w:firstLineChars="200"/>
        <w:outlineLvl w:val="1"/>
        <w:rPr>
          <w:rFonts w:ascii="黑体" w:eastAsia="黑体"/>
          <w:sz w:val="32"/>
          <w:szCs w:val="32"/>
        </w:rPr>
      </w:pPr>
      <w:r>
        <w:rPr>
          <w:rFonts w:hint="eastAsia" w:ascii="黑体" w:eastAsia="黑体"/>
          <w:sz w:val="32"/>
          <w:szCs w:val="32"/>
          <w:lang w:eastAsia="zh-CN"/>
        </w:rPr>
        <w:t>九</w:t>
      </w:r>
      <w:r>
        <w:rPr>
          <w:rFonts w:hint="eastAsia" w:ascii="黑体" w:eastAsia="黑体"/>
          <w:sz w:val="32"/>
          <w:szCs w:val="32"/>
        </w:rPr>
        <w:t>、名词解释</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hint="eastAsia" w:ascii="仿宋_GB2312" w:eastAsia="仿宋_GB2312"/>
          <w:sz w:val="32"/>
          <w:szCs w:val="32"/>
        </w:rPr>
        <w:t xml:space="preserve">财政拨款收支情况：指一般公共预算、政府性基金预算、国有资产经营预算拨款收支情况。 </w:t>
      </w:r>
    </w:p>
    <w:p>
      <w:pPr>
        <w:pStyle w:val="8"/>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一般公共预算拨款收入：指本级财政当年拨付的资金。</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rPr>
        <w:t>3</w:t>
      </w:r>
      <w:r>
        <w:t>.</w:t>
      </w:r>
      <w:r>
        <w:rPr>
          <w:rFonts w:hint="eastAsia"/>
        </w:rPr>
        <w:t>其他收入：指除上述“一般公共预算拨款收入”、“</w:t>
      </w:r>
      <w:r>
        <w:rPr>
          <w:rStyle w:val="7"/>
          <w:rFonts w:hint="eastAsia"/>
        </w:rPr>
        <w:t>事业收入</w:t>
      </w:r>
      <w:r>
        <w:rPr>
          <w:rFonts w:hint="eastAsia"/>
        </w:rPr>
        <w:t>”、“</w:t>
      </w:r>
      <w:r>
        <w:rPr>
          <w:rStyle w:val="7"/>
          <w:rFonts w:hint="eastAsia"/>
        </w:rPr>
        <w:t>事业单位经营收入</w:t>
      </w:r>
      <w:r>
        <w:rPr>
          <w:rFonts w:hint="eastAsia"/>
        </w:rPr>
        <w:t>”等以外的收入。主要是利息收入、国有资产出租收入等。</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rPr>
        <w:t>4.一般公共服务支出（类）财政事务（款）行政运行（项）：反映行政单位（包括实行公务员管理的事业单位）的基本支出。</w:t>
      </w:r>
    </w:p>
    <w:p>
      <w:pPr>
        <w:pStyle w:val="9"/>
        <w:pageBreakBefore w:val="0"/>
        <w:widowControl w:val="0"/>
        <w:kinsoku/>
        <w:wordWrap/>
        <w:overflowPunct/>
        <w:bidi w:val="0"/>
        <w:snapToGrid/>
        <w:spacing w:line="240" w:lineRule="auto"/>
        <w:ind w:firstLine="640" w:firstLineChars="200"/>
        <w:textAlignment w:val="auto"/>
      </w:pPr>
      <w:r>
        <w:rPr>
          <w:rFonts w:hint="eastAsia"/>
        </w:rPr>
        <w:t>5.一般公共服务支出（类）财政事务（款）一般行政管理事务（项）：反映行政单位（包括实行公务员管理的事业单位）未单独设置项级科目的其他项目支出。</w:t>
      </w:r>
    </w:p>
    <w:p>
      <w:pPr>
        <w:pStyle w:val="9"/>
        <w:pageBreakBefore w:val="0"/>
        <w:widowControl w:val="0"/>
        <w:kinsoku/>
        <w:wordWrap/>
        <w:overflowPunct/>
        <w:bidi w:val="0"/>
        <w:snapToGrid/>
        <w:spacing w:line="240" w:lineRule="auto"/>
        <w:ind w:firstLine="640" w:firstLineChars="200"/>
        <w:textAlignment w:val="auto"/>
        <w:rPr>
          <w:rFonts w:hint="eastAsia"/>
        </w:rPr>
      </w:pPr>
      <w:r>
        <w:rPr>
          <w:rFonts w:hint="eastAsia"/>
          <w:lang w:val="en-US" w:eastAsia="zh-CN"/>
        </w:rPr>
        <w:t>6</w:t>
      </w:r>
      <w:r>
        <w:rPr>
          <w:rFonts w:hint="eastAsia"/>
        </w:rPr>
        <w:t>.社会保障和就业支出（类）行政事业单位养老支出（款）机关事业单位职业年金缴费支出（项）：反映机关事业单位实施养老保险制度由单位缴纳的基本养老保险费支出。</w:t>
      </w:r>
      <w:r>
        <w:br w:type="textWrapping"/>
      </w:r>
      <w:r>
        <w:rPr>
          <w:rFonts w:hint="eastAsia"/>
        </w:rPr>
        <w:t>　　</w:t>
      </w:r>
      <w:r>
        <w:rPr>
          <w:rFonts w:hint="eastAsia"/>
          <w:lang w:val="en-US" w:eastAsia="zh-CN"/>
        </w:rPr>
        <w:t>7</w:t>
      </w:r>
      <w:r>
        <w:rPr>
          <w:rFonts w:hint="eastAsia"/>
        </w:rPr>
        <w:t>.社会保障和就业支出（类）行政事业单位养老支出（款）机关事业单位基本养老保险缴费支出（项）：反映机关事业单位实施养老保险制度由单位缴纳的职业年金支出。</w:t>
      </w:r>
      <w:r>
        <w:br w:type="textWrapping"/>
      </w:r>
      <w:r>
        <w:rPr>
          <w:rFonts w:hint="eastAsia"/>
        </w:rPr>
        <w:t>　　</w:t>
      </w:r>
      <w:r>
        <w:rPr>
          <w:rFonts w:hint="eastAsia"/>
          <w:lang w:val="en-US" w:eastAsia="zh-CN"/>
        </w:rPr>
        <w:t>8</w:t>
      </w:r>
      <w:r>
        <w:t>.</w:t>
      </w:r>
      <w:r>
        <w:rPr>
          <w:rFonts w:hint="eastAsia"/>
        </w:rPr>
        <w:t>社会保障和就业支出（类）抚恤（款）其他优抚支出（项）：反映其他用于优抚方面的支出。</w:t>
      </w:r>
    </w:p>
    <w:p>
      <w:pPr>
        <w:pStyle w:val="9"/>
        <w:pageBreakBefore w:val="0"/>
        <w:widowControl w:val="0"/>
        <w:kinsoku/>
        <w:wordWrap/>
        <w:overflowPunct/>
        <w:bidi w:val="0"/>
        <w:snapToGrid/>
        <w:spacing w:line="240" w:lineRule="auto"/>
        <w:ind w:firstLine="640" w:firstLineChars="200"/>
        <w:textAlignment w:val="auto"/>
        <w:rPr>
          <w:rFonts w:hint="eastAsia" w:ascii="仿宋_GB2312" w:hAnsi="Calibri" w:eastAsia="仿宋_GB2312" w:cs="仿宋"/>
          <w:color w:val="000000"/>
          <w:kern w:val="0"/>
          <w:sz w:val="32"/>
          <w:szCs w:val="32"/>
          <w:lang w:val="en-US" w:eastAsia="zh-CN" w:bidi="ar-SA"/>
        </w:rPr>
      </w:pPr>
      <w:r>
        <w:rPr>
          <w:rFonts w:hint="eastAsia"/>
          <w:lang w:val="en-US" w:eastAsia="zh-CN"/>
        </w:rPr>
        <w:t>9</w:t>
      </w:r>
      <w:r>
        <w:t>.</w:t>
      </w:r>
      <w:r>
        <w:rPr>
          <w:rFonts w:hint="eastAsia"/>
        </w:rPr>
        <w:t>社会保障和就业支出（类）其他社会保障和就业支出（款）其他社会保障和就业支出（项）：反映其他用于社会保障和就业方面的支出。</w:t>
      </w:r>
      <w:r>
        <w:br w:type="textWrapping"/>
      </w:r>
      <w:r>
        <w:rPr>
          <w:rFonts w:hint="eastAsia"/>
        </w:rPr>
        <w:t>　</w:t>
      </w:r>
      <w:r>
        <w:rPr>
          <w:rFonts w:hint="eastAsia" w:ascii="仿宋_GB2312" w:hAnsi="Calibri" w:eastAsia="仿宋_GB2312" w:cs="仿宋"/>
          <w:color w:val="000000"/>
          <w:kern w:val="0"/>
          <w:sz w:val="32"/>
          <w:szCs w:val="32"/>
          <w:lang w:val="en-US" w:eastAsia="zh-CN" w:bidi="ar-SA"/>
        </w:rPr>
        <w:t>　1</w:t>
      </w:r>
      <w:r>
        <w:rPr>
          <w:rFonts w:hint="eastAsia" w:cs="仿宋"/>
          <w:color w:val="000000"/>
          <w:kern w:val="0"/>
          <w:sz w:val="32"/>
          <w:szCs w:val="32"/>
          <w:lang w:val="en-US" w:eastAsia="zh-CN" w:bidi="ar-SA"/>
        </w:rPr>
        <w:t>0</w:t>
      </w:r>
      <w:r>
        <w:rPr>
          <w:rFonts w:hint="eastAsia" w:ascii="仿宋_GB2312" w:hAnsi="Calibri" w:eastAsia="仿宋_GB2312" w:cs="仿宋"/>
          <w:color w:val="000000"/>
          <w:kern w:val="0"/>
          <w:sz w:val="32"/>
          <w:szCs w:val="32"/>
          <w:lang w:val="en-US" w:eastAsia="zh-CN" w:bidi="ar-SA"/>
        </w:rPr>
        <w:t>.卫生健康支出（类）行政事业单位医疗（款）行政单位医疗（项）：反映财政部门安排的行政单位（包括实行公务员管理的事业单位）基本医疗保险缴费经费。　　</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w:t>
      </w:r>
      <w:r>
        <w:rPr>
          <w:rFonts w:hint="eastAsia" w:ascii="仿宋_GB2312" w:eastAsia="仿宋_GB2312" w:cs="仿宋"/>
          <w:color w:val="000000"/>
          <w:kern w:val="0"/>
          <w:sz w:val="32"/>
          <w:szCs w:val="32"/>
          <w:lang w:val="en-US" w:eastAsia="zh-CN" w:bidi="ar-SA"/>
        </w:rPr>
        <w:t>1</w:t>
      </w:r>
      <w:r>
        <w:rPr>
          <w:rFonts w:hint="eastAsia" w:ascii="仿宋_GB2312" w:hAnsi="Calibri" w:eastAsia="仿宋_GB2312" w:cs="仿宋"/>
          <w:color w:val="000000"/>
          <w:kern w:val="0"/>
          <w:sz w:val="32"/>
          <w:szCs w:val="32"/>
          <w:lang w:val="en-US" w:eastAsia="zh-CN" w:bidi="ar-SA"/>
        </w:rPr>
        <w:t>.住房保障支出（类）住房改革支出（款）住房公积金（项）：反映行政事业单位按人力资源和社会保障部、财政部规定的基本工资和津贴补贴以及规定比例为职工缴纳的住房公积金。</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12</w:t>
      </w:r>
      <w:r>
        <w:rPr>
          <w:rFonts w:hint="eastAsia" w:ascii="仿宋_GB2312" w:hAnsi="Calibri" w:eastAsia="仿宋_GB2312" w:cs="仿宋"/>
          <w:color w:val="000000"/>
          <w:kern w:val="0"/>
          <w:sz w:val="32"/>
          <w:szCs w:val="32"/>
          <w:lang w:val="en-US" w:eastAsia="zh-CN" w:bidi="ar-SA"/>
        </w:rPr>
        <w:t>基本支出：指为保障机构正常运转、完成日常工作任务而发生的人员支出和公用支出。</w:t>
      </w:r>
    </w:p>
    <w:p>
      <w:pPr>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13.</w:t>
      </w:r>
      <w:r>
        <w:rPr>
          <w:rFonts w:hint="eastAsia" w:ascii="仿宋_GB2312" w:hAnsi="Calibri" w:eastAsia="仿宋_GB2312" w:cs="仿宋"/>
          <w:color w:val="000000"/>
          <w:kern w:val="0"/>
          <w:sz w:val="32"/>
          <w:szCs w:val="32"/>
          <w:lang w:val="en-US" w:eastAsia="zh-CN" w:bidi="ar-SA"/>
        </w:rPr>
        <w:t xml:space="preserve">项目支出：指在基本支出之外为完成特定行政任务和事业发展目标所发生的支出。 </w:t>
      </w:r>
    </w:p>
    <w:p>
      <w:pPr>
        <w:pStyle w:val="8"/>
        <w:spacing w:line="560" w:lineRule="exact"/>
        <w:ind w:firstLine="640" w:firstLineChars="200"/>
        <w:rPr>
          <w:rFonts w:hint="eastAsia" w:ascii="仿宋_GB2312" w:hAnsi="Calibri" w:eastAsia="仿宋_GB2312" w:cs="仿宋"/>
          <w:color w:val="000000"/>
          <w:kern w:val="0"/>
          <w:sz w:val="32"/>
          <w:szCs w:val="32"/>
          <w:lang w:val="en-US" w:eastAsia="zh-CN" w:bidi="ar-SA"/>
        </w:rPr>
      </w:pPr>
      <w:r>
        <w:rPr>
          <w:rFonts w:hint="eastAsia" w:ascii="仿宋_GB2312" w:eastAsia="仿宋_GB2312" w:cs="仿宋"/>
          <w:color w:val="000000"/>
          <w:kern w:val="0"/>
          <w:sz w:val="32"/>
          <w:szCs w:val="32"/>
          <w:lang w:val="en-US" w:eastAsia="zh-CN" w:bidi="ar-SA"/>
        </w:rPr>
        <w:t>14.</w:t>
      </w:r>
      <w:r>
        <w:rPr>
          <w:rFonts w:hint="eastAsia" w:ascii="仿宋_GB2312" w:hAnsi="Calibri" w:eastAsia="仿宋_GB2312" w:cs="仿宋"/>
          <w:color w:val="000000"/>
          <w:kern w:val="0"/>
          <w:sz w:val="32"/>
          <w:szCs w:val="32"/>
          <w:lang w:val="en-US" w:eastAsia="zh-CN" w:bidi="ar-SA"/>
        </w:rPr>
        <w:t>三公”经费：纳入预算管理的“三公”经费，是指部门（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9"/>
        <w:pageBreakBefore w:val="0"/>
        <w:widowControl w:val="0"/>
        <w:kinsoku/>
        <w:wordWrap/>
        <w:overflowPunct/>
        <w:bidi w:val="0"/>
        <w:snapToGrid/>
        <w:spacing w:line="240" w:lineRule="auto"/>
        <w:ind w:firstLine="640" w:firstLineChars="200"/>
        <w:textAlignment w:val="auto"/>
        <w:rPr>
          <w:rFonts w:hint="eastAsia" w:ascii="仿宋_GB2312" w:hAnsi="Calibri" w:eastAsia="仿宋_GB2312" w:cs="仿宋"/>
          <w:color w:val="000000"/>
          <w:kern w:val="0"/>
          <w:sz w:val="32"/>
          <w:szCs w:val="32"/>
          <w:lang w:val="en-US" w:eastAsia="zh-CN" w:bidi="ar-SA"/>
        </w:rPr>
      </w:pPr>
      <w:r>
        <w:rPr>
          <w:rFonts w:hint="eastAsia" w:ascii="仿宋_GB2312" w:hAnsi="Calibri" w:eastAsia="仿宋_GB2312" w:cs="仿宋"/>
          <w:color w:val="000000"/>
          <w:kern w:val="0"/>
          <w:sz w:val="32"/>
          <w:szCs w:val="32"/>
          <w:lang w:val="en-US" w:eastAsia="zh-CN" w:bidi="ar-SA"/>
        </w:rPr>
        <w:t>1</w:t>
      </w:r>
      <w:r>
        <w:rPr>
          <w:rFonts w:hint="eastAsia" w:cs="仿宋"/>
          <w:color w:val="000000"/>
          <w:kern w:val="0"/>
          <w:sz w:val="32"/>
          <w:szCs w:val="32"/>
          <w:lang w:val="en-US" w:eastAsia="zh-CN" w:bidi="ar-SA"/>
        </w:rPr>
        <w:t>5</w:t>
      </w:r>
      <w:r>
        <w:rPr>
          <w:rFonts w:hint="eastAsia" w:ascii="仿宋_GB2312" w:hAnsi="Calibri" w:eastAsia="仿宋_GB2312" w:cs="仿宋"/>
          <w:color w:val="000000"/>
          <w:kern w:val="0"/>
          <w:sz w:val="32"/>
          <w:szCs w:val="32"/>
          <w:lang w:val="en-US" w:eastAsia="zh-CN" w:bidi="ar-SA"/>
        </w:rPr>
        <w:t>.机关运行经费：为保障行政单位（包含参照公务员法管理的事业单位）运行用于购买货物和服务的各项资金。包括办公及印刷费、邮电费、差旅费、会议费一般设备购置费等费用开支。</w:t>
      </w:r>
    </w:p>
    <w:p>
      <w:pPr>
        <w:pStyle w:val="8"/>
        <w:spacing w:line="560" w:lineRule="exact"/>
        <w:ind w:firstLine="640" w:firstLineChars="200"/>
        <w:rPr>
          <w:rFonts w:hint="eastAsia" w:ascii="仿宋_GB2312" w:hAnsi="Calibri" w:eastAsia="仿宋_GB2312" w:cs="仿宋"/>
          <w:color w:val="000000"/>
          <w:kern w:val="0"/>
          <w:sz w:val="32"/>
          <w:szCs w:val="32"/>
          <w:lang w:val="en-US" w:eastAsia="zh-CN" w:bidi="ar-SA"/>
        </w:rPr>
      </w:pPr>
    </w:p>
    <w:p>
      <w:pPr>
        <w:spacing w:line="600" w:lineRule="exact"/>
        <w:outlineLvl w:val="1"/>
        <w:rPr>
          <w:rFonts w:hint="eastAsia" w:ascii="仿宋_GB2312" w:hAnsi="Calibri" w:eastAsia="仿宋_GB2312" w:cs="仿宋"/>
          <w:color w:val="000000"/>
          <w:kern w:val="0"/>
          <w:sz w:val="32"/>
          <w:szCs w:val="32"/>
          <w:lang w:val="en-US" w:eastAsia="zh-CN" w:bidi="ar-SA"/>
        </w:rPr>
      </w:pPr>
    </w:p>
    <w:sectPr>
      <w:footerReference r:id="rId3" w:type="default"/>
      <w:footerReference r:id="rId4" w:type="even"/>
      <w:pgSz w:w="11906" w:h="16838"/>
      <w:pgMar w:top="2098" w:right="1474" w:bottom="1928" w:left="1588" w:header="851" w:footer="147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5</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hint="eastAsia" w:ascii="宋体" w:hAnsi="宋体"/>
        <w:kern w:val="0"/>
        <w:sz w:val="28"/>
        <w:szCs w:val="28"/>
      </w:rPr>
      <w:t>—</w:t>
    </w:r>
    <w:r>
      <w:rPr>
        <w:rFonts w:ascii="宋体" w:hAnsi="宋体"/>
        <w:kern w:val="0"/>
        <w:sz w:val="28"/>
        <w:szCs w:val="28"/>
      </w:rPr>
      <w:t xml:space="preserve"> </w:t>
    </w:r>
    <w:r>
      <w:rPr>
        <w:rFonts w:ascii="宋体" w:hAnsi="宋体"/>
        <w:kern w:val="0"/>
        <w:sz w:val="28"/>
        <w:szCs w:val="28"/>
      </w:rPr>
      <w:fldChar w:fldCharType="begin"/>
    </w:r>
    <w:r>
      <w:rPr>
        <w:rFonts w:ascii="宋体" w:hAnsi="宋体"/>
        <w:kern w:val="0"/>
        <w:sz w:val="28"/>
        <w:szCs w:val="28"/>
      </w:rPr>
      <w:instrText xml:space="preserve"> PAGE </w:instrText>
    </w:r>
    <w:r>
      <w:rPr>
        <w:rFonts w:ascii="宋体" w:hAnsi="宋体"/>
        <w:kern w:val="0"/>
        <w:sz w:val="28"/>
        <w:szCs w:val="28"/>
      </w:rPr>
      <w:fldChar w:fldCharType="separate"/>
    </w:r>
    <w:r>
      <w:rPr>
        <w:rFonts w:ascii="宋体" w:hAnsi="宋体"/>
        <w:kern w:val="0"/>
        <w:sz w:val="28"/>
        <w:szCs w:val="28"/>
      </w:rPr>
      <w:t>4</w:t>
    </w:r>
    <w:r>
      <w:rPr>
        <w:rFonts w:ascii="宋体" w:hAnsi="宋体"/>
        <w:kern w:val="0"/>
        <w:sz w:val="28"/>
        <w:szCs w:val="28"/>
      </w:rPr>
      <w:fldChar w:fldCharType="end"/>
    </w:r>
    <w:r>
      <w:rPr>
        <w:rFonts w:ascii="宋体" w:hAnsi="宋体"/>
        <w:kern w:val="0"/>
        <w:sz w:val="28"/>
        <w:szCs w:val="28"/>
      </w:rPr>
      <w:t xml:space="preserve"> </w:t>
    </w:r>
    <w:r>
      <w:rPr>
        <w:rFonts w:hint="eastAsia" w:ascii="宋体" w:hAnsi="宋体"/>
        <w:kern w:val="0"/>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DB56F"/>
    <w:multiLevelType w:val="singleLevel"/>
    <w:tmpl w:val="17EDB56F"/>
    <w:lvl w:ilvl="0" w:tentative="0">
      <w:start w:val="1"/>
      <w:numFmt w:val="chineseCounting"/>
      <w:suff w:val="nothing"/>
      <w:lvlText w:val="（%1）"/>
      <w:lvlJc w:val="left"/>
      <w:rPr>
        <w:rFonts w:hint="eastAsia"/>
      </w:rPr>
    </w:lvl>
  </w:abstractNum>
  <w:abstractNum w:abstractNumId="1">
    <w:nsid w:val="34104BCE"/>
    <w:multiLevelType w:val="singleLevel"/>
    <w:tmpl w:val="34104BCE"/>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9C0"/>
    <w:rsid w:val="00050092"/>
    <w:rsid w:val="00091317"/>
    <w:rsid w:val="000F0A83"/>
    <w:rsid w:val="000F755E"/>
    <w:rsid w:val="001A0437"/>
    <w:rsid w:val="001A2108"/>
    <w:rsid w:val="002730CD"/>
    <w:rsid w:val="003A561B"/>
    <w:rsid w:val="00425810"/>
    <w:rsid w:val="004A1A00"/>
    <w:rsid w:val="0053746F"/>
    <w:rsid w:val="00564603"/>
    <w:rsid w:val="005E688F"/>
    <w:rsid w:val="00777E08"/>
    <w:rsid w:val="007934F3"/>
    <w:rsid w:val="00861D72"/>
    <w:rsid w:val="008C72F8"/>
    <w:rsid w:val="009340F3"/>
    <w:rsid w:val="00A527E0"/>
    <w:rsid w:val="00AE4401"/>
    <w:rsid w:val="00B3548B"/>
    <w:rsid w:val="00BB666B"/>
    <w:rsid w:val="00C044B7"/>
    <w:rsid w:val="00C5515C"/>
    <w:rsid w:val="00CC5FF3"/>
    <w:rsid w:val="00D36FE8"/>
    <w:rsid w:val="00DE1A43"/>
    <w:rsid w:val="00DF77CF"/>
    <w:rsid w:val="00EA6295"/>
    <w:rsid w:val="00F429C0"/>
    <w:rsid w:val="00FB45E1"/>
    <w:rsid w:val="022644F5"/>
    <w:rsid w:val="04951065"/>
    <w:rsid w:val="04EF70C0"/>
    <w:rsid w:val="066D6077"/>
    <w:rsid w:val="10AF7B20"/>
    <w:rsid w:val="12794A55"/>
    <w:rsid w:val="13E23FB8"/>
    <w:rsid w:val="14D13536"/>
    <w:rsid w:val="15D35DF5"/>
    <w:rsid w:val="1A0F45F0"/>
    <w:rsid w:val="1D11208B"/>
    <w:rsid w:val="1ECD49EA"/>
    <w:rsid w:val="21631F2C"/>
    <w:rsid w:val="21D6157A"/>
    <w:rsid w:val="22591DC7"/>
    <w:rsid w:val="2441318D"/>
    <w:rsid w:val="25533BB1"/>
    <w:rsid w:val="262A42C3"/>
    <w:rsid w:val="270B2E60"/>
    <w:rsid w:val="276557C3"/>
    <w:rsid w:val="27E1261C"/>
    <w:rsid w:val="2DC265A0"/>
    <w:rsid w:val="2ED21556"/>
    <w:rsid w:val="2F226DBF"/>
    <w:rsid w:val="329D123D"/>
    <w:rsid w:val="32DD6FB2"/>
    <w:rsid w:val="354C2FF2"/>
    <w:rsid w:val="36C613EC"/>
    <w:rsid w:val="36DD628E"/>
    <w:rsid w:val="370729D0"/>
    <w:rsid w:val="3C21458C"/>
    <w:rsid w:val="3C6F5A34"/>
    <w:rsid w:val="3EE741B8"/>
    <w:rsid w:val="40C8289D"/>
    <w:rsid w:val="42444803"/>
    <w:rsid w:val="428E7FC4"/>
    <w:rsid w:val="42F2707B"/>
    <w:rsid w:val="46035CB6"/>
    <w:rsid w:val="46C53364"/>
    <w:rsid w:val="472A5D26"/>
    <w:rsid w:val="493C20A5"/>
    <w:rsid w:val="49B007A5"/>
    <w:rsid w:val="49D82D7E"/>
    <w:rsid w:val="49DF285C"/>
    <w:rsid w:val="4DEE5E92"/>
    <w:rsid w:val="50041FB8"/>
    <w:rsid w:val="511E1748"/>
    <w:rsid w:val="540C0E0D"/>
    <w:rsid w:val="5D1D6D34"/>
    <w:rsid w:val="61E663CB"/>
    <w:rsid w:val="6243467C"/>
    <w:rsid w:val="638B624D"/>
    <w:rsid w:val="644C7442"/>
    <w:rsid w:val="650E58EF"/>
    <w:rsid w:val="67D2734F"/>
    <w:rsid w:val="6C4527FB"/>
    <w:rsid w:val="6FD95933"/>
    <w:rsid w:val="700D692D"/>
    <w:rsid w:val="70E33707"/>
    <w:rsid w:val="745F682E"/>
    <w:rsid w:val="7697339E"/>
    <w:rsid w:val="798768AF"/>
    <w:rsid w:val="7D3309A6"/>
    <w:rsid w:val="7EA7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99"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beforeLines="0" w:after="120" w:afterLines="0"/>
    </w:pPr>
    <w:rPr>
      <w:rFonts w:hint="eastAsia"/>
      <w:sz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99"/>
    <w:rPr>
      <w:rFonts w:cs="Times New Roman"/>
    </w:rPr>
  </w:style>
  <w:style w:type="paragraph" w:customStyle="1" w:styleId="8">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9">
    <w:name w:val="〖C01〗正文"/>
    <w:qFormat/>
    <w:uiPriority w:val="99"/>
    <w:pPr>
      <w:widowControl w:val="0"/>
      <w:topLinePunct/>
      <w:spacing w:line="600" w:lineRule="exact"/>
      <w:ind w:firstLine="637" w:firstLineChars="200"/>
    </w:pPr>
    <w:rPr>
      <w:rFonts w:ascii="仿宋_GB2312" w:hAnsi="Calibri"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430</Words>
  <Characters>2457</Characters>
  <Lines>20</Lines>
  <Paragraphs>5</Paragraphs>
  <TotalTime>0</TotalTime>
  <ScaleCrop>false</ScaleCrop>
  <LinksUpToDate>false</LinksUpToDate>
  <CharactersWithSpaces>2882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2018-02-05T06:16:00Z</dcterms:created>
  <dc:creator>微软用户</dc:creator>
  <cp:lastModifiedBy>Administrator</cp:lastModifiedBy>
  <cp:lastPrinted>2024-03-07T06:20:00Z</cp:lastPrinted>
  <dcterms:modified xsi:type="dcterms:W3CDTF">2024-03-08T02:07:43Z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