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目</w:t>
      </w:r>
      <w:r>
        <w:rPr>
          <w:rFonts w:hint="default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 xml:space="preserve"> 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录</w:t>
      </w:r>
    </w:p>
    <w:p>
      <w:pPr>
        <w:spacing w:line="600" w:lineRule="exact"/>
        <w:jc w:val="both"/>
        <w:outlineLvl w:val="0"/>
        <w:rPr>
          <w:spacing w:val="-11"/>
        </w:rPr>
      </w:pPr>
      <w:r>
        <w:rPr>
          <w:rFonts w:ascii="黑体" w:hAnsi="宋体" w:eastAsia="黑体" w:cs="黑体"/>
          <w:color w:val="333333"/>
          <w:kern w:val="0"/>
          <w:sz w:val="31"/>
          <w:szCs w:val="31"/>
          <w:lang w:val="en-US" w:eastAsia="zh-CN" w:bidi="ar"/>
        </w:rPr>
        <w:t xml:space="preserve">第一部分 </w:t>
      </w:r>
      <w:r>
        <w:rPr>
          <w:rFonts w:hint="eastAsia" w:ascii="黑体" w:hAnsi="宋体" w:eastAsia="黑体" w:cs="黑体"/>
          <w:color w:val="333333"/>
          <w:spacing w:val="-11"/>
          <w:kern w:val="0"/>
          <w:sz w:val="31"/>
          <w:szCs w:val="31"/>
          <w:lang w:val="en-US" w:eastAsia="zh-CN" w:bidi="ar"/>
        </w:rPr>
        <w:t>关于峨眉山市财政局（机关）2024年预算编制的说明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一、</w:t>
      </w: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基本职能及主要工作</w:t>
      </w:r>
      <w:r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二、收支预算总体情况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三、财政拨款支出预算安排情况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四、一般公共预算当年拨款情况说明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五、一般公共预算基本支出情况说明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六、政府性基金预算支出规模及变化情况说明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七、“三公”经费预算安排情况说明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八、其他重要事项的情况说明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九、名词解释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333333"/>
          <w:kern w:val="0"/>
          <w:sz w:val="31"/>
          <w:szCs w:val="31"/>
          <w:lang w:val="en-US" w:eastAsia="zh-CN" w:bidi="ar"/>
        </w:rPr>
        <w:t xml:space="preserve">第二部分 2024年峨眉山市财政局（机关）预算表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一、收支预算总表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二、收入预算总表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三、支出预算总表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四、财政拨款预算总表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五、一般公共预算支出表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六、一般公共预算基本支出表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七、一般公共预算“三公”经费支出预算表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八、政府性基金预算支出表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九、国有资本经营预算支出表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十、 支出功能分类预算表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十一、支出经济分类预算表</w:t>
      </w:r>
    </w:p>
    <w:p>
      <w:pPr>
        <w:pStyle w:val="2"/>
        <w:ind w:firstLine="310" w:firstLineChars="100"/>
      </w:pPr>
      <w:r>
        <w:rPr>
          <w:rFonts w:hint="eastAsia" w:ascii="仿宋_GB2312" w:cs="仿宋_GB2312"/>
          <w:color w:val="333333"/>
          <w:kern w:val="0"/>
          <w:sz w:val="31"/>
          <w:szCs w:val="31"/>
          <w:lang w:val="en-US" w:eastAsia="zh-CN" w:bidi="ar"/>
        </w:rPr>
        <w:t>十二、上级资金安排情况表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十三、项目支出表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十四、项目支出预算明细表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十五、政府购买服务预算表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十六、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政府采购预算表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十七、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国有资产配置预算表</w:t>
      </w:r>
    </w:p>
    <w:p>
      <w:pPr>
        <w:pStyle w:val="2"/>
        <w:ind w:firstLine="310" w:firstLineChars="100"/>
        <w:rPr>
          <w:rFonts w:hint="default"/>
          <w:lang w:val="en-US" w:eastAsia="zh-CN"/>
        </w:rPr>
      </w:pPr>
      <w:r>
        <w:rPr>
          <w:rFonts w:hint="eastAsia" w:ascii="仿宋_GB2312" w:cs="仿宋_GB2312"/>
          <w:color w:val="333333"/>
          <w:kern w:val="0"/>
          <w:sz w:val="31"/>
          <w:szCs w:val="31"/>
          <w:lang w:val="en-US" w:eastAsia="zh-CN" w:bidi="ar"/>
        </w:rPr>
        <w:t>十八、部门预算项目绩效目标表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81D29"/>
    <w:rsid w:val="02261F1B"/>
    <w:rsid w:val="0738624E"/>
    <w:rsid w:val="11904598"/>
    <w:rsid w:val="19C05E9B"/>
    <w:rsid w:val="19C237DE"/>
    <w:rsid w:val="1AB45716"/>
    <w:rsid w:val="20C568F9"/>
    <w:rsid w:val="319F176C"/>
    <w:rsid w:val="328448F2"/>
    <w:rsid w:val="528E3E56"/>
    <w:rsid w:val="55CD77A5"/>
    <w:rsid w:val="585359AD"/>
    <w:rsid w:val="5D980449"/>
    <w:rsid w:val="7054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left="0"/>
    </w:pPr>
    <w:rPr>
      <w:rFonts w:ascii="宋体" w:hAnsi="宋体" w:eastAsia="仿宋_GB2312" w:cs="宋体"/>
      <w:sz w:val="32"/>
      <w:szCs w:val="2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2022-05-30T07:03:00Z</dcterms:created>
  <dc:creator>Administrator</dc:creator>
  <cp:lastModifiedBy>Administrator</cp:lastModifiedBy>
  <cp:lastPrinted>2024-03-04T01:40:00Z</cp:lastPrinted>
  <dcterms:modified xsi:type="dcterms:W3CDTF">2024-03-04T02:10:52Z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