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目录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sz w:val="31"/>
          <w:szCs w:val="31"/>
          <w:lang w:val="en-US" w:eastAsia="zh-CN"/>
        </w:rPr>
        <w:t xml:space="preserve">第一部分 </w:t>
      </w:r>
      <w:r>
        <w:rPr>
          <w:rFonts w:hint="eastAsia" w:ascii="黑体" w:hAnsi="黑体" w:eastAsia="黑体" w:cs="黑体"/>
          <w:b w:val="0"/>
          <w:bCs/>
          <w:spacing w:val="-17"/>
          <w:sz w:val="31"/>
          <w:szCs w:val="31"/>
          <w:lang w:val="en-US" w:eastAsia="zh-CN"/>
        </w:rPr>
        <w:t>关于峨眉山市财政投资评审中心2024年预算编制的说明</w:t>
      </w: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一、</w:t>
      </w: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基本职能及主要工作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二、收支预算总体情况 </w:t>
      </w:r>
      <w:bookmarkStart w:id="0" w:name="_GoBack"/>
      <w:bookmarkEnd w:id="0"/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三、财政拨款支出预算安排情况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四、一般公共预算当年拨款情况说明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五、一般公共预算基本支出情况说明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六、政府性基金预算支出规模及变化情况说明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七、“三公”经费预算安排情况说明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八、其他重要事项的情况说明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九、名词解释                              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第二部分 2024年峨眉山市财政投资评审中心预算表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一、收支预算总表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二、收入预算总表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三、支出预算总表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四、财政拨款预算总表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五、一般公共预算支出表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六、一般公共预算基本支出表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七、一般公共预算“三公”经费支出预算表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八、政府性基金预算支出表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九、国有资本经营预算支出表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十、 支出功能分类预算表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十一、 支出经济分类预算表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十二、 上级资金安排情况表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十三、项目支出表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十四、 项目支出预算明细表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十五、政府购买服务预算表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十六、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政府采购预算表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十七、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国有资产配置预算表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十八、</w:t>
      </w: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部门预算项目绩效目标表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1D29"/>
    <w:rsid w:val="20FF0980"/>
    <w:rsid w:val="21BF037F"/>
    <w:rsid w:val="2853131F"/>
    <w:rsid w:val="319F176C"/>
    <w:rsid w:val="380440FE"/>
    <w:rsid w:val="5C393371"/>
    <w:rsid w:val="6A82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0"/>
    </w:pPr>
    <w:rPr>
      <w:rFonts w:ascii="宋体" w:hAnsi="宋体" w:eastAsia="仿宋_GB2312" w:cs="宋体"/>
      <w:sz w:val="32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2022-05-30T07:03:00Z</dcterms:created>
  <dc:creator>Administrator</dc:creator>
  <cp:lastModifiedBy>Administrator</cp:lastModifiedBy>
  <dcterms:modified xsi:type="dcterms:W3CDTF">2024-03-04T01:59:36Z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