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2024年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72"/>
          <w:szCs w:val="72"/>
          <w:lang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峨眉山市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72"/>
          <w:szCs w:val="72"/>
          <w:lang w:eastAsia="zh-CN" w:bidi="ar"/>
        </w:rPr>
        <w:t>老干部活动中心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单位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预算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 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pStyle w:val="2"/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目 录</w:t>
      </w:r>
    </w:p>
    <w:p>
      <w:pPr>
        <w:tabs>
          <w:tab w:val="right" w:leader="dot" w:pos="8400"/>
        </w:tabs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关于峨眉山市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 w:bidi="ar"/>
        </w:rPr>
        <w:t>老干部活动中心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2024年预算编制的说明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二、收支预算总体情况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三、财政拨款支出预算安排情况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四、一般公共预算当年拨款情况说明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五、一般公共预算基本支出情况说明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8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六、政府性基金预算支出规模及变化情况说明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9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七、“三公”经费预算安排情况说明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9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八、其他重要事项的情况说明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10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九、名词解释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11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第二部分 2024年峨眉山市本级部门预算表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一、收支预算总表 </w:t>
      </w:r>
      <w:bookmarkStart w:id="0" w:name="_GoBack"/>
      <w:bookmarkEnd w:id="0"/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二、收入预算总表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三、支出预算总表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 支出功能分类预算表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十一、支出经济分类预算表</w:t>
      </w:r>
    </w:p>
    <w:p>
      <w:pPr>
        <w:pStyle w:val="4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十三、项目支出表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十四、项目支出预算明细表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政府采购预算表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国有资产配置预算表</w:t>
      </w:r>
    </w:p>
    <w:p>
      <w:pPr>
        <w:pStyle w:val="4"/>
        <w:ind w:firstLine="310" w:firstLineChars="100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十九、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支出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绩效目标表</w:t>
      </w: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   </w:t>
      </w:r>
    </w:p>
    <w:p>
      <w:pPr>
        <w:spacing w:line="600" w:lineRule="exact"/>
        <w:outlineLvl w:val="1"/>
      </w:pPr>
    </w:p>
    <w:sectPr>
      <w:footerReference r:id="rId3" w:type="default"/>
      <w:footerReference r:id="rId4" w:type="even"/>
      <w:pgSz w:w="11906" w:h="16838"/>
      <w:pgMar w:top="2098" w:right="1474" w:bottom="1928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13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NzhhZTJiZmNkMGJjOTEyMTNhZmIzNTZkNTRmMjcifQ=="/>
  </w:docVars>
  <w:rsids>
    <w:rsidRoot w:val="00F429C0"/>
    <w:rsid w:val="00050092"/>
    <w:rsid w:val="00091317"/>
    <w:rsid w:val="000E2DA2"/>
    <w:rsid w:val="000F0A83"/>
    <w:rsid w:val="000F755E"/>
    <w:rsid w:val="0012079D"/>
    <w:rsid w:val="001A0437"/>
    <w:rsid w:val="001A2108"/>
    <w:rsid w:val="002730CD"/>
    <w:rsid w:val="00395FC8"/>
    <w:rsid w:val="003A561B"/>
    <w:rsid w:val="003E196A"/>
    <w:rsid w:val="00425810"/>
    <w:rsid w:val="004A1A00"/>
    <w:rsid w:val="0053746F"/>
    <w:rsid w:val="00556E54"/>
    <w:rsid w:val="00564603"/>
    <w:rsid w:val="005E688F"/>
    <w:rsid w:val="00777E08"/>
    <w:rsid w:val="007934F3"/>
    <w:rsid w:val="008431D6"/>
    <w:rsid w:val="00861D72"/>
    <w:rsid w:val="008C72F8"/>
    <w:rsid w:val="008E0F0A"/>
    <w:rsid w:val="009340F3"/>
    <w:rsid w:val="0095365E"/>
    <w:rsid w:val="00A527E0"/>
    <w:rsid w:val="00AA0AD7"/>
    <w:rsid w:val="00AE4401"/>
    <w:rsid w:val="00B3548B"/>
    <w:rsid w:val="00B91982"/>
    <w:rsid w:val="00BB666B"/>
    <w:rsid w:val="00C044B7"/>
    <w:rsid w:val="00C5515C"/>
    <w:rsid w:val="00C7276C"/>
    <w:rsid w:val="00CC5FF3"/>
    <w:rsid w:val="00CE3F7B"/>
    <w:rsid w:val="00D22908"/>
    <w:rsid w:val="00D36FE8"/>
    <w:rsid w:val="00DE1A43"/>
    <w:rsid w:val="00DF77CF"/>
    <w:rsid w:val="00E96880"/>
    <w:rsid w:val="00EA6295"/>
    <w:rsid w:val="00EB2877"/>
    <w:rsid w:val="00F429C0"/>
    <w:rsid w:val="00F95964"/>
    <w:rsid w:val="00FB45E1"/>
    <w:rsid w:val="00FD52AC"/>
    <w:rsid w:val="066D6077"/>
    <w:rsid w:val="15D35DF5"/>
    <w:rsid w:val="15E95371"/>
    <w:rsid w:val="21D6157A"/>
    <w:rsid w:val="270B2E60"/>
    <w:rsid w:val="276557C3"/>
    <w:rsid w:val="2ED21556"/>
    <w:rsid w:val="2F687D9A"/>
    <w:rsid w:val="36DD628E"/>
    <w:rsid w:val="3C21458C"/>
    <w:rsid w:val="3C6F5A34"/>
    <w:rsid w:val="3EE741B8"/>
    <w:rsid w:val="40C8289D"/>
    <w:rsid w:val="441A457D"/>
    <w:rsid w:val="46C53364"/>
    <w:rsid w:val="472A5D26"/>
    <w:rsid w:val="493C20A5"/>
    <w:rsid w:val="49DF285C"/>
    <w:rsid w:val="4DEE5E92"/>
    <w:rsid w:val="50041FB8"/>
    <w:rsid w:val="67D2734F"/>
    <w:rsid w:val="6FD95933"/>
    <w:rsid w:val="745F682E"/>
    <w:rsid w:val="7697339E"/>
    <w:rsid w:val="79235000"/>
    <w:rsid w:val="7D3309A6"/>
    <w:rsid w:val="7EA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left="420" w:leftChars="200"/>
    </w:pPr>
  </w:style>
  <w:style w:type="paragraph" w:styleId="4">
    <w:name w:val="Body Text"/>
    <w:basedOn w:val="1"/>
    <w:next w:val="1"/>
    <w:link w:val="13"/>
    <w:autoRedefine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5">
    <w:name w:val="Date"/>
    <w:basedOn w:val="1"/>
    <w:next w:val="1"/>
    <w:link w:val="14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13">
    <w:name w:val="正文文本 Char"/>
    <w:basedOn w:val="10"/>
    <w:link w:val="4"/>
    <w:qFormat/>
    <w:uiPriority w:val="0"/>
    <w:rPr>
      <w:rFonts w:ascii="宋体" w:hAnsi="宋体" w:eastAsia="仿宋_GB2312" w:cs="宋体"/>
      <w:kern w:val="2"/>
      <w:sz w:val="32"/>
      <w:szCs w:val="28"/>
      <w:lang w:val="zh-CN" w:bidi="zh-CN"/>
    </w:rPr>
  </w:style>
  <w:style w:type="character" w:customStyle="1" w:styleId="14">
    <w:name w:val="日期 Char"/>
    <w:basedOn w:val="10"/>
    <w:link w:val="5"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13</Pages>
  <Words>4567</Words>
  <Characters>543</Characters>
  <Lines>4</Lines>
  <Paragraphs>10</Paragraphs>
  <TotalTime>6</TotalTime>
  <ScaleCrop>false</ScaleCrop>
  <LinksUpToDate>false</LinksUpToDate>
  <CharactersWithSpaces>5100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2018-02-05T06:16:00Z</dcterms:created>
  <dc:creator>微软用户</dc:creator>
  <cp:lastModifiedBy>Administrator</cp:lastModifiedBy>
  <dcterms:modified xsi:type="dcterms:W3CDTF">2024-02-29T02:35:02Z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F969A28C118640C0989592768B9C19A2_12</vt:lpwstr>
  </property>
</Properties>
</file>