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方正小标宋简体" w:eastAsia="方正小标宋简体"/>
          <w:sz w:val="72"/>
          <w:szCs w:val="72"/>
        </w:rPr>
      </w:pPr>
      <w:r>
        <w:rPr>
          <w:rFonts w:hint="eastAsia" w:ascii="方正小标宋简体" w:eastAsia="方正小标宋简体"/>
          <w:sz w:val="72"/>
          <w:szCs w:val="72"/>
        </w:rPr>
        <w:t>2024年</w:t>
      </w:r>
    </w:p>
    <w:p>
      <w:pPr>
        <w:spacing w:line="360" w:lineRule="auto"/>
        <w:jc w:val="center"/>
        <w:outlineLvl w:val="0"/>
        <w:rPr>
          <w:rFonts w:ascii="方正小标宋简体" w:eastAsia="方正小标宋简体"/>
          <w:sz w:val="72"/>
          <w:szCs w:val="72"/>
        </w:rPr>
      </w:pPr>
      <w:r>
        <w:rPr>
          <w:rFonts w:hint="eastAsia" w:ascii="方正小标宋简体" w:eastAsia="方正小标宋简体"/>
          <w:sz w:val="72"/>
          <w:szCs w:val="72"/>
        </w:rPr>
        <w:t>峨眉山市工商</w:t>
      </w:r>
      <w:r>
        <w:rPr>
          <w:rFonts w:ascii="方正小标宋简体" w:eastAsia="方正小标宋简体"/>
          <w:sz w:val="72"/>
          <w:szCs w:val="72"/>
        </w:rPr>
        <w:t>业</w:t>
      </w:r>
      <w:r>
        <w:rPr>
          <w:rFonts w:hint="eastAsia" w:ascii="方正小标宋简体" w:eastAsia="方正小标宋简体"/>
          <w:sz w:val="72"/>
          <w:szCs w:val="72"/>
        </w:rPr>
        <w:t>联合会</w:t>
      </w:r>
    </w:p>
    <w:p>
      <w:pPr>
        <w:spacing w:line="360" w:lineRule="auto"/>
        <w:jc w:val="center"/>
        <w:outlineLvl w:val="0"/>
        <w:rPr>
          <w:rFonts w:ascii="方正小标宋简体" w:eastAsia="方正小标宋简体"/>
          <w:sz w:val="72"/>
          <w:szCs w:val="72"/>
        </w:rPr>
      </w:pPr>
      <w:r>
        <w:rPr>
          <w:rFonts w:hint="eastAsia" w:ascii="方正小标宋简体" w:eastAsia="方正小标宋简体"/>
          <w:sz w:val="72"/>
          <w:szCs w:val="72"/>
        </w:rPr>
        <w:t>部门预算</w:t>
      </w:r>
    </w:p>
    <w:p>
      <w:pPr>
        <w:spacing w:line="360" w:lineRule="auto"/>
        <w:jc w:val="center"/>
        <w:outlineLvl w:val="0"/>
        <w:rPr>
          <w:rFonts w:ascii="方正小标宋简体" w:eastAsia="方正小标宋简体"/>
          <w:sz w:val="72"/>
          <w:szCs w:val="72"/>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hint="eastAsia"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目</w:t>
      </w:r>
      <w:r>
        <w:rPr>
          <w:rFonts w:ascii="方正小标宋简体" w:eastAsia="方正小标宋简体"/>
          <w:sz w:val="44"/>
          <w:szCs w:val="44"/>
        </w:rPr>
        <w:t>录</w:t>
      </w:r>
    </w:p>
    <w:p>
      <w:pPr>
        <w:spacing w:line="600" w:lineRule="exact"/>
        <w:jc w:val="center"/>
        <w:outlineLvl w:val="0"/>
        <w:rPr>
          <w:rFonts w:ascii="方正小标宋简体" w:eastAsia="方正小标宋简体"/>
          <w:sz w:val="44"/>
          <w:szCs w:val="44"/>
        </w:rPr>
      </w:pPr>
    </w:p>
    <w:p>
      <w:pPr>
        <w:tabs>
          <w:tab w:val="right" w:leader="middleDot" w:pos="8295"/>
        </w:tabs>
        <w:spacing w:line="600" w:lineRule="exact"/>
        <w:outlineLvl w:val="0"/>
      </w:pPr>
      <w:r>
        <w:rPr>
          <w:rFonts w:ascii="黑体" w:hAnsi="宋体" w:eastAsia="黑体" w:cs="黑体"/>
          <w:color w:val="333333"/>
          <w:kern w:val="0"/>
          <w:sz w:val="31"/>
          <w:szCs w:val="31"/>
          <w:lang w:bidi="ar"/>
        </w:rPr>
        <w:t xml:space="preserve">第一部分 </w:t>
      </w:r>
      <w:r>
        <w:rPr>
          <w:rFonts w:hint="eastAsia" w:ascii="黑体" w:hAnsi="宋体" w:eastAsia="黑体" w:cs="黑体"/>
          <w:color w:val="333333"/>
          <w:kern w:val="0"/>
          <w:sz w:val="31"/>
          <w:szCs w:val="31"/>
          <w:lang w:bidi="ar"/>
        </w:rPr>
        <w:t>关于2024年预算编制的说明</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4</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ascii="仿宋_GB2312" w:hAnsi="宋体" w:eastAsia="仿宋_GB2312" w:cs="仿宋_GB2312"/>
          <w:color w:val="333333"/>
          <w:kern w:val="0"/>
          <w:sz w:val="31"/>
          <w:szCs w:val="31"/>
          <w:lang w:bidi="ar"/>
        </w:rPr>
        <w:t>一、</w:t>
      </w:r>
      <w:r>
        <w:rPr>
          <w:rFonts w:hint="eastAsia" w:ascii="仿宋_GB2312" w:hAnsi="宋体" w:eastAsia="仿宋_GB2312" w:cs="仿宋_GB2312"/>
          <w:color w:val="333333"/>
          <w:kern w:val="0"/>
          <w:sz w:val="31"/>
          <w:szCs w:val="31"/>
          <w:lang w:bidi="ar"/>
        </w:rPr>
        <w:t>基本职能及主要工作</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4</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二、部门概况</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7</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三、收支预算总体情况</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7</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四、财政拨款支出预算安排情况</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7</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五、一般公共预算当年拨款情况说明</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8</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六、一般公共预算基本支出情况说明</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9</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七、政府性基金预算支出规模及变化情况说明</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10</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八、“三公”经费预算安排情况说明</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10</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九、其他重要事项的情况说明</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11</w:t>
      </w:r>
    </w:p>
    <w:p>
      <w:pPr>
        <w:widowControl/>
        <w:tabs>
          <w:tab w:val="right" w:leader="middleDot" w:pos="8295"/>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十、名词解释</w:t>
      </w:r>
      <w:r>
        <w:rPr>
          <w:rFonts w:ascii="黑体" w:hAnsi="宋体" w:eastAsia="黑体" w:cs="黑体"/>
          <w:color w:val="333333"/>
          <w:kern w:val="0"/>
          <w:sz w:val="31"/>
          <w:szCs w:val="31"/>
          <w:lang w:bidi="ar"/>
        </w:rPr>
        <w:tab/>
      </w:r>
      <w:r>
        <w:rPr>
          <w:rFonts w:ascii="黑体" w:hAnsi="宋体" w:eastAsia="黑体" w:cs="黑体"/>
          <w:color w:val="333333"/>
          <w:kern w:val="0"/>
          <w:sz w:val="31"/>
          <w:szCs w:val="31"/>
          <w:lang w:bidi="ar"/>
        </w:rPr>
        <w:t>12</w:t>
      </w:r>
    </w:p>
    <w:p>
      <w:pPr>
        <w:widowControl/>
        <w:jc w:val="left"/>
      </w:pPr>
      <w:r>
        <w:rPr>
          <w:rFonts w:hint="eastAsia" w:ascii="黑体" w:hAnsi="宋体" w:eastAsia="黑体" w:cs="黑体"/>
          <w:color w:val="333333"/>
          <w:kern w:val="0"/>
          <w:sz w:val="31"/>
          <w:szCs w:val="31"/>
          <w:lang w:bidi="ar"/>
        </w:rPr>
        <w:t>第二部分 2024年峨眉山市工商</w:t>
      </w:r>
      <w:r>
        <w:rPr>
          <w:rFonts w:ascii="黑体" w:hAnsi="宋体" w:eastAsia="黑体" w:cs="黑体"/>
          <w:color w:val="333333"/>
          <w:kern w:val="0"/>
          <w:sz w:val="31"/>
          <w:szCs w:val="31"/>
          <w:lang w:bidi="ar"/>
        </w:rPr>
        <w:t>业联合</w:t>
      </w:r>
      <w:r>
        <w:rPr>
          <w:rFonts w:hint="eastAsia" w:ascii="黑体" w:hAnsi="宋体" w:eastAsia="黑体" w:cs="黑体"/>
          <w:color w:val="333333"/>
          <w:kern w:val="0"/>
          <w:sz w:val="31"/>
          <w:szCs w:val="31"/>
          <w:lang w:bidi="ar"/>
        </w:rPr>
        <w:t xml:space="preserve">会预算表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一、收支预算总表 </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二、收入预算总表</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三、支出预算总表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四、财政拨款预算总表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五、一般公共预算支出表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六、一般公共预算基本支出表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七、一般公共预算“三公”经费支出预算表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八、政府性基金预算支出表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九、国有资本经营预算支出表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十、 支出功能分类预算表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十一、支出经济分类预算表</w:t>
      </w:r>
    </w:p>
    <w:p>
      <w:pPr>
        <w:pStyle w:val="2"/>
        <w:ind w:firstLine="310" w:firstLineChars="100"/>
      </w:pPr>
      <w:r>
        <w:rPr>
          <w:rFonts w:hint="eastAsia" w:ascii="仿宋_GB2312" w:cs="仿宋_GB2312"/>
          <w:color w:val="333333"/>
          <w:kern w:val="0"/>
          <w:sz w:val="31"/>
          <w:szCs w:val="31"/>
          <w:lang w:val="en-US" w:bidi="ar"/>
        </w:rPr>
        <w:t>十二、上级资金安排情况表</w:t>
      </w:r>
    </w:p>
    <w:p>
      <w:pPr>
        <w:widowControl/>
        <w:ind w:firstLine="310" w:firstLineChars="100"/>
        <w:jc w:val="left"/>
      </w:pPr>
      <w:r>
        <w:rPr>
          <w:rFonts w:hint="eastAsia" w:ascii="仿宋_GB2312" w:hAnsi="宋体" w:eastAsia="仿宋_GB2312" w:cs="仿宋_GB2312"/>
          <w:color w:val="333333"/>
          <w:kern w:val="0"/>
          <w:sz w:val="31"/>
          <w:szCs w:val="31"/>
          <w:lang w:bidi="ar"/>
        </w:rPr>
        <w:t>十三、项目支出表</w:t>
      </w:r>
    </w:p>
    <w:p>
      <w:pPr>
        <w:widowControl/>
        <w:ind w:firstLine="310" w:firstLineChars="100"/>
        <w:jc w:val="left"/>
      </w:pPr>
      <w:r>
        <w:rPr>
          <w:rFonts w:hint="eastAsia" w:ascii="仿宋_GB2312" w:hAnsi="宋体" w:eastAsia="仿宋_GB2312" w:cs="仿宋_GB2312"/>
          <w:color w:val="333333"/>
          <w:kern w:val="0"/>
          <w:sz w:val="31"/>
          <w:szCs w:val="31"/>
          <w:lang w:bidi="ar"/>
        </w:rPr>
        <w:t>十四、项目支出预算明细表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 xml:space="preserve">十五、政府购买服务预算表 </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十六、</w:t>
      </w:r>
      <w:r>
        <w:rPr>
          <w:rFonts w:ascii="仿宋_GB2312" w:hAnsi="宋体" w:eastAsia="仿宋_GB2312" w:cs="仿宋_GB2312"/>
          <w:color w:val="333333"/>
          <w:kern w:val="0"/>
          <w:sz w:val="31"/>
          <w:szCs w:val="31"/>
          <w:lang w:bidi="ar"/>
        </w:rPr>
        <w:t>政府采购预算表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十七、</w:t>
      </w:r>
      <w:r>
        <w:rPr>
          <w:rFonts w:ascii="仿宋_GB2312" w:hAnsi="宋体" w:eastAsia="仿宋_GB2312" w:cs="仿宋_GB2312"/>
          <w:color w:val="333333"/>
          <w:kern w:val="0"/>
          <w:sz w:val="31"/>
          <w:szCs w:val="31"/>
          <w:lang w:bidi="ar"/>
        </w:rPr>
        <w:t>国有资产配置预算表</w:t>
      </w:r>
    </w:p>
    <w:p>
      <w:pPr>
        <w:pStyle w:val="2"/>
        <w:ind w:firstLine="310" w:firstLineChars="100"/>
        <w:rPr>
          <w:lang w:val="en-US"/>
        </w:rPr>
      </w:pPr>
      <w:r>
        <w:rPr>
          <w:rFonts w:hint="eastAsia" w:ascii="仿宋_GB2312" w:cs="仿宋_GB2312"/>
          <w:color w:val="333333"/>
          <w:kern w:val="0"/>
          <w:sz w:val="31"/>
          <w:szCs w:val="31"/>
          <w:lang w:val="en-US" w:bidi="ar"/>
        </w:rPr>
        <w:t>十八、部门预算项目 绩效目标表</w:t>
      </w:r>
    </w:p>
    <w:p>
      <w:pPr>
        <w:spacing w:line="600" w:lineRule="exact"/>
        <w:ind w:firstLine="310" w:firstLineChars="100"/>
        <w:outlineLvl w:val="0"/>
        <w:rPr>
          <w:rFonts w:ascii="方正小标宋简体" w:eastAsia="方正小标宋简体"/>
          <w:sz w:val="44"/>
          <w:szCs w:val="44"/>
        </w:rPr>
      </w:pPr>
      <w:r>
        <w:rPr>
          <w:rFonts w:hint="eastAsia" w:ascii="仿宋_GB2312" w:hAnsi="宋体" w:eastAsia="仿宋_GB2312" w:cs="仿宋_GB2312"/>
          <w:color w:val="333333"/>
          <w:kern w:val="0"/>
          <w:sz w:val="31"/>
          <w:szCs w:val="31"/>
          <w:lang w:bidi="ar"/>
        </w:rPr>
        <w:t>十九、</w:t>
      </w:r>
      <w:r>
        <w:rPr>
          <w:rFonts w:ascii="仿宋_GB2312" w:hAnsi="宋体" w:eastAsia="仿宋_GB2312" w:cs="仿宋_GB2312"/>
          <w:color w:val="333333"/>
          <w:kern w:val="0"/>
          <w:sz w:val="31"/>
          <w:szCs w:val="31"/>
          <w:lang w:bidi="ar"/>
        </w:rPr>
        <w:t>部门整体</w:t>
      </w:r>
      <w:r>
        <w:rPr>
          <w:rFonts w:hint="eastAsia" w:ascii="仿宋_GB2312" w:hAnsi="宋体" w:eastAsia="仿宋_GB2312" w:cs="仿宋_GB2312"/>
          <w:color w:val="333333"/>
          <w:kern w:val="0"/>
          <w:sz w:val="31"/>
          <w:szCs w:val="31"/>
          <w:lang w:bidi="ar"/>
        </w:rPr>
        <w:t>支出</w:t>
      </w:r>
      <w:r>
        <w:rPr>
          <w:rFonts w:ascii="仿宋_GB2312" w:hAnsi="宋体" w:eastAsia="仿宋_GB2312" w:cs="仿宋_GB2312"/>
          <w:color w:val="333333"/>
          <w:kern w:val="0"/>
          <w:sz w:val="31"/>
          <w:szCs w:val="31"/>
          <w:lang w:bidi="ar"/>
        </w:rPr>
        <w:t>绩效目标表</w:t>
      </w: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关于峨眉山市工商</w:t>
      </w:r>
      <w:r>
        <w:rPr>
          <w:rFonts w:ascii="方正小标宋简体" w:eastAsia="方正小标宋简体"/>
          <w:sz w:val="44"/>
          <w:szCs w:val="44"/>
        </w:rPr>
        <w:t>业</w:t>
      </w:r>
      <w:r>
        <w:rPr>
          <w:rFonts w:hint="eastAsia" w:ascii="方正小标宋简体" w:eastAsia="方正小标宋简体"/>
          <w:sz w:val="44"/>
          <w:szCs w:val="44"/>
        </w:rPr>
        <w:t>联合会</w:t>
      </w:r>
      <w:r>
        <w:rPr>
          <w:rFonts w:ascii="方正小标宋简体" w:eastAsia="方正小标宋简体"/>
          <w:sz w:val="44"/>
          <w:szCs w:val="44"/>
        </w:rPr>
        <w:br w:type="textWrapping"/>
      </w:r>
      <w:r>
        <w:rPr>
          <w:rFonts w:hint="eastAsia" w:ascii="方正小标宋简体" w:eastAsia="方正小标宋简体"/>
          <w:sz w:val="44"/>
          <w:szCs w:val="44"/>
        </w:rPr>
        <w:t>2024年预算编制的说明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pStyle w:val="6"/>
        <w:widowControl/>
        <w:shd w:val="clear" w:color="auto" w:fill="FFFFFF"/>
        <w:spacing w:beforeAutospacing="0" w:afterAutospacing="0" w:line="600" w:lineRule="atLeast"/>
        <w:ind w:firstLine="420"/>
        <w:rPr>
          <w:rFonts w:ascii="微软雅黑" w:hAnsi="微软雅黑" w:eastAsia="微软雅黑" w:cs="微软雅黑"/>
          <w:color w:val="000000"/>
          <w:szCs w:val="24"/>
        </w:rPr>
      </w:pPr>
      <w:r>
        <w:rPr>
          <w:rFonts w:ascii="仿宋_GB2312" w:hAnsi="微软雅黑" w:eastAsia="仿宋_GB2312" w:cs="仿宋_GB2312"/>
          <w:color w:val="000000"/>
          <w:sz w:val="31"/>
          <w:szCs w:val="31"/>
          <w:shd w:val="clear" w:color="auto" w:fill="FFFFFF"/>
        </w:rPr>
        <w:t>1</w:t>
      </w:r>
      <w:r>
        <w:rPr>
          <w:rFonts w:hint="eastAsia" w:ascii="仿宋_GB2312" w:hAnsi="微软雅黑" w:eastAsia="仿宋_GB2312" w:cs="仿宋_GB2312"/>
          <w:color w:val="000000"/>
          <w:sz w:val="31"/>
          <w:szCs w:val="31"/>
          <w:shd w:val="clear" w:color="auto" w:fill="FFFFFF"/>
        </w:rPr>
        <w:t>.参与地方大政方针政策及政治、经济、社会生活中的重要问题的政治协商，发挥民主监督作用，参政议政。</w:t>
      </w:r>
    </w:p>
    <w:p>
      <w:pPr>
        <w:pStyle w:val="6"/>
        <w:widowControl/>
        <w:shd w:val="clear" w:color="auto" w:fill="FFFFFF"/>
        <w:spacing w:beforeAutospacing="0" w:afterAutospacing="0" w:line="600" w:lineRule="atLeast"/>
        <w:ind w:firstLine="420"/>
        <w:rPr>
          <w:rFonts w:ascii="微软雅黑" w:hAnsi="微软雅黑" w:eastAsia="微软雅黑" w:cs="微软雅黑"/>
          <w:color w:val="000000"/>
          <w:szCs w:val="24"/>
        </w:rPr>
      </w:pPr>
      <w:r>
        <w:rPr>
          <w:rFonts w:hint="eastAsia" w:ascii="仿宋_GB2312" w:hAnsi="微软雅黑" w:eastAsia="仿宋_GB2312" w:cs="仿宋_GB2312"/>
          <w:color w:val="000000"/>
          <w:sz w:val="31"/>
          <w:szCs w:val="31"/>
          <w:shd w:val="clear" w:color="auto" w:fill="FFFFFF"/>
        </w:rPr>
        <w:t>2.做好工商界代表人士政治安排的推荐工作。</w:t>
      </w:r>
    </w:p>
    <w:p>
      <w:pPr>
        <w:pStyle w:val="6"/>
        <w:widowControl/>
        <w:shd w:val="clear" w:color="auto" w:fill="FFFFFF"/>
        <w:spacing w:beforeAutospacing="0" w:afterAutospacing="0" w:line="600" w:lineRule="atLeast"/>
        <w:ind w:firstLine="420"/>
        <w:rPr>
          <w:rFonts w:ascii="微软雅黑" w:hAnsi="微软雅黑" w:eastAsia="微软雅黑" w:cs="微软雅黑"/>
          <w:color w:val="000000"/>
          <w:szCs w:val="24"/>
        </w:rPr>
      </w:pPr>
      <w:r>
        <w:rPr>
          <w:rFonts w:hint="eastAsia" w:ascii="仿宋_GB2312" w:hAnsi="微软雅黑" w:eastAsia="仿宋_GB2312" w:cs="仿宋_GB2312"/>
          <w:color w:val="000000"/>
          <w:sz w:val="31"/>
          <w:szCs w:val="31"/>
          <w:shd w:val="clear" w:color="auto" w:fill="FFFFFF"/>
        </w:rPr>
        <w:t>3.发扬自我教育的优良传统，宣传、贯彻党和国家的方针政策，加强和改进思想政治工作，提倡爱国、敬业、守法，提高会员素质，培养积极分子队伍。</w:t>
      </w:r>
    </w:p>
    <w:p>
      <w:pPr>
        <w:pStyle w:val="6"/>
        <w:widowControl/>
        <w:shd w:val="clear" w:color="auto" w:fill="FFFFFF"/>
        <w:spacing w:beforeAutospacing="0" w:afterAutospacing="0" w:line="600" w:lineRule="atLeast"/>
        <w:ind w:firstLine="420"/>
        <w:rPr>
          <w:rFonts w:ascii="微软雅黑" w:hAnsi="微软雅黑" w:eastAsia="微软雅黑" w:cs="微软雅黑"/>
          <w:color w:val="000000"/>
          <w:szCs w:val="24"/>
        </w:rPr>
      </w:pPr>
      <w:r>
        <w:rPr>
          <w:rFonts w:hint="eastAsia" w:ascii="仿宋_GB2312" w:hAnsi="微软雅黑" w:eastAsia="仿宋_GB2312" w:cs="仿宋_GB2312"/>
          <w:color w:val="000000"/>
          <w:sz w:val="31"/>
          <w:szCs w:val="31"/>
          <w:shd w:val="clear" w:color="auto" w:fill="FFFFFF"/>
        </w:rPr>
        <w:t>4.代表并维护会员企业合法权益，反映会员的意见、要求和建议。</w:t>
      </w:r>
    </w:p>
    <w:p>
      <w:pPr>
        <w:pStyle w:val="6"/>
        <w:widowControl/>
        <w:shd w:val="clear" w:color="auto" w:fill="FFFFFF"/>
        <w:spacing w:beforeAutospacing="0" w:afterAutospacing="0" w:line="600" w:lineRule="atLeast"/>
        <w:ind w:firstLine="420"/>
        <w:rPr>
          <w:rFonts w:ascii="微软雅黑" w:hAnsi="微软雅黑" w:eastAsia="微软雅黑" w:cs="微软雅黑"/>
          <w:color w:val="000000"/>
          <w:szCs w:val="24"/>
        </w:rPr>
      </w:pPr>
      <w:r>
        <w:rPr>
          <w:rFonts w:hint="eastAsia" w:ascii="仿宋_GB2312" w:hAnsi="微软雅黑" w:eastAsia="仿宋_GB2312" w:cs="仿宋_GB2312"/>
          <w:color w:val="000000"/>
          <w:sz w:val="31"/>
          <w:szCs w:val="31"/>
          <w:shd w:val="clear" w:color="auto" w:fill="FFFFFF"/>
        </w:rPr>
        <w:t>5.引导会员弘扬中华民族传统美德，先富帮后富，走共同富裕道路，热心社会公益事业。</w:t>
      </w:r>
    </w:p>
    <w:p>
      <w:pPr>
        <w:pStyle w:val="6"/>
        <w:shd w:val="clear" w:color="auto" w:fill="FFFFFF"/>
        <w:spacing w:beforeAutospacing="0" w:afterAutospacing="0" w:line="600" w:lineRule="atLeast"/>
        <w:ind w:firstLine="420"/>
        <w:rPr>
          <w:rFonts w:ascii="微软雅黑" w:hAnsi="微软雅黑" w:eastAsia="微软雅黑" w:cs="微软雅黑"/>
          <w:color w:val="000000"/>
          <w:szCs w:val="24"/>
        </w:rPr>
      </w:pPr>
      <w:r>
        <w:rPr>
          <w:rFonts w:hint="eastAsia" w:ascii="仿宋_GB2312" w:hAnsi="微软雅黑" w:eastAsia="仿宋_GB2312" w:cs="仿宋_GB2312"/>
          <w:color w:val="000000"/>
          <w:sz w:val="31"/>
          <w:szCs w:val="31"/>
          <w:shd w:val="clear" w:color="auto" w:fill="FFFFFF"/>
        </w:rPr>
        <w:t>6.为会员提供信息和科技、管理、法律、会计、审计、融资、咨询等服务。</w:t>
      </w:r>
    </w:p>
    <w:p>
      <w:pPr>
        <w:pStyle w:val="6"/>
        <w:shd w:val="clear" w:color="auto" w:fill="FFFFFF"/>
        <w:spacing w:beforeAutospacing="0" w:afterAutospacing="0" w:line="600" w:lineRule="atLeast"/>
        <w:ind w:firstLine="420"/>
        <w:rPr>
          <w:rFonts w:ascii="微软雅黑" w:hAnsi="微软雅黑" w:eastAsia="微软雅黑" w:cs="微软雅黑"/>
          <w:color w:val="000000"/>
          <w:szCs w:val="24"/>
        </w:rPr>
      </w:pPr>
      <w:r>
        <w:rPr>
          <w:rFonts w:hint="eastAsia" w:ascii="仿宋_GB2312" w:hAnsi="微软雅黑" w:eastAsia="仿宋_GB2312" w:cs="仿宋_GB2312"/>
          <w:color w:val="000000"/>
          <w:sz w:val="31"/>
          <w:szCs w:val="31"/>
          <w:shd w:val="clear" w:color="auto" w:fill="FFFFFF"/>
        </w:rPr>
        <w:t>7.开展工商专业培训，帮助会员改进经营管理、完善财会管理，照章纳税，提高生产技术和产品质量。</w:t>
      </w:r>
    </w:p>
    <w:p>
      <w:pPr>
        <w:pStyle w:val="6"/>
        <w:shd w:val="clear" w:color="auto" w:fill="FFFFFF"/>
        <w:spacing w:beforeAutospacing="0" w:afterAutospacing="0" w:line="600" w:lineRule="atLeast"/>
        <w:ind w:firstLine="420"/>
        <w:rPr>
          <w:rFonts w:ascii="微软雅黑" w:hAnsi="微软雅黑" w:eastAsia="微软雅黑" w:cs="微软雅黑"/>
          <w:color w:val="000000"/>
          <w:szCs w:val="24"/>
        </w:rPr>
      </w:pPr>
      <w:r>
        <w:rPr>
          <w:rFonts w:hint="eastAsia" w:ascii="仿宋_GB2312" w:hAnsi="微软雅黑" w:eastAsia="仿宋_GB2312" w:cs="仿宋_GB2312"/>
          <w:color w:val="000000"/>
          <w:sz w:val="31"/>
          <w:szCs w:val="31"/>
          <w:shd w:val="clear" w:color="auto" w:fill="FFFFFF"/>
        </w:rPr>
        <w:t>8.组织会员举办和参加各种对内对外展销会、交易会等经济活动，出境考察访问，帮助会员开拓国内、国际市场。</w:t>
      </w:r>
    </w:p>
    <w:p>
      <w:pPr>
        <w:pStyle w:val="6"/>
        <w:widowControl/>
        <w:shd w:val="clear" w:color="auto" w:fill="FFFFFF"/>
        <w:spacing w:beforeAutospacing="0" w:afterAutospacing="0" w:line="600" w:lineRule="atLeast"/>
        <w:ind w:firstLine="420"/>
        <w:rPr>
          <w:rFonts w:ascii="微软雅黑" w:hAnsi="微软雅黑" w:eastAsia="微软雅黑" w:cs="微软雅黑"/>
          <w:color w:val="000000"/>
          <w:szCs w:val="24"/>
        </w:rPr>
      </w:pPr>
      <w:r>
        <w:rPr>
          <w:rFonts w:hint="eastAsia" w:ascii="仿宋_GB2312" w:hAnsi="微软雅黑" w:eastAsia="仿宋_GB2312" w:cs="仿宋_GB2312"/>
          <w:color w:val="000000"/>
          <w:sz w:val="31"/>
          <w:szCs w:val="31"/>
          <w:shd w:val="clear" w:color="auto" w:fill="FFFFFF"/>
        </w:rPr>
        <w:t>9.增进与香港、澳门特区及台湾地区和世界各国工商社团、工商经济界人士的联系和友谊，促进经济、技术和贸易合作的发展，协助引进资金、技术、人才。</w:t>
      </w:r>
    </w:p>
    <w:p>
      <w:pPr>
        <w:pStyle w:val="6"/>
        <w:widowControl/>
        <w:shd w:val="clear" w:color="auto" w:fill="FFFFFF"/>
        <w:spacing w:beforeAutospacing="0" w:afterAutospacing="0" w:line="600" w:lineRule="atLeast"/>
        <w:ind w:firstLine="420"/>
        <w:rPr>
          <w:rFonts w:ascii="微软雅黑" w:hAnsi="微软雅黑" w:eastAsia="微软雅黑" w:cs="微软雅黑"/>
          <w:color w:val="000000"/>
          <w:szCs w:val="24"/>
        </w:rPr>
      </w:pPr>
      <w:r>
        <w:rPr>
          <w:rFonts w:hint="eastAsia" w:ascii="仿宋_GB2312" w:hAnsi="微软雅黑" w:eastAsia="仿宋_GB2312" w:cs="仿宋_GB2312"/>
          <w:color w:val="000000"/>
          <w:sz w:val="31"/>
          <w:szCs w:val="31"/>
          <w:shd w:val="clear" w:color="auto" w:fill="FFFFFF"/>
        </w:rPr>
        <w:t>10.为会员提供有关证明，协调关系，调解经济纠纷。</w:t>
      </w:r>
    </w:p>
    <w:p>
      <w:pPr>
        <w:pStyle w:val="6"/>
        <w:widowControl/>
        <w:shd w:val="clear" w:color="auto" w:fill="FFFFFF"/>
        <w:spacing w:beforeAutospacing="0" w:afterAutospacing="0" w:line="600" w:lineRule="atLeast"/>
        <w:ind w:firstLine="420"/>
        <w:rPr>
          <w:rFonts w:ascii="微软雅黑" w:hAnsi="微软雅黑" w:eastAsia="微软雅黑" w:cs="微软雅黑"/>
          <w:color w:val="000000"/>
          <w:sz w:val="18"/>
          <w:szCs w:val="18"/>
        </w:rPr>
      </w:pPr>
      <w:r>
        <w:rPr>
          <w:rFonts w:hint="eastAsia" w:ascii="仿宋_GB2312" w:hAnsi="微软雅黑" w:eastAsia="仿宋_GB2312" w:cs="仿宋_GB2312"/>
          <w:color w:val="000000"/>
          <w:sz w:val="31"/>
          <w:szCs w:val="31"/>
          <w:shd w:val="clear" w:color="auto" w:fill="FFFFFF"/>
        </w:rPr>
        <w:t>11.承办市委、市政府和有关部门委托事项。</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（二）2024年重点工作任务</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1.</w:t>
      </w:r>
      <w:r>
        <w:rPr>
          <w:rFonts w:hint="eastAsia" w:ascii="黑体" w:hAnsi="黑体" w:eastAsia="黑体" w:cs="黑体"/>
          <w:sz w:val="32"/>
          <w:szCs w:val="32"/>
        </w:rPr>
        <w:t>推动乐山市“两个健康”示范市创建工作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构建亲清新型政商关系。健全完善市领导联系重点民营企业、行业协会商会机制，搭建政企沟通平台，定期走访民营企业，听取民营企业反映和诉求，积极作为、靠前服务。二是优化企业家成长梯队。持续实施峨眉山市“个十百”民营企业家战略性培养计划，提升民营企业家综合素养；做好民营企业人才项目（计划）人选的发掘、培育、推荐、管理，分层次、分行业、分类别建立民营企业家人才库。三是保护市场主体合法权益。发挥工商联“两站一委员会”作用，搭建民营企业家法律服务平台，及时有效化解民营企业民商事纠纷。</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2.</w:t>
      </w:r>
      <w:r>
        <w:rPr>
          <w:rFonts w:hint="eastAsia" w:ascii="黑体" w:hAnsi="黑体" w:eastAsia="黑体" w:cs="黑体"/>
          <w:sz w:val="32"/>
          <w:szCs w:val="32"/>
        </w:rPr>
        <w:t>扎实推进“万企兴万村”行动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巩固拓展一批。进一步巩固村企结对关系，引导民营企业通过参股控股、并购重组等方式，深化产业合作的广度和深度，提高产业市场竞争力和抗风险能力，带动群众稳定脱贫，持续增收。二是示范带动一批。结合省级和乐山市乡村振兴重点帮扶村发展，支持民营企业以联营、委托经营、合资合作等多种形式参与乡村振兴，形成“龙头企业+基地+农户、龙头企业+合作社+家庭农场+农户、龙头企业+资产（资源）+农户”等产业发展模式，实现农村一二三产业融合发展。三是创新创业一批。以独立创业、联合创业等形式，带动一批返乡人员创业就业，以创新带动创业，以创业带动就业。</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3.</w:t>
      </w:r>
      <w:r>
        <w:rPr>
          <w:rFonts w:hint="eastAsia" w:ascii="黑体" w:hAnsi="黑体" w:eastAsia="黑体" w:cs="黑体"/>
          <w:sz w:val="32"/>
          <w:szCs w:val="32"/>
        </w:rPr>
        <w:t>多举措并举深耕基层商会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指导，发挥商会作用。加强对基层商会筹备工作的统筹协调和科学谋划，指导做好商会组建各项工作，扎实推进商会建设，充分发挥商会在团结服务民营经济人士、引导承担社会责任等方面的重要作用。二是部门联动，协同配合。按照“成熟一个、注册一个、规范一个”的原则，组织各乡镇开展调查摸底，摸清本辖区民营企业、民营经济人士底数，以点带面，指导酝酿条件成熟的乡镇率先试点，切实做好对乡镇（街道）商会筹建工作的指导和服务。三是加强联络，搭建招商平台。在各地峨眉籍企业家所在商会建立“双招双引”工作联络站，打造人才、产业精准对接“桥头堡”。</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峨眉山市工商业联合会</w:t>
      </w:r>
      <w:r>
        <w:rPr>
          <w:rFonts w:hint="eastAsia" w:ascii="仿宋_GB2312" w:eastAsia="仿宋_GB2312"/>
          <w:sz w:val="32"/>
          <w:szCs w:val="32"/>
        </w:rPr>
        <w:t>下属二级预算单位</w:t>
      </w:r>
      <w:r>
        <w:rPr>
          <w:rFonts w:ascii="仿宋_GB2312" w:eastAsia="仿宋_GB2312"/>
          <w:sz w:val="32"/>
          <w:szCs w:val="32"/>
        </w:rPr>
        <w:t>0</w:t>
      </w:r>
      <w:r>
        <w:rPr>
          <w:rFonts w:hint="eastAsia" w:ascii="仿宋_GB2312" w:eastAsia="仿宋_GB2312"/>
          <w:sz w:val="32"/>
          <w:szCs w:val="32"/>
        </w:rPr>
        <w:t>个，其中行政单位</w:t>
      </w:r>
      <w:r>
        <w:rPr>
          <w:rFonts w:ascii="仿宋_GB2312" w:eastAsia="仿宋_GB2312"/>
          <w:sz w:val="32"/>
          <w:szCs w:val="32"/>
        </w:rPr>
        <w:t>0</w:t>
      </w:r>
      <w:r>
        <w:rPr>
          <w:rFonts w:hint="eastAsia" w:ascii="仿宋_GB2312" w:eastAsia="仿宋_GB2312"/>
          <w:sz w:val="32"/>
          <w:szCs w:val="32"/>
        </w:rPr>
        <w:t>个，参照公务员法管理的事业单位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0</w:t>
      </w:r>
      <w:r>
        <w:rPr>
          <w:rFonts w:hint="eastAsia" w:ascii="仿宋_GB2312" w:eastAsia="仿宋_GB2312"/>
          <w:sz w:val="32"/>
          <w:szCs w:val="32"/>
        </w:rPr>
        <w:t>个。</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cs="仿宋_GB2312"/>
          <w:sz w:val="32"/>
          <w:szCs w:val="32"/>
        </w:rPr>
        <w:t>峨眉山市工商业联合会</w:t>
      </w:r>
      <w:r>
        <w:rPr>
          <w:rFonts w:hint="eastAsia" w:ascii="仿宋_GB2312" w:eastAsia="仿宋_GB2312"/>
          <w:sz w:val="32"/>
          <w:szCs w:val="32"/>
        </w:rPr>
        <w:t>所有收入和支出均纳入预算管理。2024年</w:t>
      </w:r>
      <w:r>
        <w:rPr>
          <w:rFonts w:hint="eastAsia" w:ascii="仿宋_GB2312" w:eastAsia="仿宋_GB2312" w:cs="仿宋_GB2312"/>
          <w:sz w:val="32"/>
          <w:szCs w:val="32"/>
        </w:rPr>
        <w:t>峨眉山市工商业联合会</w:t>
      </w:r>
      <w:r>
        <w:rPr>
          <w:rFonts w:hint="eastAsia" w:ascii="仿宋_GB2312" w:eastAsia="仿宋_GB2312"/>
          <w:sz w:val="32"/>
          <w:szCs w:val="32"/>
        </w:rPr>
        <w:t>收入预算总额为</w:t>
      </w:r>
      <w:r>
        <w:rPr>
          <w:rFonts w:ascii="仿宋_GB2312" w:eastAsia="仿宋_GB2312"/>
          <w:sz w:val="32"/>
          <w:szCs w:val="32"/>
        </w:rPr>
        <w:t>118.32</w:t>
      </w:r>
      <w:r>
        <w:rPr>
          <w:rFonts w:hint="eastAsia" w:ascii="仿宋_GB2312" w:eastAsia="仿宋_GB2312"/>
          <w:sz w:val="32"/>
          <w:szCs w:val="32"/>
        </w:rPr>
        <w:t>万元，较上年预算数减少</w:t>
      </w:r>
      <w:r>
        <w:rPr>
          <w:rFonts w:ascii="仿宋_GB2312" w:eastAsia="仿宋_GB2312"/>
          <w:sz w:val="32"/>
          <w:szCs w:val="32"/>
        </w:rPr>
        <w:t>5.33</w:t>
      </w:r>
      <w:r>
        <w:rPr>
          <w:rFonts w:hint="eastAsia" w:ascii="仿宋_GB2312" w:eastAsia="仿宋_GB2312"/>
          <w:sz w:val="32"/>
          <w:szCs w:val="32"/>
        </w:rPr>
        <w:t>万元。其中：当年财政拨款收入</w:t>
      </w:r>
      <w:r>
        <w:rPr>
          <w:rFonts w:ascii="仿宋_GB2312" w:eastAsia="仿宋_GB2312"/>
          <w:sz w:val="32"/>
          <w:szCs w:val="32"/>
        </w:rPr>
        <w:t>118.32</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万元。相应安排支出预算</w:t>
      </w:r>
      <w:r>
        <w:rPr>
          <w:rFonts w:ascii="仿宋_GB2312" w:eastAsia="仿宋_GB2312"/>
          <w:sz w:val="32"/>
          <w:szCs w:val="32"/>
        </w:rPr>
        <w:t>118.32</w:t>
      </w:r>
      <w:r>
        <w:rPr>
          <w:rFonts w:hint="eastAsia" w:ascii="仿宋_GB2312" w:eastAsia="仿宋_GB2312"/>
          <w:sz w:val="32"/>
          <w:szCs w:val="32"/>
        </w:rPr>
        <w:t>万元，其中：人员支出</w:t>
      </w:r>
      <w:r>
        <w:rPr>
          <w:rFonts w:ascii="仿宋_GB2312" w:eastAsia="仿宋_GB2312"/>
          <w:sz w:val="32"/>
          <w:szCs w:val="32"/>
        </w:rPr>
        <w:t>83.85</w:t>
      </w:r>
      <w:r>
        <w:rPr>
          <w:rFonts w:hint="eastAsia" w:ascii="仿宋_GB2312" w:eastAsia="仿宋_GB2312"/>
          <w:sz w:val="32"/>
          <w:szCs w:val="32"/>
        </w:rPr>
        <w:t>万元，日常公用支出</w:t>
      </w:r>
      <w:r>
        <w:rPr>
          <w:rFonts w:ascii="仿宋_GB2312" w:eastAsia="仿宋_GB2312"/>
          <w:sz w:val="32"/>
          <w:szCs w:val="32"/>
        </w:rPr>
        <w:t>17.47</w:t>
      </w:r>
      <w:r>
        <w:rPr>
          <w:rFonts w:hint="eastAsia" w:ascii="仿宋_GB2312" w:eastAsia="仿宋_GB2312"/>
          <w:sz w:val="32"/>
          <w:szCs w:val="32"/>
        </w:rPr>
        <w:t>万元，对个人和家庭的补助支出</w:t>
      </w:r>
      <w:r>
        <w:rPr>
          <w:rFonts w:ascii="仿宋_GB2312" w:eastAsia="仿宋_GB2312"/>
          <w:sz w:val="32"/>
          <w:szCs w:val="32"/>
        </w:rPr>
        <w:t>0.02</w:t>
      </w:r>
      <w:r>
        <w:rPr>
          <w:rFonts w:hint="eastAsia" w:ascii="仿宋_GB2312" w:eastAsia="仿宋_GB2312"/>
          <w:sz w:val="32"/>
          <w:szCs w:val="32"/>
        </w:rPr>
        <w:t>万元，专项支出</w:t>
      </w:r>
      <w:r>
        <w:rPr>
          <w:rFonts w:ascii="仿宋_GB2312" w:eastAsia="仿宋_GB2312"/>
          <w:sz w:val="32"/>
          <w:szCs w:val="32"/>
        </w:rPr>
        <w:t>17</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峨眉山市工商业联合会</w:t>
      </w:r>
      <w:r>
        <w:rPr>
          <w:rFonts w:hint="eastAsia" w:ascii="仿宋_GB2312" w:eastAsia="仿宋_GB2312"/>
          <w:sz w:val="32"/>
          <w:szCs w:val="32"/>
        </w:rPr>
        <w:t>2024年财政拨款收支总预算</w:t>
      </w:r>
      <w:r>
        <w:rPr>
          <w:rFonts w:ascii="仿宋_GB2312" w:eastAsia="仿宋_GB2312"/>
          <w:sz w:val="32"/>
          <w:szCs w:val="32"/>
        </w:rPr>
        <w:t>118.32</w:t>
      </w:r>
      <w:r>
        <w:rPr>
          <w:rFonts w:hint="eastAsia" w:ascii="仿宋_GB2312" w:eastAsia="仿宋_GB2312"/>
          <w:sz w:val="32"/>
          <w:szCs w:val="32"/>
        </w:rPr>
        <w:t>万元，主要用于保障</w:t>
      </w:r>
      <w:r>
        <w:rPr>
          <w:rFonts w:hint="eastAsia" w:ascii="仿宋_GB2312" w:eastAsia="仿宋_GB2312" w:cs="仿宋_GB2312"/>
          <w:sz w:val="32"/>
          <w:szCs w:val="32"/>
        </w:rPr>
        <w:t>峨眉山市工商业联合会</w:t>
      </w:r>
      <w:r>
        <w:rPr>
          <w:rFonts w:hint="eastAsia" w:ascii="仿宋_GB2312" w:eastAsia="仿宋_GB2312"/>
          <w:sz w:val="32"/>
          <w:szCs w:val="32"/>
        </w:rPr>
        <w:t>机构正常运转、完成日常工作任务以及</w:t>
      </w:r>
      <w:r>
        <w:rPr>
          <w:rFonts w:hint="eastAsia" w:ascii="仿宋_GB2312" w:eastAsia="仿宋_GB2312"/>
          <w:color w:val="000000" w:themeColor="text1"/>
          <w:sz w:val="32"/>
          <w:szCs w:val="32"/>
          <w14:textFill>
            <w14:solidFill>
              <w14:schemeClr w14:val="tx1"/>
            </w14:solidFill>
          </w14:textFill>
        </w:rPr>
        <w:t>承担</w:t>
      </w:r>
      <w:r>
        <w:rPr>
          <w:rFonts w:hint="eastAsia" w:ascii="仿宋_GB2312" w:eastAsia="仿宋_GB2312"/>
          <w:sz w:val="32"/>
          <w:szCs w:val="32"/>
        </w:rPr>
        <w:t>非公经济发展相关工作。其中：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ascii="仿宋_GB2312" w:eastAsia="仿宋_GB2312"/>
          <w:sz w:val="32"/>
          <w:szCs w:val="32"/>
        </w:rPr>
        <w:t>101.32</w:t>
      </w:r>
      <w:r>
        <w:rPr>
          <w:rFonts w:hint="eastAsia" w:ascii="仿宋_GB2312" w:eastAsia="仿宋_GB2312"/>
          <w:sz w:val="32"/>
          <w:szCs w:val="32"/>
        </w:rPr>
        <w:t>万元，是用于保障</w:t>
      </w:r>
      <w:r>
        <w:rPr>
          <w:rFonts w:hint="eastAsia" w:ascii="仿宋_GB2312" w:eastAsia="仿宋_GB2312" w:cs="仿宋_GB2312"/>
          <w:sz w:val="32"/>
          <w:szCs w:val="32"/>
        </w:rPr>
        <w:t>峨眉山市工商业联合会</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ascii="仿宋_GB2312" w:eastAsia="仿宋_GB2312"/>
          <w:sz w:val="32"/>
          <w:szCs w:val="32"/>
        </w:rPr>
        <w:t>17</w:t>
      </w:r>
      <w:r>
        <w:rPr>
          <w:rFonts w:hint="eastAsia" w:ascii="仿宋_GB2312" w:eastAsia="仿宋_GB2312"/>
          <w:sz w:val="32"/>
          <w:szCs w:val="32"/>
        </w:rPr>
        <w:t>万元，是用于保障</w:t>
      </w:r>
      <w:r>
        <w:rPr>
          <w:rFonts w:hint="eastAsia" w:ascii="仿宋_GB2312" w:eastAsia="仿宋_GB2312" w:cs="仿宋_GB2312"/>
          <w:sz w:val="32"/>
          <w:szCs w:val="32"/>
        </w:rPr>
        <w:t>峨眉山市工商业联合会</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峨眉山市工商业联合会</w:t>
      </w:r>
      <w:r>
        <w:rPr>
          <w:rFonts w:hint="eastAsia" w:ascii="仿宋_GB2312" w:eastAsia="仿宋_GB2312"/>
          <w:sz w:val="32"/>
          <w:szCs w:val="32"/>
        </w:rPr>
        <w:t>2024年一般公共预算当年拨款</w:t>
      </w:r>
      <w:r>
        <w:rPr>
          <w:rFonts w:ascii="仿宋_GB2312" w:eastAsia="仿宋_GB2312"/>
          <w:sz w:val="32"/>
          <w:szCs w:val="32"/>
        </w:rPr>
        <w:t>118.32</w:t>
      </w:r>
      <w:r>
        <w:rPr>
          <w:rFonts w:hint="eastAsia" w:ascii="仿宋_GB2312" w:eastAsia="仿宋_GB2312"/>
          <w:sz w:val="32"/>
          <w:szCs w:val="32"/>
        </w:rPr>
        <w:t>万元，较上年预算数减少</w:t>
      </w:r>
      <w:r>
        <w:rPr>
          <w:rFonts w:ascii="仿宋_GB2312" w:eastAsia="仿宋_GB2312"/>
          <w:sz w:val="32"/>
          <w:szCs w:val="32"/>
        </w:rPr>
        <w:t>5.33</w:t>
      </w:r>
      <w:r>
        <w:rPr>
          <w:rFonts w:hint="eastAsia" w:ascii="仿宋_GB2312" w:eastAsia="仿宋_GB2312"/>
          <w:sz w:val="32"/>
          <w:szCs w:val="32"/>
        </w:rPr>
        <w:t>万元。主要原因是</w:t>
      </w:r>
      <w:r>
        <w:rPr>
          <w:rFonts w:ascii="仿宋_GB2312" w:eastAsia="仿宋_GB2312"/>
          <w:sz w:val="32"/>
          <w:szCs w:val="32"/>
        </w:rPr>
        <w:t>项目经费减少</w:t>
      </w:r>
      <w:r>
        <w:rPr>
          <w:rFonts w:hint="eastAsia" w:ascii="仿宋_GB2312" w:eastAsia="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一般公共服务支出</w:t>
      </w:r>
      <w:r>
        <w:rPr>
          <w:rFonts w:ascii="仿宋_GB2312" w:eastAsia="仿宋_GB2312"/>
          <w:sz w:val="32"/>
          <w:szCs w:val="32"/>
        </w:rPr>
        <w:t>94.64</w:t>
      </w:r>
      <w:r>
        <w:rPr>
          <w:rFonts w:hint="eastAsia" w:ascii="仿宋_GB2312" w:eastAsia="仿宋_GB2312"/>
          <w:sz w:val="32"/>
          <w:szCs w:val="32"/>
        </w:rPr>
        <w:t>万元，占</w:t>
      </w:r>
      <w:r>
        <w:rPr>
          <w:rFonts w:ascii="仿宋_GB2312" w:eastAsia="仿宋_GB2312"/>
          <w:sz w:val="32"/>
          <w:szCs w:val="32"/>
        </w:rPr>
        <w:t>79.99</w:t>
      </w:r>
      <w:r>
        <w:rPr>
          <w:rFonts w:hint="eastAsia" w:ascii="仿宋_GB2312" w:eastAsia="仿宋_GB2312"/>
          <w:sz w:val="32"/>
          <w:szCs w:val="32"/>
        </w:rPr>
        <w:t>%；社会保障和就业支出</w:t>
      </w:r>
      <w:r>
        <w:rPr>
          <w:rFonts w:ascii="仿宋_GB2312" w:eastAsia="仿宋_GB2312"/>
          <w:sz w:val="32"/>
          <w:szCs w:val="32"/>
        </w:rPr>
        <w:t>12.89</w:t>
      </w:r>
      <w:r>
        <w:rPr>
          <w:rFonts w:hint="eastAsia" w:ascii="仿宋_GB2312" w:eastAsia="仿宋_GB2312"/>
          <w:sz w:val="32"/>
          <w:szCs w:val="32"/>
        </w:rPr>
        <w:t>万元，占</w:t>
      </w:r>
      <w:r>
        <w:rPr>
          <w:rFonts w:ascii="仿宋_GB2312" w:eastAsia="仿宋_GB2312"/>
          <w:sz w:val="32"/>
          <w:szCs w:val="32"/>
        </w:rPr>
        <w:t>10.89</w:t>
      </w:r>
      <w:r>
        <w:rPr>
          <w:rFonts w:hint="eastAsia" w:ascii="仿宋_GB2312" w:eastAsia="仿宋_GB2312"/>
          <w:sz w:val="32"/>
          <w:szCs w:val="32"/>
        </w:rPr>
        <w:t>%；卫生健康支出</w:t>
      </w:r>
      <w:r>
        <w:rPr>
          <w:rFonts w:ascii="仿宋_GB2312" w:eastAsia="仿宋_GB2312"/>
          <w:sz w:val="32"/>
          <w:szCs w:val="32"/>
        </w:rPr>
        <w:t>3.25</w:t>
      </w:r>
      <w:r>
        <w:rPr>
          <w:rFonts w:hint="eastAsia" w:ascii="仿宋_GB2312" w:eastAsia="仿宋_GB2312"/>
          <w:sz w:val="32"/>
          <w:szCs w:val="32"/>
        </w:rPr>
        <w:t>万元，占2.</w:t>
      </w:r>
      <w:r>
        <w:rPr>
          <w:rFonts w:ascii="仿宋_GB2312" w:eastAsia="仿宋_GB2312"/>
          <w:sz w:val="32"/>
          <w:szCs w:val="32"/>
        </w:rPr>
        <w:t>75</w:t>
      </w:r>
      <w:r>
        <w:rPr>
          <w:rFonts w:hint="eastAsia" w:ascii="仿宋_GB2312" w:eastAsia="仿宋_GB2312"/>
          <w:sz w:val="32"/>
          <w:szCs w:val="32"/>
        </w:rPr>
        <w:t>%；住房保障支出</w:t>
      </w:r>
      <w:r>
        <w:rPr>
          <w:rFonts w:ascii="仿宋_GB2312" w:eastAsia="仿宋_GB2312"/>
          <w:sz w:val="32"/>
          <w:szCs w:val="32"/>
        </w:rPr>
        <w:t>7.54</w:t>
      </w:r>
      <w:r>
        <w:rPr>
          <w:rFonts w:hint="eastAsia" w:ascii="仿宋_GB2312" w:eastAsia="仿宋_GB2312"/>
          <w:sz w:val="32"/>
          <w:szCs w:val="32"/>
        </w:rPr>
        <w:t>万元，占</w:t>
      </w:r>
      <w:r>
        <w:rPr>
          <w:rFonts w:ascii="仿宋_GB2312" w:eastAsia="仿宋_GB2312"/>
          <w:sz w:val="32"/>
          <w:szCs w:val="32"/>
        </w:rPr>
        <w:t>6.37</w:t>
      </w:r>
      <w:r>
        <w:rPr>
          <w:rFonts w:hint="eastAsia" w:ascii="仿宋_GB2312" w:eastAsia="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1.一般公共服务支出（类）民主党派及工商联事务（款）行政运行（民主）（项），2024年预算数为</w:t>
      </w:r>
      <w:r>
        <w:rPr>
          <w:rFonts w:ascii="仿宋_GB2312" w:eastAsia="仿宋_GB2312"/>
          <w:sz w:val="32"/>
          <w:szCs w:val="32"/>
        </w:rPr>
        <w:t>77.64</w:t>
      </w:r>
      <w:r>
        <w:rPr>
          <w:rFonts w:hint="eastAsia" w:ascii="仿宋_GB2312" w:eastAsia="仿宋_GB2312"/>
          <w:sz w:val="32"/>
          <w:szCs w:val="32"/>
        </w:rPr>
        <w:t>万元，主要用于：正常运转的基本支出，包括基本工资、津贴补贴（或绩效工资）等人员经费以及办公费、印刷费、水电费等日常公用经费。</w:t>
      </w:r>
    </w:p>
    <w:p>
      <w:pPr>
        <w:spacing w:line="600" w:lineRule="exact"/>
        <w:ind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bookmarkStart w:id="0" w:name="_GoBack"/>
      <w:bookmarkEnd w:id="0"/>
      <w:r>
        <w:rPr>
          <w:rFonts w:hint="eastAsia" w:ascii="仿宋_GB2312" w:eastAsia="仿宋_GB2312"/>
          <w:sz w:val="32"/>
          <w:szCs w:val="32"/>
        </w:rPr>
        <w:t>一般公共服务支出（类）民主党派及工商联事务（款）一般行政管理事务（民主）（项），202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17</w:t>
      </w:r>
      <w:r>
        <w:rPr>
          <w:rFonts w:hint="eastAsia" w:ascii="仿宋_GB2312" w:eastAsia="仿宋_GB2312"/>
          <w:sz w:val="32"/>
          <w:szCs w:val="32"/>
        </w:rPr>
        <w:t>万元，主要用于：项目</w:t>
      </w:r>
      <w:r>
        <w:rPr>
          <w:rFonts w:ascii="仿宋_GB2312" w:eastAsia="仿宋_GB2312"/>
          <w:sz w:val="32"/>
          <w:szCs w:val="32"/>
        </w:rPr>
        <w:t>支出包括</w:t>
      </w:r>
      <w:r>
        <w:rPr>
          <w:rFonts w:hint="eastAsia" w:ascii="仿宋_GB2312" w:eastAsia="仿宋_GB2312"/>
          <w:sz w:val="32"/>
          <w:szCs w:val="32"/>
        </w:rPr>
        <w:t>为基层组织建设费、“两个健康”等重点工作保障经费。</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.社会保障和就业支出（类）行政事业单位养老支出（款）机关事业单位养老保险缴费支出（项），202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8.54</w:t>
      </w:r>
      <w:r>
        <w:rPr>
          <w:rFonts w:hint="eastAsia" w:ascii="仿宋_GB2312" w:eastAsia="仿宋_GB2312"/>
          <w:sz w:val="32"/>
          <w:szCs w:val="32"/>
        </w:rPr>
        <w:t>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.社会保障和就业支出（类）行政事业单位养老支出（款）机关事业单位职业年金缴费支出（项），202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4.27</w:t>
      </w:r>
      <w:r>
        <w:rPr>
          <w:rFonts w:hint="eastAsia" w:ascii="仿宋_GB2312" w:eastAsia="仿宋_GB2312"/>
          <w:sz w:val="32"/>
          <w:szCs w:val="32"/>
        </w:rPr>
        <w:t xml:space="preserve">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.社会保障和就业支出（类）其他社会保障和就业支出（款）其他社会保障和就业支出（项），202</w:t>
      </w:r>
      <w:r>
        <w:rPr>
          <w:rFonts w:ascii="仿宋_GB2312" w:eastAsia="仿宋_GB2312"/>
          <w:sz w:val="32"/>
          <w:szCs w:val="32"/>
        </w:rPr>
        <w:t>4</w:t>
      </w:r>
      <w:r>
        <w:rPr>
          <w:rFonts w:hint="eastAsia" w:ascii="仿宋_GB2312" w:eastAsia="仿宋_GB2312"/>
          <w:sz w:val="32"/>
          <w:szCs w:val="32"/>
        </w:rPr>
        <w:t>年预算为</w:t>
      </w:r>
      <w:r>
        <w:rPr>
          <w:rFonts w:ascii="仿宋_GB2312" w:eastAsia="仿宋_GB2312"/>
          <w:sz w:val="32"/>
          <w:szCs w:val="32"/>
        </w:rPr>
        <w:t>0.08</w:t>
      </w:r>
      <w:r>
        <w:rPr>
          <w:rFonts w:hint="eastAsia" w:ascii="仿宋_GB2312" w:eastAsia="仿宋_GB2312"/>
          <w:sz w:val="32"/>
          <w:szCs w:val="32"/>
        </w:rPr>
        <w:t>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.卫生健康支出（类）行政事业单位医疗（款）行政单位医疗（项），202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3.25</w:t>
      </w:r>
      <w:r>
        <w:rPr>
          <w:rFonts w:hint="eastAsia" w:ascii="仿宋_GB2312" w:eastAsia="仿宋_GB2312"/>
          <w:sz w:val="32"/>
          <w:szCs w:val="32"/>
        </w:rPr>
        <w:t>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.住房保障支出（类）住房改革支出（款）住房公积金（项），202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7.54</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s="仿宋_GB2312"/>
          <w:sz w:val="32"/>
          <w:szCs w:val="32"/>
        </w:rPr>
        <w:t>峨眉山市工商业联合会</w:t>
      </w:r>
      <w:r>
        <w:rPr>
          <w:rFonts w:hint="eastAsia" w:ascii="仿宋_GB2312" w:eastAsia="仿宋_GB2312"/>
          <w:sz w:val="32"/>
          <w:szCs w:val="32"/>
        </w:rPr>
        <w:t>2024年一般公共预算基本支出</w:t>
      </w:r>
      <w:r>
        <w:rPr>
          <w:rFonts w:ascii="仿宋_GB2312" w:eastAsia="仿宋_GB2312"/>
          <w:sz w:val="32"/>
          <w:szCs w:val="32"/>
        </w:rPr>
        <w:t>101.32</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ascii="仿宋_GB2312" w:eastAsia="仿宋_GB2312"/>
          <w:sz w:val="32"/>
          <w:szCs w:val="32"/>
        </w:rPr>
        <w:t>83.85</w:t>
      </w:r>
      <w:r>
        <w:rPr>
          <w:rFonts w:hint="eastAsia" w:ascii="仿宋_GB2312" w:eastAsia="仿宋_GB2312"/>
          <w:sz w:val="32"/>
          <w:szCs w:val="32"/>
        </w:rPr>
        <w:t>万元，主要包括：主要包括：基本工资、津贴补贴、绩效工资、奖金、社会保险缴费、住房公积金、生活补助、奖励金、劳务</w:t>
      </w:r>
      <w:r>
        <w:rPr>
          <w:rFonts w:ascii="仿宋_GB2312" w:eastAsia="仿宋_GB2312"/>
          <w:sz w:val="32"/>
          <w:szCs w:val="32"/>
        </w:rPr>
        <w:t>费</w:t>
      </w:r>
      <w:r>
        <w:rPr>
          <w:rFonts w:hint="eastAsia" w:ascii="仿宋_GB2312" w:eastAsia="仿宋_GB2312"/>
          <w:sz w:val="32"/>
          <w:szCs w:val="32"/>
        </w:rPr>
        <w:t>、其他对个人和家庭的补助。</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公用经费</w:t>
      </w:r>
      <w:r>
        <w:rPr>
          <w:rFonts w:ascii="仿宋_GB2312" w:eastAsia="仿宋_GB2312"/>
          <w:sz w:val="32"/>
          <w:szCs w:val="32"/>
        </w:rPr>
        <w:t>17.47</w:t>
      </w:r>
      <w:r>
        <w:rPr>
          <w:rFonts w:hint="eastAsia" w:ascii="仿宋_GB2312" w:eastAsia="仿宋_GB2312"/>
          <w:sz w:val="32"/>
          <w:szCs w:val="32"/>
        </w:rPr>
        <w:t>万元，主要包括：办公费、印刷费、水费、电费、邮电费、差旅费、维修（护）费、会议费、培训费、劳务</w:t>
      </w:r>
      <w:r>
        <w:rPr>
          <w:rFonts w:ascii="仿宋_GB2312" w:eastAsia="仿宋_GB2312"/>
          <w:sz w:val="32"/>
          <w:szCs w:val="32"/>
        </w:rPr>
        <w:t>费、</w:t>
      </w:r>
      <w:r>
        <w:rPr>
          <w:rFonts w:hint="eastAsia" w:ascii="仿宋_GB2312" w:eastAsia="仿宋_GB2312"/>
          <w:sz w:val="32"/>
          <w:szCs w:val="32"/>
        </w:rPr>
        <w:t>委托业务费、工会经费、公务车运行维护费、其他交通费、其他商品和服务支出。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s="仿宋_GB2312"/>
          <w:sz w:val="32"/>
          <w:szCs w:val="32"/>
        </w:rPr>
        <w:t>峨眉山市工商业联合会</w:t>
      </w:r>
      <w:r>
        <w:rPr>
          <w:rFonts w:hint="eastAsia" w:ascii="仿宋_GB2312" w:eastAsia="仿宋_GB2312"/>
          <w:sz w:val="32"/>
          <w:szCs w:val="32"/>
        </w:rPr>
        <w:t>2024年无政府性基金预算。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cs="仿宋_GB2312"/>
          <w:sz w:val="32"/>
          <w:szCs w:val="32"/>
        </w:rPr>
        <w:t>峨眉山市工商业联合会</w:t>
      </w:r>
      <w:r>
        <w:rPr>
          <w:rFonts w:hint="eastAsia" w:ascii="仿宋_GB2312" w:eastAsia="仿宋_GB2312"/>
          <w:sz w:val="32"/>
          <w:szCs w:val="32"/>
        </w:rPr>
        <w:t>2024年“三公”经费预算数</w:t>
      </w:r>
      <w:r>
        <w:rPr>
          <w:rFonts w:ascii="仿宋_GB2312" w:eastAsia="仿宋_GB2312"/>
          <w:sz w:val="32"/>
          <w:szCs w:val="32"/>
        </w:rPr>
        <w:t>3</w:t>
      </w:r>
      <w:r>
        <w:rPr>
          <w:rFonts w:hint="eastAsia" w:ascii="仿宋_GB2312" w:eastAsia="仿宋_GB2312"/>
          <w:sz w:val="32"/>
          <w:szCs w:val="32"/>
        </w:rPr>
        <w:t>万元（其中财政拨款安排“三公”经费</w:t>
      </w:r>
      <w:r>
        <w:rPr>
          <w:rFonts w:ascii="仿宋_GB2312" w:eastAsia="仿宋_GB2312"/>
          <w:sz w:val="32"/>
          <w:szCs w:val="32"/>
        </w:rPr>
        <w:t>3</w:t>
      </w:r>
      <w:r>
        <w:rPr>
          <w:rFonts w:hint="eastAsia" w:ascii="仿宋_GB2312" w:eastAsia="仿宋_GB2312"/>
          <w:sz w:val="32"/>
          <w:szCs w:val="32"/>
        </w:rPr>
        <w:t>万元），较上年“三公”经费预算数持平。因公出国（境）经费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0</w:t>
      </w:r>
      <w:r>
        <w:rPr>
          <w:rFonts w:hint="eastAsia" w:ascii="仿宋_GB2312" w:eastAsia="仿宋_GB2312"/>
          <w:sz w:val="32"/>
          <w:szCs w:val="32"/>
        </w:rPr>
        <w:t>万元，公务用车购置及运行维护费</w:t>
      </w:r>
      <w:r>
        <w:rPr>
          <w:rFonts w:ascii="仿宋_GB2312" w:eastAsia="仿宋_GB2312"/>
          <w:sz w:val="32"/>
          <w:szCs w:val="32"/>
        </w:rPr>
        <w:t>3</w:t>
      </w:r>
      <w:r>
        <w:rPr>
          <w:rFonts w:hint="eastAsia" w:ascii="仿宋_GB2312" w:eastAsia="仿宋_GB2312"/>
          <w:sz w:val="32"/>
          <w:szCs w:val="32"/>
        </w:rPr>
        <w:t>万元。</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无因公出国（境）预算。2024年因公临时出国（境）未安排人次。</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left="640"/>
        <w:outlineLvl w:val="1"/>
        <w:rPr>
          <w:rFonts w:ascii="楷体_GB2312" w:hAnsi="楷体_GB2312" w:eastAsia="楷体_GB2312" w:cs="楷体_GB2312"/>
          <w:sz w:val="32"/>
          <w:szCs w:val="32"/>
        </w:rPr>
      </w:pPr>
      <w:r>
        <w:rPr>
          <w:rFonts w:hint="eastAsia" w:ascii="仿宋_GB2312" w:eastAsia="仿宋_GB2312"/>
          <w:sz w:val="32"/>
          <w:szCs w:val="32"/>
        </w:rPr>
        <w:t>无公务接待预算。</w:t>
      </w:r>
      <w:r>
        <w:rPr>
          <w:rFonts w:ascii="仿宋_GB2312" w:eastAsia="仿宋_GB2312"/>
          <w:sz w:val="32"/>
          <w:szCs w:val="32"/>
        </w:rPr>
        <w:t>2023</w:t>
      </w:r>
      <w:r>
        <w:rPr>
          <w:rFonts w:hint="eastAsia" w:ascii="仿宋_GB2312" w:eastAsia="仿宋_GB2312"/>
          <w:sz w:val="32"/>
          <w:szCs w:val="32"/>
        </w:rPr>
        <w:t>年未安排公务接待人次。</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ascii="仿宋_GB2312" w:eastAsia="仿宋_GB2312"/>
          <w:sz w:val="32"/>
          <w:szCs w:val="32"/>
        </w:rPr>
        <w:t>1</w:t>
      </w:r>
      <w:r>
        <w:rPr>
          <w:rFonts w:hint="eastAsia" w:ascii="仿宋_GB2312" w:eastAsia="仿宋_GB2312"/>
          <w:sz w:val="32"/>
          <w:szCs w:val="32"/>
        </w:rPr>
        <w:t>辆，其中：轿车</w:t>
      </w:r>
      <w:r>
        <w:rPr>
          <w:rFonts w:ascii="仿宋_GB2312" w:eastAsia="仿宋_GB2312"/>
          <w:sz w:val="32"/>
          <w:szCs w:val="32"/>
        </w:rPr>
        <w:t>1</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辆、多功能乘用车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2024年安排公务用车购置费</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2024年安排公务用车运行维护费</w:t>
      </w:r>
      <w:r>
        <w:rPr>
          <w:rFonts w:ascii="仿宋_GB2312" w:eastAsia="仿宋_GB2312"/>
          <w:sz w:val="32"/>
          <w:szCs w:val="32"/>
        </w:rPr>
        <w:t>3</w:t>
      </w:r>
      <w:r>
        <w:rPr>
          <w:rFonts w:hint="eastAsia" w:ascii="仿宋_GB2312" w:eastAsia="仿宋_GB2312"/>
          <w:sz w:val="32"/>
          <w:szCs w:val="32"/>
        </w:rPr>
        <w:t>万元，与2023年</w:t>
      </w:r>
      <w:r>
        <w:rPr>
          <w:rFonts w:ascii="仿宋_GB2312" w:eastAsia="仿宋_GB2312"/>
          <w:sz w:val="32"/>
          <w:szCs w:val="32"/>
        </w:rPr>
        <w:t>预算数</w:t>
      </w:r>
      <w:r>
        <w:rPr>
          <w:rFonts w:hint="eastAsia" w:ascii="仿宋_GB2312" w:eastAsia="仿宋_GB2312"/>
          <w:sz w:val="32"/>
          <w:szCs w:val="32"/>
        </w:rPr>
        <w:t>持</w:t>
      </w:r>
      <w:r>
        <w:rPr>
          <w:rFonts w:ascii="仿宋_GB2312" w:eastAsia="仿宋_GB2312"/>
          <w:sz w:val="32"/>
          <w:szCs w:val="32"/>
        </w:rPr>
        <w:t>平</w:t>
      </w:r>
      <w:r>
        <w:rPr>
          <w:rFonts w:hint="eastAsia" w:ascii="仿宋_GB2312" w:eastAsia="仿宋_GB2312"/>
          <w:sz w:val="32"/>
          <w:szCs w:val="32"/>
        </w:rPr>
        <w:t>。主要用于公务车购买保险、日常维护等。</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w:t>
      </w:r>
      <w:r>
        <w:rPr>
          <w:rFonts w:hint="eastAsia" w:ascii="仿宋_GB2312" w:eastAsia="仿宋_GB2312" w:cs="仿宋_GB2312"/>
          <w:sz w:val="32"/>
          <w:szCs w:val="32"/>
        </w:rPr>
        <w:t>峨眉山市工商业联合会</w:t>
      </w:r>
      <w:r>
        <w:rPr>
          <w:rFonts w:hint="eastAsia" w:ascii="仿宋_GB2312" w:eastAsia="仿宋_GB2312"/>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sz w:val="32"/>
          <w:szCs w:val="32"/>
        </w:rPr>
        <w:t>17.47</w:t>
      </w:r>
      <w:r>
        <w:rPr>
          <w:rFonts w:hint="eastAsia" w:ascii="仿宋_GB2312" w:eastAsia="仿宋_GB2312"/>
          <w:sz w:val="32"/>
          <w:szCs w:val="32"/>
        </w:rPr>
        <w:t>万元，较上年预算减少0</w:t>
      </w:r>
      <w:r>
        <w:rPr>
          <w:rFonts w:ascii="仿宋_GB2312" w:eastAsia="仿宋_GB2312"/>
          <w:sz w:val="32"/>
          <w:szCs w:val="32"/>
        </w:rPr>
        <w:t>.15</w:t>
      </w:r>
      <w:r>
        <w:rPr>
          <w:rFonts w:hint="eastAsia" w:ascii="仿宋_GB2312" w:eastAsia="仿宋_GB2312"/>
          <w:sz w:val="32"/>
          <w:szCs w:val="32"/>
        </w:rPr>
        <w:t>万元，下降</w:t>
      </w:r>
      <w:r>
        <w:rPr>
          <w:rFonts w:ascii="仿宋_GB2312" w:eastAsia="仿宋_GB2312"/>
          <w:sz w:val="32"/>
          <w:szCs w:val="32"/>
        </w:rPr>
        <w:t>0.85</w:t>
      </w:r>
      <w:r>
        <w:rPr>
          <w:rFonts w:hint="eastAsia" w:ascii="仿宋_GB2312" w:eastAsia="仿宋_GB2312"/>
          <w:sz w:val="32"/>
          <w:szCs w:val="32"/>
        </w:rPr>
        <w:t>%。</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w:t>
      </w:r>
      <w:r>
        <w:rPr>
          <w:rFonts w:hint="eastAsia" w:ascii="仿宋_GB2312" w:eastAsia="仿宋_GB2312" w:cs="仿宋_GB2312"/>
          <w:sz w:val="32"/>
          <w:szCs w:val="32"/>
        </w:rPr>
        <w:t>峨眉山市工商业联合会未</w:t>
      </w:r>
      <w:r>
        <w:rPr>
          <w:rFonts w:hint="eastAsia" w:ascii="仿宋_GB2312" w:eastAsia="仿宋_GB2312"/>
          <w:sz w:val="32"/>
          <w:szCs w:val="32"/>
        </w:rPr>
        <w:t>安排政府采购预算。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cs="仿宋_GB2312"/>
          <w:sz w:val="32"/>
          <w:szCs w:val="32"/>
        </w:rPr>
        <w:t>峨眉山市工商业联合会</w:t>
      </w:r>
      <w:r>
        <w:rPr>
          <w:rFonts w:hint="eastAsia" w:ascii="仿宋_GB2312" w:eastAsia="仿宋_GB2312"/>
          <w:sz w:val="32"/>
          <w:szCs w:val="32"/>
        </w:rPr>
        <w:t>实际共有车辆</w:t>
      </w:r>
      <w:r>
        <w:rPr>
          <w:rFonts w:ascii="仿宋_GB2312" w:eastAsia="仿宋_GB2312"/>
          <w:sz w:val="32"/>
          <w:szCs w:val="32"/>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2024年，预算安排购置车辆</w:t>
      </w:r>
      <w:r>
        <w:rPr>
          <w:rFonts w:ascii="仿宋_GB2312" w:eastAsia="仿宋_GB2312"/>
          <w:sz w:val="32"/>
          <w:szCs w:val="32"/>
        </w:rPr>
        <w:t>0</w:t>
      </w:r>
      <w:r>
        <w:rPr>
          <w:rFonts w:hint="eastAsia" w:ascii="仿宋_GB2312" w:eastAsia="仿宋_GB2312"/>
          <w:sz w:val="32"/>
          <w:szCs w:val="32"/>
        </w:rPr>
        <w:t>辆及单位价值200万元以上大型设备</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w:t>
      </w:r>
      <w:r>
        <w:rPr>
          <w:rFonts w:hint="eastAsia" w:ascii="仿宋_GB2312" w:eastAsia="仿宋_GB2312" w:cs="仿宋_GB2312"/>
          <w:sz w:val="32"/>
          <w:szCs w:val="32"/>
        </w:rPr>
        <w:t>峨眉山市工商业联合会</w:t>
      </w:r>
      <w:r>
        <w:rPr>
          <w:rFonts w:hint="eastAsia" w:ascii="仿宋_GB2312" w:eastAsia="仿宋_GB2312"/>
          <w:sz w:val="32"/>
          <w:szCs w:val="32"/>
        </w:rPr>
        <w:t>按要求实行绩效目标管理，部门（单位）整体绩效目标涉及预算安排</w:t>
      </w:r>
      <w:r>
        <w:rPr>
          <w:rFonts w:ascii="仿宋_GB2312" w:eastAsia="仿宋_GB2312"/>
          <w:sz w:val="32"/>
          <w:szCs w:val="32"/>
        </w:rPr>
        <w:t>118.32</w:t>
      </w:r>
      <w:r>
        <w:rPr>
          <w:rFonts w:hint="eastAsia" w:ascii="仿宋_GB2312" w:eastAsia="仿宋_GB2312"/>
          <w:sz w:val="32"/>
          <w:szCs w:val="32"/>
        </w:rPr>
        <w:t>万元，其中基本支出</w:t>
      </w:r>
      <w:r>
        <w:rPr>
          <w:rFonts w:ascii="仿宋_GB2312" w:eastAsia="仿宋_GB2312"/>
          <w:sz w:val="32"/>
          <w:szCs w:val="32"/>
        </w:rPr>
        <w:t>101.32</w:t>
      </w:r>
      <w:r>
        <w:rPr>
          <w:rFonts w:hint="eastAsia" w:ascii="仿宋_GB2312" w:eastAsia="仿宋_GB2312"/>
          <w:sz w:val="32"/>
          <w:szCs w:val="32"/>
        </w:rPr>
        <w:t>万元，项目支出</w:t>
      </w:r>
      <w:r>
        <w:rPr>
          <w:rFonts w:ascii="仿宋_GB2312" w:eastAsia="仿宋_GB2312"/>
          <w:sz w:val="32"/>
          <w:szCs w:val="32"/>
        </w:rPr>
        <w:t>17</w:t>
      </w:r>
      <w:r>
        <w:rPr>
          <w:rFonts w:hint="eastAsia" w:ascii="仿宋_GB2312" w:eastAsia="仿宋_GB2312"/>
          <w:sz w:val="32"/>
          <w:szCs w:val="32"/>
        </w:rPr>
        <w:t>万元。其中编制了项目绩效目标的预算</w:t>
      </w:r>
      <w:r>
        <w:rPr>
          <w:rFonts w:ascii="仿宋_GB2312" w:eastAsia="仿宋_GB2312"/>
          <w:sz w:val="32"/>
          <w:szCs w:val="32"/>
        </w:rPr>
        <w:t>17</w:t>
      </w:r>
      <w:r>
        <w:rPr>
          <w:rFonts w:hint="eastAsia" w:ascii="仿宋_GB2312" w:eastAsia="仿宋_GB2312"/>
          <w:sz w:val="32"/>
          <w:szCs w:val="32"/>
        </w:rPr>
        <w:t>万元，主要为基层组织建设费、“两个健康”等重点工作保障经费项目。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一般公共预算拨款收入：指本级财政当年拨付的资金。</w:t>
      </w:r>
    </w:p>
    <w:p>
      <w:pPr>
        <w:pStyle w:val="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xml:space="preserve">其他收入：指除上述“财政拨款收入”、“事业收入”、“经营收入”等以外的收入。 </w:t>
      </w:r>
    </w:p>
    <w:p>
      <w:pPr>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rPr>
        <w:t xml:space="preserve"> </w:t>
      </w:r>
      <w:r>
        <w:rPr>
          <w:rFonts w:hint="eastAsia" w:ascii="仿宋_GB2312" w:eastAsia="仿宋_GB2312"/>
          <w:color w:val="000000"/>
          <w:sz w:val="32"/>
          <w:szCs w:val="32"/>
        </w:rPr>
        <w:t>一般公共服务支出（类）民主党派及工商联事务（款）行政运行（民主）（项）：指本部门的基本支出。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5.一般公共服务支出（类）民主党派及工商联事务（款）一般行政管理事务（民主）（项）：指本部门未单独设置项级科目的其他项目支出。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6.社会保障和就业支出（类）行政事业单位养老支出（款）机关事业单位基本养老保险缴费支出（项）：指本部门实施养老保险制度由单位缴纳的基本养老保险费支出。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7.社会保障和就业（类）行政事业单位养老支出（款）机关事业单位职业年金缴费支出（项）：指本部门实施养老保险制度由单位实际缴纳的职业年金支出。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8.社会保障和就业（类）其他社会保障和就业支出（款）其他社会保障和就业支出（项）：指反应除上述项目以外其他用于社会保障和就业方面的支出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卫生健康支出（类）行政事业单位医疗（款）行政单位医疗（项）：反映财政部门集中安排的本部门基本医疗保险缴费经费，未参加医疗保险的行政单位的公费医疗经费，按国家规定享受离休人员、红军老战士待遇人员的医疗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10.住房保障支出（类）住房改革支出（款）住房公积金（项）：指本部门按人力资源和社会保障部、财政部规定的基本工资和津贴补贴以及规定比例为职工缴纳的住房公积金。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13.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13</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63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C0"/>
    <w:rsid w:val="00050092"/>
    <w:rsid w:val="00091317"/>
    <w:rsid w:val="000C76AD"/>
    <w:rsid w:val="000F0A83"/>
    <w:rsid w:val="000F755E"/>
    <w:rsid w:val="00104FFA"/>
    <w:rsid w:val="001A0437"/>
    <w:rsid w:val="001A2108"/>
    <w:rsid w:val="00262674"/>
    <w:rsid w:val="002730CD"/>
    <w:rsid w:val="002B1EA5"/>
    <w:rsid w:val="00393FF4"/>
    <w:rsid w:val="003A561B"/>
    <w:rsid w:val="003D1C9B"/>
    <w:rsid w:val="00425810"/>
    <w:rsid w:val="004A1A00"/>
    <w:rsid w:val="00531EC0"/>
    <w:rsid w:val="0053746F"/>
    <w:rsid w:val="0056274C"/>
    <w:rsid w:val="00564603"/>
    <w:rsid w:val="005E688F"/>
    <w:rsid w:val="006139EA"/>
    <w:rsid w:val="00777E08"/>
    <w:rsid w:val="00786731"/>
    <w:rsid w:val="007934F3"/>
    <w:rsid w:val="00836E52"/>
    <w:rsid w:val="00861D72"/>
    <w:rsid w:val="008C72F8"/>
    <w:rsid w:val="009340F3"/>
    <w:rsid w:val="0095372C"/>
    <w:rsid w:val="00A527E0"/>
    <w:rsid w:val="00A76F10"/>
    <w:rsid w:val="00AE4401"/>
    <w:rsid w:val="00B3548B"/>
    <w:rsid w:val="00B94ADC"/>
    <w:rsid w:val="00BB666B"/>
    <w:rsid w:val="00BE6A1B"/>
    <w:rsid w:val="00C044B7"/>
    <w:rsid w:val="00C5515C"/>
    <w:rsid w:val="00CC5FF3"/>
    <w:rsid w:val="00D36FE8"/>
    <w:rsid w:val="00D440DE"/>
    <w:rsid w:val="00DA2CAF"/>
    <w:rsid w:val="00DE1A43"/>
    <w:rsid w:val="00DE2161"/>
    <w:rsid w:val="00DF77CF"/>
    <w:rsid w:val="00E75231"/>
    <w:rsid w:val="00EA6295"/>
    <w:rsid w:val="00F429C0"/>
    <w:rsid w:val="00FB45E1"/>
    <w:rsid w:val="066D6077"/>
    <w:rsid w:val="15D35DF5"/>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549D5059"/>
    <w:rsid w:val="67D2734F"/>
    <w:rsid w:val="6FD9593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0"/>
    <w:qFormat/>
    <w:uiPriority w:val="0"/>
    <w:rPr>
      <w:rFonts w:ascii="宋体" w:hAnsi="宋体" w:eastAsia="仿宋_GB2312" w:cs="宋体"/>
      <w:sz w:val="32"/>
      <w:szCs w:val="28"/>
      <w:lang w:val="zh-CN" w:bidi="zh-CN"/>
    </w:rPr>
  </w:style>
  <w:style w:type="paragraph" w:styleId="3">
    <w:name w:val="Date"/>
    <w:basedOn w:val="1"/>
    <w:next w:val="1"/>
    <w:link w:val="11"/>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kern w:val="0"/>
      <w:sz w:val="24"/>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正文文本 Char"/>
    <w:basedOn w:val="8"/>
    <w:link w:val="2"/>
    <w:uiPriority w:val="0"/>
    <w:rPr>
      <w:rFonts w:ascii="宋体" w:hAnsi="宋体" w:eastAsia="仿宋_GB2312" w:cs="宋体"/>
      <w:kern w:val="2"/>
      <w:sz w:val="32"/>
      <w:szCs w:val="28"/>
      <w:lang w:val="zh-CN" w:bidi="zh-CN"/>
    </w:rPr>
  </w:style>
  <w:style w:type="character" w:customStyle="1" w:styleId="11">
    <w:name w:val="日期 Char"/>
    <w:basedOn w:val="8"/>
    <w:link w:val="3"/>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4904</Words>
  <Characters>433</Characters>
  <Lines>3</Lines>
  <Paragraphs>10</Paragraphs>
  <TotalTime>101</TotalTime>
  <ScaleCrop>false</ScaleCrop>
  <LinksUpToDate>false</LinksUpToDate>
  <CharactersWithSpaces>5327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2024-02-02T15:19:00Z</dcterms:created>
  <dc:creator>微软用户</dc:creator>
  <cp:lastModifiedBy>Administrator</cp:lastModifiedBy>
  <dcterms:modified xsi:type="dcterms:W3CDTF">2024-02-06T02:09:53Z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3BC15971D82D4B0E91EAC2E0D53393F7</vt:lpwstr>
  </property>
</Properties>
</file>