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ascii="方正小标宋简体" w:eastAsia="方正小标宋简体"/>
          <w:sz w:val="72"/>
          <w:szCs w:val="72"/>
        </w:rPr>
      </w:pPr>
    </w:p>
    <w:p>
      <w:pPr>
        <w:spacing w:line="360" w:lineRule="auto"/>
        <w:jc w:val="center"/>
        <w:outlineLvl w:val="0"/>
        <w:rPr>
          <w:rFonts w:ascii="方正小标宋简体" w:eastAsia="方正小标宋简体"/>
          <w:sz w:val="72"/>
          <w:szCs w:val="72"/>
        </w:rPr>
      </w:pPr>
      <w:r>
        <w:rPr>
          <w:rFonts w:hint="eastAsia" w:ascii="方正小标宋简体" w:eastAsia="方正小标宋简体"/>
          <w:sz w:val="72"/>
          <w:szCs w:val="72"/>
        </w:rPr>
        <w:t>2024年</w:t>
      </w:r>
    </w:p>
    <w:p>
      <w:pPr>
        <w:spacing w:line="360" w:lineRule="auto"/>
        <w:jc w:val="center"/>
        <w:outlineLvl w:val="0"/>
        <w:rPr>
          <w:rFonts w:ascii="方正小标宋简体" w:eastAsia="方正小标宋简体"/>
          <w:sz w:val="72"/>
          <w:szCs w:val="72"/>
        </w:rPr>
      </w:pPr>
      <w:r>
        <w:rPr>
          <w:rFonts w:hint="eastAsia" w:ascii="方正小标宋简体" w:eastAsia="方正小标宋简体"/>
          <w:sz w:val="72"/>
          <w:szCs w:val="72"/>
        </w:rPr>
        <w:t>峨眉山市科学技术协会</w:t>
      </w:r>
    </w:p>
    <w:p>
      <w:pPr>
        <w:spacing w:line="360" w:lineRule="auto"/>
        <w:jc w:val="center"/>
        <w:outlineLvl w:val="0"/>
        <w:rPr>
          <w:rFonts w:ascii="方正小标宋简体" w:eastAsia="方正小标宋简体"/>
          <w:sz w:val="72"/>
          <w:szCs w:val="72"/>
        </w:rPr>
      </w:pPr>
      <w:r>
        <w:rPr>
          <w:rFonts w:hint="eastAsia" w:ascii="方正小标宋简体" w:eastAsia="方正小标宋简体"/>
          <w:sz w:val="72"/>
          <w:szCs w:val="72"/>
        </w:rPr>
        <w:t>部门预算</w:t>
      </w:r>
    </w:p>
    <w:p>
      <w:pPr>
        <w:spacing w:line="360" w:lineRule="auto"/>
        <w:jc w:val="center"/>
        <w:outlineLvl w:val="0"/>
        <w:rPr>
          <w:rFonts w:ascii="方正小标宋简体" w:eastAsia="方正小标宋简体"/>
          <w:sz w:val="72"/>
          <w:szCs w:val="72"/>
        </w:rPr>
      </w:pPr>
    </w:p>
    <w:p>
      <w:pPr>
        <w:spacing w:line="600" w:lineRule="exact"/>
        <w:outlineLvl w:val="0"/>
        <w:rPr>
          <w:rFonts w:ascii="方正小标宋简体" w:eastAsia="方正小标宋简体"/>
          <w:sz w:val="44"/>
          <w:szCs w:val="44"/>
        </w:rPr>
      </w:pPr>
    </w:p>
    <w:p>
      <w:pPr>
        <w:spacing w:line="600" w:lineRule="exact"/>
        <w:outlineLvl w:val="0"/>
        <w:rPr>
          <w:rFonts w:ascii="方正小标宋简体" w:eastAsia="方正小标宋简体"/>
          <w:sz w:val="44"/>
          <w:szCs w:val="44"/>
        </w:rPr>
      </w:pPr>
    </w:p>
    <w:p>
      <w:pPr>
        <w:spacing w:line="600" w:lineRule="exact"/>
        <w:outlineLvl w:val="0"/>
        <w:rPr>
          <w:rFonts w:ascii="方正小标宋简体" w:eastAsia="方正小标宋简体"/>
          <w:sz w:val="44"/>
          <w:szCs w:val="44"/>
        </w:rPr>
      </w:pPr>
    </w:p>
    <w:p>
      <w:pPr>
        <w:spacing w:line="600" w:lineRule="exact"/>
        <w:outlineLvl w:val="0"/>
        <w:rPr>
          <w:rFonts w:ascii="方正小标宋简体" w:eastAsia="方正小标宋简体"/>
          <w:sz w:val="44"/>
          <w:szCs w:val="44"/>
        </w:rPr>
      </w:pPr>
    </w:p>
    <w:p>
      <w:pPr>
        <w:spacing w:line="600" w:lineRule="exact"/>
        <w:outlineLvl w:val="0"/>
        <w:rPr>
          <w:rFonts w:ascii="方正小标宋简体" w:eastAsia="方正小标宋简体"/>
          <w:sz w:val="44"/>
          <w:szCs w:val="44"/>
        </w:rPr>
      </w:pPr>
    </w:p>
    <w:p>
      <w:pPr>
        <w:spacing w:line="600" w:lineRule="exact"/>
        <w:outlineLvl w:val="0"/>
        <w:rPr>
          <w:rFonts w:ascii="方正小标宋简体" w:eastAsia="方正小标宋简体"/>
          <w:sz w:val="44"/>
          <w:szCs w:val="44"/>
        </w:rPr>
      </w:pPr>
    </w:p>
    <w:p>
      <w:pPr>
        <w:spacing w:line="600" w:lineRule="exact"/>
        <w:outlineLvl w:val="0"/>
        <w:rPr>
          <w:rFonts w:ascii="方正小标宋简体" w:eastAsia="方正小标宋简体"/>
          <w:sz w:val="44"/>
          <w:szCs w:val="44"/>
        </w:rPr>
      </w:pPr>
    </w:p>
    <w:p>
      <w:pPr>
        <w:spacing w:line="600" w:lineRule="exact"/>
        <w:outlineLvl w:val="0"/>
        <w:rPr>
          <w:rFonts w:hint="eastAsia" w:ascii="方正小标宋简体" w:eastAsia="方正小标宋简体"/>
          <w:sz w:val="44"/>
          <w:szCs w:val="44"/>
        </w:rPr>
      </w:pPr>
    </w:p>
    <w:p>
      <w:pPr>
        <w:rPr>
          <w:rFonts w:hint="eastAsia" w:ascii="方正小标宋简体" w:eastAsia="方正小标宋简体"/>
          <w:sz w:val="44"/>
          <w:szCs w:val="44"/>
        </w:rPr>
      </w:pPr>
      <w:r>
        <w:rPr>
          <w:rFonts w:hint="eastAsia" w:ascii="方正小标宋简体" w:eastAsia="方正小标宋简体"/>
          <w:sz w:val="44"/>
          <w:szCs w:val="44"/>
        </w:rPr>
        <w:br w:type="page"/>
      </w:r>
    </w:p>
    <w:p>
      <w:pPr>
        <w:spacing w:line="600" w:lineRule="exact"/>
        <w:jc w:val="center"/>
        <w:outlineLvl w:val="0"/>
        <w:rPr>
          <w:rFonts w:ascii="方正小标宋简体" w:eastAsia="方正小标宋简体"/>
          <w:sz w:val="44"/>
          <w:szCs w:val="44"/>
        </w:rPr>
      </w:pPr>
      <w:r>
        <w:rPr>
          <w:rFonts w:hint="eastAsia" w:ascii="方正小标宋简体" w:eastAsia="方正小标宋简体"/>
          <w:sz w:val="44"/>
          <w:szCs w:val="44"/>
        </w:rPr>
        <w:t>目</w:t>
      </w:r>
      <w:r>
        <w:rPr>
          <w:rFonts w:ascii="方正小标宋简体" w:eastAsia="方正小标宋简体"/>
          <w:sz w:val="44"/>
          <w:szCs w:val="44"/>
        </w:rPr>
        <w:t>录</w:t>
      </w:r>
    </w:p>
    <w:p>
      <w:pPr>
        <w:spacing w:line="600" w:lineRule="exact"/>
        <w:jc w:val="center"/>
        <w:outlineLvl w:val="0"/>
        <w:rPr>
          <w:rFonts w:ascii="方正小标宋简体" w:eastAsia="方正小标宋简体"/>
          <w:sz w:val="44"/>
          <w:szCs w:val="44"/>
        </w:rPr>
      </w:pPr>
    </w:p>
    <w:p>
      <w:pPr>
        <w:tabs>
          <w:tab w:val="right" w:leader="middleDot" w:pos="8295"/>
        </w:tabs>
        <w:spacing w:line="600" w:lineRule="exact"/>
        <w:outlineLvl w:val="0"/>
      </w:pPr>
      <w:r>
        <w:rPr>
          <w:rFonts w:ascii="黑体" w:hAnsi="宋体" w:eastAsia="黑体" w:cs="黑体"/>
          <w:color w:val="333333"/>
          <w:kern w:val="0"/>
          <w:sz w:val="31"/>
          <w:szCs w:val="31"/>
          <w:lang w:bidi="ar"/>
        </w:rPr>
        <w:t xml:space="preserve">第一部分 </w:t>
      </w:r>
      <w:r>
        <w:rPr>
          <w:rFonts w:hint="eastAsia" w:ascii="黑体" w:hAnsi="宋体" w:eastAsia="黑体" w:cs="黑体"/>
          <w:color w:val="333333"/>
          <w:kern w:val="0"/>
          <w:sz w:val="31"/>
          <w:szCs w:val="31"/>
          <w:lang w:bidi="ar"/>
        </w:rPr>
        <w:t>关于2024年预算编制的说明</w:t>
      </w:r>
      <w:r>
        <w:rPr>
          <w:rFonts w:ascii="仿宋_GB2312" w:hAnsi="宋体" w:eastAsia="仿宋_GB2312" w:cs="仿宋_GB2312"/>
          <w:color w:val="333333"/>
          <w:kern w:val="0"/>
          <w:sz w:val="24"/>
          <w:szCs w:val="31"/>
          <w:lang w:bidi="ar"/>
        </w:rPr>
        <w:tab/>
      </w:r>
      <w:r>
        <w:rPr>
          <w:rFonts w:ascii="仿宋_GB2312" w:hAnsi="宋体" w:eastAsia="仿宋_GB2312" w:cs="仿宋_GB2312"/>
          <w:color w:val="333333"/>
          <w:kern w:val="0"/>
          <w:sz w:val="24"/>
          <w:szCs w:val="31"/>
          <w:lang w:bidi="ar"/>
        </w:rPr>
        <w:t>4</w:t>
      </w:r>
    </w:p>
    <w:p>
      <w:pPr>
        <w:widowControl/>
        <w:tabs>
          <w:tab w:val="right" w:leader="middleDot" w:pos="8295"/>
        </w:tabs>
        <w:ind w:firstLine="310" w:firstLineChars="100"/>
        <w:jc w:val="left"/>
        <w:rPr>
          <w:rFonts w:ascii="仿宋_GB2312" w:hAnsi="宋体" w:eastAsia="仿宋_GB2312" w:cs="仿宋_GB2312"/>
          <w:color w:val="333333"/>
          <w:kern w:val="0"/>
          <w:sz w:val="31"/>
          <w:szCs w:val="31"/>
          <w:lang w:bidi="ar"/>
        </w:rPr>
      </w:pPr>
      <w:r>
        <w:rPr>
          <w:rFonts w:ascii="仿宋_GB2312" w:hAnsi="宋体" w:eastAsia="仿宋_GB2312" w:cs="仿宋_GB2312"/>
          <w:color w:val="333333"/>
          <w:kern w:val="0"/>
          <w:sz w:val="31"/>
          <w:szCs w:val="31"/>
          <w:lang w:bidi="ar"/>
        </w:rPr>
        <w:t>一、</w:t>
      </w:r>
      <w:r>
        <w:rPr>
          <w:rFonts w:hint="eastAsia" w:ascii="仿宋_GB2312" w:hAnsi="宋体" w:eastAsia="仿宋_GB2312" w:cs="仿宋_GB2312"/>
          <w:color w:val="333333"/>
          <w:kern w:val="0"/>
          <w:sz w:val="31"/>
          <w:szCs w:val="31"/>
          <w:lang w:bidi="ar"/>
        </w:rPr>
        <w:t>基本职能及主要工作</w:t>
      </w:r>
      <w:r>
        <w:rPr>
          <w:rFonts w:ascii="仿宋_GB2312" w:hAnsi="宋体" w:eastAsia="仿宋_GB2312" w:cs="仿宋_GB2312"/>
          <w:color w:val="333333"/>
          <w:kern w:val="0"/>
          <w:sz w:val="24"/>
          <w:szCs w:val="31"/>
          <w:lang w:bidi="ar"/>
        </w:rPr>
        <w:tab/>
      </w:r>
      <w:r>
        <w:rPr>
          <w:rFonts w:ascii="仿宋_GB2312" w:hAnsi="宋体" w:eastAsia="仿宋_GB2312" w:cs="仿宋_GB2312"/>
          <w:color w:val="333333"/>
          <w:kern w:val="0"/>
          <w:sz w:val="24"/>
          <w:szCs w:val="31"/>
          <w:lang w:bidi="ar"/>
        </w:rPr>
        <w:t>4</w:t>
      </w:r>
    </w:p>
    <w:p>
      <w:pPr>
        <w:widowControl/>
        <w:tabs>
          <w:tab w:val="right" w:leader="middleDot" w:pos="8295"/>
        </w:tabs>
        <w:ind w:firstLine="310" w:firstLineChars="100"/>
        <w:jc w:val="left"/>
        <w:rPr>
          <w:rFonts w:ascii="仿宋_GB2312" w:hAnsi="宋体" w:eastAsia="仿宋_GB2312" w:cs="仿宋_GB2312"/>
          <w:color w:val="333333"/>
          <w:kern w:val="0"/>
          <w:sz w:val="31"/>
          <w:szCs w:val="31"/>
          <w:lang w:bidi="ar"/>
        </w:rPr>
      </w:pPr>
      <w:r>
        <w:rPr>
          <w:rFonts w:hint="eastAsia" w:ascii="仿宋_GB2312" w:hAnsi="宋体" w:eastAsia="仿宋_GB2312" w:cs="仿宋_GB2312"/>
          <w:color w:val="333333"/>
          <w:kern w:val="0"/>
          <w:sz w:val="31"/>
          <w:szCs w:val="31"/>
          <w:lang w:bidi="ar"/>
        </w:rPr>
        <w:t>二、部门概况</w:t>
      </w:r>
      <w:r>
        <w:rPr>
          <w:rFonts w:ascii="仿宋_GB2312" w:hAnsi="宋体" w:eastAsia="仿宋_GB2312" w:cs="仿宋_GB2312"/>
          <w:color w:val="333333"/>
          <w:kern w:val="0"/>
          <w:sz w:val="24"/>
          <w:szCs w:val="31"/>
          <w:lang w:bidi="ar"/>
        </w:rPr>
        <w:tab/>
      </w:r>
      <w:r>
        <w:rPr>
          <w:rFonts w:ascii="仿宋_GB2312" w:hAnsi="宋体" w:eastAsia="仿宋_GB2312" w:cs="仿宋_GB2312"/>
          <w:color w:val="333333"/>
          <w:kern w:val="0"/>
          <w:sz w:val="24"/>
          <w:szCs w:val="31"/>
          <w:lang w:bidi="ar"/>
        </w:rPr>
        <w:t>6</w:t>
      </w:r>
    </w:p>
    <w:p>
      <w:pPr>
        <w:widowControl/>
        <w:tabs>
          <w:tab w:val="right" w:leader="middleDot" w:pos="8295"/>
        </w:tabs>
        <w:ind w:firstLine="310" w:firstLineChars="100"/>
        <w:jc w:val="left"/>
        <w:rPr>
          <w:rFonts w:ascii="仿宋_GB2312" w:hAnsi="宋体" w:eastAsia="仿宋_GB2312" w:cs="仿宋_GB2312"/>
          <w:color w:val="333333"/>
          <w:kern w:val="0"/>
          <w:sz w:val="31"/>
          <w:szCs w:val="31"/>
          <w:lang w:bidi="ar"/>
        </w:rPr>
      </w:pPr>
      <w:r>
        <w:rPr>
          <w:rFonts w:hint="eastAsia" w:ascii="仿宋_GB2312" w:hAnsi="宋体" w:eastAsia="仿宋_GB2312" w:cs="仿宋_GB2312"/>
          <w:color w:val="333333"/>
          <w:kern w:val="0"/>
          <w:sz w:val="31"/>
          <w:szCs w:val="31"/>
          <w:lang w:bidi="ar"/>
        </w:rPr>
        <w:t>三、收支预算总体情况</w:t>
      </w:r>
      <w:r>
        <w:rPr>
          <w:rFonts w:ascii="仿宋_GB2312" w:hAnsi="宋体" w:eastAsia="仿宋_GB2312" w:cs="仿宋_GB2312"/>
          <w:color w:val="333333"/>
          <w:kern w:val="0"/>
          <w:sz w:val="24"/>
          <w:szCs w:val="31"/>
          <w:lang w:bidi="ar"/>
        </w:rPr>
        <w:tab/>
      </w:r>
      <w:r>
        <w:rPr>
          <w:rFonts w:ascii="仿宋_GB2312" w:hAnsi="宋体" w:eastAsia="仿宋_GB2312" w:cs="仿宋_GB2312"/>
          <w:color w:val="333333"/>
          <w:kern w:val="0"/>
          <w:sz w:val="24"/>
          <w:szCs w:val="31"/>
          <w:lang w:bidi="ar"/>
        </w:rPr>
        <w:t>6</w:t>
      </w:r>
    </w:p>
    <w:p>
      <w:pPr>
        <w:widowControl/>
        <w:tabs>
          <w:tab w:val="right" w:leader="middleDot" w:pos="8295"/>
        </w:tabs>
        <w:ind w:firstLine="310" w:firstLineChars="100"/>
        <w:jc w:val="left"/>
        <w:rPr>
          <w:rFonts w:ascii="仿宋_GB2312" w:hAnsi="宋体" w:eastAsia="仿宋_GB2312" w:cs="仿宋_GB2312"/>
          <w:color w:val="333333"/>
          <w:kern w:val="0"/>
          <w:sz w:val="31"/>
          <w:szCs w:val="31"/>
          <w:lang w:bidi="ar"/>
        </w:rPr>
      </w:pPr>
      <w:r>
        <w:rPr>
          <w:rFonts w:hint="eastAsia" w:ascii="仿宋_GB2312" w:hAnsi="宋体" w:eastAsia="仿宋_GB2312" w:cs="仿宋_GB2312"/>
          <w:color w:val="333333"/>
          <w:kern w:val="0"/>
          <w:sz w:val="31"/>
          <w:szCs w:val="31"/>
          <w:lang w:bidi="ar"/>
        </w:rPr>
        <w:t>四、财政拨款支出预算安排情况</w:t>
      </w:r>
      <w:r>
        <w:rPr>
          <w:rFonts w:ascii="仿宋_GB2312" w:hAnsi="宋体" w:eastAsia="仿宋_GB2312" w:cs="仿宋_GB2312"/>
          <w:color w:val="333333"/>
          <w:kern w:val="0"/>
          <w:sz w:val="24"/>
          <w:szCs w:val="31"/>
          <w:lang w:bidi="ar"/>
        </w:rPr>
        <w:tab/>
      </w:r>
      <w:r>
        <w:rPr>
          <w:rFonts w:ascii="仿宋_GB2312" w:hAnsi="宋体" w:eastAsia="仿宋_GB2312" w:cs="仿宋_GB2312"/>
          <w:color w:val="333333"/>
          <w:kern w:val="0"/>
          <w:sz w:val="24"/>
          <w:szCs w:val="31"/>
          <w:lang w:bidi="ar"/>
        </w:rPr>
        <w:t>7</w:t>
      </w:r>
    </w:p>
    <w:p>
      <w:pPr>
        <w:widowControl/>
        <w:tabs>
          <w:tab w:val="right" w:leader="middleDot" w:pos="8295"/>
        </w:tabs>
        <w:ind w:firstLine="310" w:firstLineChars="100"/>
        <w:jc w:val="left"/>
        <w:rPr>
          <w:rFonts w:ascii="仿宋_GB2312" w:hAnsi="宋体" w:eastAsia="仿宋_GB2312" w:cs="仿宋_GB2312"/>
          <w:color w:val="333333"/>
          <w:kern w:val="0"/>
          <w:sz w:val="31"/>
          <w:szCs w:val="31"/>
          <w:lang w:bidi="ar"/>
        </w:rPr>
      </w:pPr>
      <w:r>
        <w:rPr>
          <w:rFonts w:hint="eastAsia" w:ascii="仿宋_GB2312" w:hAnsi="宋体" w:eastAsia="仿宋_GB2312" w:cs="仿宋_GB2312"/>
          <w:color w:val="333333"/>
          <w:kern w:val="0"/>
          <w:sz w:val="31"/>
          <w:szCs w:val="31"/>
          <w:lang w:bidi="ar"/>
        </w:rPr>
        <w:t>五、一般公共预算当年拨款情况说明</w:t>
      </w:r>
      <w:r>
        <w:rPr>
          <w:rFonts w:ascii="仿宋_GB2312" w:hAnsi="宋体" w:eastAsia="仿宋_GB2312" w:cs="仿宋_GB2312"/>
          <w:color w:val="333333"/>
          <w:kern w:val="0"/>
          <w:sz w:val="24"/>
          <w:szCs w:val="31"/>
          <w:lang w:bidi="ar"/>
        </w:rPr>
        <w:tab/>
      </w:r>
      <w:r>
        <w:rPr>
          <w:rFonts w:ascii="仿宋_GB2312" w:hAnsi="宋体" w:eastAsia="仿宋_GB2312" w:cs="仿宋_GB2312"/>
          <w:color w:val="333333"/>
          <w:kern w:val="0"/>
          <w:sz w:val="24"/>
          <w:szCs w:val="31"/>
          <w:lang w:bidi="ar"/>
        </w:rPr>
        <w:t>7</w:t>
      </w:r>
    </w:p>
    <w:p>
      <w:pPr>
        <w:widowControl/>
        <w:tabs>
          <w:tab w:val="right" w:leader="middleDot" w:pos="8295"/>
        </w:tabs>
        <w:ind w:firstLine="310" w:firstLineChars="100"/>
        <w:jc w:val="left"/>
        <w:rPr>
          <w:rFonts w:ascii="仿宋_GB2312" w:hAnsi="宋体" w:eastAsia="仿宋_GB2312" w:cs="仿宋_GB2312"/>
          <w:color w:val="333333"/>
          <w:kern w:val="0"/>
          <w:sz w:val="31"/>
          <w:szCs w:val="31"/>
          <w:lang w:bidi="ar"/>
        </w:rPr>
      </w:pPr>
      <w:r>
        <w:rPr>
          <w:rFonts w:hint="eastAsia" w:ascii="仿宋_GB2312" w:hAnsi="宋体" w:eastAsia="仿宋_GB2312" w:cs="仿宋_GB2312"/>
          <w:color w:val="333333"/>
          <w:kern w:val="0"/>
          <w:sz w:val="31"/>
          <w:szCs w:val="31"/>
          <w:lang w:bidi="ar"/>
        </w:rPr>
        <w:t>六、一般公共预算基本支出情况说明</w:t>
      </w:r>
      <w:r>
        <w:rPr>
          <w:rFonts w:ascii="仿宋_GB2312" w:hAnsi="宋体" w:eastAsia="仿宋_GB2312" w:cs="仿宋_GB2312"/>
          <w:color w:val="333333"/>
          <w:kern w:val="0"/>
          <w:sz w:val="24"/>
          <w:szCs w:val="31"/>
          <w:lang w:bidi="ar"/>
        </w:rPr>
        <w:tab/>
      </w:r>
      <w:r>
        <w:rPr>
          <w:rFonts w:ascii="仿宋_GB2312" w:hAnsi="宋体" w:eastAsia="仿宋_GB2312" w:cs="仿宋_GB2312"/>
          <w:color w:val="333333"/>
          <w:kern w:val="0"/>
          <w:sz w:val="24"/>
          <w:szCs w:val="31"/>
          <w:lang w:bidi="ar"/>
        </w:rPr>
        <w:t>9</w:t>
      </w:r>
    </w:p>
    <w:p>
      <w:pPr>
        <w:widowControl/>
        <w:tabs>
          <w:tab w:val="right" w:leader="middleDot" w:pos="8295"/>
        </w:tabs>
        <w:ind w:firstLine="310" w:firstLineChars="100"/>
        <w:jc w:val="left"/>
        <w:rPr>
          <w:rFonts w:ascii="仿宋_GB2312" w:hAnsi="宋体" w:eastAsia="仿宋_GB2312" w:cs="仿宋_GB2312"/>
          <w:color w:val="333333"/>
          <w:kern w:val="0"/>
          <w:sz w:val="24"/>
          <w:szCs w:val="31"/>
          <w:lang w:bidi="ar"/>
        </w:rPr>
      </w:pPr>
      <w:r>
        <w:rPr>
          <w:rFonts w:hint="eastAsia" w:ascii="仿宋_GB2312" w:hAnsi="宋体" w:eastAsia="仿宋_GB2312" w:cs="仿宋_GB2312"/>
          <w:color w:val="333333"/>
          <w:kern w:val="0"/>
          <w:sz w:val="31"/>
          <w:szCs w:val="31"/>
          <w:lang w:bidi="ar"/>
        </w:rPr>
        <w:t>七、政府性基金预算支出规模及变化情况说明</w:t>
      </w:r>
      <w:r>
        <w:rPr>
          <w:rFonts w:ascii="仿宋_GB2312" w:hAnsi="宋体" w:eastAsia="仿宋_GB2312" w:cs="仿宋_GB2312"/>
          <w:color w:val="333333"/>
          <w:kern w:val="0"/>
          <w:sz w:val="24"/>
          <w:szCs w:val="31"/>
          <w:lang w:bidi="ar"/>
        </w:rPr>
        <w:tab/>
      </w:r>
      <w:r>
        <w:rPr>
          <w:rFonts w:ascii="仿宋_GB2312" w:hAnsi="宋体" w:eastAsia="仿宋_GB2312" w:cs="仿宋_GB2312"/>
          <w:color w:val="333333"/>
          <w:kern w:val="0"/>
          <w:sz w:val="24"/>
          <w:szCs w:val="31"/>
          <w:lang w:bidi="ar"/>
        </w:rPr>
        <w:t>9</w:t>
      </w:r>
    </w:p>
    <w:p>
      <w:pPr>
        <w:widowControl/>
        <w:tabs>
          <w:tab w:val="right" w:leader="middleDot" w:pos="8295"/>
        </w:tabs>
        <w:ind w:firstLine="310" w:firstLineChars="100"/>
        <w:jc w:val="left"/>
        <w:rPr>
          <w:rFonts w:ascii="仿宋_GB2312" w:hAnsi="宋体" w:eastAsia="仿宋_GB2312" w:cs="仿宋_GB2312"/>
          <w:color w:val="333333"/>
          <w:kern w:val="0"/>
          <w:sz w:val="31"/>
          <w:szCs w:val="31"/>
          <w:lang w:bidi="ar"/>
        </w:rPr>
      </w:pPr>
      <w:r>
        <w:rPr>
          <w:rFonts w:hint="eastAsia" w:ascii="仿宋_GB2312" w:hAnsi="宋体" w:eastAsia="仿宋_GB2312" w:cs="仿宋_GB2312"/>
          <w:color w:val="333333"/>
          <w:kern w:val="0"/>
          <w:sz w:val="31"/>
          <w:szCs w:val="31"/>
          <w:lang w:bidi="ar"/>
        </w:rPr>
        <w:t>八、“三公”经费预算安排情况说明</w:t>
      </w:r>
      <w:r>
        <w:rPr>
          <w:rFonts w:ascii="仿宋_GB2312" w:hAnsi="宋体" w:eastAsia="仿宋_GB2312" w:cs="仿宋_GB2312"/>
          <w:color w:val="333333"/>
          <w:kern w:val="0"/>
          <w:sz w:val="24"/>
          <w:szCs w:val="31"/>
          <w:lang w:bidi="ar"/>
        </w:rPr>
        <w:tab/>
      </w:r>
      <w:r>
        <w:rPr>
          <w:rFonts w:ascii="仿宋_GB2312" w:hAnsi="宋体" w:eastAsia="仿宋_GB2312" w:cs="仿宋_GB2312"/>
          <w:color w:val="333333"/>
          <w:kern w:val="0"/>
          <w:sz w:val="24"/>
          <w:szCs w:val="31"/>
          <w:lang w:bidi="ar"/>
        </w:rPr>
        <w:t>9</w:t>
      </w:r>
    </w:p>
    <w:p>
      <w:pPr>
        <w:widowControl/>
        <w:tabs>
          <w:tab w:val="right" w:leader="middleDot" w:pos="8295"/>
        </w:tabs>
        <w:ind w:firstLine="310" w:firstLineChars="100"/>
        <w:jc w:val="left"/>
        <w:rPr>
          <w:rFonts w:ascii="仿宋_GB2312" w:hAnsi="宋体" w:eastAsia="仿宋_GB2312" w:cs="仿宋_GB2312"/>
          <w:color w:val="333333"/>
          <w:kern w:val="0"/>
          <w:sz w:val="31"/>
          <w:szCs w:val="31"/>
          <w:lang w:bidi="ar"/>
        </w:rPr>
      </w:pPr>
      <w:r>
        <w:rPr>
          <w:rFonts w:hint="eastAsia" w:ascii="仿宋_GB2312" w:hAnsi="宋体" w:eastAsia="仿宋_GB2312" w:cs="仿宋_GB2312"/>
          <w:color w:val="333333"/>
          <w:kern w:val="0"/>
          <w:sz w:val="31"/>
          <w:szCs w:val="31"/>
          <w:lang w:bidi="ar"/>
        </w:rPr>
        <w:t>九、其他重要事项的情况说明</w:t>
      </w:r>
      <w:r>
        <w:rPr>
          <w:rFonts w:ascii="仿宋_GB2312" w:hAnsi="宋体" w:eastAsia="仿宋_GB2312" w:cs="仿宋_GB2312"/>
          <w:color w:val="333333"/>
          <w:kern w:val="0"/>
          <w:sz w:val="24"/>
          <w:szCs w:val="31"/>
          <w:lang w:bidi="ar"/>
        </w:rPr>
        <w:tab/>
      </w:r>
      <w:r>
        <w:rPr>
          <w:rFonts w:ascii="仿宋_GB2312" w:hAnsi="宋体" w:eastAsia="仿宋_GB2312" w:cs="仿宋_GB2312"/>
          <w:color w:val="333333"/>
          <w:kern w:val="0"/>
          <w:sz w:val="24"/>
          <w:szCs w:val="31"/>
          <w:lang w:bidi="ar"/>
        </w:rPr>
        <w:t>10</w:t>
      </w:r>
    </w:p>
    <w:p>
      <w:pPr>
        <w:widowControl/>
        <w:tabs>
          <w:tab w:val="right" w:leader="middleDot" w:pos="8295"/>
        </w:tabs>
        <w:ind w:firstLine="310" w:firstLineChars="100"/>
        <w:jc w:val="left"/>
        <w:rPr>
          <w:rFonts w:ascii="仿宋_GB2312" w:hAnsi="宋体" w:eastAsia="仿宋_GB2312" w:cs="仿宋_GB2312"/>
          <w:color w:val="333333"/>
          <w:kern w:val="0"/>
          <w:sz w:val="31"/>
          <w:szCs w:val="31"/>
          <w:lang w:bidi="ar"/>
        </w:rPr>
      </w:pPr>
      <w:r>
        <w:rPr>
          <w:rFonts w:hint="eastAsia" w:ascii="仿宋_GB2312" w:hAnsi="宋体" w:eastAsia="仿宋_GB2312" w:cs="仿宋_GB2312"/>
          <w:color w:val="333333"/>
          <w:kern w:val="0"/>
          <w:sz w:val="31"/>
          <w:szCs w:val="31"/>
          <w:lang w:bidi="ar"/>
        </w:rPr>
        <w:t>十、名词解释</w:t>
      </w:r>
      <w:r>
        <w:rPr>
          <w:rFonts w:ascii="仿宋_GB2312" w:hAnsi="宋体" w:eastAsia="仿宋_GB2312" w:cs="仿宋_GB2312"/>
          <w:color w:val="333333"/>
          <w:kern w:val="0"/>
          <w:sz w:val="24"/>
          <w:szCs w:val="31"/>
          <w:lang w:bidi="ar"/>
        </w:rPr>
        <w:tab/>
      </w:r>
      <w:r>
        <w:rPr>
          <w:rFonts w:ascii="仿宋_GB2312" w:hAnsi="宋体" w:eastAsia="仿宋_GB2312" w:cs="仿宋_GB2312"/>
          <w:color w:val="333333"/>
          <w:kern w:val="0"/>
          <w:sz w:val="24"/>
          <w:szCs w:val="31"/>
          <w:lang w:bidi="ar"/>
        </w:rPr>
        <w:t>11</w:t>
      </w:r>
    </w:p>
    <w:p>
      <w:pPr>
        <w:widowControl/>
        <w:jc w:val="left"/>
      </w:pPr>
      <w:r>
        <w:rPr>
          <w:rFonts w:hint="eastAsia" w:ascii="黑体" w:hAnsi="宋体" w:eastAsia="黑体" w:cs="黑体"/>
          <w:color w:val="333333"/>
          <w:kern w:val="0"/>
          <w:sz w:val="31"/>
          <w:szCs w:val="31"/>
          <w:lang w:bidi="ar"/>
        </w:rPr>
        <w:t>第二部分 2024年峨眉山市科学技术</w:t>
      </w:r>
      <w:r>
        <w:rPr>
          <w:rFonts w:ascii="黑体" w:hAnsi="宋体" w:eastAsia="黑体" w:cs="黑体"/>
          <w:color w:val="333333"/>
          <w:kern w:val="0"/>
          <w:sz w:val="31"/>
          <w:szCs w:val="31"/>
          <w:lang w:bidi="ar"/>
        </w:rPr>
        <w:t>协会</w:t>
      </w:r>
      <w:r>
        <w:rPr>
          <w:rFonts w:hint="eastAsia" w:ascii="黑体" w:hAnsi="宋体" w:eastAsia="黑体" w:cs="黑体"/>
          <w:color w:val="333333"/>
          <w:kern w:val="0"/>
          <w:sz w:val="31"/>
          <w:szCs w:val="31"/>
          <w:lang w:bidi="ar"/>
        </w:rPr>
        <w:t xml:space="preserve">预算表 </w:t>
      </w:r>
    </w:p>
    <w:p>
      <w:pPr>
        <w:widowControl/>
        <w:ind w:firstLine="310" w:firstLineChars="100"/>
        <w:jc w:val="left"/>
      </w:pPr>
      <w:r>
        <w:rPr>
          <w:rFonts w:hint="eastAsia" w:ascii="仿宋_GB2312" w:hAnsi="宋体" w:eastAsia="仿宋_GB2312" w:cs="仿宋_GB2312"/>
          <w:color w:val="333333"/>
          <w:kern w:val="0"/>
          <w:sz w:val="31"/>
          <w:szCs w:val="31"/>
          <w:lang w:bidi="ar"/>
        </w:rPr>
        <w:t xml:space="preserve">一、收支预算总表 </w:t>
      </w:r>
    </w:p>
    <w:p>
      <w:pPr>
        <w:widowControl/>
        <w:ind w:firstLine="310" w:firstLineChars="100"/>
        <w:jc w:val="left"/>
        <w:rPr>
          <w:rFonts w:ascii="仿宋_GB2312" w:hAnsi="宋体" w:eastAsia="仿宋_GB2312" w:cs="仿宋_GB2312"/>
          <w:color w:val="333333"/>
          <w:kern w:val="0"/>
          <w:sz w:val="31"/>
          <w:szCs w:val="31"/>
          <w:lang w:bidi="ar"/>
        </w:rPr>
      </w:pPr>
      <w:r>
        <w:rPr>
          <w:rFonts w:hint="eastAsia" w:ascii="仿宋_GB2312" w:hAnsi="宋体" w:eastAsia="仿宋_GB2312" w:cs="仿宋_GB2312"/>
          <w:color w:val="333333"/>
          <w:kern w:val="0"/>
          <w:sz w:val="31"/>
          <w:szCs w:val="31"/>
          <w:lang w:bidi="ar"/>
        </w:rPr>
        <w:t>二、收入预算总表</w:t>
      </w:r>
    </w:p>
    <w:p>
      <w:pPr>
        <w:widowControl/>
        <w:ind w:firstLine="310" w:firstLineChars="100"/>
        <w:jc w:val="left"/>
      </w:pPr>
      <w:r>
        <w:rPr>
          <w:rFonts w:hint="eastAsia" w:ascii="仿宋_GB2312" w:hAnsi="宋体" w:eastAsia="仿宋_GB2312" w:cs="仿宋_GB2312"/>
          <w:color w:val="333333"/>
          <w:kern w:val="0"/>
          <w:sz w:val="31"/>
          <w:szCs w:val="31"/>
          <w:lang w:bidi="ar"/>
        </w:rPr>
        <w:t xml:space="preserve">三、支出预算总表 </w:t>
      </w:r>
    </w:p>
    <w:p>
      <w:pPr>
        <w:widowControl/>
        <w:ind w:firstLine="310" w:firstLineChars="100"/>
        <w:jc w:val="left"/>
      </w:pPr>
      <w:r>
        <w:rPr>
          <w:rFonts w:hint="eastAsia" w:ascii="仿宋_GB2312" w:hAnsi="宋体" w:eastAsia="仿宋_GB2312" w:cs="仿宋_GB2312"/>
          <w:color w:val="333333"/>
          <w:kern w:val="0"/>
          <w:sz w:val="31"/>
          <w:szCs w:val="31"/>
          <w:lang w:bidi="ar"/>
        </w:rPr>
        <w:t xml:space="preserve">四、财政拨款预算总表 </w:t>
      </w:r>
    </w:p>
    <w:p>
      <w:pPr>
        <w:widowControl/>
        <w:ind w:firstLine="310" w:firstLineChars="100"/>
        <w:jc w:val="left"/>
      </w:pPr>
      <w:r>
        <w:rPr>
          <w:rFonts w:hint="eastAsia" w:ascii="仿宋_GB2312" w:hAnsi="宋体" w:eastAsia="仿宋_GB2312" w:cs="仿宋_GB2312"/>
          <w:color w:val="333333"/>
          <w:kern w:val="0"/>
          <w:sz w:val="31"/>
          <w:szCs w:val="31"/>
          <w:lang w:bidi="ar"/>
        </w:rPr>
        <w:t xml:space="preserve">五、一般公共预算支出表 </w:t>
      </w:r>
    </w:p>
    <w:p>
      <w:pPr>
        <w:widowControl/>
        <w:ind w:firstLine="310" w:firstLineChars="100"/>
        <w:jc w:val="left"/>
      </w:pPr>
      <w:r>
        <w:rPr>
          <w:rFonts w:hint="eastAsia" w:ascii="仿宋_GB2312" w:hAnsi="宋体" w:eastAsia="仿宋_GB2312" w:cs="仿宋_GB2312"/>
          <w:color w:val="333333"/>
          <w:kern w:val="0"/>
          <w:sz w:val="31"/>
          <w:szCs w:val="31"/>
          <w:lang w:bidi="ar"/>
        </w:rPr>
        <w:t xml:space="preserve">六、一般公共预算基本支出表 </w:t>
      </w:r>
    </w:p>
    <w:p>
      <w:pPr>
        <w:widowControl/>
        <w:ind w:firstLine="310" w:firstLineChars="100"/>
        <w:jc w:val="left"/>
      </w:pPr>
      <w:r>
        <w:rPr>
          <w:rFonts w:hint="eastAsia" w:ascii="仿宋_GB2312" w:hAnsi="宋体" w:eastAsia="仿宋_GB2312" w:cs="仿宋_GB2312"/>
          <w:color w:val="333333"/>
          <w:kern w:val="0"/>
          <w:sz w:val="31"/>
          <w:szCs w:val="31"/>
          <w:lang w:bidi="ar"/>
        </w:rPr>
        <w:t xml:space="preserve">七、一般公共预算“三公”经费支出预算表 </w:t>
      </w:r>
    </w:p>
    <w:p>
      <w:pPr>
        <w:widowControl/>
        <w:ind w:firstLine="310" w:firstLineChars="100"/>
        <w:jc w:val="left"/>
      </w:pPr>
      <w:r>
        <w:rPr>
          <w:rFonts w:hint="eastAsia" w:ascii="仿宋_GB2312" w:hAnsi="宋体" w:eastAsia="仿宋_GB2312" w:cs="仿宋_GB2312"/>
          <w:color w:val="333333"/>
          <w:kern w:val="0"/>
          <w:sz w:val="31"/>
          <w:szCs w:val="31"/>
          <w:lang w:bidi="ar"/>
        </w:rPr>
        <w:t xml:space="preserve">八、政府性基金预算支出表 </w:t>
      </w:r>
    </w:p>
    <w:p>
      <w:pPr>
        <w:widowControl/>
        <w:ind w:firstLine="310" w:firstLineChars="100"/>
        <w:jc w:val="left"/>
      </w:pPr>
      <w:r>
        <w:rPr>
          <w:rFonts w:hint="eastAsia" w:ascii="仿宋_GB2312" w:hAnsi="宋体" w:eastAsia="仿宋_GB2312" w:cs="仿宋_GB2312"/>
          <w:color w:val="333333"/>
          <w:kern w:val="0"/>
          <w:sz w:val="31"/>
          <w:szCs w:val="31"/>
          <w:lang w:bidi="ar"/>
        </w:rPr>
        <w:t xml:space="preserve">九、国有资本经营预算支出表 </w:t>
      </w:r>
    </w:p>
    <w:p>
      <w:pPr>
        <w:widowControl/>
        <w:ind w:firstLine="310" w:firstLineChars="100"/>
        <w:jc w:val="left"/>
      </w:pPr>
      <w:r>
        <w:rPr>
          <w:rFonts w:hint="eastAsia" w:ascii="仿宋_GB2312" w:hAnsi="宋体" w:eastAsia="仿宋_GB2312" w:cs="仿宋_GB2312"/>
          <w:color w:val="333333"/>
          <w:kern w:val="0"/>
          <w:sz w:val="31"/>
          <w:szCs w:val="31"/>
          <w:lang w:bidi="ar"/>
        </w:rPr>
        <w:t>十、 支出功能分类预算表</w:t>
      </w:r>
    </w:p>
    <w:p>
      <w:pPr>
        <w:widowControl/>
        <w:ind w:firstLine="310" w:firstLineChars="100"/>
        <w:jc w:val="left"/>
        <w:rPr>
          <w:rFonts w:ascii="仿宋_GB2312" w:hAnsi="宋体" w:eastAsia="仿宋_GB2312" w:cs="仿宋_GB2312"/>
          <w:color w:val="333333"/>
          <w:kern w:val="0"/>
          <w:sz w:val="31"/>
          <w:szCs w:val="31"/>
          <w:lang w:bidi="ar"/>
        </w:rPr>
      </w:pPr>
      <w:r>
        <w:rPr>
          <w:rFonts w:hint="eastAsia" w:ascii="仿宋_GB2312" w:hAnsi="宋体" w:eastAsia="仿宋_GB2312" w:cs="仿宋_GB2312"/>
          <w:color w:val="333333"/>
          <w:kern w:val="0"/>
          <w:sz w:val="31"/>
          <w:szCs w:val="31"/>
          <w:lang w:bidi="ar"/>
        </w:rPr>
        <w:t>十一、支出经济分类预算表</w:t>
      </w:r>
    </w:p>
    <w:p>
      <w:pPr>
        <w:pStyle w:val="2"/>
        <w:ind w:firstLine="310" w:firstLineChars="100"/>
      </w:pPr>
      <w:r>
        <w:rPr>
          <w:rFonts w:hint="eastAsia" w:ascii="仿宋_GB2312" w:cs="仿宋_GB2312"/>
          <w:color w:val="333333"/>
          <w:kern w:val="0"/>
          <w:sz w:val="31"/>
          <w:szCs w:val="31"/>
          <w:lang w:val="en-US" w:bidi="ar"/>
        </w:rPr>
        <w:t>十二、上级资金安排情况表</w:t>
      </w:r>
    </w:p>
    <w:p>
      <w:pPr>
        <w:widowControl/>
        <w:ind w:firstLine="310" w:firstLineChars="100"/>
        <w:jc w:val="left"/>
      </w:pPr>
      <w:r>
        <w:rPr>
          <w:rFonts w:hint="eastAsia" w:ascii="仿宋_GB2312" w:hAnsi="宋体" w:eastAsia="仿宋_GB2312" w:cs="仿宋_GB2312"/>
          <w:color w:val="333333"/>
          <w:kern w:val="0"/>
          <w:sz w:val="31"/>
          <w:szCs w:val="31"/>
          <w:lang w:bidi="ar"/>
        </w:rPr>
        <w:t>十三、项目支出表</w:t>
      </w:r>
    </w:p>
    <w:p>
      <w:pPr>
        <w:widowControl/>
        <w:ind w:firstLine="310" w:firstLineChars="100"/>
        <w:jc w:val="left"/>
      </w:pPr>
      <w:r>
        <w:rPr>
          <w:rFonts w:hint="eastAsia" w:ascii="仿宋_GB2312" w:hAnsi="宋体" w:eastAsia="仿宋_GB2312" w:cs="仿宋_GB2312"/>
          <w:color w:val="333333"/>
          <w:kern w:val="0"/>
          <w:sz w:val="31"/>
          <w:szCs w:val="31"/>
          <w:lang w:bidi="ar"/>
        </w:rPr>
        <w:t>十四、项目支出预算明细表</w:t>
      </w:r>
    </w:p>
    <w:p>
      <w:pPr>
        <w:widowControl/>
        <w:ind w:firstLine="310" w:firstLineChars="100"/>
        <w:jc w:val="left"/>
        <w:rPr>
          <w:rFonts w:ascii="仿宋_GB2312" w:hAnsi="宋体" w:eastAsia="仿宋_GB2312" w:cs="仿宋_GB2312"/>
          <w:color w:val="333333"/>
          <w:kern w:val="0"/>
          <w:sz w:val="31"/>
          <w:szCs w:val="31"/>
          <w:lang w:bidi="ar"/>
        </w:rPr>
      </w:pPr>
      <w:r>
        <w:rPr>
          <w:rFonts w:hint="eastAsia" w:ascii="仿宋_GB2312" w:hAnsi="宋体" w:eastAsia="仿宋_GB2312" w:cs="仿宋_GB2312"/>
          <w:color w:val="333333"/>
          <w:kern w:val="0"/>
          <w:sz w:val="31"/>
          <w:szCs w:val="31"/>
          <w:lang w:bidi="ar"/>
        </w:rPr>
        <w:t xml:space="preserve">十五、政府购买服务预算表 </w:t>
      </w:r>
    </w:p>
    <w:p>
      <w:pPr>
        <w:widowControl/>
        <w:ind w:firstLine="310" w:firstLineChars="100"/>
        <w:jc w:val="left"/>
        <w:rPr>
          <w:rFonts w:ascii="仿宋_GB2312" w:hAnsi="宋体" w:eastAsia="仿宋_GB2312" w:cs="仿宋_GB2312"/>
          <w:color w:val="333333"/>
          <w:kern w:val="0"/>
          <w:sz w:val="31"/>
          <w:szCs w:val="31"/>
          <w:lang w:bidi="ar"/>
        </w:rPr>
      </w:pPr>
      <w:r>
        <w:rPr>
          <w:rFonts w:hint="eastAsia" w:ascii="仿宋_GB2312" w:hAnsi="宋体" w:eastAsia="仿宋_GB2312" w:cs="仿宋_GB2312"/>
          <w:color w:val="333333"/>
          <w:kern w:val="0"/>
          <w:sz w:val="31"/>
          <w:szCs w:val="31"/>
          <w:lang w:bidi="ar"/>
        </w:rPr>
        <w:t>十六、</w:t>
      </w:r>
      <w:r>
        <w:rPr>
          <w:rFonts w:ascii="仿宋_GB2312" w:hAnsi="宋体" w:eastAsia="仿宋_GB2312" w:cs="仿宋_GB2312"/>
          <w:color w:val="333333"/>
          <w:kern w:val="0"/>
          <w:sz w:val="31"/>
          <w:szCs w:val="31"/>
          <w:lang w:bidi="ar"/>
        </w:rPr>
        <w:t>政府采购预算表</w:t>
      </w:r>
    </w:p>
    <w:p>
      <w:pPr>
        <w:widowControl/>
        <w:ind w:firstLine="310" w:firstLineChars="100"/>
        <w:jc w:val="left"/>
        <w:rPr>
          <w:rFonts w:ascii="仿宋_GB2312" w:hAnsi="宋体" w:eastAsia="仿宋_GB2312" w:cs="仿宋_GB2312"/>
          <w:color w:val="333333"/>
          <w:kern w:val="0"/>
          <w:sz w:val="31"/>
          <w:szCs w:val="31"/>
          <w:lang w:bidi="ar"/>
        </w:rPr>
      </w:pPr>
      <w:r>
        <w:rPr>
          <w:rFonts w:hint="eastAsia" w:ascii="仿宋_GB2312" w:hAnsi="宋体" w:eastAsia="仿宋_GB2312" w:cs="仿宋_GB2312"/>
          <w:color w:val="333333"/>
          <w:kern w:val="0"/>
          <w:sz w:val="31"/>
          <w:szCs w:val="31"/>
          <w:lang w:bidi="ar"/>
        </w:rPr>
        <w:t>十七、</w:t>
      </w:r>
      <w:r>
        <w:rPr>
          <w:rFonts w:ascii="仿宋_GB2312" w:hAnsi="宋体" w:eastAsia="仿宋_GB2312" w:cs="仿宋_GB2312"/>
          <w:color w:val="333333"/>
          <w:kern w:val="0"/>
          <w:sz w:val="31"/>
          <w:szCs w:val="31"/>
          <w:lang w:bidi="ar"/>
        </w:rPr>
        <w:t>国有资产配置预算表</w:t>
      </w:r>
    </w:p>
    <w:p>
      <w:pPr>
        <w:pStyle w:val="2"/>
        <w:ind w:firstLine="310" w:firstLineChars="100"/>
        <w:rPr>
          <w:lang w:val="en-US"/>
        </w:rPr>
      </w:pPr>
      <w:r>
        <w:rPr>
          <w:rFonts w:hint="eastAsia" w:ascii="仿宋_GB2312" w:cs="仿宋_GB2312"/>
          <w:color w:val="333333"/>
          <w:kern w:val="0"/>
          <w:sz w:val="31"/>
          <w:szCs w:val="31"/>
          <w:lang w:val="en-US" w:bidi="ar"/>
        </w:rPr>
        <w:t>十八、部门预算项目 绩效目标表</w:t>
      </w:r>
    </w:p>
    <w:p>
      <w:pPr>
        <w:spacing w:line="600" w:lineRule="exact"/>
        <w:ind w:firstLine="310" w:firstLineChars="100"/>
        <w:outlineLvl w:val="0"/>
        <w:rPr>
          <w:rFonts w:ascii="方正小标宋简体" w:eastAsia="方正小标宋简体"/>
          <w:sz w:val="44"/>
          <w:szCs w:val="44"/>
        </w:rPr>
      </w:pPr>
      <w:r>
        <w:rPr>
          <w:rFonts w:hint="eastAsia" w:ascii="仿宋_GB2312" w:hAnsi="宋体" w:eastAsia="仿宋_GB2312" w:cs="仿宋_GB2312"/>
          <w:color w:val="333333"/>
          <w:kern w:val="0"/>
          <w:sz w:val="31"/>
          <w:szCs w:val="31"/>
          <w:lang w:bidi="ar"/>
        </w:rPr>
        <w:t>十九、</w:t>
      </w:r>
      <w:r>
        <w:rPr>
          <w:rFonts w:ascii="仿宋_GB2312" w:hAnsi="宋体" w:eastAsia="仿宋_GB2312" w:cs="仿宋_GB2312"/>
          <w:color w:val="333333"/>
          <w:kern w:val="0"/>
          <w:sz w:val="31"/>
          <w:szCs w:val="31"/>
          <w:lang w:bidi="ar"/>
        </w:rPr>
        <w:t>部门整体</w:t>
      </w:r>
      <w:r>
        <w:rPr>
          <w:rFonts w:hint="eastAsia" w:ascii="仿宋_GB2312" w:hAnsi="宋体" w:eastAsia="仿宋_GB2312" w:cs="仿宋_GB2312"/>
          <w:color w:val="333333"/>
          <w:kern w:val="0"/>
          <w:sz w:val="31"/>
          <w:szCs w:val="31"/>
          <w:lang w:bidi="ar"/>
        </w:rPr>
        <w:t>支出</w:t>
      </w:r>
      <w:r>
        <w:rPr>
          <w:rFonts w:ascii="仿宋_GB2312" w:hAnsi="宋体" w:eastAsia="仿宋_GB2312" w:cs="仿宋_GB2312"/>
          <w:color w:val="333333"/>
          <w:kern w:val="0"/>
          <w:sz w:val="31"/>
          <w:szCs w:val="31"/>
          <w:lang w:bidi="ar"/>
        </w:rPr>
        <w:t>绩效目标表</w:t>
      </w:r>
    </w:p>
    <w:p>
      <w:pPr>
        <w:spacing w:line="600" w:lineRule="exact"/>
        <w:rPr>
          <w:rFonts w:ascii="仿宋_GB2312" w:eastAsia="仿宋_GB2312"/>
          <w:sz w:val="32"/>
          <w:szCs w:val="32"/>
        </w:rPr>
      </w:pPr>
    </w:p>
    <w:p>
      <w:pPr>
        <w:spacing w:line="600" w:lineRule="exact"/>
        <w:outlineLvl w:val="0"/>
        <w:rPr>
          <w:rFonts w:ascii="黑体" w:eastAsia="黑体"/>
          <w:sz w:val="32"/>
          <w:szCs w:val="32"/>
        </w:rPr>
      </w:pPr>
    </w:p>
    <w:p>
      <w:pPr>
        <w:spacing w:line="600" w:lineRule="exact"/>
        <w:outlineLvl w:val="0"/>
        <w:rPr>
          <w:rFonts w:ascii="黑体" w:eastAsia="黑体"/>
          <w:sz w:val="32"/>
          <w:szCs w:val="32"/>
        </w:rPr>
      </w:pPr>
    </w:p>
    <w:p>
      <w:pPr>
        <w:spacing w:line="600" w:lineRule="exact"/>
        <w:outlineLvl w:val="0"/>
        <w:rPr>
          <w:rFonts w:ascii="黑体" w:eastAsia="黑体"/>
          <w:sz w:val="32"/>
          <w:szCs w:val="32"/>
        </w:rPr>
      </w:pPr>
    </w:p>
    <w:p>
      <w:pPr>
        <w:spacing w:line="600" w:lineRule="exact"/>
        <w:outlineLvl w:val="0"/>
        <w:rPr>
          <w:rFonts w:ascii="黑体" w:eastAsia="黑体"/>
          <w:sz w:val="32"/>
          <w:szCs w:val="32"/>
        </w:rPr>
      </w:pPr>
    </w:p>
    <w:p>
      <w:pPr>
        <w:spacing w:line="600" w:lineRule="exact"/>
        <w:outlineLvl w:val="0"/>
        <w:rPr>
          <w:rFonts w:ascii="黑体" w:eastAsia="黑体"/>
          <w:sz w:val="32"/>
          <w:szCs w:val="32"/>
        </w:rPr>
      </w:pPr>
    </w:p>
    <w:p>
      <w:pPr>
        <w:spacing w:line="600" w:lineRule="exact"/>
        <w:outlineLvl w:val="0"/>
        <w:rPr>
          <w:rFonts w:ascii="黑体" w:eastAsia="黑体"/>
          <w:sz w:val="32"/>
          <w:szCs w:val="32"/>
        </w:rPr>
      </w:pPr>
    </w:p>
    <w:p>
      <w:pPr>
        <w:spacing w:line="600" w:lineRule="exact"/>
        <w:outlineLvl w:val="0"/>
        <w:rPr>
          <w:rFonts w:ascii="黑体" w:eastAsia="黑体"/>
          <w:sz w:val="32"/>
          <w:szCs w:val="32"/>
        </w:rPr>
      </w:pPr>
      <w:r>
        <w:rPr>
          <w:rFonts w:hint="eastAsia" w:ascii="黑体" w:eastAsia="黑体"/>
          <w:sz w:val="32"/>
          <w:szCs w:val="32"/>
        </w:rPr>
        <w:t>附件1</w:t>
      </w:r>
    </w:p>
    <w:p>
      <w:pPr>
        <w:spacing w:line="600" w:lineRule="exact"/>
        <w:jc w:val="center"/>
        <w:outlineLvl w:val="0"/>
        <w:rPr>
          <w:rFonts w:ascii="方正小标宋简体" w:eastAsia="方正小标宋简体"/>
          <w:sz w:val="44"/>
          <w:szCs w:val="44"/>
        </w:rPr>
      </w:pPr>
      <w:r>
        <w:rPr>
          <w:rFonts w:hint="eastAsia" w:ascii="方正小标宋简体" w:eastAsia="方正小标宋简体"/>
          <w:sz w:val="44"/>
          <w:szCs w:val="44"/>
        </w:rPr>
        <w:t>关于峨眉山市科学技术协会</w:t>
      </w:r>
      <w:r>
        <w:rPr>
          <w:rFonts w:ascii="方正小标宋简体" w:eastAsia="方正小标宋简体"/>
          <w:sz w:val="44"/>
          <w:szCs w:val="44"/>
        </w:rPr>
        <w:br w:type="textWrapping"/>
      </w:r>
      <w:r>
        <w:rPr>
          <w:rFonts w:hint="eastAsia" w:ascii="方正小标宋简体" w:eastAsia="方正小标宋简体"/>
          <w:sz w:val="44"/>
          <w:szCs w:val="44"/>
        </w:rPr>
        <w:t>2024年预算编制的说明</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按照预算管理有关规定，目前部门及单位预算编制实行综合预算制度，即全部收入和支出都反映在预算中。</w:t>
      </w:r>
    </w:p>
    <w:p>
      <w:pPr>
        <w:spacing w:line="600" w:lineRule="exact"/>
        <w:ind w:firstLine="640" w:firstLineChars="200"/>
        <w:outlineLvl w:val="1"/>
        <w:rPr>
          <w:rFonts w:ascii="黑体" w:eastAsia="黑体"/>
          <w:sz w:val="32"/>
          <w:szCs w:val="32"/>
        </w:rPr>
      </w:pPr>
      <w:r>
        <w:rPr>
          <w:rFonts w:hint="eastAsia" w:ascii="黑体" w:eastAsia="黑体"/>
          <w:sz w:val="32"/>
          <w:szCs w:val="32"/>
        </w:rPr>
        <w:t>一、基本职能及主要工作</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（一）主要职能</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开展学术交流，普及科学知识，维护科技工作者合法权益，表彰奖励优秀科技工作者，举荐人才，开展科学认证、咨询服务。对市级学会、协会进行管理，对乡镇科协和市属以上科协进行业务指导。承担市委、市政府和乐山市科协交办的其他事项。</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（二）2024年重点工作任务</w:t>
      </w:r>
    </w:p>
    <w:p>
      <w:pPr>
        <w:spacing w:line="600" w:lineRule="exact"/>
        <w:ind w:firstLine="640" w:firstLineChars="200"/>
      </w:pPr>
      <w:r>
        <w:rPr>
          <w:rFonts w:hint="eastAsia" w:ascii="仿宋_GB2312" w:eastAsia="仿宋_GB2312" w:cs="Times New Roman"/>
          <w:sz w:val="32"/>
          <w:lang w:val="en-US" w:eastAsia="zh-CN"/>
        </w:rPr>
        <w:t>1.</w:t>
      </w:r>
      <w:r>
        <w:rPr>
          <w:rFonts w:hint="eastAsia" w:ascii="仿宋_GB2312" w:eastAsia="仿宋_GB2312" w:cs="Times New Roman"/>
          <w:sz w:val="32"/>
          <w:lang w:eastAsia="zh-Hans"/>
        </w:rPr>
        <w:t>坚持思想</w:t>
      </w:r>
      <w:r>
        <w:rPr>
          <w:rFonts w:hint="eastAsia" w:ascii="仿宋_GB2312" w:eastAsia="仿宋_GB2312" w:cs="Times New Roman"/>
          <w:sz w:val="32"/>
        </w:rPr>
        <w:t>引领，凝聚团结</w:t>
      </w:r>
      <w:r>
        <w:rPr>
          <w:rFonts w:hint="eastAsia" w:ascii="仿宋_GB2312" w:eastAsia="仿宋_GB2312" w:cs="Times New Roman"/>
          <w:sz w:val="32"/>
          <w:lang w:eastAsia="zh-Hans"/>
        </w:rPr>
        <w:t>奋进力量</w:t>
      </w:r>
      <w:r>
        <w:rPr>
          <w:rFonts w:hint="eastAsia" w:ascii="仿宋_GB2312" w:eastAsia="仿宋_GB2312" w:cs="Times New Roman"/>
          <w:sz w:val="32"/>
        </w:rPr>
        <w:t>。坚持不懈用习近平新</w:t>
      </w:r>
      <w:r>
        <w:rPr>
          <w:rFonts w:hint="eastAsia" w:ascii="仿宋_GB2312" w:eastAsia="仿宋_GB2312"/>
          <w:sz w:val="32"/>
          <w:szCs w:val="24"/>
        </w:rPr>
        <w:t>时代中国特色社会主义思想凝心铸魂，</w:t>
      </w:r>
      <w:r>
        <w:rPr>
          <w:rFonts w:hint="eastAsia" w:ascii="仿宋_GB2312" w:eastAsia="仿宋_GB2312"/>
          <w:sz w:val="32"/>
        </w:rPr>
        <w:t>把学习宣传贯彻</w:t>
      </w:r>
      <w:r>
        <w:rPr>
          <w:rFonts w:hint="eastAsia" w:ascii="仿宋_GB2312" w:eastAsia="仿宋_GB2312"/>
          <w:sz w:val="32"/>
          <w:szCs w:val="24"/>
        </w:rPr>
        <w:t>党的二十大精神和习近平总书记来川视察系列重要指示精神</w:t>
      </w:r>
      <w:r>
        <w:rPr>
          <w:rFonts w:hint="eastAsia" w:ascii="仿宋_GB2312" w:eastAsia="仿宋_GB2312"/>
          <w:sz w:val="32"/>
        </w:rPr>
        <w:t>作为当前和今后一个时期的首要政治任务。牢牢把握“学思想、强党性、重实践、践新功”的总体要求，扎实推进主题教育，以学铸魂、以学增智、以学正风、以学促干。坚持党建引领发展，深入领会习近平总书记关于科技创新和群团改革的重要论述，团结引领全市科协系统干部职工和广大科技工作者自觉把力量凝聚到实现党的二十大确定的各项目标任务上来，坚决推动党的二十大决策部署在全市科协系统落地生根、见到实效。</w:t>
      </w:r>
    </w:p>
    <w:p>
      <w:pPr>
        <w:pStyle w:val="6"/>
        <w:spacing w:before="0" w:after="0" w:line="600" w:lineRule="exact"/>
        <w:ind w:firstLine="640" w:firstLineChars="200"/>
        <w:jc w:val="both"/>
        <w:rPr>
          <w:rFonts w:ascii="仿宋_GB2312" w:hAnsi="仿宋_GB2312" w:eastAsia="仿宋_GB2312" w:cs="仿宋_GB2312"/>
          <w:b w:val="0"/>
          <w:bCs w:val="0"/>
        </w:rPr>
      </w:pPr>
      <w:r>
        <w:rPr>
          <w:rFonts w:hint="eastAsia" w:ascii="仿宋_GB2312" w:hAnsi="Calibri" w:eastAsia="仿宋_GB2312" w:cs="Times New Roman"/>
          <w:b w:val="0"/>
          <w:bCs w:val="0"/>
          <w:kern w:val="2"/>
          <w:sz w:val="32"/>
          <w:szCs w:val="22"/>
          <w:lang w:val="en-US" w:eastAsia="zh-CN" w:bidi="ar-SA"/>
        </w:rPr>
        <w:t>2.</w:t>
      </w:r>
      <w:bookmarkStart w:id="0" w:name="_GoBack"/>
      <w:bookmarkEnd w:id="0"/>
      <w:r>
        <w:rPr>
          <w:rFonts w:hint="eastAsia" w:ascii="仿宋_GB2312" w:hAnsi="Calibri" w:eastAsia="仿宋_GB2312" w:cs="Times New Roman"/>
          <w:b w:val="0"/>
          <w:bCs w:val="0"/>
          <w:kern w:val="2"/>
          <w:sz w:val="32"/>
          <w:szCs w:val="22"/>
          <w:lang w:val="en-US" w:eastAsia="zh-Hans" w:bidi="ar-SA"/>
        </w:rPr>
        <w:t>坚持创新领航，</w:t>
      </w:r>
      <w:r>
        <w:rPr>
          <w:rFonts w:hint="eastAsia" w:ascii="仿宋_GB2312" w:hAnsi="Calibri" w:eastAsia="仿宋_GB2312" w:cs="Times New Roman"/>
          <w:b w:val="0"/>
          <w:bCs w:val="0"/>
          <w:kern w:val="2"/>
          <w:sz w:val="32"/>
          <w:szCs w:val="22"/>
          <w:lang w:val="en-US" w:eastAsia="zh-CN" w:bidi="ar-SA"/>
        </w:rPr>
        <w:t>深化天府科技云“保姆式”服务。紧紧</w:t>
      </w:r>
      <w:r>
        <w:rPr>
          <w:rFonts w:hint="eastAsia" w:ascii="仿宋_GB2312" w:hAnsi="仿宋_GB2312" w:eastAsia="仿宋_GB2312" w:cs="仿宋_GB2312"/>
          <w:b w:val="0"/>
          <w:bCs w:val="0"/>
        </w:rPr>
        <w:t>围绕科协“四服务”要求，依托天府科技云服务平台，积极深化推动供给侧“保姆式”服务。努力提升院士专家、工作站建设质量，指导优秀院士专家、站创建省级院士专家、工作站，充分运用好建站成果，促进企事业单位发展。搭建综合性、跨学科、开放性的交流平台，围绕市委、市政府工作要点开展形式多样的学术交流活动，激发科技工作者创新创造活力营造良好学术氛围。鼓励优秀科技工作者参加川渝科技学术大会，发布并表彰大会优秀论文。广泛推荐优秀科技工作者参与国家、省、市人才、项目等奖项评选。发挥科协系统人才智力优势，凝聚专业人才、专注于做好相关领域的研究，积极为党和政府建言献策。</w:t>
      </w:r>
    </w:p>
    <w:p>
      <w:pPr>
        <w:spacing w:line="600" w:lineRule="exact"/>
        <w:ind w:firstLine="640" w:firstLineChars="200"/>
        <w:rPr>
          <w:rFonts w:ascii="仿宋_GB2312" w:hAnsi="仿宋_GB2312" w:eastAsia="仿宋_GB2312" w:cs="仿宋_GB2312"/>
          <w:sz w:val="32"/>
          <w:szCs w:val="32"/>
        </w:rPr>
      </w:pPr>
      <w:r>
        <w:rPr>
          <w:rFonts w:hint="eastAsia" w:ascii="仿宋_GB2312" w:eastAsia="仿宋_GB2312" w:cs="Times New Roman"/>
          <w:sz w:val="32"/>
          <w:lang w:val="en-US" w:eastAsia="zh-CN"/>
        </w:rPr>
        <w:t>3.</w:t>
      </w:r>
      <w:r>
        <w:rPr>
          <w:rFonts w:hint="eastAsia" w:ascii="仿宋_GB2312" w:eastAsia="仿宋_GB2312" w:cs="Times New Roman"/>
          <w:sz w:val="32"/>
          <w:lang w:eastAsia="zh-Hans"/>
        </w:rPr>
        <w:t>坚持科普领跑，</w:t>
      </w:r>
      <w:r>
        <w:rPr>
          <w:rFonts w:hint="eastAsia" w:ascii="仿宋_GB2312" w:eastAsia="仿宋_GB2312" w:cs="Times New Roman"/>
          <w:sz w:val="32"/>
        </w:rPr>
        <w:t>扎实提升公民科学素质。认真贯彻实施</w:t>
      </w:r>
      <w:r>
        <w:rPr>
          <w:rFonts w:hint="eastAsia" w:ascii="仿宋_GB2312" w:hAnsi="仿宋_GB2312" w:eastAsia="仿宋_GB2312" w:cs="仿宋_GB2312"/>
          <w:kern w:val="0"/>
          <w:sz w:val="32"/>
          <w:szCs w:val="32"/>
        </w:rPr>
        <w:t>中办、国办《关于进一步加强新时代科学技术普及的意见》和《乐山市全民科学素质行动规划纲要实施方案2021—2035年、》，统筹推进重点人群科学素质行动，组织开展内容丰富、形式多样的科学普及活动，稳步提升我市公民科学素质水平。加强科普基础设施和科普志愿者队伍建设，</w:t>
      </w:r>
      <w:r>
        <w:rPr>
          <w:rFonts w:hint="eastAsia" w:ascii="仿宋_GB2312" w:hAnsi="仿宋_GB2312" w:eastAsia="仿宋_GB2312" w:cs="仿宋_GB2312"/>
          <w:sz w:val="32"/>
          <w:szCs w:val="32"/>
        </w:rPr>
        <w:t>组织开展好科普宣传月、科技活动周、全国科普日等重点科普宣传活动。培养农村乡土人才参与乡村振兴创新创业大赛，搭建乡土人才创新创业展示交流平台，培育优秀农村乡土人才创新创业团队和项目。</w:t>
      </w:r>
    </w:p>
    <w:p>
      <w:pPr>
        <w:spacing w:line="600" w:lineRule="exact"/>
        <w:ind w:firstLine="640" w:firstLineChars="200"/>
        <w:rPr>
          <w:rFonts w:ascii="仿宋_GB2312" w:hAnsi="仿宋_GB2312" w:eastAsia="仿宋_GB2312" w:cs="仿宋_GB2312"/>
          <w:sz w:val="32"/>
          <w:szCs w:val="32"/>
        </w:rPr>
      </w:pPr>
      <w:r>
        <w:rPr>
          <w:rFonts w:hint="eastAsia" w:ascii="仿宋_GB2312" w:eastAsia="仿宋_GB2312" w:cs="Times New Roman"/>
          <w:sz w:val="32"/>
          <w:lang w:val="en-US" w:eastAsia="zh-CN"/>
        </w:rPr>
        <w:t>4.</w:t>
      </w:r>
      <w:r>
        <w:rPr>
          <w:rFonts w:hint="eastAsia" w:ascii="仿宋_GB2312" w:eastAsia="仿宋_GB2312" w:cs="Times New Roman"/>
          <w:sz w:val="32"/>
          <w:lang w:eastAsia="zh-Hans"/>
        </w:rPr>
        <w:t>坚持改革领先，</w:t>
      </w:r>
      <w:r>
        <w:rPr>
          <w:rFonts w:hint="eastAsia" w:ascii="仿宋_GB2312" w:eastAsia="仿宋_GB2312" w:cs="Times New Roman"/>
          <w:sz w:val="32"/>
        </w:rPr>
        <w:t>持续强化自身建设。指导乡镇街道、科</w:t>
      </w:r>
      <w:r>
        <w:rPr>
          <w:rFonts w:hint="eastAsia" w:ascii="仿宋_GB2312" w:eastAsia="仿宋_GB2312"/>
          <w:sz w:val="32"/>
        </w:rPr>
        <w:t>协加强基层科协组织建设，推动科协组织向基层延伸，接长手臂、形成链条，持续基层科协工作水平。进一步完善内部管理和交流制度，通过持续深入推进党的创新理论教育，抓好干部思想政治建设和能力素质提升，引导科协系统全体干部坚定理想信念，转变工作作风，锻造一支政治坚定、能力过硬、作风优良、奋发有为的科协干部队伍。</w:t>
      </w:r>
      <w:r>
        <w:rPr>
          <w:rFonts w:hint="eastAsia" w:ascii="仿宋_GB2312" w:hAnsi="仿宋_GB2312" w:eastAsia="仿宋_GB2312" w:cs="仿宋_GB2312"/>
          <w:sz w:val="32"/>
          <w:szCs w:val="32"/>
        </w:rPr>
        <w:t xml:space="preserve">严格执行党风廉政建设责任制，落实好主体责任和监督责任，班子成员带头履行“一岗双责”，落实反腐倡廉工作各项部署，认真落实党内监督条例等各项规定，严格执行“三重一大”事项集体讨论决策制度，营造廉洁自律的良好工作氛围。 </w:t>
      </w:r>
    </w:p>
    <w:p>
      <w:pPr>
        <w:spacing w:line="600" w:lineRule="exact"/>
        <w:ind w:firstLine="640" w:firstLineChars="200"/>
        <w:outlineLvl w:val="1"/>
        <w:rPr>
          <w:rFonts w:ascii="黑体" w:eastAsia="黑体"/>
          <w:sz w:val="32"/>
          <w:szCs w:val="32"/>
        </w:rPr>
      </w:pPr>
      <w:r>
        <w:rPr>
          <w:rFonts w:hint="eastAsia" w:ascii="黑体" w:eastAsia="黑体"/>
          <w:sz w:val="32"/>
          <w:szCs w:val="32"/>
        </w:rPr>
        <w:t>二、部门概况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峨眉山市科学技术协会下属二级预算单位</w:t>
      </w:r>
      <w:r>
        <w:rPr>
          <w:rFonts w:ascii="仿宋_GB2312" w:eastAsia="仿宋_GB2312"/>
          <w:sz w:val="32"/>
          <w:szCs w:val="32"/>
        </w:rPr>
        <w:t>0</w:t>
      </w:r>
      <w:r>
        <w:rPr>
          <w:rFonts w:hint="eastAsia" w:ascii="仿宋_GB2312" w:eastAsia="仿宋_GB2312"/>
          <w:sz w:val="32"/>
          <w:szCs w:val="32"/>
        </w:rPr>
        <w:t>个，其中行政单位</w:t>
      </w:r>
      <w:r>
        <w:rPr>
          <w:rFonts w:ascii="仿宋_GB2312" w:eastAsia="仿宋_GB2312"/>
          <w:sz w:val="32"/>
          <w:szCs w:val="32"/>
        </w:rPr>
        <w:t>0</w:t>
      </w:r>
      <w:r>
        <w:rPr>
          <w:rFonts w:hint="eastAsia" w:ascii="仿宋_GB2312" w:eastAsia="仿宋_GB2312"/>
          <w:sz w:val="32"/>
          <w:szCs w:val="32"/>
        </w:rPr>
        <w:t>个，参照公务员法管理的事业单位</w:t>
      </w:r>
      <w:r>
        <w:rPr>
          <w:rFonts w:ascii="仿宋_GB2312" w:eastAsia="仿宋_GB2312"/>
          <w:sz w:val="32"/>
          <w:szCs w:val="32"/>
        </w:rPr>
        <w:t>0</w:t>
      </w:r>
      <w:r>
        <w:rPr>
          <w:rFonts w:hint="eastAsia" w:ascii="仿宋_GB2312" w:eastAsia="仿宋_GB2312"/>
          <w:sz w:val="32"/>
          <w:szCs w:val="32"/>
        </w:rPr>
        <w:t>个，其他事业单位</w:t>
      </w:r>
      <w:r>
        <w:rPr>
          <w:rFonts w:ascii="仿宋_GB2312" w:eastAsia="仿宋_GB2312"/>
          <w:sz w:val="32"/>
          <w:szCs w:val="32"/>
        </w:rPr>
        <w:t>0</w:t>
      </w:r>
      <w:r>
        <w:rPr>
          <w:rFonts w:hint="eastAsia" w:ascii="仿宋_GB2312" w:eastAsia="仿宋_GB2312"/>
          <w:sz w:val="32"/>
          <w:szCs w:val="32"/>
        </w:rPr>
        <w:t>个。</w:t>
      </w:r>
    </w:p>
    <w:p>
      <w:pPr>
        <w:spacing w:line="600" w:lineRule="exact"/>
        <w:ind w:firstLine="640" w:firstLineChars="200"/>
        <w:outlineLvl w:val="1"/>
        <w:rPr>
          <w:rFonts w:ascii="黑体" w:eastAsia="黑体"/>
          <w:sz w:val="32"/>
          <w:szCs w:val="32"/>
        </w:rPr>
      </w:pPr>
      <w:r>
        <w:rPr>
          <w:rFonts w:hint="eastAsia" w:ascii="黑体" w:eastAsia="黑体"/>
          <w:sz w:val="32"/>
          <w:szCs w:val="32"/>
        </w:rPr>
        <w:t>三、收支预算总体情况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按照综合预算的原则，峨眉山市科学技术协会所有收入和支出均纳入预算管理。2024年峨眉山市科学技术协会收入预算总额为</w:t>
      </w:r>
      <w:r>
        <w:rPr>
          <w:rFonts w:ascii="仿宋_GB2312" w:eastAsia="仿宋_GB2312"/>
          <w:sz w:val="32"/>
          <w:szCs w:val="32"/>
        </w:rPr>
        <w:t>216.14</w:t>
      </w:r>
      <w:r>
        <w:rPr>
          <w:rFonts w:hint="eastAsia" w:ascii="仿宋_GB2312" w:eastAsia="仿宋_GB2312"/>
          <w:sz w:val="32"/>
          <w:szCs w:val="32"/>
        </w:rPr>
        <w:t>万元，较上年预算数减少</w:t>
      </w:r>
      <w:r>
        <w:rPr>
          <w:rFonts w:ascii="仿宋_GB2312" w:eastAsia="仿宋_GB2312"/>
          <w:sz w:val="32"/>
          <w:szCs w:val="32"/>
        </w:rPr>
        <w:t>5.85</w:t>
      </w:r>
      <w:r>
        <w:rPr>
          <w:rFonts w:hint="eastAsia" w:ascii="仿宋_GB2312" w:eastAsia="仿宋_GB2312"/>
          <w:sz w:val="32"/>
          <w:szCs w:val="32"/>
        </w:rPr>
        <w:t>万元。其中：当年财政拨款收入</w:t>
      </w:r>
      <w:r>
        <w:rPr>
          <w:rFonts w:ascii="仿宋_GB2312" w:eastAsia="仿宋_GB2312"/>
          <w:sz w:val="32"/>
          <w:szCs w:val="32"/>
        </w:rPr>
        <w:t>216.14</w:t>
      </w:r>
      <w:r>
        <w:rPr>
          <w:rFonts w:hint="eastAsia" w:ascii="仿宋_GB2312" w:eastAsia="仿宋_GB2312"/>
          <w:sz w:val="32"/>
          <w:szCs w:val="32"/>
        </w:rPr>
        <w:t>万元，事业收入</w:t>
      </w:r>
      <w:r>
        <w:rPr>
          <w:rFonts w:ascii="仿宋_GB2312" w:eastAsia="仿宋_GB2312"/>
          <w:sz w:val="32"/>
          <w:szCs w:val="32"/>
        </w:rPr>
        <w:t>0</w:t>
      </w:r>
      <w:r>
        <w:rPr>
          <w:rFonts w:hint="eastAsia" w:ascii="仿宋_GB2312" w:eastAsia="仿宋_GB2312"/>
          <w:sz w:val="32"/>
          <w:szCs w:val="32"/>
        </w:rPr>
        <w:t>万元，其他收入</w:t>
      </w:r>
      <w:r>
        <w:rPr>
          <w:rFonts w:ascii="仿宋_GB2312" w:eastAsia="仿宋_GB2312"/>
          <w:sz w:val="32"/>
          <w:szCs w:val="32"/>
        </w:rPr>
        <w:t>0</w:t>
      </w:r>
      <w:r>
        <w:rPr>
          <w:rFonts w:hint="eastAsia" w:ascii="仿宋_GB2312" w:eastAsia="仿宋_GB2312"/>
          <w:sz w:val="32"/>
          <w:szCs w:val="32"/>
        </w:rPr>
        <w:t>万元。相应安排支出预算</w:t>
      </w:r>
      <w:r>
        <w:rPr>
          <w:rFonts w:ascii="仿宋_GB2312" w:eastAsia="仿宋_GB2312"/>
          <w:sz w:val="32"/>
          <w:szCs w:val="32"/>
        </w:rPr>
        <w:t>216.14</w:t>
      </w:r>
      <w:r>
        <w:rPr>
          <w:rFonts w:hint="eastAsia" w:ascii="仿宋_GB2312" w:eastAsia="仿宋_GB2312"/>
          <w:sz w:val="32"/>
          <w:szCs w:val="32"/>
        </w:rPr>
        <w:t>万元，其中：人员支出</w:t>
      </w:r>
      <w:r>
        <w:rPr>
          <w:rFonts w:ascii="仿宋_GB2312" w:eastAsia="仿宋_GB2312"/>
          <w:sz w:val="32"/>
          <w:szCs w:val="32"/>
        </w:rPr>
        <w:t>125.23</w:t>
      </w:r>
      <w:r>
        <w:rPr>
          <w:rFonts w:hint="eastAsia" w:ascii="仿宋_GB2312" w:eastAsia="仿宋_GB2312"/>
          <w:sz w:val="32"/>
          <w:szCs w:val="32"/>
        </w:rPr>
        <w:t>万元，日常公用支出</w:t>
      </w:r>
      <w:r>
        <w:rPr>
          <w:rFonts w:ascii="仿宋_GB2312" w:eastAsia="仿宋_GB2312"/>
          <w:sz w:val="32"/>
          <w:szCs w:val="32"/>
        </w:rPr>
        <w:t>23.91</w:t>
      </w:r>
      <w:r>
        <w:rPr>
          <w:rFonts w:hint="eastAsia" w:ascii="仿宋_GB2312" w:eastAsia="仿宋_GB2312"/>
          <w:sz w:val="32"/>
          <w:szCs w:val="32"/>
        </w:rPr>
        <w:t>万元，对个人和家庭的补助支出</w:t>
      </w:r>
      <w:r>
        <w:rPr>
          <w:rFonts w:ascii="仿宋_GB2312" w:eastAsia="仿宋_GB2312"/>
          <w:sz w:val="32"/>
          <w:szCs w:val="32"/>
        </w:rPr>
        <w:t>1.73</w:t>
      </w:r>
      <w:r>
        <w:rPr>
          <w:rFonts w:hint="eastAsia" w:ascii="仿宋_GB2312" w:eastAsia="仿宋_GB2312"/>
          <w:sz w:val="32"/>
          <w:szCs w:val="32"/>
        </w:rPr>
        <w:t>万元，专项支出</w:t>
      </w:r>
      <w:r>
        <w:rPr>
          <w:rFonts w:ascii="仿宋_GB2312" w:eastAsia="仿宋_GB2312"/>
          <w:sz w:val="32"/>
          <w:szCs w:val="32"/>
        </w:rPr>
        <w:t>67</w:t>
      </w:r>
      <w:r>
        <w:rPr>
          <w:rFonts w:hint="eastAsia" w:ascii="仿宋_GB2312" w:eastAsia="仿宋_GB2312"/>
          <w:sz w:val="32"/>
          <w:szCs w:val="32"/>
        </w:rPr>
        <w:t>万元。</w:t>
      </w:r>
    </w:p>
    <w:p>
      <w:pPr>
        <w:spacing w:line="600" w:lineRule="exact"/>
        <w:ind w:firstLine="640" w:firstLineChars="200"/>
        <w:outlineLvl w:val="1"/>
        <w:rPr>
          <w:rFonts w:ascii="黑体" w:eastAsia="黑体"/>
          <w:sz w:val="32"/>
          <w:szCs w:val="32"/>
        </w:rPr>
      </w:pPr>
      <w:r>
        <w:rPr>
          <w:rFonts w:hint="eastAsia" w:ascii="黑体" w:eastAsia="黑体"/>
          <w:sz w:val="32"/>
          <w:szCs w:val="32"/>
        </w:rPr>
        <w:t>四、财政拨款支出预算安排情况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峨眉山市科学技术协会2024年财政拨款收支总预算</w:t>
      </w:r>
      <w:r>
        <w:rPr>
          <w:rFonts w:ascii="仿宋_GB2312" w:eastAsia="仿宋_GB2312"/>
          <w:sz w:val="32"/>
          <w:szCs w:val="32"/>
        </w:rPr>
        <w:t>216.14</w:t>
      </w:r>
      <w:r>
        <w:rPr>
          <w:rFonts w:hint="eastAsia" w:ascii="仿宋_GB2312" w:eastAsia="仿宋_GB2312"/>
          <w:sz w:val="32"/>
          <w:szCs w:val="32"/>
        </w:rPr>
        <w:t>万元，主要用于保障峨眉山市科学技术协会机构正常运转、完成日常工作任务以及承担科学普及事业发展相关工作。其中：</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基本支出</w:t>
      </w:r>
      <w:r>
        <w:rPr>
          <w:rFonts w:ascii="仿宋_GB2312" w:eastAsia="仿宋_GB2312"/>
          <w:sz w:val="32"/>
          <w:szCs w:val="32"/>
        </w:rPr>
        <w:t>149.14</w:t>
      </w:r>
      <w:r>
        <w:rPr>
          <w:rFonts w:hint="eastAsia" w:ascii="仿宋_GB2312" w:eastAsia="仿宋_GB2312"/>
          <w:sz w:val="32"/>
          <w:szCs w:val="32"/>
        </w:rPr>
        <w:t>万元，是用于保障峨眉山市科学技术协会正常运转的日常支出，包括基本工资、津贴补贴等人员经费以及办公费、印刷费、水电费、办公设备购置等日常公用经费。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项目支出</w:t>
      </w:r>
      <w:r>
        <w:rPr>
          <w:rFonts w:ascii="仿宋_GB2312" w:eastAsia="仿宋_GB2312"/>
          <w:sz w:val="32"/>
          <w:szCs w:val="32"/>
        </w:rPr>
        <w:t>67</w:t>
      </w:r>
      <w:r>
        <w:rPr>
          <w:rFonts w:hint="eastAsia" w:ascii="仿宋_GB2312" w:eastAsia="仿宋_GB2312"/>
          <w:sz w:val="32"/>
          <w:szCs w:val="32"/>
        </w:rPr>
        <w:t>万元，是用于保障峨眉山市科学技术协会为完成特定的行政工作任务或事业发展目标，用于专项业务工作的经费支出。</w:t>
      </w:r>
    </w:p>
    <w:p>
      <w:pPr>
        <w:spacing w:line="600" w:lineRule="exact"/>
        <w:ind w:firstLine="640" w:firstLineChars="200"/>
        <w:outlineLvl w:val="1"/>
        <w:rPr>
          <w:rFonts w:ascii="黑体" w:eastAsia="黑体"/>
          <w:sz w:val="32"/>
          <w:szCs w:val="32"/>
        </w:rPr>
      </w:pPr>
      <w:r>
        <w:rPr>
          <w:rFonts w:hint="eastAsia" w:ascii="黑体" w:eastAsia="黑体"/>
          <w:sz w:val="32"/>
          <w:szCs w:val="32"/>
        </w:rPr>
        <w:t>五、一般公共预算当年拨款情况说明</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（一）一般公共预算当年拨款规模及变化情况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峨眉山市科学技术协会2024年一般公共预算当年拨款</w:t>
      </w:r>
      <w:r>
        <w:rPr>
          <w:rFonts w:ascii="仿宋_GB2312" w:eastAsia="仿宋_GB2312"/>
          <w:sz w:val="32"/>
          <w:szCs w:val="32"/>
        </w:rPr>
        <w:t>216.14</w:t>
      </w:r>
      <w:r>
        <w:rPr>
          <w:rFonts w:hint="eastAsia" w:ascii="仿宋_GB2312" w:eastAsia="仿宋_GB2312"/>
          <w:sz w:val="32"/>
          <w:szCs w:val="32"/>
        </w:rPr>
        <w:t>万元，较上年预算数减少</w:t>
      </w:r>
      <w:r>
        <w:rPr>
          <w:rFonts w:ascii="仿宋_GB2312" w:eastAsia="仿宋_GB2312"/>
          <w:sz w:val="32"/>
          <w:szCs w:val="32"/>
        </w:rPr>
        <w:t>5.85</w:t>
      </w:r>
      <w:r>
        <w:rPr>
          <w:rFonts w:hint="eastAsia" w:ascii="仿宋_GB2312" w:eastAsia="仿宋_GB2312"/>
          <w:sz w:val="32"/>
          <w:szCs w:val="32"/>
        </w:rPr>
        <w:t>万元。主要原因是项目经费减少。</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（二）一般公共预算当年拨款结构情况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科学技术支出</w:t>
      </w:r>
      <w:r>
        <w:rPr>
          <w:rFonts w:ascii="仿宋_GB2312" w:eastAsia="仿宋_GB2312"/>
          <w:sz w:val="32"/>
          <w:szCs w:val="32"/>
        </w:rPr>
        <w:t>180.43</w:t>
      </w:r>
      <w:r>
        <w:rPr>
          <w:rFonts w:hint="eastAsia" w:ascii="仿宋_GB2312" w:eastAsia="仿宋_GB2312"/>
          <w:sz w:val="32"/>
          <w:szCs w:val="32"/>
        </w:rPr>
        <w:t>万元，占</w:t>
      </w:r>
      <w:r>
        <w:rPr>
          <w:rFonts w:ascii="仿宋_GB2312" w:eastAsia="仿宋_GB2312"/>
          <w:sz w:val="32"/>
          <w:szCs w:val="32"/>
        </w:rPr>
        <w:t>83.48</w:t>
      </w:r>
      <w:r>
        <w:rPr>
          <w:rFonts w:hint="eastAsia" w:ascii="仿宋_GB2312" w:eastAsia="仿宋_GB2312"/>
          <w:sz w:val="32"/>
          <w:szCs w:val="32"/>
        </w:rPr>
        <w:t>%；社会保障和就业支出</w:t>
      </w:r>
      <w:r>
        <w:rPr>
          <w:rFonts w:ascii="仿宋_GB2312" w:eastAsia="仿宋_GB2312"/>
          <w:sz w:val="32"/>
          <w:szCs w:val="32"/>
        </w:rPr>
        <w:t>19.57</w:t>
      </w:r>
      <w:r>
        <w:rPr>
          <w:rFonts w:hint="eastAsia" w:ascii="仿宋_GB2312" w:eastAsia="仿宋_GB2312"/>
          <w:sz w:val="32"/>
          <w:szCs w:val="32"/>
        </w:rPr>
        <w:t>万元，占</w:t>
      </w:r>
      <w:r>
        <w:rPr>
          <w:rFonts w:ascii="仿宋_GB2312" w:eastAsia="仿宋_GB2312"/>
          <w:sz w:val="32"/>
          <w:szCs w:val="32"/>
        </w:rPr>
        <w:t>9.05</w:t>
      </w:r>
      <w:r>
        <w:rPr>
          <w:rFonts w:hint="eastAsia" w:ascii="仿宋_GB2312" w:eastAsia="仿宋_GB2312"/>
          <w:sz w:val="32"/>
          <w:szCs w:val="32"/>
        </w:rPr>
        <w:t>%；卫生健康支出</w:t>
      </w:r>
      <w:r>
        <w:rPr>
          <w:rFonts w:ascii="仿宋_GB2312" w:eastAsia="仿宋_GB2312"/>
          <w:sz w:val="32"/>
          <w:szCs w:val="32"/>
        </w:rPr>
        <w:t>4.94万元，占</w:t>
      </w:r>
      <w:r>
        <w:rPr>
          <w:rFonts w:hint="eastAsia" w:ascii="仿宋_GB2312" w:eastAsia="仿宋_GB2312"/>
          <w:sz w:val="32"/>
          <w:szCs w:val="32"/>
        </w:rPr>
        <w:t>2</w:t>
      </w:r>
      <w:r>
        <w:rPr>
          <w:rFonts w:ascii="仿宋_GB2312" w:eastAsia="仿宋_GB2312"/>
          <w:sz w:val="32"/>
          <w:szCs w:val="32"/>
        </w:rPr>
        <w:t>.29%；</w:t>
      </w:r>
      <w:r>
        <w:rPr>
          <w:rFonts w:hint="eastAsia" w:ascii="仿宋_GB2312" w:eastAsia="仿宋_GB2312"/>
          <w:sz w:val="32"/>
          <w:szCs w:val="32"/>
        </w:rPr>
        <w:t>住房保障支出</w:t>
      </w:r>
      <w:r>
        <w:rPr>
          <w:rFonts w:ascii="仿宋_GB2312" w:eastAsia="仿宋_GB2312"/>
          <w:sz w:val="32"/>
          <w:szCs w:val="32"/>
        </w:rPr>
        <w:t>11.2</w:t>
      </w:r>
      <w:r>
        <w:rPr>
          <w:rFonts w:hint="eastAsia" w:ascii="仿宋_GB2312" w:eastAsia="仿宋_GB2312"/>
          <w:sz w:val="32"/>
          <w:szCs w:val="32"/>
        </w:rPr>
        <w:t>万元占</w:t>
      </w:r>
      <w:r>
        <w:rPr>
          <w:rFonts w:ascii="仿宋_GB2312" w:eastAsia="仿宋_GB2312"/>
          <w:sz w:val="32"/>
          <w:szCs w:val="32"/>
        </w:rPr>
        <w:t>5.18</w:t>
      </w:r>
      <w:r>
        <w:rPr>
          <w:rFonts w:hint="eastAsia" w:ascii="仿宋_GB2312" w:eastAsia="仿宋_GB2312"/>
          <w:sz w:val="32"/>
          <w:szCs w:val="32"/>
        </w:rPr>
        <w:t>%。</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（三）一般公共预算当年拨款具体使用情况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 科学技术支出（类）科学技术管理事务（款）行政运行（项），2024年预算数为</w:t>
      </w:r>
      <w:r>
        <w:rPr>
          <w:rFonts w:ascii="仿宋_GB2312" w:eastAsia="仿宋_GB2312"/>
          <w:sz w:val="32"/>
          <w:szCs w:val="32"/>
        </w:rPr>
        <w:t>113.43</w:t>
      </w:r>
      <w:r>
        <w:rPr>
          <w:rFonts w:hint="eastAsia" w:ascii="仿宋_GB2312" w:eastAsia="仿宋_GB2312"/>
          <w:sz w:val="32"/>
          <w:szCs w:val="32"/>
        </w:rPr>
        <w:t>万元，主要用于：单位正常运转的基本支出，包括基本工资、津贴补贴等人员经费以及办公费、印刷费、水电费等日常公用经费。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2.科学技术支出（类）科学技术普及（款）其他科学技术普及支出（项），</w:t>
      </w:r>
      <w:r>
        <w:rPr>
          <w:rFonts w:ascii="仿宋_GB2312" w:eastAsia="仿宋_GB2312"/>
          <w:sz w:val="32"/>
          <w:szCs w:val="32"/>
        </w:rPr>
        <w:t>2024</w:t>
      </w:r>
      <w:r>
        <w:rPr>
          <w:rFonts w:hint="eastAsia" w:ascii="仿宋_GB2312" w:eastAsia="仿宋_GB2312"/>
          <w:sz w:val="32"/>
          <w:szCs w:val="32"/>
        </w:rPr>
        <w:t>年预算数为</w:t>
      </w:r>
      <w:r>
        <w:rPr>
          <w:rFonts w:ascii="仿宋_GB2312" w:eastAsia="仿宋_GB2312"/>
          <w:sz w:val="32"/>
          <w:szCs w:val="32"/>
        </w:rPr>
        <w:t>67</w:t>
      </w:r>
      <w:r>
        <w:rPr>
          <w:rFonts w:hint="eastAsia" w:ascii="仿宋_GB2312" w:eastAsia="仿宋_GB2312"/>
          <w:sz w:val="32"/>
          <w:szCs w:val="32"/>
        </w:rPr>
        <w:t>万元，主要用于：其他科学技术普及项目支出。</w:t>
      </w:r>
    </w:p>
    <w:p>
      <w:pPr>
        <w:spacing w:line="60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.社会保障和就业支出（类）行政事业单位养老支出（款）机关事业单位养老保险缴费支出（项），202</w:t>
      </w:r>
      <w:r>
        <w:rPr>
          <w:rFonts w:ascii="仿宋_GB2312" w:eastAsia="仿宋_GB2312"/>
          <w:sz w:val="32"/>
          <w:szCs w:val="32"/>
        </w:rPr>
        <w:t>4</w:t>
      </w:r>
      <w:r>
        <w:rPr>
          <w:rFonts w:hint="eastAsia" w:ascii="仿宋_GB2312" w:eastAsia="仿宋_GB2312"/>
          <w:sz w:val="32"/>
          <w:szCs w:val="32"/>
        </w:rPr>
        <w:t>年预算数为</w:t>
      </w:r>
      <w:r>
        <w:rPr>
          <w:rFonts w:ascii="仿宋_GB2312" w:eastAsia="仿宋_GB2312"/>
          <w:sz w:val="32"/>
          <w:szCs w:val="32"/>
        </w:rPr>
        <w:t>12.96</w:t>
      </w:r>
      <w:r>
        <w:rPr>
          <w:rFonts w:hint="eastAsia" w:ascii="仿宋_GB2312" w:eastAsia="仿宋_GB2312"/>
          <w:sz w:val="32"/>
          <w:szCs w:val="32"/>
        </w:rPr>
        <w:t>万元，主要用于：机关事业单位实施养老保险制度由单位缴纳的基本养老保险支出。</w:t>
      </w:r>
    </w:p>
    <w:p>
      <w:pPr>
        <w:spacing w:line="60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.社会保障和就业支出（类）行政事业单位养老支出（款）机关事业单位职业年金缴费支出（项），202</w:t>
      </w:r>
      <w:r>
        <w:rPr>
          <w:rFonts w:ascii="仿宋_GB2312" w:eastAsia="仿宋_GB2312"/>
          <w:sz w:val="32"/>
          <w:szCs w:val="32"/>
        </w:rPr>
        <w:t>4</w:t>
      </w:r>
      <w:r>
        <w:rPr>
          <w:rFonts w:hint="eastAsia" w:ascii="仿宋_GB2312" w:eastAsia="仿宋_GB2312"/>
          <w:sz w:val="32"/>
          <w:szCs w:val="32"/>
        </w:rPr>
        <w:t>年预算数为</w:t>
      </w:r>
      <w:r>
        <w:rPr>
          <w:rFonts w:ascii="仿宋_GB2312" w:eastAsia="仿宋_GB2312"/>
          <w:sz w:val="32"/>
          <w:szCs w:val="32"/>
        </w:rPr>
        <w:t>6.48</w:t>
      </w:r>
      <w:r>
        <w:rPr>
          <w:rFonts w:hint="eastAsia" w:ascii="仿宋_GB2312" w:eastAsia="仿宋_GB2312"/>
          <w:sz w:val="32"/>
          <w:szCs w:val="32"/>
        </w:rPr>
        <w:t xml:space="preserve">万元，主要用于：机关事业单位实施养老保险制度由单位实际缴纳的职业年金支出。 </w:t>
      </w:r>
    </w:p>
    <w:p>
      <w:pPr>
        <w:spacing w:line="60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.社会保障和就业支出（类）其他社会保障和就业支出（款）其他社会保障和就业支出（项），202</w:t>
      </w:r>
      <w:r>
        <w:rPr>
          <w:rFonts w:ascii="仿宋_GB2312" w:eastAsia="仿宋_GB2312"/>
          <w:sz w:val="32"/>
          <w:szCs w:val="32"/>
        </w:rPr>
        <w:t>4</w:t>
      </w:r>
      <w:r>
        <w:rPr>
          <w:rFonts w:hint="eastAsia" w:ascii="仿宋_GB2312" w:eastAsia="仿宋_GB2312"/>
          <w:sz w:val="32"/>
          <w:szCs w:val="32"/>
        </w:rPr>
        <w:t>年预算为</w:t>
      </w:r>
      <w:r>
        <w:rPr>
          <w:rFonts w:ascii="仿宋_GB2312" w:eastAsia="仿宋_GB2312"/>
          <w:sz w:val="32"/>
          <w:szCs w:val="32"/>
        </w:rPr>
        <w:t>0.13</w:t>
      </w:r>
      <w:r>
        <w:rPr>
          <w:rFonts w:hint="eastAsia" w:ascii="仿宋_GB2312" w:eastAsia="仿宋_GB2312"/>
          <w:sz w:val="32"/>
          <w:szCs w:val="32"/>
        </w:rPr>
        <w:t>万元，主要用于：反映除上述项目以外其他用于社会保障和就业方面的支出。</w:t>
      </w:r>
    </w:p>
    <w:p>
      <w:pPr>
        <w:spacing w:line="60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.卫生健康支出（类）行政事业单位医疗（款）行政单位医疗（项），202</w:t>
      </w:r>
      <w:r>
        <w:rPr>
          <w:rFonts w:ascii="仿宋_GB2312" w:eastAsia="仿宋_GB2312"/>
          <w:sz w:val="32"/>
          <w:szCs w:val="32"/>
        </w:rPr>
        <w:t>4</w:t>
      </w:r>
      <w:r>
        <w:rPr>
          <w:rFonts w:hint="eastAsia" w:ascii="仿宋_GB2312" w:eastAsia="仿宋_GB2312"/>
          <w:sz w:val="32"/>
          <w:szCs w:val="32"/>
        </w:rPr>
        <w:t>年预算数为</w:t>
      </w:r>
      <w:r>
        <w:rPr>
          <w:rFonts w:ascii="仿宋_GB2312" w:eastAsia="仿宋_GB2312"/>
          <w:sz w:val="32"/>
          <w:szCs w:val="32"/>
        </w:rPr>
        <w:t>4.94</w:t>
      </w:r>
      <w:r>
        <w:rPr>
          <w:rFonts w:hint="eastAsia" w:ascii="仿宋_GB2312" w:eastAsia="仿宋_GB2312"/>
          <w:sz w:val="32"/>
          <w:szCs w:val="32"/>
        </w:rPr>
        <w:t>万元，主要用于：反映财政部集中安排的行政单位基本医疗保险缴费经费，未参加医疗保险的行政单位的公费医疗经费，按国家规定享受离休人员、红军老战士待遇人员的医疗经费。</w:t>
      </w:r>
    </w:p>
    <w:p>
      <w:pPr>
        <w:spacing w:line="60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.住房保障支出（类）住房改革支出（款）住房公积金（项），202</w:t>
      </w:r>
      <w:r>
        <w:rPr>
          <w:rFonts w:ascii="仿宋_GB2312" w:eastAsia="仿宋_GB2312"/>
          <w:sz w:val="32"/>
          <w:szCs w:val="32"/>
        </w:rPr>
        <w:t>4</w:t>
      </w:r>
      <w:r>
        <w:rPr>
          <w:rFonts w:hint="eastAsia" w:ascii="仿宋_GB2312" w:eastAsia="仿宋_GB2312"/>
          <w:sz w:val="32"/>
          <w:szCs w:val="32"/>
        </w:rPr>
        <w:t>年预算数为</w:t>
      </w:r>
      <w:r>
        <w:rPr>
          <w:rFonts w:ascii="仿宋_GB2312" w:eastAsia="仿宋_GB2312"/>
          <w:sz w:val="32"/>
          <w:szCs w:val="32"/>
        </w:rPr>
        <w:t>11.2</w:t>
      </w:r>
      <w:r>
        <w:rPr>
          <w:rFonts w:hint="eastAsia" w:ascii="仿宋_GB2312" w:eastAsia="仿宋_GB2312"/>
          <w:sz w:val="32"/>
          <w:szCs w:val="32"/>
        </w:rPr>
        <w:t>万元，主要用于：按人力资源和社会保障部、财政部规定的基本工资和津贴补贴以及规定比例为职工缴纳的住房公积金支出。</w:t>
      </w:r>
      <w:r>
        <w:rPr>
          <w:rFonts w:ascii="仿宋_GB2312" w:eastAsia="仿宋_GB2312"/>
          <w:sz w:val="32"/>
          <w:szCs w:val="32"/>
        </w:rPr>
        <w:t xml:space="preserve"> </w:t>
      </w:r>
    </w:p>
    <w:p>
      <w:pPr>
        <w:spacing w:line="600" w:lineRule="exact"/>
        <w:ind w:firstLine="640" w:firstLineChars="200"/>
        <w:outlineLvl w:val="1"/>
        <w:rPr>
          <w:rFonts w:ascii="黑体" w:eastAsia="黑体"/>
          <w:sz w:val="32"/>
          <w:szCs w:val="32"/>
        </w:rPr>
      </w:pPr>
      <w:r>
        <w:rPr>
          <w:rFonts w:hint="eastAsia" w:ascii="黑体" w:eastAsia="黑体"/>
          <w:sz w:val="32"/>
          <w:szCs w:val="32"/>
        </w:rPr>
        <w:t>六、一般公共预算基本支出情况说明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峨眉山市科学技术协会2024年一般公共预算基本支出</w:t>
      </w:r>
      <w:r>
        <w:rPr>
          <w:rFonts w:ascii="仿宋_GB2312" w:eastAsia="仿宋_GB2312"/>
          <w:sz w:val="32"/>
          <w:szCs w:val="32"/>
        </w:rPr>
        <w:t>149.14</w:t>
      </w:r>
      <w:r>
        <w:rPr>
          <w:rFonts w:hint="eastAsia" w:ascii="仿宋_GB2312" w:eastAsia="仿宋_GB2312"/>
          <w:sz w:val="32"/>
          <w:szCs w:val="32"/>
        </w:rPr>
        <w:t>万元，其中：</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人员经费</w:t>
      </w:r>
      <w:r>
        <w:rPr>
          <w:rFonts w:ascii="仿宋_GB2312" w:eastAsia="仿宋_GB2312"/>
          <w:sz w:val="32"/>
          <w:szCs w:val="32"/>
        </w:rPr>
        <w:t>125.23</w:t>
      </w:r>
      <w:r>
        <w:rPr>
          <w:rFonts w:hint="eastAsia" w:ascii="仿宋_GB2312" w:eastAsia="仿宋_GB2312"/>
          <w:sz w:val="32"/>
          <w:szCs w:val="32"/>
        </w:rPr>
        <w:t>万元，主要包括基本工资、津贴补贴、绩效工资、奖金、社会保险缴费、住房公积金、劳务费、生活补助、奖励金、其他对个人和家庭的补助。</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公用经费</w:t>
      </w:r>
      <w:r>
        <w:rPr>
          <w:rFonts w:ascii="仿宋_GB2312" w:eastAsia="仿宋_GB2312"/>
          <w:sz w:val="32"/>
          <w:szCs w:val="32"/>
        </w:rPr>
        <w:t>23.91</w:t>
      </w:r>
      <w:r>
        <w:rPr>
          <w:rFonts w:hint="eastAsia" w:ascii="仿宋_GB2312" w:eastAsia="仿宋_GB2312"/>
          <w:sz w:val="32"/>
          <w:szCs w:val="32"/>
        </w:rPr>
        <w:t>万元，主要包括：办公费、印刷费、水费、电费、邮电费、差旅费、公务接待费、工会经费、公务车运行维护费、其他交通费、其他商品和服务支出。</w:t>
      </w:r>
    </w:p>
    <w:p>
      <w:pPr>
        <w:spacing w:line="600" w:lineRule="exact"/>
        <w:ind w:firstLine="640" w:firstLineChars="200"/>
        <w:outlineLvl w:val="1"/>
        <w:rPr>
          <w:rFonts w:ascii="黑体" w:eastAsia="黑体"/>
          <w:sz w:val="32"/>
          <w:szCs w:val="32"/>
        </w:rPr>
      </w:pPr>
      <w:r>
        <w:rPr>
          <w:rFonts w:hint="eastAsia" w:ascii="黑体" w:eastAsia="黑体"/>
          <w:sz w:val="32"/>
          <w:szCs w:val="32"/>
        </w:rPr>
        <w:t>七、政府性基金预算支出规模及变化情况说明</w:t>
      </w:r>
    </w:p>
    <w:p>
      <w:pPr>
        <w:spacing w:line="600" w:lineRule="exact"/>
        <w:ind w:firstLine="640" w:firstLineChars="200"/>
        <w:outlineLvl w:val="1"/>
        <w:rPr>
          <w:rFonts w:ascii="仿宋_GB2312" w:eastAsia="仿宋_GB2312"/>
          <w:b/>
          <w:color w:val="FF0000"/>
          <w:sz w:val="32"/>
          <w:szCs w:val="32"/>
        </w:rPr>
      </w:pPr>
      <w:r>
        <w:rPr>
          <w:rFonts w:hint="eastAsia" w:ascii="仿宋_GB2312" w:eastAsia="仿宋_GB2312"/>
          <w:sz w:val="32"/>
          <w:szCs w:val="32"/>
        </w:rPr>
        <w:t>峨眉山市科学技术协会2024年无政府性基金预算</w:t>
      </w:r>
    </w:p>
    <w:p>
      <w:pPr>
        <w:spacing w:line="600" w:lineRule="exact"/>
        <w:ind w:firstLine="640" w:firstLineChars="200"/>
        <w:outlineLvl w:val="1"/>
        <w:rPr>
          <w:rFonts w:ascii="黑体" w:eastAsia="黑体"/>
          <w:sz w:val="32"/>
          <w:szCs w:val="32"/>
        </w:rPr>
      </w:pPr>
      <w:r>
        <w:rPr>
          <w:rFonts w:hint="eastAsia" w:ascii="黑体" w:eastAsia="黑体"/>
          <w:sz w:val="32"/>
          <w:szCs w:val="32"/>
        </w:rPr>
        <w:t>八、“三公”经费预算安排情况说明</w:t>
      </w:r>
    </w:p>
    <w:p>
      <w:pPr>
        <w:spacing w:line="600" w:lineRule="exact"/>
        <w:ind w:firstLine="640" w:firstLineChars="200"/>
        <w:outlineLvl w:val="1"/>
        <w:rPr>
          <w:rFonts w:ascii="楷体_GB2312" w:eastAsia="楷体_GB2312"/>
          <w:sz w:val="32"/>
          <w:szCs w:val="32"/>
        </w:rPr>
      </w:pPr>
      <w:r>
        <w:rPr>
          <w:rFonts w:hint="eastAsia" w:ascii="仿宋_GB2312" w:eastAsia="仿宋_GB2312"/>
          <w:sz w:val="32"/>
          <w:szCs w:val="32"/>
        </w:rPr>
        <w:t>峨眉山市科学技术协会2024年“三公”经费预算数</w:t>
      </w:r>
      <w:r>
        <w:rPr>
          <w:rFonts w:ascii="仿宋_GB2312" w:eastAsia="仿宋_GB2312"/>
          <w:sz w:val="32"/>
          <w:szCs w:val="32"/>
        </w:rPr>
        <w:t>3.1</w:t>
      </w:r>
      <w:r>
        <w:rPr>
          <w:rFonts w:hint="eastAsia" w:ascii="仿宋_GB2312" w:eastAsia="仿宋_GB2312"/>
          <w:sz w:val="32"/>
          <w:szCs w:val="32"/>
        </w:rPr>
        <w:t>万元（其中财政拨款安排“三公”经费</w:t>
      </w:r>
      <w:r>
        <w:rPr>
          <w:rFonts w:ascii="仿宋_GB2312" w:eastAsia="仿宋_GB2312"/>
          <w:sz w:val="32"/>
          <w:szCs w:val="32"/>
        </w:rPr>
        <w:t>3.1</w:t>
      </w:r>
      <w:r>
        <w:rPr>
          <w:rFonts w:hint="eastAsia" w:ascii="仿宋_GB2312" w:eastAsia="仿宋_GB2312"/>
          <w:sz w:val="32"/>
          <w:szCs w:val="32"/>
        </w:rPr>
        <w:t>万元），较上年“三公”经费预算数减少1</w:t>
      </w:r>
      <w:r>
        <w:rPr>
          <w:rFonts w:ascii="仿宋_GB2312" w:eastAsia="仿宋_GB2312"/>
          <w:sz w:val="32"/>
          <w:szCs w:val="32"/>
        </w:rPr>
        <w:t>.55</w:t>
      </w:r>
      <w:r>
        <w:rPr>
          <w:rFonts w:hint="eastAsia" w:ascii="仿宋_GB2312" w:eastAsia="仿宋_GB2312"/>
          <w:sz w:val="32"/>
          <w:szCs w:val="32"/>
        </w:rPr>
        <w:t>万元，主要原因是厉</w:t>
      </w:r>
      <w:r>
        <w:rPr>
          <w:rFonts w:ascii="仿宋_GB2312" w:eastAsia="仿宋_GB2312"/>
          <w:sz w:val="32"/>
          <w:szCs w:val="32"/>
        </w:rPr>
        <w:t>行节约,</w:t>
      </w:r>
      <w:r>
        <w:rPr>
          <w:rFonts w:hint="eastAsia" w:ascii="仿宋_GB2312" w:eastAsia="仿宋_GB2312"/>
          <w:sz w:val="32"/>
          <w:szCs w:val="32"/>
        </w:rPr>
        <w:t>压缩三公经费。因公出国（境）经费</w:t>
      </w:r>
      <w:r>
        <w:rPr>
          <w:rFonts w:ascii="仿宋_GB2312" w:eastAsia="仿宋_GB2312"/>
          <w:sz w:val="32"/>
          <w:szCs w:val="32"/>
        </w:rPr>
        <w:t>0</w:t>
      </w:r>
      <w:r>
        <w:rPr>
          <w:rFonts w:hint="eastAsia" w:ascii="仿宋_GB2312" w:eastAsia="仿宋_GB2312"/>
          <w:sz w:val="32"/>
          <w:szCs w:val="32"/>
        </w:rPr>
        <w:t>万元，公务接待费</w:t>
      </w:r>
      <w:r>
        <w:rPr>
          <w:rFonts w:ascii="仿宋_GB2312" w:eastAsia="仿宋_GB2312"/>
          <w:sz w:val="32"/>
          <w:szCs w:val="32"/>
        </w:rPr>
        <w:t>0.1</w:t>
      </w:r>
      <w:r>
        <w:rPr>
          <w:rFonts w:hint="eastAsia" w:ascii="仿宋_GB2312" w:eastAsia="仿宋_GB2312"/>
          <w:sz w:val="32"/>
          <w:szCs w:val="32"/>
        </w:rPr>
        <w:t>万元，公务用车购置及运行维护费</w:t>
      </w:r>
      <w:r>
        <w:rPr>
          <w:rFonts w:ascii="仿宋_GB2312" w:eastAsia="仿宋_GB2312"/>
          <w:sz w:val="32"/>
          <w:szCs w:val="32"/>
        </w:rPr>
        <w:t>3</w:t>
      </w:r>
      <w:r>
        <w:rPr>
          <w:rFonts w:hint="eastAsia" w:ascii="仿宋_GB2312" w:eastAsia="仿宋_GB2312"/>
          <w:sz w:val="32"/>
          <w:szCs w:val="32"/>
        </w:rPr>
        <w:t>万元。</w:t>
      </w:r>
    </w:p>
    <w:p>
      <w:pPr>
        <w:numPr>
          <w:ilvl w:val="0"/>
          <w:numId w:val="1"/>
        </w:numPr>
        <w:spacing w:line="600" w:lineRule="exact"/>
        <w:ind w:firstLine="640" w:firstLineChars="200"/>
        <w:outlineLvl w:val="1"/>
        <w:rPr>
          <w:rFonts w:ascii="楷体_GB2312" w:hAnsi="楷体_GB2312" w:eastAsia="楷体_GB2312" w:cs="楷体_GB2312"/>
          <w:sz w:val="32"/>
          <w:szCs w:val="32"/>
        </w:rPr>
      </w:pPr>
      <w:r>
        <w:rPr>
          <w:rFonts w:hint="eastAsia" w:ascii="楷体_GB2312" w:hAnsi="楷体_GB2312" w:eastAsia="楷体_GB2312" w:cs="楷体_GB2312"/>
          <w:sz w:val="32"/>
          <w:szCs w:val="32"/>
        </w:rPr>
        <w:t>因公出国（境）经费</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无因公出国（境）预算。2024年因公临时出国（境）未安排人次。</w:t>
      </w:r>
    </w:p>
    <w:p>
      <w:pPr>
        <w:numPr>
          <w:ilvl w:val="0"/>
          <w:numId w:val="1"/>
        </w:numPr>
        <w:spacing w:line="600" w:lineRule="exact"/>
        <w:ind w:firstLine="640" w:firstLineChars="200"/>
        <w:outlineLvl w:val="1"/>
        <w:rPr>
          <w:rFonts w:ascii="楷体_GB2312" w:hAnsi="楷体_GB2312" w:eastAsia="楷体_GB2312" w:cs="楷体_GB2312"/>
          <w:sz w:val="32"/>
          <w:szCs w:val="32"/>
        </w:rPr>
      </w:pPr>
      <w:r>
        <w:rPr>
          <w:rFonts w:hint="eastAsia" w:ascii="楷体_GB2312" w:hAnsi="楷体_GB2312" w:eastAsia="楷体_GB2312" w:cs="楷体_GB2312"/>
          <w:sz w:val="32"/>
          <w:szCs w:val="32"/>
        </w:rPr>
        <w:t>公务接待费</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较上年预算减少</w:t>
      </w:r>
      <w:r>
        <w:rPr>
          <w:rFonts w:ascii="仿宋_GB2312" w:eastAsia="仿宋_GB2312"/>
          <w:sz w:val="32"/>
          <w:szCs w:val="32"/>
        </w:rPr>
        <w:t>0.05</w:t>
      </w:r>
      <w:r>
        <w:rPr>
          <w:rFonts w:hint="eastAsia" w:ascii="仿宋_GB2312" w:eastAsia="仿宋_GB2312"/>
          <w:sz w:val="32"/>
          <w:szCs w:val="32"/>
        </w:rPr>
        <w:t>万元，下降3</w:t>
      </w:r>
      <w:r>
        <w:rPr>
          <w:rFonts w:ascii="仿宋_GB2312" w:eastAsia="仿宋_GB2312"/>
          <w:sz w:val="32"/>
          <w:szCs w:val="32"/>
        </w:rPr>
        <w:t>3.33</w:t>
      </w:r>
      <w:r>
        <w:rPr>
          <w:rFonts w:hint="eastAsia" w:ascii="仿宋_GB2312" w:eastAsia="仿宋_GB2312"/>
          <w:sz w:val="32"/>
          <w:szCs w:val="32"/>
        </w:rPr>
        <w:t>%。减少原因：根据实际接待情况预算。</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2024年公务接待费计划用于上级单位和其他区县单位来人检查和考察农村科普、农技协工作和社区科普工作等。</w:t>
      </w:r>
    </w:p>
    <w:p>
      <w:pPr>
        <w:numPr>
          <w:ilvl w:val="0"/>
          <w:numId w:val="2"/>
        </w:numPr>
        <w:spacing w:line="600" w:lineRule="exact"/>
        <w:ind w:firstLine="640" w:firstLineChars="200"/>
        <w:outlineLvl w:val="1"/>
        <w:rPr>
          <w:rFonts w:ascii="楷体_GB2312" w:hAnsi="楷体_GB2312" w:eastAsia="楷体_GB2312" w:cs="楷体_GB2312"/>
          <w:sz w:val="32"/>
          <w:szCs w:val="32"/>
        </w:rPr>
      </w:pPr>
      <w:r>
        <w:rPr>
          <w:rFonts w:hint="eastAsia" w:ascii="楷体_GB2312" w:hAnsi="楷体_GB2312" w:eastAsia="楷体_GB2312" w:cs="楷体_GB2312"/>
          <w:sz w:val="32"/>
          <w:szCs w:val="32"/>
        </w:rPr>
        <w:t>公务用车购置及运行维护费</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较上年预算减少1</w:t>
      </w:r>
      <w:r>
        <w:rPr>
          <w:rFonts w:ascii="仿宋_GB2312" w:eastAsia="仿宋_GB2312"/>
          <w:sz w:val="32"/>
          <w:szCs w:val="32"/>
        </w:rPr>
        <w:t>.5</w:t>
      </w:r>
      <w:r>
        <w:rPr>
          <w:rFonts w:hint="eastAsia" w:ascii="仿宋_GB2312" w:eastAsia="仿宋_GB2312"/>
          <w:sz w:val="32"/>
          <w:szCs w:val="32"/>
        </w:rPr>
        <w:t>万元，下降3</w:t>
      </w:r>
      <w:r>
        <w:rPr>
          <w:rFonts w:ascii="仿宋_GB2312" w:eastAsia="仿宋_GB2312"/>
          <w:sz w:val="32"/>
          <w:szCs w:val="32"/>
        </w:rPr>
        <w:t>3.33</w:t>
      </w:r>
      <w:r>
        <w:rPr>
          <w:rFonts w:hint="eastAsia" w:ascii="仿宋_GB2312" w:eastAsia="仿宋_GB2312"/>
          <w:sz w:val="32"/>
          <w:szCs w:val="32"/>
        </w:rPr>
        <w:t>%。减少原因：厉行</w:t>
      </w:r>
      <w:r>
        <w:rPr>
          <w:rFonts w:ascii="仿宋_GB2312" w:eastAsia="仿宋_GB2312"/>
          <w:sz w:val="32"/>
          <w:szCs w:val="32"/>
        </w:rPr>
        <w:t>节约,压缩</w:t>
      </w:r>
      <w:r>
        <w:rPr>
          <w:rFonts w:hint="eastAsia" w:ascii="仿宋_GB2312" w:eastAsia="仿宋_GB2312"/>
          <w:sz w:val="32"/>
          <w:szCs w:val="32"/>
        </w:rPr>
        <w:t>三</w:t>
      </w:r>
      <w:r>
        <w:rPr>
          <w:rFonts w:ascii="仿宋_GB2312" w:eastAsia="仿宋_GB2312"/>
          <w:sz w:val="32"/>
          <w:szCs w:val="32"/>
        </w:rPr>
        <w:t>公经费</w:t>
      </w:r>
      <w:r>
        <w:rPr>
          <w:rFonts w:hint="eastAsia" w:ascii="仿宋_GB2312" w:eastAsia="仿宋_GB2312"/>
          <w:sz w:val="32"/>
          <w:szCs w:val="32"/>
        </w:rPr>
        <w:t>。</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单位现有公务用车</w:t>
      </w:r>
      <w:r>
        <w:rPr>
          <w:rFonts w:ascii="仿宋_GB2312" w:eastAsia="仿宋_GB2312"/>
          <w:sz w:val="32"/>
          <w:szCs w:val="32"/>
        </w:rPr>
        <w:t>1</w:t>
      </w:r>
      <w:r>
        <w:rPr>
          <w:rFonts w:hint="eastAsia" w:ascii="仿宋_GB2312" w:eastAsia="仿宋_GB2312"/>
          <w:sz w:val="32"/>
          <w:szCs w:val="32"/>
        </w:rPr>
        <w:t>辆，其中：轿车</w:t>
      </w:r>
      <w:r>
        <w:rPr>
          <w:rFonts w:ascii="仿宋_GB2312" w:eastAsia="仿宋_GB2312"/>
          <w:sz w:val="32"/>
          <w:szCs w:val="32"/>
        </w:rPr>
        <w:t>1</w:t>
      </w:r>
      <w:r>
        <w:rPr>
          <w:rFonts w:hint="eastAsia" w:ascii="仿宋_GB2312" w:eastAsia="仿宋_GB2312"/>
          <w:sz w:val="32"/>
          <w:szCs w:val="32"/>
        </w:rPr>
        <w:t>辆、越野车</w:t>
      </w:r>
      <w:r>
        <w:rPr>
          <w:rFonts w:ascii="仿宋_GB2312" w:eastAsia="仿宋_GB2312"/>
          <w:sz w:val="32"/>
          <w:szCs w:val="32"/>
        </w:rPr>
        <w:t>0</w:t>
      </w:r>
      <w:r>
        <w:rPr>
          <w:rFonts w:hint="eastAsia" w:ascii="仿宋_GB2312" w:eastAsia="仿宋_GB2312"/>
          <w:sz w:val="32"/>
          <w:szCs w:val="32"/>
        </w:rPr>
        <w:t>辆、多功能乘用车</w:t>
      </w:r>
      <w:r>
        <w:rPr>
          <w:rFonts w:ascii="仿宋_GB2312" w:eastAsia="仿宋_GB2312"/>
          <w:sz w:val="32"/>
          <w:szCs w:val="32"/>
        </w:rPr>
        <w:t>0</w:t>
      </w:r>
      <w:r>
        <w:rPr>
          <w:rFonts w:hint="eastAsia" w:ascii="仿宋_GB2312" w:eastAsia="仿宋_GB2312"/>
          <w:sz w:val="32"/>
          <w:szCs w:val="32"/>
        </w:rPr>
        <w:t>辆。</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2024年未安排公务用车购置费。</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2024年安排公务用车运行维护费</w:t>
      </w:r>
      <w:r>
        <w:rPr>
          <w:rFonts w:ascii="仿宋_GB2312" w:eastAsia="仿宋_GB2312"/>
          <w:sz w:val="32"/>
          <w:szCs w:val="32"/>
        </w:rPr>
        <w:t>3</w:t>
      </w:r>
      <w:r>
        <w:rPr>
          <w:rFonts w:hint="eastAsia" w:ascii="仿宋_GB2312" w:eastAsia="仿宋_GB2312"/>
          <w:sz w:val="32"/>
          <w:szCs w:val="32"/>
        </w:rPr>
        <w:t>万元，减少原因：厉行</w:t>
      </w:r>
      <w:r>
        <w:rPr>
          <w:rFonts w:ascii="仿宋_GB2312" w:eastAsia="仿宋_GB2312"/>
          <w:sz w:val="32"/>
          <w:szCs w:val="32"/>
        </w:rPr>
        <w:t>节约,压缩</w:t>
      </w:r>
      <w:r>
        <w:rPr>
          <w:rFonts w:hint="eastAsia" w:ascii="仿宋_GB2312" w:eastAsia="仿宋_GB2312"/>
          <w:sz w:val="32"/>
          <w:szCs w:val="32"/>
        </w:rPr>
        <w:t>三</w:t>
      </w:r>
      <w:r>
        <w:rPr>
          <w:rFonts w:ascii="仿宋_GB2312" w:eastAsia="仿宋_GB2312"/>
          <w:sz w:val="32"/>
          <w:szCs w:val="32"/>
        </w:rPr>
        <w:t>公经费</w:t>
      </w:r>
      <w:r>
        <w:rPr>
          <w:rFonts w:hint="eastAsia" w:ascii="仿宋_GB2312" w:eastAsia="仿宋_GB2312"/>
          <w:sz w:val="32"/>
          <w:szCs w:val="32"/>
        </w:rPr>
        <w:t>，主要用于燃油费和维修费等。</w:t>
      </w:r>
    </w:p>
    <w:p>
      <w:pPr>
        <w:spacing w:line="600" w:lineRule="exact"/>
        <w:ind w:firstLine="640" w:firstLineChars="200"/>
        <w:outlineLvl w:val="1"/>
        <w:rPr>
          <w:rFonts w:ascii="黑体" w:eastAsia="黑体"/>
          <w:sz w:val="32"/>
          <w:szCs w:val="32"/>
        </w:rPr>
      </w:pPr>
      <w:r>
        <w:rPr>
          <w:rFonts w:hint="eastAsia" w:ascii="黑体" w:eastAsia="黑体"/>
          <w:sz w:val="32"/>
          <w:szCs w:val="32"/>
        </w:rPr>
        <w:t>九、其他重要事项的情况说明</w:t>
      </w:r>
    </w:p>
    <w:p>
      <w:pPr>
        <w:spacing w:line="600" w:lineRule="exact"/>
        <w:ind w:firstLine="640" w:firstLineChars="200"/>
        <w:outlineLvl w:val="1"/>
        <w:rPr>
          <w:rFonts w:ascii="楷体_GB2312" w:hAnsi="楷体_GB2312" w:eastAsia="楷体_GB2312" w:cs="楷体_GB2312"/>
          <w:sz w:val="32"/>
          <w:szCs w:val="32"/>
        </w:rPr>
      </w:pPr>
      <w:r>
        <w:rPr>
          <w:rFonts w:hint="eastAsia" w:ascii="楷体_GB2312" w:hAnsi="楷体_GB2312" w:eastAsia="楷体_GB2312" w:cs="楷体_GB2312"/>
          <w:sz w:val="32"/>
          <w:szCs w:val="32"/>
        </w:rPr>
        <w:t>（一）机关运行经费</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2024年，峨眉山市科学技术协会为保障机关运行，安排的包括办公及印刷费、邮电费、差旅费、会议费、福利费、日常维修费、专用材料及一般设备购置费、办公用房水电费、办公用房取暖费、办公用房物业管理费、公务用车运行维护费以及其他费用等机关运行经费预算为</w:t>
      </w:r>
      <w:r>
        <w:rPr>
          <w:rFonts w:ascii="仿宋_GB2312" w:eastAsia="仿宋_GB2312"/>
          <w:sz w:val="32"/>
          <w:szCs w:val="32"/>
        </w:rPr>
        <w:t>23.91</w:t>
      </w:r>
      <w:r>
        <w:rPr>
          <w:rFonts w:hint="eastAsia" w:ascii="仿宋_GB2312" w:eastAsia="仿宋_GB2312"/>
          <w:sz w:val="32"/>
          <w:szCs w:val="32"/>
        </w:rPr>
        <w:t>万元，较上年预算减少</w:t>
      </w:r>
      <w:r>
        <w:rPr>
          <w:rFonts w:ascii="仿宋_GB2312" w:eastAsia="仿宋_GB2312"/>
          <w:sz w:val="32"/>
          <w:szCs w:val="32"/>
        </w:rPr>
        <w:t>0.19</w:t>
      </w:r>
      <w:r>
        <w:rPr>
          <w:rFonts w:hint="eastAsia" w:ascii="仿宋_GB2312" w:eastAsia="仿宋_GB2312"/>
          <w:sz w:val="32"/>
          <w:szCs w:val="32"/>
        </w:rPr>
        <w:t>万元，下降0</w:t>
      </w:r>
      <w:r>
        <w:rPr>
          <w:rFonts w:ascii="仿宋_GB2312" w:eastAsia="仿宋_GB2312"/>
          <w:sz w:val="32"/>
          <w:szCs w:val="32"/>
        </w:rPr>
        <w:t>.79</w:t>
      </w:r>
      <w:r>
        <w:rPr>
          <w:rFonts w:hint="eastAsia" w:ascii="仿宋_GB2312" w:eastAsia="仿宋_GB2312"/>
          <w:sz w:val="32"/>
          <w:szCs w:val="32"/>
        </w:rPr>
        <w:t>%。</w:t>
      </w:r>
    </w:p>
    <w:p>
      <w:pPr>
        <w:spacing w:line="600" w:lineRule="exact"/>
        <w:ind w:firstLine="640" w:firstLineChars="200"/>
        <w:outlineLvl w:val="1"/>
        <w:rPr>
          <w:rFonts w:ascii="楷体_GB2312" w:hAnsi="楷体_GB2312" w:eastAsia="楷体_GB2312" w:cs="楷体_GB2312"/>
          <w:sz w:val="32"/>
          <w:szCs w:val="32"/>
        </w:rPr>
      </w:pPr>
      <w:r>
        <w:rPr>
          <w:rFonts w:hint="eastAsia" w:ascii="楷体_GB2312" w:hAnsi="楷体_GB2312" w:eastAsia="楷体_GB2312" w:cs="楷体_GB2312"/>
          <w:sz w:val="32"/>
          <w:szCs w:val="32"/>
        </w:rPr>
        <w:t>（二）政府采购情况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2024年，峨眉山市科学技术协会安排政府采购预算</w:t>
      </w:r>
      <w:r>
        <w:rPr>
          <w:rFonts w:ascii="仿宋_GB2312" w:eastAsia="仿宋_GB2312"/>
          <w:sz w:val="32"/>
          <w:szCs w:val="32"/>
        </w:rPr>
        <w:t>0</w:t>
      </w:r>
      <w:r>
        <w:rPr>
          <w:rFonts w:hint="eastAsia" w:ascii="仿宋_GB2312" w:eastAsia="仿宋_GB2312"/>
          <w:sz w:val="32"/>
          <w:szCs w:val="32"/>
        </w:rPr>
        <w:t>万元。</w:t>
      </w:r>
    </w:p>
    <w:p>
      <w:pPr>
        <w:spacing w:line="600" w:lineRule="exact"/>
        <w:ind w:firstLine="640" w:firstLineChars="200"/>
        <w:outlineLvl w:val="1"/>
        <w:rPr>
          <w:rFonts w:ascii="楷体_GB2312" w:hAnsi="楷体_GB2312" w:eastAsia="楷体_GB2312" w:cs="楷体_GB2312"/>
          <w:sz w:val="32"/>
          <w:szCs w:val="32"/>
        </w:rPr>
      </w:pPr>
      <w:r>
        <w:rPr>
          <w:rFonts w:hint="eastAsia" w:ascii="楷体_GB2312" w:hAnsi="楷体_GB2312" w:eastAsia="楷体_GB2312" w:cs="楷体_GB2312"/>
          <w:sz w:val="32"/>
          <w:szCs w:val="32"/>
        </w:rPr>
        <w:t>（三）国有资产占有使用情况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截至去年底，峨眉山市科学技术协会实际共有车辆</w:t>
      </w:r>
      <w:r>
        <w:rPr>
          <w:rFonts w:ascii="仿宋_GB2312" w:eastAsia="仿宋_GB2312"/>
          <w:sz w:val="32"/>
          <w:szCs w:val="32"/>
        </w:rPr>
        <w:t>1</w:t>
      </w:r>
      <w:r>
        <w:rPr>
          <w:rFonts w:hint="eastAsia" w:ascii="仿宋_GB2312" w:eastAsia="仿宋_GB2312"/>
          <w:sz w:val="32"/>
          <w:szCs w:val="32"/>
        </w:rPr>
        <w:t>辆。单位价值200万元以上大型设备0台（套）。</w:t>
      </w:r>
      <w:r>
        <w:rPr>
          <w:rFonts w:hint="eastAsia" w:ascii="仿宋_GB2312" w:eastAsia="仿宋_GB2312"/>
          <w:sz w:val="32"/>
          <w:szCs w:val="32"/>
        </w:rPr>
        <w:br w:type="textWrapping"/>
      </w:r>
      <w:r>
        <w:rPr>
          <w:rFonts w:hint="eastAsia" w:ascii="仿宋_GB2312" w:eastAsia="仿宋_GB2312"/>
          <w:sz w:val="32"/>
          <w:szCs w:val="32"/>
        </w:rPr>
        <w:t>　　2024年，预算安排购置车辆</w:t>
      </w:r>
      <w:r>
        <w:rPr>
          <w:rFonts w:ascii="仿宋_GB2312" w:eastAsia="仿宋_GB2312"/>
          <w:sz w:val="32"/>
          <w:szCs w:val="32"/>
        </w:rPr>
        <w:t>0</w:t>
      </w:r>
      <w:r>
        <w:rPr>
          <w:rFonts w:hint="eastAsia" w:ascii="仿宋_GB2312" w:eastAsia="仿宋_GB2312"/>
          <w:sz w:val="32"/>
          <w:szCs w:val="32"/>
        </w:rPr>
        <w:t>辆及单位价值200万元以上大型设备</w:t>
      </w:r>
      <w:r>
        <w:rPr>
          <w:rFonts w:ascii="仿宋_GB2312" w:eastAsia="仿宋_GB2312"/>
          <w:sz w:val="32"/>
          <w:szCs w:val="32"/>
        </w:rPr>
        <w:t>0</w:t>
      </w:r>
      <w:r>
        <w:rPr>
          <w:rFonts w:hint="eastAsia" w:ascii="仿宋_GB2312" w:eastAsia="仿宋_GB2312"/>
          <w:sz w:val="32"/>
          <w:szCs w:val="32"/>
        </w:rPr>
        <w:t>台（套）。</w:t>
      </w:r>
    </w:p>
    <w:p>
      <w:pPr>
        <w:spacing w:line="600" w:lineRule="exact"/>
        <w:ind w:firstLine="640" w:firstLineChars="200"/>
        <w:outlineLvl w:val="1"/>
        <w:rPr>
          <w:rFonts w:ascii="楷体_GB2312" w:hAnsi="楷体_GB2312" w:eastAsia="楷体_GB2312" w:cs="楷体_GB2312"/>
          <w:sz w:val="32"/>
          <w:szCs w:val="32"/>
        </w:rPr>
      </w:pPr>
      <w:r>
        <w:rPr>
          <w:rFonts w:hint="eastAsia" w:ascii="楷体_GB2312" w:hAnsi="楷体_GB2312" w:eastAsia="楷体_GB2312" w:cs="楷体_GB2312"/>
          <w:sz w:val="32"/>
          <w:szCs w:val="32"/>
        </w:rPr>
        <w:t>（四）绩效目标设置情况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2024年，峨眉山市科学技术协会按要求实行绩效目标管理，部门（单位）整体绩效目标涉及预算安排</w:t>
      </w:r>
      <w:r>
        <w:rPr>
          <w:rFonts w:ascii="仿宋_GB2312" w:eastAsia="仿宋_GB2312"/>
          <w:sz w:val="32"/>
          <w:szCs w:val="32"/>
        </w:rPr>
        <w:t>216.14</w:t>
      </w:r>
      <w:r>
        <w:rPr>
          <w:rFonts w:hint="eastAsia" w:ascii="仿宋_GB2312" w:eastAsia="仿宋_GB2312"/>
          <w:sz w:val="32"/>
          <w:szCs w:val="32"/>
        </w:rPr>
        <w:t>万元，其中基本支出</w:t>
      </w:r>
      <w:r>
        <w:rPr>
          <w:rFonts w:ascii="仿宋_GB2312" w:eastAsia="仿宋_GB2312"/>
          <w:sz w:val="32"/>
          <w:szCs w:val="32"/>
        </w:rPr>
        <w:t>149.14</w:t>
      </w:r>
      <w:r>
        <w:rPr>
          <w:rFonts w:hint="eastAsia" w:ascii="仿宋_GB2312" w:eastAsia="仿宋_GB2312"/>
          <w:sz w:val="32"/>
          <w:szCs w:val="32"/>
        </w:rPr>
        <w:t>万元，项目支出6</w:t>
      </w:r>
      <w:r>
        <w:rPr>
          <w:rFonts w:ascii="仿宋_GB2312" w:eastAsia="仿宋_GB2312"/>
          <w:sz w:val="32"/>
          <w:szCs w:val="32"/>
        </w:rPr>
        <w:t>7</w:t>
      </w:r>
      <w:r>
        <w:rPr>
          <w:rFonts w:hint="eastAsia" w:ascii="仿宋_GB2312" w:eastAsia="仿宋_GB2312"/>
          <w:sz w:val="32"/>
          <w:szCs w:val="32"/>
        </w:rPr>
        <w:t>万元。其中编制了项目绩效目标的预算</w:t>
      </w:r>
      <w:r>
        <w:rPr>
          <w:rFonts w:ascii="仿宋_GB2312" w:eastAsia="仿宋_GB2312"/>
          <w:sz w:val="32"/>
          <w:szCs w:val="32"/>
        </w:rPr>
        <w:t>67</w:t>
      </w:r>
      <w:r>
        <w:rPr>
          <w:rFonts w:hint="eastAsia" w:ascii="仿宋_GB2312" w:eastAsia="仿宋_GB2312"/>
          <w:sz w:val="32"/>
          <w:szCs w:val="32"/>
        </w:rPr>
        <w:t>万元，主要为全市科普活动、全市老年科普活动、天府科技云运维费等项目。</w:t>
      </w:r>
    </w:p>
    <w:p>
      <w:pPr>
        <w:spacing w:line="600" w:lineRule="exact"/>
        <w:ind w:firstLine="640" w:firstLineChars="200"/>
        <w:outlineLvl w:val="1"/>
        <w:rPr>
          <w:rFonts w:ascii="黑体" w:eastAsia="黑体"/>
          <w:sz w:val="32"/>
          <w:szCs w:val="32"/>
        </w:rPr>
      </w:pPr>
      <w:r>
        <w:rPr>
          <w:rFonts w:hint="eastAsia" w:ascii="黑体" w:eastAsia="黑体"/>
          <w:sz w:val="32"/>
          <w:szCs w:val="32"/>
        </w:rPr>
        <w:t>十、名词解释</w:t>
      </w:r>
    </w:p>
    <w:p>
      <w:pPr>
        <w:pStyle w:val="9"/>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w:t>
      </w:r>
      <w:r>
        <w:rPr>
          <w:rFonts w:hint="eastAsia" w:ascii="仿宋_GB2312" w:eastAsia="仿宋_GB2312"/>
          <w:sz w:val="32"/>
          <w:szCs w:val="32"/>
        </w:rPr>
        <w:t xml:space="preserve">财政拨款收支情况：指一般公共预算、政府性基金预算、国有资产经营预算拨款收支情况。 </w:t>
      </w:r>
    </w:p>
    <w:p>
      <w:pPr>
        <w:pStyle w:val="9"/>
        <w:spacing w:line="560" w:lineRule="exact"/>
        <w:ind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w:t>
      </w:r>
      <w:r>
        <w:rPr>
          <w:rFonts w:hint="eastAsia" w:ascii="仿宋_GB2312" w:eastAsia="仿宋_GB2312"/>
          <w:sz w:val="32"/>
          <w:szCs w:val="32"/>
        </w:rPr>
        <w:t>一般公共预算拨款收入：指本级财政当年拨付的资金。</w:t>
      </w:r>
    </w:p>
    <w:p>
      <w:pPr>
        <w:pStyle w:val="9"/>
        <w:spacing w:line="560" w:lineRule="exact"/>
        <w:ind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w:t>
      </w:r>
      <w:r>
        <w:rPr>
          <w:rFonts w:hint="eastAsia" w:ascii="仿宋_GB2312" w:eastAsia="仿宋_GB2312"/>
          <w:sz w:val="32"/>
          <w:szCs w:val="32"/>
        </w:rPr>
        <w:t>其他收入：指除上述“财政拨款收入”、“事业收入”、“经营收入”等以外的收入。</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4</w:t>
      </w:r>
      <w:r>
        <w:rPr>
          <w:rFonts w:ascii="仿宋_GB2312" w:eastAsia="仿宋_GB2312"/>
          <w:color w:val="000000"/>
          <w:sz w:val="32"/>
          <w:szCs w:val="32"/>
        </w:rPr>
        <w:t>.</w:t>
      </w:r>
      <w:r>
        <w:rPr>
          <w:rFonts w:hint="eastAsia" w:ascii="仿宋_GB2312" w:eastAsia="仿宋_GB2312"/>
          <w:color w:val="000000"/>
          <w:sz w:val="32"/>
          <w:szCs w:val="32"/>
        </w:rPr>
        <w:t>科学技术支出（类）科学技术管理事务（款）行政运行（项）:反映行政单位（包括实行公务员管理的事业单位）的基本支出。</w:t>
      </w:r>
    </w:p>
    <w:p>
      <w:pPr>
        <w:ind w:firstLine="640" w:firstLineChars="200"/>
        <w:rPr>
          <w:rFonts w:ascii="仿宋_GB2312" w:eastAsia="仿宋_GB2312"/>
          <w:color w:val="000000"/>
          <w:sz w:val="32"/>
          <w:szCs w:val="32"/>
        </w:rPr>
      </w:pPr>
      <w:r>
        <w:rPr>
          <w:rFonts w:hint="eastAsia" w:ascii="仿宋_GB2312" w:eastAsia="仿宋_GB2312"/>
          <w:sz w:val="32"/>
          <w:szCs w:val="32"/>
        </w:rPr>
        <w:t>5</w:t>
      </w:r>
      <w:r>
        <w:rPr>
          <w:rFonts w:ascii="仿宋_GB2312" w:eastAsia="仿宋_GB2312"/>
          <w:sz w:val="32"/>
          <w:szCs w:val="32"/>
        </w:rPr>
        <w:t>.</w:t>
      </w:r>
      <w:r>
        <w:rPr>
          <w:rFonts w:hint="eastAsia" w:ascii="仿宋_GB2312" w:eastAsia="仿宋_GB2312"/>
          <w:sz w:val="32"/>
          <w:szCs w:val="32"/>
        </w:rPr>
        <w:t>科学技术支出（类）科学技术普及（款）其他科学技术普及支出（项）：反映除上述项目以外其他科学技术普及项目支出</w:t>
      </w:r>
      <w:r>
        <w:rPr>
          <w:rFonts w:hint="eastAsia" w:ascii="仿宋_GB2312" w:eastAsia="仿宋_GB2312"/>
          <w:color w:val="000000"/>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6.社会保障和就业支出（类）行政事业单位养老支出（款）机关事业单位养老保险缴费支出（项）：反映机关事业单位实施养老保险制度由单位缴纳的基本养老保险支出。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7.社会保障和就业支出（类）行政事业单位养老支出（款）机关事业单位职业年金缴费支出（项）：反映机关事业单位实施养老保险制度由单位实际缴纳的职业年金支出 </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8.社会保障和就业支出（类）其他社会保障和就业支出（款）其他社会保障和就业支出（项）：反映除上述项目以外其他用于社会保障和就业方面的支出。</w:t>
      </w:r>
    </w:p>
    <w:p>
      <w:pPr>
        <w:spacing w:line="600" w:lineRule="exact"/>
        <w:ind w:firstLine="640"/>
        <w:rPr>
          <w:rFonts w:ascii="仿宋_GB2312" w:eastAsia="仿宋_GB2312"/>
          <w:sz w:val="32"/>
          <w:szCs w:val="32"/>
        </w:rPr>
      </w:pPr>
      <w:r>
        <w:rPr>
          <w:rFonts w:hint="eastAsia" w:ascii="仿宋_GB2312" w:eastAsia="仿宋_GB2312"/>
          <w:sz w:val="32"/>
          <w:szCs w:val="32"/>
        </w:rPr>
        <w:t>9.卫生健康支出（类）行政事业单位医疗（款）行政单位医疗（项）：反映财政部集中安排的行政单位基本医疗保险缴费经费，未参加医疗保险的行政单位的公费医疗经费，按国家规定享受离休人员、红军老战士待遇人员的医疗经费。</w:t>
      </w:r>
    </w:p>
    <w:p>
      <w:pPr>
        <w:spacing w:line="600" w:lineRule="exact"/>
        <w:ind w:firstLine="64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0.</w:t>
      </w:r>
      <w:r>
        <w:rPr>
          <w:rFonts w:hint="eastAsia" w:ascii="仿宋_GB2312" w:eastAsia="仿宋_GB2312"/>
          <w:sz w:val="32"/>
          <w:szCs w:val="32"/>
        </w:rPr>
        <w:t>住房保障支出（类）住房改革支出（款）住房公积金（项）：反映按人力资源和社会保障部、财政部规定的基本工资和津贴补贴以及规定比例为职工缴纳的住房公积金支出。</w:t>
      </w:r>
    </w:p>
    <w:p>
      <w:pPr>
        <w:ind w:firstLine="640" w:firstLineChars="200"/>
        <w:rPr>
          <w:rFonts w:ascii="仿宋_GB2312" w:eastAsia="仿宋_GB2312"/>
          <w:color w:val="000000"/>
          <w:sz w:val="32"/>
          <w:szCs w:val="32"/>
        </w:rPr>
      </w:pPr>
      <w:r>
        <w:rPr>
          <w:rFonts w:hint="eastAsia" w:ascii="仿宋_GB2312" w:eastAsia="仿宋_GB2312"/>
          <w:sz w:val="32"/>
          <w:szCs w:val="32"/>
        </w:rPr>
        <w:t>1</w:t>
      </w:r>
      <w:r>
        <w:rPr>
          <w:rFonts w:ascii="仿宋_GB2312" w:eastAsia="仿宋_GB2312"/>
          <w:sz w:val="32"/>
          <w:szCs w:val="32"/>
        </w:rPr>
        <w:t>1.</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w:t>
      </w:r>
      <w:r>
        <w:rPr>
          <w:rFonts w:ascii="仿宋_GB2312" w:eastAsia="仿宋_GB2312"/>
          <w:color w:val="000000"/>
          <w:sz w:val="32"/>
          <w:szCs w:val="32"/>
        </w:rPr>
        <w:t>2.</w:t>
      </w:r>
      <w:r>
        <w:rPr>
          <w:rFonts w:hint="eastAsia" w:ascii="仿宋_GB2312" w:eastAsia="仿宋_GB2312"/>
          <w:color w:val="000000"/>
          <w:sz w:val="32"/>
          <w:szCs w:val="32"/>
        </w:rPr>
        <w:t xml:space="preserve">项目支出：指在基本支出之外为完成特定行政任务和事业发展目标所发生的支出。 </w:t>
      </w:r>
    </w:p>
    <w:p>
      <w:pPr>
        <w:pStyle w:val="9"/>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3.</w:t>
      </w:r>
      <w:r>
        <w:rPr>
          <w:rFonts w:hint="eastAsia" w:ascii="仿宋_GB2312" w:eastAsia="仿宋_GB2312"/>
          <w:sz w:val="32"/>
          <w:szCs w:val="32"/>
        </w:rPr>
        <w:t>三公”经费：纳入预算管理的“三公”经费，是指部门（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600" w:lineRule="exact"/>
        <w:outlineLvl w:val="1"/>
      </w:pP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3</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EDB56F"/>
    <w:multiLevelType w:val="singleLevel"/>
    <w:tmpl w:val="17EDB56F"/>
    <w:lvl w:ilvl="0" w:tentative="0">
      <w:start w:val="1"/>
      <w:numFmt w:val="chineseCounting"/>
      <w:suff w:val="nothing"/>
      <w:lvlText w:val="（%1）"/>
      <w:lvlJc w:val="left"/>
      <w:rPr>
        <w:rFonts w:hint="eastAsia"/>
      </w:rPr>
    </w:lvl>
  </w:abstractNum>
  <w:abstractNum w:abstractNumId="1">
    <w:nsid w:val="34104BCE"/>
    <w:multiLevelType w:val="singleLevel"/>
    <w:tmpl w:val="34104BCE"/>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2MjQ4MzA5YzMyYTBiZGJiNTczYTJjNWFjMGE1ZmIifQ=="/>
    <w:docVar w:name="KSO_WPS_MARK_KEY" w:val="7a587622-88b8-41a1-823e-cc97eebddce2"/>
  </w:docVars>
  <w:rsids>
    <w:rsidRoot w:val="00F429C0"/>
    <w:rsid w:val="00050092"/>
    <w:rsid w:val="00091317"/>
    <w:rsid w:val="000D24F7"/>
    <w:rsid w:val="000F0A83"/>
    <w:rsid w:val="000F755E"/>
    <w:rsid w:val="00117B29"/>
    <w:rsid w:val="001A0437"/>
    <w:rsid w:val="001A2108"/>
    <w:rsid w:val="001F7C86"/>
    <w:rsid w:val="00205959"/>
    <w:rsid w:val="002730CD"/>
    <w:rsid w:val="003A1BB5"/>
    <w:rsid w:val="003A561B"/>
    <w:rsid w:val="00425810"/>
    <w:rsid w:val="00455AFB"/>
    <w:rsid w:val="004A1A00"/>
    <w:rsid w:val="004E0D6D"/>
    <w:rsid w:val="004E7AF6"/>
    <w:rsid w:val="0053746F"/>
    <w:rsid w:val="00550B50"/>
    <w:rsid w:val="00564603"/>
    <w:rsid w:val="005E44BF"/>
    <w:rsid w:val="005E688F"/>
    <w:rsid w:val="0061724C"/>
    <w:rsid w:val="00651976"/>
    <w:rsid w:val="006802C5"/>
    <w:rsid w:val="006814A6"/>
    <w:rsid w:val="00745E20"/>
    <w:rsid w:val="00777E08"/>
    <w:rsid w:val="007934F3"/>
    <w:rsid w:val="00794B80"/>
    <w:rsid w:val="00861D72"/>
    <w:rsid w:val="008C72F8"/>
    <w:rsid w:val="009340F3"/>
    <w:rsid w:val="00A527E0"/>
    <w:rsid w:val="00AC35CF"/>
    <w:rsid w:val="00AE4401"/>
    <w:rsid w:val="00B3548B"/>
    <w:rsid w:val="00B70B2C"/>
    <w:rsid w:val="00BB666B"/>
    <w:rsid w:val="00C044B7"/>
    <w:rsid w:val="00C5515C"/>
    <w:rsid w:val="00CC5FF3"/>
    <w:rsid w:val="00D36FE8"/>
    <w:rsid w:val="00DE1A43"/>
    <w:rsid w:val="00DF77CF"/>
    <w:rsid w:val="00EA6295"/>
    <w:rsid w:val="00ED00C6"/>
    <w:rsid w:val="00F429C0"/>
    <w:rsid w:val="00F46912"/>
    <w:rsid w:val="00F77912"/>
    <w:rsid w:val="00FB45E1"/>
    <w:rsid w:val="066D6077"/>
    <w:rsid w:val="15D35DF5"/>
    <w:rsid w:val="21D6157A"/>
    <w:rsid w:val="270B2E60"/>
    <w:rsid w:val="276557C3"/>
    <w:rsid w:val="2ED21556"/>
    <w:rsid w:val="36DD628E"/>
    <w:rsid w:val="3C21458C"/>
    <w:rsid w:val="3C6F5A34"/>
    <w:rsid w:val="3EE741B8"/>
    <w:rsid w:val="40C8289D"/>
    <w:rsid w:val="45E4531E"/>
    <w:rsid w:val="46C53364"/>
    <w:rsid w:val="472A5D26"/>
    <w:rsid w:val="493C20A5"/>
    <w:rsid w:val="49DF285C"/>
    <w:rsid w:val="4DEE5E92"/>
    <w:rsid w:val="50041FB8"/>
    <w:rsid w:val="67D2734F"/>
    <w:rsid w:val="6FD95933"/>
    <w:rsid w:val="745F682E"/>
    <w:rsid w:val="7697339E"/>
    <w:rsid w:val="7D3309A6"/>
    <w:rsid w:val="7EA77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next w:val="1"/>
    <w:link w:val="11"/>
    <w:qFormat/>
    <w:uiPriority w:val="0"/>
    <w:rPr>
      <w:rFonts w:ascii="宋体" w:hAnsi="宋体" w:eastAsia="仿宋_GB2312" w:cs="宋体"/>
      <w:sz w:val="32"/>
      <w:szCs w:val="28"/>
      <w:lang w:val="zh-CN" w:bidi="zh-CN"/>
    </w:rPr>
  </w:style>
  <w:style w:type="paragraph" w:styleId="3">
    <w:name w:val="Date"/>
    <w:basedOn w:val="1"/>
    <w:next w:val="1"/>
    <w:link w:val="12"/>
    <w:uiPriority w:val="0"/>
    <w:pPr>
      <w:ind w:left="100" w:leftChars="25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Title"/>
    <w:basedOn w:val="1"/>
    <w:next w:val="1"/>
    <w:link w:val="10"/>
    <w:qFormat/>
    <w:uiPriority w:val="10"/>
    <w:pPr>
      <w:spacing w:before="240" w:after="60"/>
      <w:jc w:val="center"/>
      <w:outlineLvl w:val="0"/>
    </w:pPr>
    <w:rPr>
      <w:rFonts w:ascii="Cambria" w:hAnsi="Cambria"/>
      <w:b/>
      <w:bCs/>
      <w:sz w:val="32"/>
      <w:szCs w:val="32"/>
    </w:rPr>
  </w:style>
  <w:style w:type="paragraph" w:customStyle="1" w:styleId="9">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10">
    <w:name w:val="标题 Char"/>
    <w:basedOn w:val="8"/>
    <w:link w:val="6"/>
    <w:uiPriority w:val="10"/>
    <w:rPr>
      <w:rFonts w:ascii="Cambria" w:hAnsi="Cambria"/>
      <w:b/>
      <w:bCs/>
      <w:kern w:val="2"/>
      <w:sz w:val="32"/>
      <w:szCs w:val="32"/>
    </w:rPr>
  </w:style>
  <w:style w:type="character" w:customStyle="1" w:styleId="11">
    <w:name w:val="正文文本 Char"/>
    <w:basedOn w:val="8"/>
    <w:link w:val="2"/>
    <w:uiPriority w:val="0"/>
    <w:rPr>
      <w:rFonts w:ascii="宋体" w:hAnsi="宋体" w:eastAsia="仿宋_GB2312" w:cs="宋体"/>
      <w:kern w:val="2"/>
      <w:sz w:val="32"/>
      <w:szCs w:val="28"/>
      <w:lang w:val="zh-CN" w:bidi="zh-CN"/>
    </w:rPr>
  </w:style>
  <w:style w:type="character" w:customStyle="1" w:styleId="12">
    <w:name w:val="日期 Char"/>
    <w:basedOn w:val="8"/>
    <w:link w:val="3"/>
    <w:uiPriority w:val="0"/>
    <w:rPr>
      <w:rFonts w:ascii="Calibri" w:hAnsi="Calibri"/>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13</Pages>
  <Words>4893</Words>
  <Characters>5172</Characters>
  <Lines>37</Lines>
  <Paragraphs>10</Paragraphs>
  <TotalTime>105</TotalTime>
  <ScaleCrop>false</ScaleCrop>
  <LinksUpToDate>false</LinksUpToDate>
  <CharactersWithSpaces>5206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刘颜兵</cp:lastModifiedBy>
  <dcterms:modified xsi:type="dcterms:W3CDTF">2024-02-06T05:12:27Z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B813B1432CC54FBC8C6703FBB117C543</vt:lpwstr>
  </property>
</Properties>
</file>