
<file path=[Content_Types].xml><?xml version="1.0" encoding="utf-8"?>
<Types xmlns="http://schemas.openxmlformats.org/package/2006/content-types">
  <Default Extension="wmf" ContentType="image/x-wmf"/>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Hlk153459408"/>
      <w:bookmarkEnd w:id="0"/>
      <w:bookmarkStart w:id="1" w:name="_Toc15377425"/>
      <w:bookmarkStart w:id="2" w:name="_Toc15396597"/>
      <w:bookmarkStart w:id="3" w:name="_Toc15378441"/>
      <w:bookmarkStart w:id="4" w:name="_Toc15377193"/>
      <w:bookmarkStart w:id="5" w:name="_Toc15396475"/>
      <w:bookmarkStart w:id="6"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6"/>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96476"/>
      <w:bookmarkStart w:id="8" w:name="_Toc15396598"/>
      <w:bookmarkStart w:id="9" w:name="_Toc15377194"/>
      <w:bookmarkStart w:id="10" w:name="_Toc15377426"/>
      <w:bookmarkStart w:id="11" w:name="_Toc15378442"/>
      <w:bookmarkStart w:id="12" w:name="_Toc15306268"/>
      <w:r>
        <w:rPr>
          <w:rFonts w:hint="eastAsia" w:ascii="方正小标宋简体" w:hAnsi="方正小标宋简体" w:eastAsia="方正小标宋简体" w:cs="方正小标宋简体"/>
          <w:sz w:val="72"/>
          <w:szCs w:val="72"/>
          <w:lang w:eastAsia="zh-CN"/>
        </w:rPr>
        <w:t>峨眉山市发展和改革</w:t>
      </w:r>
      <w:r>
        <w:rPr>
          <w:rFonts w:hint="eastAsia" w:ascii="方正小标宋简体" w:hAnsi="方正小标宋简体" w:eastAsia="方正小标宋简体" w:cs="方正小标宋简体"/>
          <w:sz w:val="72"/>
          <w:szCs w:val="72"/>
        </w:rPr>
        <w:t>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color w:val="auto"/>
          <w:highlight w:val="none"/>
        </w:rPr>
      </w:pPr>
      <w:r>
        <w:rPr>
          <w:rFonts w:hint="eastAsia"/>
          <w:color w:val="auto"/>
          <w:highlight w:val="none"/>
        </w:rPr>
        <w:t>公开时间：2023年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w:t>
      </w:r>
      <w:r>
        <w:rPr>
          <w:rFonts w:hint="eastAsia"/>
          <w:color w:val="auto"/>
          <w:highlight w:val="none"/>
        </w:rPr>
        <w:t>2日</w:t>
      </w:r>
    </w:p>
    <w:p/>
    <w:p>
      <w:pPr>
        <w:pStyle w:val="11"/>
        <w:adjustRightInd w:val="0"/>
        <w:snapToGrid w:val="0"/>
        <w:spacing w:before="0" w:line="440" w:lineRule="exact"/>
        <w:jc w:val="left"/>
        <w:rPr>
          <w:rFonts w:hint="default" w:cstheme="minorBidi"/>
          <w:sz w:val="24"/>
          <w:szCs w:val="24"/>
          <w:lang w:val="en-US"/>
        </w:rPr>
      </w:pPr>
      <w:r>
        <w:rPr>
          <w:rFonts w:hint="eastAsia"/>
          <w:sz w:val="24"/>
        </w:rPr>
        <w:t>第一部分</w:t>
      </w:r>
      <w:r>
        <w:rPr>
          <w:sz w:val="24"/>
        </w:rPr>
        <w:t xml:space="preserve"> </w:t>
      </w:r>
      <w:r>
        <w:rPr>
          <w:rFonts w:hint="eastAsia"/>
          <w:sz w:val="24"/>
        </w:rPr>
        <w:t>部门概况</w:t>
      </w:r>
      <w:r>
        <w:rPr>
          <w:rFonts w:hint="eastAsia"/>
          <w:sz w:val="24"/>
          <w:lang w:eastAsia="zh-CN"/>
        </w:rPr>
        <w:t>…………………………………………………………………</w:t>
      </w:r>
      <w:r>
        <w:rPr>
          <w:rFonts w:hint="eastAsia"/>
          <w:sz w:val="24"/>
          <w:lang w:val="en-US" w:eastAsia="zh-CN"/>
        </w:rPr>
        <w:t>4</w:t>
      </w:r>
    </w:p>
    <w:p>
      <w:pPr>
        <w:pStyle w:val="12"/>
        <w:adjustRightInd w:val="0"/>
        <w:snapToGrid w:val="0"/>
        <w:spacing w:line="440" w:lineRule="exact"/>
        <w:jc w:val="left"/>
        <w:rPr>
          <w:rFonts w:hint="default" w:ascii="仿宋" w:hAnsi="仿宋" w:eastAsia="仿宋"/>
          <w:sz w:val="24"/>
          <w:lang w:val="en-US"/>
        </w:rPr>
      </w:pPr>
      <w:r>
        <w:rPr>
          <w:rFonts w:hint="eastAsia"/>
          <w:sz w:val="24"/>
        </w:rPr>
        <w:t>一、部门职责</w:t>
      </w:r>
      <w:r>
        <w:rPr>
          <w:rFonts w:hint="eastAsia"/>
          <w:sz w:val="24"/>
          <w:lang w:eastAsia="zh-CN"/>
        </w:rPr>
        <w:t>……………………………………………………………………</w:t>
      </w:r>
      <w:r>
        <w:rPr>
          <w:rFonts w:hint="eastAsia"/>
          <w:sz w:val="24"/>
          <w:lang w:val="en-US" w:eastAsia="zh-CN"/>
        </w:rPr>
        <w:t>4</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二、机构</w:t>
      </w:r>
      <w:bookmarkStart w:id="69" w:name="_GoBack"/>
      <w:bookmarkEnd w:id="69"/>
      <w:r>
        <w:rPr>
          <w:rFonts w:hint="eastAsia"/>
          <w:sz w:val="24"/>
        </w:rPr>
        <w:t>设置</w:t>
      </w:r>
      <w:r>
        <w:rPr>
          <w:rFonts w:hint="eastAsia"/>
          <w:sz w:val="24"/>
          <w:lang w:eastAsia="zh-CN"/>
        </w:rPr>
        <w:t>……………………………………………………………………</w:t>
      </w:r>
      <w:r>
        <w:rPr>
          <w:rFonts w:hint="eastAsia"/>
          <w:sz w:val="24"/>
          <w:lang w:val="en-US" w:eastAsia="zh-CN"/>
        </w:rPr>
        <w:t>9</w:t>
      </w:r>
    </w:p>
    <w:p>
      <w:pPr>
        <w:pStyle w:val="11"/>
        <w:adjustRightInd w:val="0"/>
        <w:snapToGrid w:val="0"/>
        <w:spacing w:before="0" w:line="440" w:lineRule="exact"/>
        <w:jc w:val="left"/>
        <w:rPr>
          <w:rFonts w:hint="default"/>
          <w:sz w:val="24"/>
          <w:szCs w:val="24"/>
          <w:lang w:val="en-US"/>
        </w:rPr>
      </w:pPr>
      <w:r>
        <w:rPr>
          <w:rFonts w:hint="eastAsia"/>
          <w:sz w:val="24"/>
        </w:rPr>
        <w:t>第二部分 2022年度部门决算情况说明</w:t>
      </w:r>
      <w:r>
        <w:rPr>
          <w:rFonts w:hint="eastAsia"/>
          <w:sz w:val="24"/>
          <w:lang w:val="en-US" w:eastAsia="zh-CN"/>
        </w:rPr>
        <w:t xml:space="preserve"> </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 xml:space="preserve"> </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13</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13</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14</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19</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20</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八、政府性基金预算支出决算情况说明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21</w:t>
      </w:r>
    </w:p>
    <w:p>
      <w:pPr>
        <w:pStyle w:val="12"/>
        <w:adjustRightInd w:val="0"/>
        <w:snapToGrid w:val="0"/>
        <w:spacing w:line="440" w:lineRule="exact"/>
        <w:ind w:leftChars="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 xml:space="preserve"> </w:t>
      </w:r>
      <w:r>
        <w:rPr>
          <w:rFonts w:hint="eastAsia"/>
          <w:sz w:val="24"/>
          <w:lang w:eastAsia="zh-CN"/>
        </w:rPr>
        <w:t>…………………………………</w:t>
      </w:r>
      <w:r>
        <w:rPr>
          <w:rFonts w:hint="eastAsia"/>
          <w:sz w:val="24"/>
          <w:lang w:val="en-US" w:eastAsia="zh-CN"/>
        </w:rPr>
        <w:t>21</w:t>
      </w:r>
    </w:p>
    <w:p>
      <w:pPr>
        <w:adjustRightInd w:val="0"/>
        <w:snapToGrid w:val="0"/>
        <w:spacing w:line="440" w:lineRule="exact"/>
        <w:ind w:firstLine="420" w:firstLineChars="175"/>
        <w:jc w:val="left"/>
        <w:rPr>
          <w:rFonts w:hint="default" w:asciiTheme="minorEastAsia" w:hAnsiTheme="minorEastAsia" w:eastAsiaTheme="minorEastAsia" w:cstheme="minorEastAsia"/>
          <w:sz w:val="24"/>
          <w:lang w:val="en-US"/>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 xml:space="preserve"> </w:t>
      </w:r>
      <w:r>
        <w:rPr>
          <w:rFonts w:hint="eastAsia"/>
          <w:sz w:val="24"/>
          <w:lang w:eastAsia="zh-CN"/>
        </w:rPr>
        <w:t>………………………………………………</w:t>
      </w:r>
      <w:r>
        <w:rPr>
          <w:rFonts w:hint="eastAsia"/>
          <w:sz w:val="24"/>
          <w:lang w:val="en-US" w:eastAsia="zh-CN"/>
        </w:rPr>
        <w:t>21</w:t>
      </w:r>
    </w:p>
    <w:p>
      <w:pPr>
        <w:pStyle w:val="11"/>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sz w:val="24"/>
          <w:lang w:eastAsia="zh-CN"/>
        </w:rPr>
        <w:t>………………………………………………………………</w:t>
      </w:r>
      <w:r>
        <w:rPr>
          <w:rFonts w:hint="eastAsia"/>
          <w:sz w:val="24"/>
          <w:lang w:val="en-US" w:eastAsia="zh-CN"/>
        </w:rPr>
        <w:t>24</w:t>
      </w:r>
    </w:p>
    <w:p>
      <w:pPr>
        <w:pStyle w:val="11"/>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sz w:val="24"/>
          <w:lang w:val="en-US" w:eastAsia="zh-CN"/>
        </w:rPr>
        <w:t xml:space="preserve"> </w:t>
      </w:r>
      <w:r>
        <w:rPr>
          <w:rFonts w:hint="eastAsia"/>
          <w:sz w:val="24"/>
          <w:lang w:eastAsia="zh-CN"/>
        </w:rPr>
        <w:t>……………………………………………………………………</w:t>
      </w:r>
      <w:r>
        <w:rPr>
          <w:rFonts w:hint="eastAsia"/>
          <w:sz w:val="24"/>
          <w:lang w:val="en-US" w:eastAsia="zh-CN"/>
        </w:rPr>
        <w:t>28</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pStyle w:val="12"/>
        <w:adjustRightInd w:val="0"/>
        <w:snapToGrid w:val="0"/>
        <w:spacing w:line="440" w:lineRule="exact"/>
        <w:jc w:val="left"/>
        <w:rPr>
          <w:rFonts w:hint="default" w:eastAsia="宋体" w:asciiTheme="minorEastAsia" w:hAnsiTheme="minorEastAsia" w:cstheme="minorEastAsia"/>
          <w:sz w:val="24"/>
          <w:lang w:val="en-US" w:eastAsia="zh-CN"/>
        </w:rPr>
      </w:pPr>
      <w:r>
        <w:rPr>
          <w:rFonts w:hint="eastAsia"/>
          <w:sz w:val="24"/>
        </w:rPr>
        <w:t>十三、财政拨款“三公”经费支出决算表</w:t>
      </w:r>
      <w:r>
        <w:rPr>
          <w:rFonts w:hint="eastAsia"/>
          <w:sz w:val="24"/>
          <w:lang w:val="en-US" w:eastAsia="zh-CN"/>
        </w:rPr>
        <w:t xml:space="preserve"> </w:t>
      </w:r>
      <w:r>
        <w:rPr>
          <w:rFonts w:hint="eastAsia"/>
          <w:sz w:val="24"/>
          <w:lang w:eastAsia="zh-CN"/>
        </w:rPr>
        <w:t>………………………………</w:t>
      </w:r>
      <w:r>
        <w:rPr>
          <w:rFonts w:hint="eastAsia"/>
          <w:sz w:val="24"/>
          <w:lang w:val="en-US" w:eastAsia="zh-CN"/>
        </w:rPr>
        <w:t>35</w:t>
      </w:r>
    </w:p>
    <w:p>
      <w:pPr>
        <w:widowControl/>
        <w:spacing w:line="440" w:lineRule="exact"/>
        <w:jc w:val="left"/>
        <w:rPr>
          <w:rFonts w:ascii="仿宋" w:hAnsi="仿宋" w:eastAsia="仿宋"/>
          <w:bCs/>
          <w:kern w:val="44"/>
          <w:sz w:val="24"/>
        </w:rPr>
      </w:pPr>
      <w:bookmarkStart w:id="13" w:name="_Toc15377196"/>
      <w:bookmarkStart w:id="14" w:name="_Toc15396599"/>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3"/>
      <w:bookmarkEnd w:id="14"/>
    </w:p>
    <w:p>
      <w:pPr>
        <w:widowControl/>
        <w:jc w:val="left"/>
        <w:rPr>
          <w:rFonts w:ascii="黑体" w:eastAsia="黑体"/>
          <w:sz w:val="32"/>
          <w:szCs w:val="32"/>
        </w:rPr>
      </w:pPr>
    </w:p>
    <w:p>
      <w:pPr>
        <w:pStyle w:val="4"/>
        <w:rPr>
          <w:rStyle w:val="29"/>
          <w:rFonts w:ascii="仿宋" w:hAnsi="仿宋" w:eastAsia="黑体"/>
          <w:b w:val="0"/>
          <w:bCs w:val="0"/>
          <w:highlight w:val="none"/>
        </w:rPr>
      </w:pPr>
      <w:bookmarkStart w:id="15" w:name="_Toc15377197"/>
      <w:bookmarkStart w:id="16" w:name="_Toc15396600"/>
      <w:r>
        <w:rPr>
          <w:rFonts w:hint="eastAsia" w:ascii="黑体" w:hAnsi="黑体" w:eastAsia="黑体"/>
          <w:b w:val="0"/>
          <w:highlight w:val="none"/>
        </w:rPr>
        <w:t>一、</w:t>
      </w:r>
      <w:bookmarkEnd w:id="15"/>
      <w:bookmarkEnd w:id="16"/>
      <w:r>
        <w:rPr>
          <w:rFonts w:hint="eastAsia" w:ascii="黑体" w:hAnsi="黑体" w:eastAsia="黑体"/>
          <w:b w:val="0"/>
          <w:highlight w:val="none"/>
        </w:rPr>
        <w:t>部门职责</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1.发展和改革局机关主要职能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ascii="仿宋_GB2312" w:eastAsia="仿宋_GB2312"/>
          <w:kern w:val="0"/>
          <w:sz w:val="32"/>
          <w:szCs w:val="32"/>
        </w:rPr>
        <w:t>(6)</w:t>
      </w:r>
      <w:r>
        <w:rPr>
          <w:rFonts w:hint="eastAsia" w:ascii="仿宋_GB2312" w:eastAsia="仿宋_GB2312"/>
          <w:kern w:val="0"/>
          <w:sz w:val="32"/>
          <w:szCs w:val="32"/>
        </w:rPr>
        <w:t>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承办市政府交办的其他事项。</w:t>
      </w:r>
    </w:p>
    <w:p>
      <w:pPr>
        <w:spacing w:line="600" w:lineRule="exact"/>
        <w:ind w:firstLine="640" w:firstLineChars="200"/>
        <w:rPr>
          <w:rFonts w:ascii="仿宋_GB2312" w:eastAsia="仿宋_GB2312"/>
          <w:kern w:val="0"/>
          <w:sz w:val="32"/>
          <w:szCs w:val="32"/>
        </w:rPr>
      </w:pPr>
      <w:r>
        <w:rPr>
          <w:rFonts w:hint="eastAsia" w:ascii="仿宋_GB2312" w:eastAsia="仿宋_GB2312"/>
          <w:kern w:val="0"/>
          <w:sz w:val="32"/>
          <w:szCs w:val="32"/>
        </w:rPr>
        <w:t>2.粮食和物资储备中心主要职能：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认真贯彻执行国家粮油方针、政策和法律、法规、粮食市场和地方储备粮食的管理；完成地方储备粮的收购和管理，保证国家掌握必要的粮源；承担退耕还林（草）补贴粮食的计划调拨和供应工作；配合有关部门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工作和党风廉政建设和纠正行业不正之风工作；推广订单农业，保护农民种粮积极性；承办市委市政府交办的其它事项。</w:t>
      </w:r>
    </w:p>
    <w:p>
      <w:pPr>
        <w:pStyle w:val="4"/>
        <w:rPr>
          <w:rStyle w:val="29"/>
          <w:b w:val="0"/>
          <w:bCs w:val="0"/>
        </w:rPr>
      </w:pPr>
      <w:bookmarkStart w:id="17" w:name="_Toc15396601"/>
      <w:bookmarkStart w:id="18"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7"/>
      <w:bookmarkEnd w:id="18"/>
    </w:p>
    <w:p>
      <w:pPr>
        <w:pStyle w:val="13"/>
        <w:widowControl/>
        <w:shd w:val="clear" w:color="auto" w:fill="FFFFFF"/>
        <w:spacing w:beforeAutospacing="0" w:afterAutospacing="0"/>
        <w:ind w:firstLine="420"/>
        <w:rPr>
          <w:rFonts w:hint="eastAsia" w:ascii="仿宋_GB2312" w:hAnsi="Calibri" w:eastAsia="仿宋_GB2312"/>
          <w:kern w:val="2"/>
          <w:sz w:val="32"/>
          <w:szCs w:val="32"/>
        </w:rPr>
      </w:pPr>
      <w:r>
        <w:rPr>
          <w:rFonts w:hint="eastAsia" w:ascii="仿宋_GB2312" w:eastAsia="仿宋_GB2312"/>
          <w:sz w:val="32"/>
          <w:szCs w:val="32"/>
        </w:rPr>
        <w:t>峨眉山市发展和改革局下属二级预算单位1个，其中参照公务员法管理的事业单位1个。主要包括：峨眉山市粮食和物资储备中心。其他事业单位2个，主要包括：峨眉山市价格认证中心、峨眉山市科技开发和生产力促进中心。</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年重点工作任务</w:t>
      </w:r>
    </w:p>
    <w:p>
      <w:pPr>
        <w:spacing w:line="600" w:lineRule="exact"/>
        <w:ind w:firstLine="640" w:firstLineChars="200"/>
        <w:outlineLvl w:val="1"/>
        <w:rPr>
          <w:rFonts w:ascii="黑体" w:eastAsia="黑体"/>
          <w:sz w:val="32"/>
          <w:szCs w:val="32"/>
        </w:rPr>
      </w:pPr>
    </w:p>
    <w:p>
      <w:pPr>
        <w:pStyle w:val="13"/>
        <w:widowControl/>
        <w:shd w:val="clear" w:color="auto" w:fill="FFFFFF"/>
        <w:spacing w:beforeAutospacing="0" w:afterAutospacing="0"/>
        <w:ind w:firstLine="640" w:firstLineChars="200"/>
        <w:rPr>
          <w:rFonts w:ascii="仿宋_GB2312" w:hAnsi="Calibri" w:eastAsia="仿宋_GB2312"/>
          <w:kern w:val="2"/>
          <w:sz w:val="32"/>
          <w:szCs w:val="32"/>
        </w:rPr>
      </w:pPr>
      <w:r>
        <w:rPr>
          <w:rFonts w:hint="eastAsia" w:ascii="仿宋_GB2312" w:hAnsi="Calibri" w:eastAsia="仿宋_GB2312"/>
          <w:kern w:val="2"/>
          <w:sz w:val="32"/>
          <w:szCs w:val="32"/>
        </w:rPr>
        <w:t>坚持以习近平新时代中国特色社会主义思想为指导，全面贯彻中央、省市工作会议精神，立足新发展阶段，贯彻新发展理念，构建新发展格局，奋力推动全市经济社会高质量发展。</w:t>
      </w:r>
    </w:p>
    <w:p>
      <w:pPr>
        <w:pStyle w:val="13"/>
        <w:widowControl/>
        <w:numPr>
          <w:ilvl w:val="0"/>
          <w:numId w:val="1"/>
        </w:numPr>
        <w:shd w:val="clear" w:color="auto" w:fill="FFFFFF"/>
        <w:spacing w:beforeAutospacing="0" w:afterAutospacing="0"/>
        <w:ind w:firstLine="420"/>
        <w:rPr>
          <w:rFonts w:ascii="仿宋_GB2312" w:eastAsia="仿宋_GB2312"/>
          <w:kern w:val="2"/>
          <w:sz w:val="32"/>
          <w:szCs w:val="32"/>
        </w:rPr>
      </w:pPr>
      <w:r>
        <w:rPr>
          <w:rFonts w:hint="eastAsia" w:ascii="仿宋_GB2312" w:hAnsi="Calibri" w:eastAsia="仿宋_GB2312"/>
          <w:kern w:val="2"/>
          <w:sz w:val="32"/>
          <w:szCs w:val="32"/>
        </w:rPr>
        <w:t>统筹推进一、二、三产业融合发展，超常规跨越式发展，全力争取202</w:t>
      </w:r>
      <w:r>
        <w:rPr>
          <w:rFonts w:hint="eastAsia" w:ascii="仿宋_GB2312" w:eastAsia="仿宋_GB2312"/>
          <w:kern w:val="2"/>
          <w:sz w:val="32"/>
          <w:szCs w:val="32"/>
        </w:rPr>
        <w:t>3</w:t>
      </w:r>
      <w:r>
        <w:rPr>
          <w:rFonts w:hint="eastAsia" w:ascii="仿宋_GB2312" w:hAnsi="Calibri" w:eastAsia="仿宋_GB2312"/>
          <w:kern w:val="2"/>
          <w:sz w:val="32"/>
          <w:szCs w:val="32"/>
        </w:rPr>
        <w:t>年经济增速得到大幅提升</w:t>
      </w:r>
      <w:r>
        <w:rPr>
          <w:rFonts w:hint="eastAsia" w:ascii="仿宋_GB2312" w:eastAsia="仿宋_GB2312"/>
          <w:kern w:val="2"/>
          <w:sz w:val="32"/>
          <w:szCs w:val="32"/>
        </w:rPr>
        <w:t>。</w:t>
      </w:r>
    </w:p>
    <w:p>
      <w:pPr>
        <w:pStyle w:val="13"/>
        <w:widowControl/>
        <w:shd w:val="clear" w:color="auto" w:fill="FFFFFF"/>
        <w:spacing w:beforeAutospacing="0" w:afterAutospacing="0"/>
        <w:ind w:left="420"/>
        <w:rPr>
          <w:rFonts w:ascii="仿宋_GB2312" w:hAnsi="Calibri" w:eastAsia="仿宋_GB2312"/>
          <w:kern w:val="2"/>
          <w:sz w:val="32"/>
          <w:szCs w:val="32"/>
        </w:rPr>
      </w:pPr>
      <w:r>
        <w:rPr>
          <w:rFonts w:hint="eastAsia" w:ascii="仿宋_GB2312" w:hAnsi="Calibri" w:eastAsia="仿宋_GB2312"/>
          <w:kern w:val="2"/>
          <w:sz w:val="32"/>
          <w:szCs w:val="32"/>
        </w:rPr>
        <w:t>（二）加强宏观经济形势监测和运行分析，把重点放在宏观形势和主要指标变化情况的分析上，及时提出针对性强、富有价值的意见建议，在更高层次上当好参谋、出好主意、谋好发展。</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三）着力政策研究，充分发挥部门职能优势，加强政策研究，掌握政策动态，做好产业政策与我市产业、项目等载体相结合的文章，抓住经济和社会发展中的热点、难点问题，深入开展调查研究，不断提高经济形势分析质量和水平，努力为市委、市政府当好参谋。</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四）抓好重大项目包装策划储备，推动重大项目加快实施。认真研究国家政策导向和我市产业转型升级需要，搞好项目包装申报，争取更多的项目列入省市重点项目、各级发展规划盘子、各级各类重点扶持领域范围。</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五）抓住重大机遇，全面做好资金政策争取。准确把握上级产业导向和投资重点，做好与我市优势项目结合的文章，重点围绕中央预算内老旧小区改造、城市排水、长江经济带绿色发展和地方政府专项债券政策投向等方面，积极做好项目包装推介，做好“保姆式”跟踪服务，力争实现新的突破。</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（六）加快推动医（康）养产业布局规划落地，出台配套支持政策，招引一批大企业、大项目，健全产业链，促进产业加快成势。</w:t>
      </w:r>
    </w:p>
    <w:p>
      <w:pPr>
        <w:pStyle w:val="13"/>
        <w:widowControl/>
        <w:numPr>
          <w:ilvl w:val="0"/>
          <w:numId w:val="2"/>
        </w:numPr>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加快推动“双碳战略”重点工作，积极贯彻落实《中共四川省委关于以实现碳达峰碳中和目标为引领推动绿色低碳优势产业高质量发展的决定》，认真梳理我市能源消费总量、结构，研究谋划针对性措施，务求取得实效。加大节能审查力度，规范节能评估程序，坚决淘汰技术落后、浪费能源、高污染工艺、产品和设备。</w:t>
      </w:r>
    </w:p>
    <w:p>
      <w:pPr>
        <w:pStyle w:val="13"/>
        <w:widowControl/>
        <w:numPr>
          <w:ilvl w:val="0"/>
          <w:numId w:val="2"/>
        </w:numPr>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加快推进县级市改革的各项工作，加大纵深推进力度，牵头协调经济体制改革领域各项任务，进一步激发市场在资源配置中的决定性作用，更好发挥政府作用。</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九）大力促进科技创新发展，积极培育高新技术企业、国家科技型中小企业，力争通过高新技术企业认定3个以上，国家科技型中小企业30个以上。持续推进“大众创业万众创新”工作，引导全社会加强科技投入，全市R&amp;D经费达4.24亿元以上。建立峨眉山市“四川乡村振兴科技在线”平台运管中心，开展在线咨询服务，培训活动。</w:t>
      </w:r>
    </w:p>
    <w:p>
      <w:pPr>
        <w:pStyle w:val="13"/>
        <w:widowControl/>
        <w:shd w:val="clear" w:color="auto" w:fill="FFFFFF"/>
        <w:spacing w:beforeAutospacing="0" w:afterAutospacing="0"/>
        <w:ind w:firstLine="420"/>
        <w:rPr>
          <w:rFonts w:hint="eastAsia" w:ascii="仿宋_GB2312" w:hAnsi="Calibri" w:eastAsia="仿宋_GB2312"/>
          <w:kern w:val="2"/>
          <w:sz w:val="32"/>
          <w:szCs w:val="32"/>
        </w:rPr>
      </w:pPr>
      <w:r>
        <w:rPr>
          <w:rFonts w:hint="eastAsia" w:ascii="仿宋_GB2312" w:hAnsi="Calibri" w:eastAsia="仿宋_GB2312"/>
          <w:kern w:val="2"/>
          <w:sz w:val="32"/>
          <w:szCs w:val="32"/>
        </w:rPr>
        <w:t>（十）进一步做好保供稳价工作，继续抓好相关商品和服务成本监审、价格制定、价格认定和监测、粮食和救灾物资管理工作，为我市民生保障提供有力支撑。</w:t>
      </w:r>
    </w:p>
    <w:p>
      <w:pPr>
        <w:spacing w:line="600" w:lineRule="exact"/>
        <w:ind w:firstLine="640" w:firstLineChars="200"/>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9" w:name="_Toc15396602"/>
      <w:bookmarkStart w:id="20"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19"/>
      <w:bookmarkEnd w:id="20"/>
    </w:p>
    <w:p/>
    <w:p>
      <w:pPr>
        <w:pStyle w:val="27"/>
        <w:numPr>
          <w:ilvl w:val="0"/>
          <w:numId w:val="3"/>
        </w:numPr>
        <w:spacing w:line="600" w:lineRule="exact"/>
        <w:ind w:firstLineChars="0"/>
        <w:outlineLvl w:val="1"/>
        <w:rPr>
          <w:rStyle w:val="29"/>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1"/>
      <w:bookmarkEnd w:id="22"/>
    </w:p>
    <w:p>
      <w:pPr>
        <w:spacing w:line="600" w:lineRule="exact"/>
        <w:ind w:firstLine="640" w:firstLineChars="200"/>
        <w:rPr>
          <w:rFonts w:ascii="仿宋" w:hAnsi="仿宋" w:eastAsia="仿宋"/>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167005</wp:posOffset>
            </wp:positionH>
            <wp:positionV relativeFrom="paragraph">
              <wp:posOffset>1682115</wp:posOffset>
            </wp:positionV>
            <wp:extent cx="5274310" cy="3076575"/>
            <wp:effectExtent l="0" t="0" r="254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2022年度收入总计1413.94万元、支出总计1496.5</w:t>
      </w:r>
      <w:r>
        <w:rPr>
          <w:rFonts w:ascii="仿宋" w:hAnsi="仿宋" w:eastAsia="仿宋"/>
          <w:sz w:val="32"/>
          <w:szCs w:val="32"/>
        </w:rPr>
        <w:t>6</w:t>
      </w:r>
      <w:r>
        <w:rPr>
          <w:rFonts w:hint="eastAsia" w:ascii="仿宋" w:hAnsi="仿宋" w:eastAsia="仿宋"/>
          <w:sz w:val="32"/>
          <w:szCs w:val="32"/>
        </w:rPr>
        <w:t>万元。与2021年相比，收入总计减少220.6万元，支出总计减少272.66万元。收入下降13.49</w:t>
      </w:r>
      <w:r>
        <w:rPr>
          <w:rFonts w:ascii="仿宋" w:hAnsi="仿宋" w:eastAsia="仿宋"/>
          <w:sz w:val="32"/>
          <w:szCs w:val="32"/>
        </w:rPr>
        <w:t>%</w:t>
      </w:r>
      <w:r>
        <w:rPr>
          <w:rFonts w:hint="eastAsia" w:ascii="仿宋" w:hAnsi="仿宋" w:eastAsia="仿宋"/>
          <w:sz w:val="32"/>
          <w:szCs w:val="32"/>
        </w:rPr>
        <w:t>。支出下降15.41%.主要变动原因是财政紧缩收支。</w:t>
      </w:r>
    </w:p>
    <w:p>
      <w:pPr>
        <w:pStyle w:val="2"/>
        <w:spacing w:before="93"/>
        <w:rPr>
          <w:rFonts w:hint="eastAsia"/>
        </w:rPr>
      </w:pPr>
    </w:p>
    <w:p>
      <w:pPr>
        <w:pStyle w:val="27"/>
        <w:numPr>
          <w:ilvl w:val="0"/>
          <w:numId w:val="3"/>
        </w:numPr>
        <w:spacing w:line="600" w:lineRule="exact"/>
        <w:ind w:firstLineChars="0"/>
        <w:outlineLvl w:val="1"/>
        <w:rPr>
          <w:rStyle w:val="29"/>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29"/>
          <w:rFonts w:hint="eastAsia" w:ascii="黑体" w:hAnsi="黑体" w:eastAsia="黑体"/>
          <w:b w:val="0"/>
        </w:rPr>
        <w:t>入决算情况说明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1413.94</w:t>
      </w:r>
      <w:r>
        <w:rPr>
          <w:rFonts w:hint="eastAsia" w:ascii="仿宋" w:hAnsi="仿宋" w:eastAsia="仿宋"/>
          <w:sz w:val="32"/>
          <w:szCs w:val="32"/>
        </w:rPr>
        <w:t>万元，其中：一般公共预算财政拨款收入</w:t>
      </w:r>
      <w:r>
        <w:rPr>
          <w:rFonts w:ascii="仿宋" w:hAnsi="仿宋" w:eastAsia="仿宋"/>
          <w:sz w:val="32"/>
          <w:szCs w:val="32"/>
        </w:rPr>
        <w:t>1146.96</w:t>
      </w:r>
      <w:r>
        <w:rPr>
          <w:rFonts w:hint="eastAsia" w:ascii="仿宋" w:hAnsi="仿宋" w:eastAsia="仿宋"/>
          <w:sz w:val="32"/>
          <w:szCs w:val="32"/>
        </w:rPr>
        <w:t>万元，占</w:t>
      </w:r>
      <w:r>
        <w:rPr>
          <w:rFonts w:ascii="仿宋" w:hAnsi="仿宋" w:eastAsia="仿宋"/>
          <w:sz w:val="32"/>
          <w:szCs w:val="32"/>
        </w:rPr>
        <w:t>81.12%</w:t>
      </w:r>
      <w:r>
        <w:rPr>
          <w:rFonts w:hint="eastAsia" w:ascii="仿宋" w:hAnsi="仿宋" w:eastAsia="仿宋"/>
          <w:sz w:val="32"/>
          <w:szCs w:val="32"/>
        </w:rPr>
        <w:t>；政府性基金预算财政拨款收入</w:t>
      </w:r>
      <w:r>
        <w:rPr>
          <w:rFonts w:ascii="仿宋" w:hAnsi="仿宋" w:eastAsia="仿宋"/>
          <w:sz w:val="32"/>
          <w:szCs w:val="32"/>
        </w:rPr>
        <w:t>266.99</w:t>
      </w:r>
      <w:r>
        <w:rPr>
          <w:rFonts w:hint="eastAsia" w:ascii="仿宋" w:hAnsi="仿宋" w:eastAsia="仿宋"/>
          <w:sz w:val="32"/>
          <w:szCs w:val="32"/>
        </w:rPr>
        <w:t>万元，占</w:t>
      </w:r>
      <w:r>
        <w:rPr>
          <w:rFonts w:ascii="仿宋" w:hAnsi="仿宋" w:eastAsia="仿宋"/>
          <w:sz w:val="32"/>
          <w:szCs w:val="32"/>
        </w:rPr>
        <w:t>18.88%</w:t>
      </w:r>
      <w:r>
        <w:rPr>
          <w:rFonts w:hint="eastAsia" w:ascii="仿宋" w:hAnsi="仿宋" w:eastAsia="仿宋"/>
          <w:sz w:val="32"/>
          <w:szCs w:val="32"/>
        </w:rPr>
        <w:t>。</w:t>
      </w:r>
    </w:p>
    <w:p>
      <w:pPr>
        <w:pStyle w:val="2"/>
        <w:spacing w:before="93"/>
      </w:pPr>
    </w:p>
    <w:p>
      <w:pPr>
        <w:pStyle w:val="2"/>
        <w:spacing w:before="93"/>
      </w:pPr>
      <w: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rPr>
          <w:rFonts w:hint="eastAsia"/>
        </w:rPr>
      </w:pPr>
    </w:p>
    <w:p>
      <w:pPr>
        <w:pStyle w:val="27"/>
        <w:numPr>
          <w:ilvl w:val="0"/>
          <w:numId w:val="3"/>
        </w:numPr>
        <w:spacing w:line="600" w:lineRule="exact"/>
        <w:ind w:firstLineChars="0"/>
        <w:outlineLvl w:val="1"/>
        <w:rPr>
          <w:rStyle w:val="29"/>
          <w:rFonts w:ascii="黑体" w:hAnsi="黑体" w:eastAsia="黑体"/>
          <w:b w:val="0"/>
        </w:rPr>
      </w:pPr>
      <w:bookmarkStart w:id="25" w:name="_Toc15396605"/>
      <w:bookmarkStart w:id="26" w:name="_Toc15377207"/>
      <w:r>
        <w:rPr>
          <w:rFonts w:hint="eastAsia" w:ascii="黑体" w:hAnsi="黑体" w:eastAsia="黑体"/>
          <w:sz w:val="32"/>
          <w:szCs w:val="32"/>
        </w:rPr>
        <w:t>支</w:t>
      </w:r>
      <w:r>
        <w:rPr>
          <w:rStyle w:val="29"/>
          <w:rFonts w:hint="eastAsia" w:ascii="黑体" w:hAnsi="黑体" w:eastAsia="黑体"/>
          <w:b w:val="0"/>
        </w:rPr>
        <w:t>出决算情况说明</w:t>
      </w:r>
      <w:bookmarkEnd w:id="25"/>
      <w:bookmarkEnd w:id="26"/>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22年本年支出合计1496.5</w:t>
      </w:r>
      <w:r>
        <w:rPr>
          <w:rFonts w:ascii="仿宋" w:hAnsi="仿宋" w:eastAsia="仿宋"/>
          <w:sz w:val="32"/>
          <w:szCs w:val="32"/>
        </w:rPr>
        <w:t>6</w:t>
      </w:r>
      <w:r>
        <w:rPr>
          <w:rFonts w:hint="eastAsia" w:ascii="仿宋" w:hAnsi="仿宋" w:eastAsia="仿宋"/>
          <w:sz w:val="32"/>
          <w:szCs w:val="32"/>
        </w:rPr>
        <w:t>万元，其中：基本支出914.34万元，占61.10</w:t>
      </w:r>
      <w:r>
        <w:rPr>
          <w:rFonts w:ascii="仿宋" w:hAnsi="仿宋" w:eastAsia="仿宋"/>
          <w:sz w:val="32"/>
          <w:szCs w:val="32"/>
        </w:rPr>
        <w:t>%</w:t>
      </w:r>
      <w:r>
        <w:rPr>
          <w:rFonts w:hint="eastAsia" w:ascii="仿宋" w:hAnsi="仿宋" w:eastAsia="仿宋"/>
          <w:sz w:val="32"/>
          <w:szCs w:val="32"/>
        </w:rPr>
        <w:t>；项目支出582.22万元，占38.9</w:t>
      </w:r>
      <w:r>
        <w:rPr>
          <w:rFonts w:ascii="仿宋" w:hAnsi="仿宋" w:eastAsia="仿宋"/>
          <w:sz w:val="32"/>
          <w:szCs w:val="32"/>
        </w:rPr>
        <w:t>%</w:t>
      </w:r>
      <w:r>
        <w:rPr>
          <w:rFonts w:hint="eastAsia" w:ascii="仿宋" w:hAnsi="仿宋" w:eastAsia="仿宋"/>
          <w:sz w:val="32"/>
          <w:szCs w:val="32"/>
        </w:rPr>
        <w:t>。</w:t>
      </w:r>
    </w:p>
    <w:p>
      <w:pPr>
        <w:pStyle w:val="2"/>
        <w:spacing w:before="93"/>
        <w:rPr>
          <w:rFonts w:hint="eastAsia"/>
        </w:rPr>
      </w:pPr>
      <w:r>
        <w:drawing>
          <wp:inline distT="0" distB="0" distL="0" distR="0">
            <wp:extent cx="5274310" cy="3076575"/>
            <wp:effectExtent l="0" t="0" r="254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rPr>
          <w:rFonts w:hint="eastAsia"/>
        </w:rPr>
      </w:pPr>
    </w:p>
    <w:p>
      <w:pPr>
        <w:spacing w:line="600" w:lineRule="exact"/>
        <w:ind w:firstLine="640" w:firstLineChars="200"/>
        <w:outlineLvl w:val="1"/>
        <w:rPr>
          <w:rStyle w:val="29"/>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7"/>
      <w:bookmarkEnd w:id="28"/>
    </w:p>
    <w:p>
      <w:pPr>
        <w:spacing w:line="600" w:lineRule="exact"/>
        <w:ind w:firstLine="640"/>
        <w:rPr>
          <w:rFonts w:ascii="仿宋" w:hAnsi="仿宋" w:eastAsia="仿宋"/>
          <w:sz w:val="32"/>
          <w:szCs w:val="32"/>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3175</wp:posOffset>
            </wp:positionH>
            <wp:positionV relativeFrom="paragraph">
              <wp:posOffset>1781810</wp:posOffset>
            </wp:positionV>
            <wp:extent cx="5274310" cy="3076575"/>
            <wp:effectExtent l="0" t="0" r="2540" b="952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sz w:val="32"/>
          <w:szCs w:val="32"/>
        </w:rPr>
        <w:t>20</w:t>
      </w:r>
      <w:r>
        <w:rPr>
          <w:rFonts w:hint="eastAsia" w:ascii="仿宋" w:hAnsi="仿宋" w:eastAsia="仿宋"/>
          <w:sz w:val="32"/>
          <w:szCs w:val="32"/>
        </w:rPr>
        <w:t>22年财政拨款收入总计1496.33万元、支出总计1511.86万元。与</w:t>
      </w:r>
      <w:r>
        <w:rPr>
          <w:rFonts w:ascii="仿宋" w:hAnsi="仿宋" w:eastAsia="仿宋"/>
          <w:sz w:val="32"/>
          <w:szCs w:val="32"/>
        </w:rPr>
        <w:t>20</w:t>
      </w:r>
      <w:r>
        <w:rPr>
          <w:rFonts w:hint="eastAsia" w:ascii="仿宋" w:hAnsi="仿宋" w:eastAsia="仿宋"/>
          <w:sz w:val="32"/>
          <w:szCs w:val="32"/>
        </w:rPr>
        <w:t>21年相比，财政拨款收入总计减少138.21万元、下降8.46</w:t>
      </w:r>
      <w:r>
        <w:rPr>
          <w:rFonts w:ascii="仿宋" w:hAnsi="仿宋" w:eastAsia="仿宋"/>
          <w:sz w:val="32"/>
          <w:szCs w:val="32"/>
        </w:rPr>
        <w:t>%</w:t>
      </w:r>
      <w:r>
        <w:rPr>
          <w:rFonts w:hint="eastAsia" w:ascii="仿宋" w:hAnsi="仿宋" w:eastAsia="仿宋"/>
          <w:sz w:val="32"/>
          <w:szCs w:val="32"/>
        </w:rPr>
        <w:t>；支总计减少337.47万元，下降18.25</w:t>
      </w:r>
      <w:r>
        <w:rPr>
          <w:rFonts w:ascii="仿宋" w:hAnsi="仿宋" w:eastAsia="仿宋"/>
          <w:sz w:val="32"/>
          <w:szCs w:val="32"/>
        </w:rPr>
        <w:t>%</w:t>
      </w:r>
      <w:r>
        <w:rPr>
          <w:rFonts w:hint="eastAsia" w:ascii="仿宋" w:hAnsi="仿宋" w:eastAsia="仿宋"/>
          <w:sz w:val="32"/>
          <w:szCs w:val="32"/>
        </w:rPr>
        <w:t>。主要变动原因是财政紧缩，压缩开支。</w:t>
      </w:r>
    </w:p>
    <w:p>
      <w:pPr>
        <w:spacing w:line="600" w:lineRule="exact"/>
        <w:rPr>
          <w:rFonts w:hint="eastAsia" w:ascii="仿宋" w:hAnsi="仿宋" w:eastAsia="仿宋"/>
          <w:sz w:val="32"/>
          <w:szCs w:val="32"/>
        </w:rPr>
      </w:pPr>
    </w:p>
    <w:p>
      <w:pPr>
        <w:spacing w:line="600" w:lineRule="exact"/>
        <w:ind w:firstLine="640" w:firstLineChars="200"/>
        <w:outlineLvl w:val="1"/>
        <w:rPr>
          <w:rStyle w:val="29"/>
          <w:rFonts w:ascii="黑体" w:hAnsi="黑体" w:eastAsia="黑体"/>
          <w:b w:val="0"/>
        </w:rPr>
      </w:pPr>
      <w:bookmarkStart w:id="29" w:name="_Toc15377209"/>
      <w:bookmarkStart w:id="30"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1229.34</w:t>
      </w:r>
      <w:r>
        <w:rPr>
          <w:rFonts w:hint="eastAsia" w:ascii="仿宋" w:hAnsi="仿宋" w:eastAsia="仿宋"/>
          <w:sz w:val="32"/>
          <w:szCs w:val="32"/>
        </w:rPr>
        <w:t>万元，占本年支出合计的</w:t>
      </w:r>
      <w:r>
        <w:rPr>
          <w:rFonts w:ascii="仿宋" w:hAnsi="仿宋" w:eastAsia="仿宋"/>
          <w:sz w:val="32"/>
          <w:szCs w:val="32"/>
        </w:rPr>
        <w:t>82.14%</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18.82</w:t>
      </w:r>
      <w:r>
        <w:rPr>
          <w:rFonts w:hint="eastAsia" w:ascii="仿宋" w:hAnsi="仿宋" w:eastAsia="仿宋"/>
          <w:sz w:val="32"/>
          <w:szCs w:val="32"/>
        </w:rPr>
        <w:t>万元，增长1</w:t>
      </w:r>
      <w:r>
        <w:rPr>
          <w:rFonts w:ascii="仿宋" w:hAnsi="仿宋" w:eastAsia="仿宋"/>
          <w:sz w:val="32"/>
          <w:szCs w:val="32"/>
        </w:rPr>
        <w:t>.53%</w:t>
      </w:r>
      <w:r>
        <w:rPr>
          <w:rFonts w:hint="eastAsia" w:ascii="仿宋" w:hAnsi="仿宋" w:eastAsia="仿宋"/>
          <w:sz w:val="32"/>
          <w:szCs w:val="32"/>
        </w:rPr>
        <w:t>。主要变动原因是人员变动粮油储备行政运行增加。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（图5：一般公共预算财政拨款支出决算变动情况）（柱状图）1</w:t>
      </w:r>
    </w:p>
    <w:p>
      <w:pPr>
        <w:spacing w:line="600" w:lineRule="exact"/>
        <w:ind w:firstLine="640" w:firstLineChars="200"/>
        <w:rPr>
          <w:rFonts w:ascii="仿宋" w:hAnsi="仿宋" w:eastAsia="仿宋"/>
          <w:sz w:val="32"/>
          <w:szCs w:val="32"/>
        </w:rPr>
      </w:pPr>
    </w:p>
    <w:p>
      <w:pPr>
        <w:pStyle w:val="2"/>
        <w:spacing w:before="93"/>
      </w:pPr>
      <w:r>
        <w:drawing>
          <wp:inline distT="0" distB="0" distL="0" distR="0">
            <wp:extent cx="5274310" cy="3076575"/>
            <wp:effectExtent l="0" t="0" r="25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spacing w:before="93"/>
        <w:rPr>
          <w:rFonts w:hint="eastAsia"/>
        </w:rPr>
      </w:pP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22年一般公共预算财政拨款支出1511.86万元，主要用于以下方面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ascii="仿宋" w:hAnsi="仿宋" w:eastAsia="仿宋"/>
          <w:sz w:val="32"/>
          <w:szCs w:val="32"/>
        </w:rPr>
        <w:t>688.54</w:t>
      </w:r>
      <w:r>
        <w:rPr>
          <w:rFonts w:hint="eastAsia" w:ascii="仿宋" w:hAnsi="仿宋" w:eastAsia="仿宋"/>
          <w:sz w:val="32"/>
          <w:szCs w:val="32"/>
        </w:rPr>
        <w:t>万元，占26.44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8.94万元，占0.59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112.09万元，占7.41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33.71万元，占2.23</w:t>
      </w:r>
      <w:r>
        <w:rPr>
          <w:rFonts w:ascii="仿宋" w:hAnsi="仿宋" w:eastAsia="仿宋"/>
          <w:sz w:val="32"/>
          <w:szCs w:val="32"/>
        </w:rPr>
        <w:t>%</w:t>
      </w:r>
      <w:r>
        <w:rPr>
          <w:rFonts w:hint="eastAsia" w:ascii="仿宋" w:hAnsi="仿宋" w:eastAsia="仿宋"/>
          <w:sz w:val="32"/>
          <w:szCs w:val="32"/>
        </w:rPr>
        <w:t>；城乡社区支出266.99万元，占17.66%；</w:t>
      </w:r>
      <w:r>
        <w:rPr>
          <w:rFonts w:hint="eastAsia" w:ascii="仿宋" w:hAnsi="仿宋" w:eastAsia="仿宋"/>
          <w:b/>
          <w:bCs/>
          <w:sz w:val="32"/>
          <w:szCs w:val="32"/>
        </w:rPr>
        <w:t>住房保障支出</w:t>
      </w:r>
      <w:r>
        <w:rPr>
          <w:rFonts w:hint="eastAsia" w:ascii="仿宋" w:hAnsi="仿宋" w:eastAsia="仿宋"/>
          <w:sz w:val="32"/>
          <w:szCs w:val="32"/>
        </w:rPr>
        <w:t>60.87万元，占4.03</w:t>
      </w:r>
      <w:r>
        <w:rPr>
          <w:rFonts w:ascii="仿宋" w:hAnsi="仿宋" w:eastAsia="仿宋"/>
          <w:sz w:val="32"/>
          <w:szCs w:val="32"/>
        </w:rPr>
        <w:t>%</w:t>
      </w:r>
      <w:r>
        <w:rPr>
          <w:rFonts w:hint="eastAsia" w:ascii="仿宋" w:hAnsi="仿宋" w:eastAsia="仿宋"/>
          <w:sz w:val="32"/>
          <w:szCs w:val="32"/>
        </w:rPr>
        <w:t>；粮油物资储备支出325.43万元，占21.53%。</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pStyle w:val="2"/>
        <w:spacing w:before="93"/>
      </w:pPr>
    </w:p>
    <w:p>
      <w:pPr>
        <w:pStyle w:val="2"/>
        <w:spacing w:before="93"/>
      </w:pPr>
    </w:p>
    <w:p>
      <w:pPr>
        <w:pStyle w:val="2"/>
        <w:spacing w:before="93"/>
      </w:pPr>
      <w:r>
        <w:drawing>
          <wp:inline distT="0" distB="0" distL="0" distR="0">
            <wp:extent cx="5274310" cy="3076575"/>
            <wp:effectExtent l="0" t="0" r="254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rPr>
          <w:rFonts w:hint="eastAsia"/>
        </w:rPr>
      </w:pP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2"/>
        <w:rPr>
          <w:rFonts w:ascii="仿宋" w:hAnsi="仿宋" w:eastAsia="仿宋"/>
          <w:sz w:val="32"/>
          <w:szCs w:val="32"/>
        </w:rPr>
      </w:pPr>
      <w:bookmarkStart w:id="34" w:name="_Toc15377213"/>
      <w:bookmarkStart w:id="35" w:name="_Toc15378460"/>
      <w:bookmarkStart w:id="36" w:name="_Toc15377444"/>
      <w:r>
        <w:rPr>
          <w:rFonts w:hint="eastAsia" w:ascii="仿宋" w:hAnsi="仿宋" w:eastAsia="仿宋"/>
          <w:b/>
          <w:sz w:val="32"/>
          <w:szCs w:val="32"/>
        </w:rPr>
        <w:t>2022年一般公共预算支出决算数为1496.56万元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4"/>
      <w:bookmarkEnd w:id="35"/>
      <w:bookmarkEnd w:id="36"/>
    </w:p>
    <w:p>
      <w:pPr>
        <w:spacing w:line="600" w:lineRule="exact"/>
        <w:ind w:firstLine="707" w:firstLineChars="22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行政运行（项）：</w:t>
      </w:r>
      <w:r>
        <w:rPr>
          <w:rStyle w:val="17"/>
          <w:rFonts w:hint="eastAsia" w:ascii="仿宋" w:hAnsi="仿宋" w:eastAsia="仿宋"/>
          <w:b w:val="0"/>
          <w:bCs/>
          <w:sz w:val="32"/>
          <w:szCs w:val="32"/>
        </w:rPr>
        <w:t>支出决算为355.69万元，完成预算100.47</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。决算数大于等于预算数的主要原因是人员基本工资调整。</w:t>
      </w:r>
    </w:p>
    <w:p>
      <w:pPr>
        <w:spacing w:line="600" w:lineRule="exact"/>
        <w:ind w:firstLine="707" w:firstLineChars="220"/>
        <w:rPr>
          <w:rStyle w:val="17"/>
          <w:rFonts w:ascii="仿宋" w:hAnsi="仿宋" w:eastAsia="仿宋"/>
          <w:bCs/>
          <w:sz w:val="32"/>
          <w:szCs w:val="32"/>
        </w:rPr>
      </w:pPr>
      <w:r>
        <w:rPr>
          <w:rStyle w:val="17"/>
          <w:rFonts w:ascii="仿宋" w:hAnsi="仿宋" w:eastAsia="仿宋"/>
          <w:bCs/>
          <w:sz w:val="32"/>
          <w:szCs w:val="32"/>
        </w:rPr>
        <w:t>2.</w:t>
      </w:r>
      <w:r>
        <w:rPr>
          <w:rStyle w:val="17"/>
          <w:rFonts w:hint="eastAsia" w:ascii="仿宋" w:hAnsi="仿宋" w:eastAsia="仿宋"/>
          <w:bCs/>
          <w:sz w:val="32"/>
          <w:szCs w:val="32"/>
        </w:rPr>
        <w:t>一般公共服务（类）发展与改革事务（款）一般行政管理事务（项）：</w:t>
      </w:r>
      <w:r>
        <w:rPr>
          <w:rStyle w:val="17"/>
          <w:rFonts w:hint="eastAsia" w:ascii="仿宋" w:hAnsi="仿宋" w:eastAsia="仿宋"/>
          <w:b w:val="0"/>
          <w:bCs/>
          <w:sz w:val="32"/>
          <w:szCs w:val="32"/>
        </w:rPr>
        <w:t>支出决算为51.60万元，完成预算100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3.</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战略规划与实施（项）</w:t>
      </w:r>
      <w:r>
        <w:rPr>
          <w:rStyle w:val="17"/>
          <w:rFonts w:hint="eastAsia" w:ascii="仿宋" w:hAnsi="仿宋" w:eastAsia="仿宋"/>
          <w:b w:val="0"/>
          <w:bCs/>
          <w:sz w:val="32"/>
          <w:szCs w:val="32"/>
        </w:rPr>
        <w:t>：支出决算为131万元，完成预算256.86</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。决算数大于等于预算数的主要原因新增项目。</w:t>
      </w:r>
    </w:p>
    <w:p>
      <w:pPr>
        <w:spacing w:line="600" w:lineRule="exact"/>
        <w:ind w:firstLine="707" w:firstLineChars="220"/>
      </w:pPr>
      <w:r>
        <w:rPr>
          <w:rStyle w:val="17"/>
          <w:rFonts w:ascii="仿宋" w:hAnsi="仿宋" w:eastAsia="仿宋"/>
          <w:bCs/>
          <w:sz w:val="32"/>
          <w:szCs w:val="32"/>
        </w:rPr>
        <w:t>4.</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事业运行（项）</w:t>
      </w:r>
      <w:r>
        <w:rPr>
          <w:rFonts w:hint="eastAsia"/>
        </w:rPr>
        <w:t>：</w:t>
      </w:r>
      <w:r>
        <w:rPr>
          <w:rStyle w:val="17"/>
          <w:rFonts w:hint="eastAsia" w:ascii="仿宋" w:hAnsi="仿宋" w:eastAsia="仿宋"/>
          <w:b w:val="0"/>
          <w:bCs/>
          <w:sz w:val="32"/>
          <w:szCs w:val="32"/>
        </w:rPr>
        <w:t>支出决算为120.78万元，完成预算100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707" w:firstLineChars="220"/>
      </w:pPr>
      <w:r>
        <w:rPr>
          <w:rStyle w:val="17"/>
          <w:rFonts w:ascii="仿宋" w:hAnsi="仿宋" w:eastAsia="仿宋"/>
          <w:bCs/>
          <w:sz w:val="32"/>
          <w:szCs w:val="32"/>
        </w:rPr>
        <w:t>5.</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其他发展与改革事务支出（项）：</w:t>
      </w:r>
      <w:r>
        <w:rPr>
          <w:rStyle w:val="17"/>
          <w:rFonts w:hint="eastAsia" w:ascii="仿宋" w:hAnsi="仿宋" w:eastAsia="仿宋"/>
          <w:b w:val="0"/>
          <w:bCs/>
          <w:sz w:val="32"/>
          <w:szCs w:val="32"/>
        </w:rPr>
        <w:t>支出决算为29.46万元，完成预算100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left" w:pos="1730"/>
        </w:tabs>
        <w:spacing w:line="600" w:lineRule="exact"/>
        <w:ind w:firstLine="707" w:firstLineChars="220"/>
        <w:rPr>
          <w:rStyle w:val="17"/>
          <w:rFonts w:ascii="仿宋" w:hAnsi="仿宋" w:eastAsia="仿宋"/>
          <w:b w:val="0"/>
          <w:bCs/>
          <w:sz w:val="32"/>
          <w:szCs w:val="32"/>
        </w:rPr>
      </w:pP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科学技术（类）科学技术管理事务（款）其他科学技术管理事务支出（项）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1.94</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tabs>
          <w:tab w:val="left" w:pos="1730"/>
        </w:tabs>
        <w:spacing w:line="600" w:lineRule="exact"/>
        <w:ind w:firstLine="707" w:firstLineChars="220"/>
        <w:rPr>
          <w:rFonts w:hint="eastAsia" w:ascii="仿宋" w:hAnsi="仿宋" w:eastAsia="仿宋"/>
          <w:bCs/>
          <w:sz w:val="32"/>
          <w:szCs w:val="32"/>
        </w:rPr>
      </w:pPr>
      <w:r>
        <w:rPr>
          <w:rStyle w:val="17"/>
          <w:rFonts w:ascii="仿宋" w:hAnsi="仿宋" w:eastAsia="仿宋"/>
          <w:bCs/>
          <w:sz w:val="32"/>
          <w:szCs w:val="32"/>
        </w:rPr>
        <w:t>7.</w:t>
      </w:r>
      <w:r>
        <w:rPr>
          <w:rStyle w:val="17"/>
          <w:rFonts w:hint="eastAsia" w:ascii="仿宋" w:hAnsi="仿宋" w:eastAsia="仿宋"/>
          <w:bCs/>
          <w:sz w:val="32"/>
          <w:szCs w:val="32"/>
        </w:rPr>
        <w:t>科学技术（类）技术研究与开发（款）科技成果转化与扩散（项）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7</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8.</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45.85</w:t>
      </w:r>
      <w:r>
        <w:rPr>
          <w:rStyle w:val="17"/>
          <w:rFonts w:hint="eastAsia" w:ascii="仿宋" w:hAnsi="仿宋" w:eastAsia="仿宋"/>
          <w:b w:val="0"/>
          <w:bCs/>
          <w:sz w:val="32"/>
          <w:szCs w:val="32"/>
        </w:rPr>
        <w:t>万元，完成预算数1</w:t>
      </w:r>
      <w:r>
        <w:rPr>
          <w:rStyle w:val="17"/>
          <w:rFonts w:ascii="仿宋" w:hAnsi="仿宋" w:eastAsia="仿宋"/>
          <w:b w:val="0"/>
          <w:bCs/>
          <w:sz w:val="32"/>
          <w:szCs w:val="32"/>
        </w:rPr>
        <w:t>00</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9.</w:t>
      </w:r>
      <w:r>
        <w:rPr>
          <w:rStyle w:val="17"/>
          <w:rFonts w:hint="eastAsia" w:ascii="仿宋" w:hAnsi="仿宋" w:eastAsia="仿宋"/>
          <w:bCs/>
          <w:sz w:val="32"/>
          <w:szCs w:val="32"/>
        </w:rPr>
        <w:t>社会保障和就业（类）行政事业单位养老支出（款）机关事业单位职业年金缴费支出（项）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22.58</w:t>
      </w:r>
      <w:r>
        <w:rPr>
          <w:rStyle w:val="17"/>
          <w:rFonts w:hint="eastAsia" w:ascii="仿宋" w:hAnsi="仿宋" w:eastAsia="仿宋"/>
          <w:b w:val="0"/>
          <w:bCs/>
          <w:sz w:val="32"/>
          <w:szCs w:val="32"/>
        </w:rPr>
        <w:t>万元，完成预算数196.44%。</w:t>
      </w:r>
    </w:p>
    <w:p>
      <w:pPr>
        <w:spacing w:line="600" w:lineRule="exact"/>
        <w:ind w:firstLine="707" w:firstLineChars="220"/>
        <w:rPr>
          <w:rFonts w:ascii="仿宋" w:hAnsi="仿宋" w:eastAsia="仿宋"/>
          <w:b/>
          <w:sz w:val="32"/>
          <w:szCs w:val="32"/>
        </w:rPr>
      </w:pPr>
      <w:r>
        <w:rPr>
          <w:rStyle w:val="17"/>
          <w:rFonts w:ascii="仿宋" w:hAnsi="仿宋" w:eastAsia="仿宋"/>
          <w:bCs/>
          <w:sz w:val="32"/>
          <w:szCs w:val="32"/>
        </w:rPr>
        <w:t>10.</w:t>
      </w:r>
      <w:r>
        <w:rPr>
          <w:rStyle w:val="17"/>
          <w:rFonts w:hint="eastAsia" w:ascii="仿宋" w:hAnsi="仿宋" w:eastAsia="仿宋"/>
          <w:bCs/>
          <w:sz w:val="32"/>
          <w:szCs w:val="32"/>
        </w:rPr>
        <w:t>社会保障和就业（类）抚恤（款）死亡抚恤（项）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40.91</w:t>
      </w:r>
      <w:r>
        <w:rPr>
          <w:rStyle w:val="17"/>
          <w:rFonts w:hint="eastAsia" w:ascii="仿宋" w:hAnsi="仿宋" w:eastAsia="仿宋"/>
          <w:b w:val="0"/>
          <w:bCs/>
          <w:sz w:val="32"/>
          <w:szCs w:val="32"/>
        </w:rPr>
        <w:t>万元，完成预算数1</w:t>
      </w:r>
      <w:r>
        <w:rPr>
          <w:rStyle w:val="17"/>
          <w:rFonts w:ascii="仿宋" w:hAnsi="仿宋" w:eastAsia="仿宋"/>
          <w:b w:val="0"/>
          <w:bCs/>
          <w:sz w:val="32"/>
          <w:szCs w:val="32"/>
        </w:rPr>
        <w:t>00</w:t>
      </w:r>
      <w:r>
        <w:rPr>
          <w:rStyle w:val="17"/>
          <w:rFonts w:hint="eastAsia" w:ascii="仿宋" w:hAnsi="仿宋" w:eastAsia="仿宋"/>
          <w:b w:val="0"/>
          <w:bCs/>
          <w:sz w:val="32"/>
          <w:szCs w:val="32"/>
        </w:rPr>
        <w:t>%。</w:t>
      </w:r>
    </w:p>
    <w:p>
      <w:pPr>
        <w:spacing w:line="600" w:lineRule="exact"/>
        <w:ind w:firstLine="707" w:firstLineChars="220"/>
        <w:rPr>
          <w:rFonts w:ascii="仿宋" w:hAnsi="仿宋" w:eastAsia="仿宋"/>
          <w:b/>
          <w:sz w:val="32"/>
          <w:szCs w:val="32"/>
        </w:rPr>
      </w:pPr>
      <w:r>
        <w:rPr>
          <w:rStyle w:val="17"/>
          <w:rFonts w:ascii="仿宋" w:hAnsi="仿宋" w:eastAsia="仿宋"/>
          <w:bCs/>
          <w:sz w:val="32"/>
          <w:szCs w:val="32"/>
        </w:rPr>
        <w:t>11.</w:t>
      </w:r>
      <w:r>
        <w:rPr>
          <w:rStyle w:val="17"/>
          <w:rFonts w:hint="eastAsia" w:ascii="仿宋" w:hAnsi="仿宋" w:eastAsia="仿宋"/>
          <w:bCs/>
          <w:sz w:val="32"/>
          <w:szCs w:val="32"/>
        </w:rPr>
        <w:t>社会保障和就业（类）抚恤（款）其他优抚支出（项）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0.57</w:t>
      </w:r>
      <w:r>
        <w:rPr>
          <w:rStyle w:val="17"/>
          <w:rFonts w:hint="eastAsia" w:ascii="仿宋" w:hAnsi="仿宋" w:eastAsia="仿宋"/>
          <w:b w:val="0"/>
          <w:bCs/>
          <w:sz w:val="32"/>
          <w:szCs w:val="32"/>
        </w:rPr>
        <w:t>万元，完成预算数1</w:t>
      </w:r>
      <w:r>
        <w:rPr>
          <w:rStyle w:val="17"/>
          <w:rFonts w:ascii="仿宋" w:hAnsi="仿宋" w:eastAsia="仿宋"/>
          <w:b w:val="0"/>
          <w:bCs/>
          <w:sz w:val="32"/>
          <w:szCs w:val="32"/>
        </w:rPr>
        <w:t>00</w:t>
      </w:r>
      <w:r>
        <w:rPr>
          <w:rStyle w:val="17"/>
          <w:rFonts w:hint="eastAsia" w:ascii="仿宋" w:hAnsi="仿宋" w:eastAsia="仿宋"/>
          <w:b w:val="0"/>
          <w:bCs/>
          <w:sz w:val="32"/>
          <w:szCs w:val="32"/>
        </w:rPr>
        <w:t>%。</w:t>
      </w:r>
    </w:p>
    <w:p>
      <w:pPr>
        <w:spacing w:line="600" w:lineRule="exact"/>
        <w:ind w:firstLine="707" w:firstLineChars="220"/>
        <w:rPr>
          <w:rFonts w:hint="eastAsia" w:ascii="仿宋" w:hAnsi="仿宋" w:eastAsia="仿宋"/>
          <w:b/>
          <w:sz w:val="32"/>
          <w:szCs w:val="32"/>
        </w:rPr>
      </w:pPr>
      <w:r>
        <w:rPr>
          <w:rStyle w:val="17"/>
          <w:rFonts w:ascii="仿宋" w:hAnsi="仿宋" w:eastAsia="仿宋"/>
          <w:bCs/>
          <w:sz w:val="32"/>
          <w:szCs w:val="32"/>
        </w:rPr>
        <w:t>12.</w:t>
      </w:r>
      <w:r>
        <w:rPr>
          <w:rStyle w:val="17"/>
          <w:rFonts w:hint="eastAsia" w:ascii="仿宋" w:hAnsi="仿宋" w:eastAsia="仿宋"/>
          <w:bCs/>
          <w:sz w:val="32"/>
          <w:szCs w:val="32"/>
        </w:rPr>
        <w:t>社会保障和就业（类）其他社会保障和就业支出（款）其他社会保障和就业支出（项）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2.18</w:t>
      </w:r>
      <w:r>
        <w:rPr>
          <w:rStyle w:val="17"/>
          <w:rFonts w:hint="eastAsia" w:ascii="仿宋" w:hAnsi="仿宋" w:eastAsia="仿宋"/>
          <w:b w:val="0"/>
          <w:bCs/>
          <w:sz w:val="32"/>
          <w:szCs w:val="32"/>
        </w:rPr>
        <w:t>万元，完成预算数196.44%</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Style w:val="17"/>
          <w:rFonts w:ascii="仿宋" w:hAnsi="仿宋" w:eastAsia="仿宋"/>
          <w:b w:val="0"/>
          <w:bCs/>
          <w:sz w:val="32"/>
          <w:szCs w:val="32"/>
        </w:rPr>
      </w:pPr>
      <w:r>
        <w:rPr>
          <w:rFonts w:ascii="仿宋" w:hAnsi="仿宋" w:eastAsia="仿宋"/>
          <w:b/>
          <w:bCs/>
          <w:sz w:val="32"/>
          <w:szCs w:val="32"/>
        </w:rPr>
        <w:t>13</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15.14</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b/>
          <w:sz w:val="32"/>
          <w:szCs w:val="32"/>
        </w:rPr>
      </w:pPr>
      <w:r>
        <w:rPr>
          <w:rFonts w:ascii="仿宋" w:hAnsi="仿宋" w:eastAsia="仿宋"/>
          <w:b/>
          <w:bCs/>
          <w:sz w:val="32"/>
          <w:szCs w:val="32"/>
        </w:rPr>
        <w:t>1</w:t>
      </w:r>
      <w:r>
        <w:rPr>
          <w:rFonts w:hint="eastAsia" w:ascii="仿宋" w:hAnsi="仿宋" w:eastAsia="仿宋"/>
          <w:b/>
          <w:bCs/>
          <w:sz w:val="32"/>
          <w:szCs w:val="32"/>
        </w:rPr>
        <w:t>4.卫生健康</w:t>
      </w:r>
      <w:r>
        <w:rPr>
          <w:rStyle w:val="17"/>
          <w:rFonts w:hint="eastAsia" w:ascii="仿宋" w:hAnsi="仿宋" w:eastAsia="仿宋"/>
          <w:bCs/>
          <w:sz w:val="32"/>
          <w:szCs w:val="32"/>
        </w:rPr>
        <w:t>（类）行政事业单位医疗（款）事业单位医疗（项）：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3.72</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b/>
          <w:sz w:val="32"/>
          <w:szCs w:val="32"/>
        </w:rPr>
      </w:pPr>
      <w:r>
        <w:rPr>
          <w:rFonts w:ascii="仿宋" w:hAnsi="仿宋" w:eastAsia="仿宋"/>
          <w:b/>
          <w:bCs/>
          <w:sz w:val="32"/>
          <w:szCs w:val="32"/>
        </w:rPr>
        <w:t>15</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（类）行政事业单位医疗（款）公务员医疗补助（项）：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14.85</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6.住房保障支出（类）住房改革支出（款）住房公积金（项）：</w:t>
      </w:r>
      <w:r>
        <w:rPr>
          <w:rFonts w:hint="eastAsia" w:ascii="仿宋" w:hAnsi="仿宋" w:eastAsia="仿宋"/>
          <w:sz w:val="32"/>
          <w:szCs w:val="32"/>
        </w:rPr>
        <w:t>决算为60.87万元，完成预算数93.47%</w:t>
      </w:r>
      <w:r>
        <w:rPr>
          <w:rFonts w:ascii="仿宋" w:hAnsi="仿宋" w:eastAsia="仿宋"/>
          <w:sz w:val="32"/>
          <w:szCs w:val="32"/>
        </w:rPr>
        <w:t>,</w:t>
      </w:r>
      <w:r>
        <w:rPr>
          <w:rFonts w:hint="eastAsia" w:ascii="仿宋" w:hAnsi="仿宋" w:eastAsia="仿宋"/>
          <w:sz w:val="32"/>
          <w:szCs w:val="32"/>
        </w:rPr>
        <w:t>决算数小于预算数的主要原因缴费基数调整</w:t>
      </w:r>
      <w:r>
        <w:rPr>
          <w:rStyle w:val="17"/>
          <w:rFonts w:hint="eastAsia" w:ascii="仿宋" w:hAnsi="仿宋" w:eastAsia="仿宋"/>
          <w:b w:val="0"/>
          <w:bCs/>
          <w:sz w:val="32"/>
          <w:szCs w:val="32"/>
        </w:rPr>
        <w:t>。</w:t>
      </w:r>
    </w:p>
    <w:p>
      <w:pPr>
        <w:pStyle w:val="2"/>
        <w:spacing w:before="93"/>
        <w:ind w:firstLine="707" w:firstLineChars="220"/>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7.粮油物资储备支出（类）粮油物资事务（款）行政运行（项）：</w:t>
      </w:r>
      <w:r>
        <w:rPr>
          <w:rFonts w:hint="eastAsia" w:ascii="仿宋" w:hAnsi="仿宋" w:eastAsia="仿宋"/>
          <w:sz w:val="32"/>
          <w:szCs w:val="32"/>
        </w:rPr>
        <w:t>为</w:t>
      </w:r>
      <w:r>
        <w:rPr>
          <w:rFonts w:ascii="仿宋" w:hAnsi="仿宋" w:eastAsia="仿宋"/>
          <w:sz w:val="32"/>
          <w:szCs w:val="32"/>
        </w:rPr>
        <w:t>230.97</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707" w:firstLineChars="220"/>
      </w:pPr>
      <w:r>
        <w:rPr>
          <w:rFonts w:ascii="仿宋" w:hAnsi="仿宋" w:eastAsia="仿宋"/>
          <w:b/>
          <w:bCs/>
          <w:sz w:val="32"/>
          <w:szCs w:val="32"/>
        </w:rPr>
        <w:t>18</w:t>
      </w:r>
      <w:r>
        <w:rPr>
          <w:rFonts w:hint="eastAsia" w:ascii="仿宋" w:hAnsi="仿宋" w:eastAsia="仿宋"/>
          <w:b/>
          <w:bCs/>
          <w:sz w:val="32"/>
          <w:szCs w:val="32"/>
        </w:rPr>
        <w:t>.粮油物资储备支出（类）粮油物资事务（款）粮食风险基金（项）：</w:t>
      </w:r>
      <w:r>
        <w:rPr>
          <w:rFonts w:hint="eastAsia" w:ascii="仿宋" w:hAnsi="仿宋" w:eastAsia="仿宋"/>
          <w:sz w:val="32"/>
          <w:szCs w:val="32"/>
        </w:rPr>
        <w:t>为</w:t>
      </w:r>
      <w:r>
        <w:rPr>
          <w:rFonts w:ascii="仿宋" w:hAnsi="仿宋" w:eastAsia="仿宋"/>
          <w:sz w:val="32"/>
          <w:szCs w:val="32"/>
        </w:rPr>
        <w:t>32.35</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707" w:firstLineChars="220"/>
      </w:pPr>
      <w:r>
        <w:rPr>
          <w:rFonts w:ascii="仿宋" w:hAnsi="仿宋" w:eastAsia="仿宋"/>
          <w:b/>
          <w:bCs/>
          <w:sz w:val="32"/>
          <w:szCs w:val="32"/>
        </w:rPr>
        <w:t>19</w:t>
      </w:r>
      <w:r>
        <w:rPr>
          <w:rFonts w:hint="eastAsia" w:ascii="仿宋" w:hAnsi="仿宋" w:eastAsia="仿宋"/>
          <w:b/>
          <w:bCs/>
          <w:sz w:val="32"/>
          <w:szCs w:val="32"/>
        </w:rPr>
        <w:t>.粮油物资储备支出（类）粮油物资事务（款）物资保管保养（项）：</w:t>
      </w:r>
      <w:r>
        <w:rPr>
          <w:rFonts w:hint="eastAsia" w:ascii="仿宋" w:hAnsi="仿宋" w:eastAsia="仿宋"/>
          <w:sz w:val="32"/>
          <w:szCs w:val="32"/>
        </w:rPr>
        <w:t>为</w:t>
      </w:r>
      <w:r>
        <w:rPr>
          <w:rFonts w:ascii="仿宋" w:hAnsi="仿宋" w:eastAsia="仿宋"/>
          <w:sz w:val="32"/>
          <w:szCs w:val="32"/>
        </w:rPr>
        <w:t>11.48</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707" w:firstLineChars="220"/>
      </w:pPr>
      <w:r>
        <w:rPr>
          <w:rFonts w:ascii="仿宋" w:hAnsi="仿宋" w:eastAsia="仿宋"/>
          <w:b/>
          <w:bCs/>
          <w:sz w:val="32"/>
          <w:szCs w:val="32"/>
        </w:rPr>
        <w:t>20</w:t>
      </w:r>
      <w:r>
        <w:rPr>
          <w:rFonts w:hint="eastAsia" w:ascii="仿宋" w:hAnsi="仿宋" w:eastAsia="仿宋"/>
          <w:b/>
          <w:bCs/>
          <w:sz w:val="32"/>
          <w:szCs w:val="32"/>
        </w:rPr>
        <w:t>.粮油物资储备支出（类）粮油物资事务（款）其他粮油物资事务支出（项）：</w:t>
      </w:r>
      <w:r>
        <w:rPr>
          <w:rFonts w:hint="eastAsia" w:ascii="仿宋" w:hAnsi="仿宋" w:eastAsia="仿宋"/>
          <w:sz w:val="32"/>
          <w:szCs w:val="32"/>
        </w:rPr>
        <w:t>为</w:t>
      </w:r>
      <w:r>
        <w:rPr>
          <w:rFonts w:ascii="仿宋" w:hAnsi="仿宋" w:eastAsia="仿宋"/>
          <w:sz w:val="32"/>
          <w:szCs w:val="32"/>
        </w:rPr>
        <w:t>21.01</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707" w:firstLineChars="220"/>
      </w:pPr>
      <w:r>
        <w:rPr>
          <w:rFonts w:ascii="仿宋" w:hAnsi="仿宋" w:eastAsia="仿宋"/>
          <w:b/>
          <w:bCs/>
          <w:sz w:val="32"/>
          <w:szCs w:val="32"/>
        </w:rPr>
        <w:t>21</w:t>
      </w:r>
      <w:r>
        <w:rPr>
          <w:rFonts w:hint="eastAsia" w:ascii="仿宋" w:hAnsi="仿宋" w:eastAsia="仿宋"/>
          <w:b/>
          <w:bCs/>
          <w:sz w:val="32"/>
          <w:szCs w:val="32"/>
        </w:rPr>
        <w:t>.粮油物资储备支出（类）重要商品储备（款）医药储备（项）：</w:t>
      </w:r>
      <w:r>
        <w:rPr>
          <w:rFonts w:hint="eastAsia" w:ascii="仿宋" w:hAnsi="仿宋" w:eastAsia="仿宋"/>
          <w:sz w:val="32"/>
          <w:szCs w:val="32"/>
        </w:rPr>
        <w:t>为</w:t>
      </w:r>
      <w:r>
        <w:rPr>
          <w:rFonts w:ascii="仿宋" w:hAnsi="仿宋" w:eastAsia="仿宋"/>
          <w:sz w:val="32"/>
          <w:szCs w:val="32"/>
        </w:rPr>
        <w:t>29.38</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600" w:firstLineChars="200"/>
      </w:pPr>
    </w:p>
    <w:p>
      <w:pPr>
        <w:pStyle w:val="2"/>
        <w:spacing w:before="93"/>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7" w:name="_Toc15396608"/>
      <w:bookmarkStart w:id="3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7"/>
      <w:bookmarkEnd w:id="38"/>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22年一般公共预算财政拨款基本支出914.11万元，其中：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780.10万元，主要包括：基本工资157.41万元，、津贴补贴153.16万元、奖金120.86万元、伙食补助费15.7万元、绩效工资21.59万元、机关事业单位基本养老保险缴费45.35万元、职业年金缴费23.65万元、其他社会保障缴费3.57万元、其他工资福利支出26.11万元、抚恤金39.83万元、生活补助49.88万元、奖励金0.75万元、等。</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公用经费134.01万元，主要包括：办公费4万元、印刷费0.3万元、水费0.57万元、邮电费4.16万元、差旅费8.64万元、维修（护）费0.74万元、公务接待费0.71万元、劳务费19.21万元、委托业务费1.05万元、工会经费7.99万元、公务用车运行维护费2.61万元、其他交通费24.3万元、其他商品和服务支出12.52万元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39" w:name="_Toc15396609"/>
      <w:bookmarkStart w:id="40"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9"/>
      <w:bookmarkEnd w:id="40"/>
    </w:p>
    <w:p>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22年“三公”经费财政拨款支出决算为3.39万元，完成预算113</w:t>
      </w:r>
      <w:r>
        <w:rPr>
          <w:rFonts w:ascii="仿宋" w:hAnsi="仿宋" w:eastAsia="仿宋"/>
          <w:sz w:val="32"/>
          <w:szCs w:val="32"/>
        </w:rPr>
        <w:t>%</w:t>
      </w:r>
      <w:r>
        <w:rPr>
          <w:rFonts w:hint="eastAsia" w:ascii="仿宋" w:hAnsi="仿宋" w:eastAsia="仿宋"/>
          <w:sz w:val="32"/>
          <w:szCs w:val="32"/>
        </w:rPr>
        <w:t>，较上年增加0.39万元，增长13%。</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22年“三公”经费财政拨款支出决算中，因公出国（境）费支出决算0万元；公务用车购置及运行维护费支出决算1.9万元，占56.04</w:t>
      </w:r>
      <w:r>
        <w:rPr>
          <w:rFonts w:ascii="仿宋" w:hAnsi="仿宋" w:eastAsia="仿宋"/>
          <w:sz w:val="32"/>
          <w:szCs w:val="32"/>
        </w:rPr>
        <w:t>%</w:t>
      </w:r>
      <w:r>
        <w:rPr>
          <w:rFonts w:hint="eastAsia" w:ascii="仿宋" w:hAnsi="仿宋" w:eastAsia="仿宋"/>
          <w:sz w:val="32"/>
          <w:szCs w:val="32"/>
        </w:rPr>
        <w:t>；公务接待费支出决算1.50万元，占44.24</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rPr>
          <w:rFonts w:hint="eastAsia"/>
        </w:rPr>
      </w:pPr>
      <w:r>
        <w:rPr>
          <w:rFonts w:hint="eastAsia"/>
        </w:rPr>
        <w:drawing>
          <wp:inline distT="0" distB="0" distL="0" distR="0">
            <wp:extent cx="5274310" cy="3076575"/>
            <wp:effectExtent l="0" t="0" r="254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4"/>
        </w:numPr>
        <w:spacing w:line="600" w:lineRule="exact"/>
        <w:ind w:firstLine="640"/>
        <w:rPr>
          <w:rFonts w:ascii="仿宋_GB2312" w:eastAsia="仿宋_GB2312"/>
          <w:sz w:val="32"/>
          <w:szCs w:val="32"/>
        </w:rPr>
      </w:pPr>
      <w:r>
        <w:rPr>
          <w:rFonts w:hint="eastAsia" w:ascii="仿宋_GB2312" w:eastAsia="仿宋_GB2312"/>
          <w:b/>
          <w:sz w:val="32"/>
          <w:szCs w:val="32"/>
        </w:rPr>
        <w:t>因公出国（境）经费支出0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1.90万元,</w:t>
      </w:r>
      <w:r>
        <w:rPr>
          <w:rStyle w:val="17"/>
          <w:rFonts w:hint="eastAsia" w:ascii="仿宋" w:hAnsi="仿宋" w:eastAsia="仿宋"/>
          <w:b w:val="0"/>
          <w:bCs/>
          <w:sz w:val="32"/>
          <w:szCs w:val="32"/>
        </w:rPr>
        <w:t>完成预算95</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1.9万元。主要用于粮储中心工作等所需的公务用车燃料费、维修费、过路过桥费、保险费等支出。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1.49万元，</w:t>
      </w:r>
      <w:r>
        <w:rPr>
          <w:rStyle w:val="17"/>
          <w:rFonts w:hint="eastAsia" w:ascii="仿宋" w:hAnsi="仿宋" w:eastAsia="仿宋"/>
          <w:b w:val="0"/>
          <w:bCs/>
          <w:sz w:val="32"/>
          <w:szCs w:val="32"/>
        </w:rPr>
        <w:t>完成预算50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21年增加0.71万元，增长110.20</w:t>
      </w:r>
      <w:r>
        <w:rPr>
          <w:rFonts w:ascii="仿宋_GB2312" w:eastAsia="仿宋_GB2312"/>
          <w:sz w:val="32"/>
          <w:szCs w:val="32"/>
        </w:rPr>
        <w:t>%</w:t>
      </w:r>
      <w:r>
        <w:rPr>
          <w:rFonts w:hint="eastAsia" w:ascii="仿宋_GB2312" w:eastAsia="仿宋_GB2312"/>
          <w:sz w:val="32"/>
          <w:szCs w:val="32"/>
        </w:rPr>
        <w:t>。主要原因是经济恢复，视察及接待工作增加。</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1.49</w:t>
      </w:r>
      <w:r>
        <w:rPr>
          <w:rFonts w:hint="eastAsia" w:ascii="仿宋_GB2312" w:eastAsia="仿宋_GB2312"/>
          <w:sz w:val="32"/>
          <w:szCs w:val="32"/>
        </w:rPr>
        <w:t>万元，主要用于执行公务、开展业务活动开支的交通费、住宿费、用餐费等。国内公务接待16批次，237人次（不包括陪同人员），共计支出1.49万元。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3" w:name="_Toc15377218"/>
      <w:bookmarkStart w:id="44"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22年政府性基金预算财政拨款支出267万元。</w:t>
      </w:r>
    </w:p>
    <w:p>
      <w:pPr>
        <w:spacing w:line="600" w:lineRule="exact"/>
        <w:ind w:firstLine="640"/>
        <w:rPr>
          <w:rFonts w:ascii="仿宋_GB2312" w:eastAsia="仿宋_GB2312"/>
          <w:sz w:val="32"/>
          <w:szCs w:val="32"/>
        </w:rPr>
      </w:pPr>
    </w:p>
    <w:p>
      <w:pPr>
        <w:numPr>
          <w:ilvl w:val="0"/>
          <w:numId w:val="5"/>
        </w:numPr>
        <w:spacing w:line="600" w:lineRule="exact"/>
        <w:ind w:firstLine="640"/>
        <w:outlineLvl w:val="1"/>
        <w:rPr>
          <w:rStyle w:val="29"/>
          <w:rFonts w:ascii="黑体" w:hAnsi="黑体" w:eastAsia="黑体"/>
          <w:b w:val="0"/>
        </w:rPr>
      </w:pPr>
      <w:bookmarkStart w:id="45" w:name="_Toc15377219"/>
      <w:bookmarkStart w:id="46" w:name="_Toc15396611"/>
      <w:r>
        <w:rPr>
          <w:rStyle w:val="29"/>
          <w:rFonts w:hint="eastAsia" w:ascii="黑体" w:hAnsi="黑体" w:eastAsia="黑体"/>
          <w:b w:val="0"/>
        </w:rPr>
        <w:t>国有资本经营预算支出决算情况说明</w:t>
      </w:r>
      <w:bookmarkEnd w:id="45"/>
      <w:bookmarkEnd w:id="4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5"/>
        </w:numPr>
        <w:spacing w:line="600" w:lineRule="exact"/>
        <w:ind w:firstLine="640"/>
        <w:outlineLvl w:val="1"/>
        <w:rPr>
          <w:rStyle w:val="29"/>
          <w:rFonts w:ascii="黑体" w:hAnsi="黑体" w:eastAsia="黑体"/>
          <w:b w:val="0"/>
        </w:rPr>
      </w:pPr>
      <w:bookmarkStart w:id="47" w:name="_Toc15396612"/>
      <w:bookmarkStart w:id="48" w:name="_Toc15377221"/>
      <w:r>
        <w:rPr>
          <w:rStyle w:val="29"/>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22年，发展和改革机关运行经费支出688.54万元，比</w:t>
      </w:r>
      <w:r>
        <w:rPr>
          <w:rFonts w:ascii="仿宋_GB2312" w:eastAsia="仿宋_GB2312"/>
          <w:sz w:val="32"/>
          <w:szCs w:val="32"/>
        </w:rPr>
        <w:t>20</w:t>
      </w:r>
      <w:r>
        <w:rPr>
          <w:rFonts w:hint="eastAsia" w:ascii="仿宋_GB2312" w:eastAsia="仿宋_GB2312"/>
          <w:sz w:val="32"/>
          <w:szCs w:val="32"/>
        </w:rPr>
        <w:t>21年增加219.09万元，增长</w:t>
      </w:r>
      <w:r>
        <w:rPr>
          <w:rFonts w:ascii="仿宋_GB2312" w:eastAsia="仿宋_GB2312"/>
          <w:sz w:val="32"/>
          <w:szCs w:val="32"/>
        </w:rPr>
        <w:t>/</w:t>
      </w:r>
      <w:r>
        <w:rPr>
          <w:rFonts w:hint="eastAsia" w:ascii="仿宋_GB2312" w:eastAsia="仿宋_GB2312"/>
          <w:sz w:val="32"/>
          <w:szCs w:val="32"/>
        </w:rPr>
        <w:t>下降146.69</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21年决算数持平）。主要原因是人员调动，经费支出口径变动。</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4"/>
      <w:r>
        <w:rPr>
          <w:rFonts w:hint="eastAsia" w:ascii="仿宋" w:hAnsi="仿宋" w:eastAsia="仿宋"/>
          <w:b/>
          <w:sz w:val="32"/>
          <w:szCs w:val="32"/>
        </w:rPr>
        <w:t>（三）国有资产占有使用情况</w:t>
      </w:r>
      <w:bookmarkEnd w:id="5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日，峨眉山市发展和改革局共有车辆3辆，其中：主要领导干部用车0辆、机要通信用车0辆、应急保障用车3辆。单价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根据预算绩效管理要求，本部门在2022年度预算编制阶段，组织对科技管理经费项目等11个项目开展了预算事前绩效评估，对9个项目编制了绩效目标，预算执行过程中，选取5个项目开展绩效监控。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发展和改革局部门整体（含部门预算项目）绩效自评报告、科技计划管理经费等专项预算项目绩效自评报告，其中，发展和改革局部门整体（含部门预算项目）绩效自评得分为93分，绩效自评综述</w:t>
      </w:r>
      <w:r>
        <w:rPr>
          <w:rFonts w:ascii="仿宋_GB2312" w:eastAsia="仿宋_GB2312"/>
          <w:b/>
          <w:sz w:val="32"/>
          <w:szCs w:val="32"/>
        </w:rPr>
        <w:br w:type="page"/>
      </w:r>
    </w:p>
    <w:p>
      <w:pPr>
        <w:numPr>
          <w:ilvl w:val="0"/>
          <w:numId w:val="6"/>
        </w:numPr>
        <w:spacing w:line="600" w:lineRule="exact"/>
        <w:ind w:firstLine="660" w:firstLineChars="150"/>
        <w:jc w:val="center"/>
        <w:outlineLvl w:val="0"/>
        <w:rPr>
          <w:rStyle w:val="28"/>
          <w:rFonts w:ascii="黑体" w:hAnsi="黑体" w:eastAsia="黑体"/>
          <w:b w:val="0"/>
        </w:rPr>
      </w:pPr>
      <w:bookmarkStart w:id="52" w:name="_Toc15377225"/>
      <w:bookmarkStart w:id="53" w:name="_Toc15396613"/>
      <w:r>
        <w:rPr>
          <w:rFonts w:hint="eastAsia" w:ascii="黑体" w:hAnsi="黑体" w:eastAsia="黑体"/>
          <w:sz w:val="44"/>
          <w:szCs w:val="44"/>
        </w:rPr>
        <w:t>名</w:t>
      </w:r>
      <w:r>
        <w:rPr>
          <w:rStyle w:val="28"/>
          <w:rFonts w:hint="eastAsia" w:ascii="黑体" w:hAnsi="黑体" w:eastAsia="黑体"/>
          <w:b w:val="0"/>
        </w:rPr>
        <w:t>词解释</w:t>
      </w:r>
      <w:bookmarkEnd w:id="52"/>
      <w:bookmarkEnd w:id="53"/>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hint="eastAsia" w:ascii="仿宋_GB2312" w:eastAsia="仿宋_GB2312"/>
          <w:color w:val="auto"/>
          <w:sz w:val="32"/>
          <w:szCs w:val="32"/>
          <w:highlight w:val="yellow"/>
          <w:lang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r>
        <w:rPr>
          <w:rFonts w:hint="eastAsia" w:ascii="仿宋_GB2312" w:eastAsia="仿宋_GB2312"/>
          <w:color w:val="auto"/>
          <w:sz w:val="32"/>
          <w:szCs w:val="32"/>
          <w:lang w:eastAsia="zh-CN"/>
        </w:rPr>
        <w:t>。</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r>
        <w:rPr>
          <w:rFonts w:hint="eastAsia" w:ascii="仿宋_GB2312" w:eastAsia="仿宋_GB2312"/>
          <w:color w:val="auto"/>
          <w:sz w:val="32"/>
          <w:szCs w:val="32"/>
        </w:rPr>
        <w:t>主要是上级拨款。</w:t>
      </w:r>
      <w:r>
        <w:rPr>
          <w:rFonts w:hint="eastAsia"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Style w:val="17"/>
          <w:rFonts w:ascii="仿宋_GB2312" w:eastAsia="仿宋_GB2312"/>
          <w:b w:val="0"/>
          <w:bCs/>
          <w:sz w:val="32"/>
          <w:szCs w:val="32"/>
        </w:rPr>
        <w:t>.</w:t>
      </w:r>
      <w:r>
        <w:rPr>
          <w:rFonts w:hint="eastAsia" w:ascii="仿宋_GB2312" w:eastAsia="仿宋_GB2312"/>
          <w:sz w:val="32"/>
          <w:szCs w:val="32"/>
        </w:rPr>
        <w:t>一般公共服务支出201</w:t>
      </w:r>
    </w:p>
    <w:p>
      <w:pPr>
        <w:pStyle w:val="26"/>
        <w:spacing w:line="560" w:lineRule="exact"/>
        <w:ind w:firstLine="640" w:firstLineChars="200"/>
        <w:rPr>
          <w:rFonts w:ascii="仿宋_GB2312" w:eastAsia="仿宋_GB2312"/>
          <w:sz w:val="32"/>
          <w:szCs w:val="32"/>
        </w:rPr>
      </w:pPr>
      <w:r>
        <w:rPr>
          <w:rStyle w:val="17"/>
          <w:rFonts w:hint="eastAsia" w:ascii="仿宋_GB2312" w:eastAsia="仿宋_GB2312"/>
          <w:b w:val="0"/>
          <w:bCs/>
          <w:sz w:val="32"/>
          <w:szCs w:val="32"/>
        </w:rPr>
        <w:t>（</w:t>
      </w:r>
      <w:r>
        <w:rPr>
          <w:rStyle w:val="17"/>
          <w:rFonts w:ascii="仿宋_GB2312" w:eastAsia="仿宋_GB2312"/>
          <w:b w:val="0"/>
          <w:bCs/>
          <w:sz w:val="32"/>
          <w:szCs w:val="32"/>
        </w:rPr>
        <w:t>1</w:t>
      </w:r>
      <w:r>
        <w:rPr>
          <w:rStyle w:val="17"/>
          <w:rFonts w:hint="eastAsia" w:ascii="仿宋_GB2312" w:eastAsia="仿宋_GB2312"/>
          <w:b w:val="0"/>
          <w:bCs/>
          <w:sz w:val="32"/>
          <w:szCs w:val="32"/>
        </w:rPr>
        <w:t>）</w:t>
      </w:r>
      <w:r>
        <w:rPr>
          <w:rFonts w:hint="eastAsia" w:ascii="仿宋_GB2312" w:eastAsia="仿宋_GB2312"/>
          <w:sz w:val="32"/>
          <w:szCs w:val="32"/>
        </w:rPr>
        <w:t>发展和改革事务20104</w:t>
      </w:r>
    </w:p>
    <w:p>
      <w:pPr>
        <w:pStyle w:val="26"/>
        <w:spacing w:line="560" w:lineRule="exact"/>
        <w:ind w:firstLine="640" w:firstLineChars="200"/>
        <w:rPr>
          <w:rStyle w:val="17"/>
          <w:rFonts w:ascii="仿宋_GB2312" w:eastAsia="仿宋_GB2312"/>
          <w:b w:val="0"/>
          <w:bCs/>
          <w:sz w:val="32"/>
          <w:szCs w:val="32"/>
        </w:rPr>
      </w:pPr>
      <w:r>
        <w:rPr>
          <w:rFonts w:hint="eastAsia" w:ascii="仿宋_GB2312" w:eastAsia="仿宋_GB2312"/>
          <w:sz w:val="32"/>
          <w:szCs w:val="32"/>
        </w:rPr>
        <w:t>A、行政运行（发展）2010401：</w:t>
      </w:r>
      <w:r>
        <w:rPr>
          <w:rStyle w:val="17"/>
          <w:rFonts w:hint="eastAsia" w:ascii="仿宋_GB2312" w:eastAsia="仿宋_GB2312"/>
          <w:b w:val="0"/>
          <w:bCs/>
          <w:sz w:val="32"/>
          <w:szCs w:val="32"/>
        </w:rPr>
        <w:t>反映发改局基本支出。</w:t>
      </w:r>
    </w:p>
    <w:p>
      <w:pPr>
        <w:spacing w:line="600" w:lineRule="exact"/>
        <w:ind w:firstLine="640" w:firstLineChars="200"/>
        <w:rPr>
          <w:rStyle w:val="17"/>
          <w:rFonts w:ascii="仿宋_GB2312" w:eastAsia="仿宋_GB2312"/>
          <w:b w:val="0"/>
          <w:bCs/>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、一般行政管理事务（发展）2010402：</w:t>
      </w:r>
      <w:r>
        <w:rPr>
          <w:rStyle w:val="17"/>
          <w:rFonts w:hint="eastAsia" w:ascii="仿宋_GB2312" w:eastAsia="仿宋_GB2312"/>
          <w:b w:val="0"/>
          <w:bCs/>
          <w:sz w:val="32"/>
          <w:szCs w:val="32"/>
        </w:rPr>
        <w:t>反映未单独设置项级科目的其他项目支出。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C、经济体制改革研究2010407：</w:t>
      </w:r>
      <w:r>
        <w:rPr>
          <w:rStyle w:val="17"/>
          <w:rFonts w:hint="eastAsia" w:ascii="仿宋_GB2312" w:eastAsia="仿宋_GB2312"/>
          <w:b w:val="0"/>
          <w:bCs/>
          <w:sz w:val="32"/>
          <w:szCs w:val="32"/>
        </w:rPr>
        <w:t>反映经济体制改革与研究方面的支出。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D、物价管理2010408：</w:t>
      </w:r>
      <w:r>
        <w:rPr>
          <w:rStyle w:val="17"/>
          <w:rFonts w:hint="eastAsia" w:ascii="仿宋_GB2312" w:eastAsia="仿宋_GB2312"/>
          <w:b w:val="0"/>
          <w:bCs/>
          <w:sz w:val="32"/>
          <w:szCs w:val="32"/>
        </w:rPr>
        <w:t>反映物价管理方面的支出。</w:t>
      </w:r>
    </w:p>
    <w:p>
      <w:pPr>
        <w:spacing w:line="600" w:lineRule="exact"/>
        <w:ind w:firstLine="640" w:firstLineChars="200"/>
        <w:rPr>
          <w:rStyle w:val="17"/>
          <w:rFonts w:ascii="仿宋_GB2312" w:eastAsia="仿宋_GB2312"/>
          <w:b w:val="0"/>
          <w:bCs/>
          <w:color w:val="FF0000"/>
          <w:sz w:val="32"/>
          <w:szCs w:val="32"/>
        </w:rPr>
      </w:pPr>
      <w:r>
        <w:rPr>
          <w:rStyle w:val="17"/>
          <w:rFonts w:hint="eastAsia" w:ascii="仿宋_GB2312" w:eastAsia="仿宋_GB2312"/>
          <w:b w:val="0"/>
          <w:bCs/>
          <w:color w:val="000000"/>
          <w:sz w:val="32"/>
          <w:szCs w:val="32"/>
        </w:rPr>
        <w:t>E、事业运行（发展）2010450：</w:t>
      </w:r>
      <w:r>
        <w:rPr>
          <w:rStyle w:val="17"/>
          <w:rFonts w:hint="eastAsia" w:ascii="仿宋_GB2312" w:eastAsia="仿宋_GB2312"/>
          <w:b w:val="0"/>
          <w:bCs/>
          <w:sz w:val="32"/>
          <w:szCs w:val="32"/>
        </w:rPr>
        <w:t>反映事业单位的基本支出。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5.科学技术支出206</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（1）科学技术管理事务</w:t>
      </w:r>
      <w:r>
        <w:rPr>
          <w:rStyle w:val="17"/>
          <w:rFonts w:hint="eastAsia" w:ascii="仿宋_GB2312" w:eastAsia="仿宋_GB2312"/>
          <w:b w:val="0"/>
          <w:bCs/>
          <w:color w:val="000000"/>
          <w:sz w:val="32"/>
          <w:szCs w:val="32"/>
        </w:rPr>
        <w:br w:type="textWrapping"/>
      </w:r>
      <w:r>
        <w:rPr>
          <w:rStyle w:val="17"/>
          <w:rFonts w:hint="eastAsia" w:ascii="仿宋_GB2312" w:eastAsia="仿宋_GB2312"/>
          <w:b w:val="0"/>
          <w:bCs/>
          <w:color w:val="000000"/>
          <w:sz w:val="32"/>
          <w:szCs w:val="32"/>
        </w:rPr>
        <w:t>其他科学技术管理事务支出2060199：</w:t>
      </w:r>
      <w:r>
        <w:rPr>
          <w:rStyle w:val="17"/>
          <w:rFonts w:hint="eastAsia" w:ascii="仿宋_GB2312" w:eastAsia="仿宋_GB2312"/>
          <w:b w:val="0"/>
          <w:bCs/>
          <w:sz w:val="32"/>
          <w:szCs w:val="32"/>
        </w:rPr>
        <w:t>反映其他用于科学技术管理事务方面的支出。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（2）技术研究与开发</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其他技术研究与开发支出2060499：反映其他用于技术研究与开发方面的支出。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6.社会保障和就业支出</w:t>
      </w:r>
      <w:r>
        <w:rPr>
          <w:rStyle w:val="17"/>
          <w:rFonts w:ascii="仿宋_GB2312" w:eastAsia="仿宋_GB2312"/>
          <w:b w:val="0"/>
          <w:bCs/>
          <w:color w:val="000000"/>
          <w:sz w:val="32"/>
          <w:szCs w:val="32"/>
        </w:rPr>
        <w:t>208</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1</w:t>
      </w:r>
      <w:r>
        <w:rPr>
          <w:rStyle w:val="17"/>
          <w:rFonts w:hint="eastAsia" w:ascii="仿宋_GB2312" w:eastAsia="仿宋_GB2312"/>
          <w:b w:val="0"/>
          <w:bCs/>
          <w:color w:val="000000"/>
          <w:sz w:val="32"/>
          <w:szCs w:val="32"/>
        </w:rPr>
        <w:t>）机关事业单位基本养老保险缴费支出</w:t>
      </w:r>
      <w:r>
        <w:rPr>
          <w:rStyle w:val="17"/>
          <w:rFonts w:ascii="仿宋_GB2312" w:eastAsia="仿宋_GB2312"/>
          <w:b w:val="0"/>
          <w:bCs/>
          <w:color w:val="000000"/>
          <w:sz w:val="32"/>
          <w:szCs w:val="32"/>
        </w:rPr>
        <w:t>2080505</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机关事业单位实施养老保险制度由单位缴纳的基本养老保险费。</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、机关事业单位职业年金缴费支出</w:t>
      </w:r>
      <w:r>
        <w:rPr>
          <w:rStyle w:val="17"/>
          <w:rFonts w:ascii="仿宋_GB2312" w:eastAsia="仿宋_GB2312"/>
          <w:b w:val="0"/>
          <w:bCs/>
          <w:color w:val="000000"/>
          <w:sz w:val="32"/>
          <w:szCs w:val="32"/>
        </w:rPr>
        <w:t>2080506</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机关事业单位实施养老保险制度由单位缴纳的职业年金。</w:t>
      </w:r>
    </w:p>
    <w:p>
      <w:pPr>
        <w:spacing w:line="600" w:lineRule="exact"/>
        <w:ind w:left="638" w:leftChars="304"/>
        <w:rPr>
          <w:rStyle w:val="17"/>
          <w:rFonts w:ascii="仿宋_GB2312" w:eastAsia="仿宋_GB2312"/>
          <w:b w:val="0"/>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2</w:t>
      </w:r>
      <w:r>
        <w:rPr>
          <w:rStyle w:val="17"/>
          <w:rFonts w:hint="eastAsia" w:ascii="仿宋_GB2312" w:eastAsia="仿宋_GB2312"/>
          <w:b w:val="0"/>
          <w:bCs/>
          <w:color w:val="000000"/>
          <w:sz w:val="32"/>
          <w:szCs w:val="32"/>
        </w:rPr>
        <w:t>）抚恤</w:t>
      </w:r>
      <w:r>
        <w:rPr>
          <w:rStyle w:val="17"/>
          <w:rFonts w:ascii="仿宋_GB2312" w:eastAsia="仿宋_GB2312"/>
          <w:b w:val="0"/>
          <w:bCs/>
          <w:color w:val="000000"/>
          <w:sz w:val="32"/>
          <w:szCs w:val="32"/>
        </w:rPr>
        <w:t>20808</w:t>
      </w:r>
      <w:r>
        <w:rPr>
          <w:rStyle w:val="17"/>
          <w:rFonts w:hint="eastAsia" w:ascii="仿宋_GB2312" w:eastAsia="仿宋_GB2312"/>
          <w:b w:val="0"/>
          <w:bCs/>
          <w:color w:val="000000"/>
          <w:sz w:val="32"/>
          <w:szCs w:val="32"/>
        </w:rPr>
        <w:t>：其它优抚支出</w:t>
      </w:r>
      <w:r>
        <w:rPr>
          <w:rStyle w:val="17"/>
          <w:rFonts w:ascii="仿宋_GB2312" w:eastAsia="仿宋_GB2312"/>
          <w:b w:val="0"/>
          <w:bCs/>
          <w:color w:val="000000"/>
          <w:sz w:val="32"/>
          <w:szCs w:val="32"/>
        </w:rPr>
        <w:t>2080899</w:t>
      </w:r>
      <w:r>
        <w:rPr>
          <w:rStyle w:val="17"/>
          <w:rFonts w:hint="eastAsia" w:ascii="仿宋_GB2312" w:eastAsia="仿宋_GB2312"/>
          <w:b w:val="0"/>
          <w:bCs/>
          <w:color w:val="000000"/>
          <w:sz w:val="32"/>
          <w:szCs w:val="32"/>
        </w:rPr>
        <w:t>：</w:t>
      </w:r>
      <w:r>
        <w:rPr>
          <w:rFonts w:hint="eastAsia" w:ascii="仿宋_GB2312" w:eastAsia="仿宋_GB2312"/>
          <w:sz w:val="32"/>
          <w:szCs w:val="32"/>
        </w:rPr>
        <w:t>遗属补助。</w:t>
      </w:r>
      <w:r>
        <w:rPr>
          <w:rFonts w:ascii="仿宋_GB2312" w:eastAsia="仿宋_GB2312"/>
          <w:color w:val="000000"/>
          <w:sz w:val="32"/>
          <w:szCs w:val="32"/>
        </w:rPr>
        <w:br w:type="textWrapping"/>
      </w:r>
      <w:r>
        <w:rPr>
          <w:rStyle w:val="17"/>
          <w:rFonts w:hint="eastAsia" w:ascii="仿宋_GB2312" w:eastAsia="仿宋_GB2312"/>
          <w:b w:val="0"/>
          <w:bCs/>
          <w:color w:val="000000"/>
          <w:sz w:val="32"/>
          <w:szCs w:val="32"/>
        </w:rPr>
        <w:t>7</w:t>
      </w:r>
      <w:r>
        <w:rPr>
          <w:rStyle w:val="17"/>
          <w:rFonts w:ascii="仿宋_GB2312" w:eastAsia="仿宋_GB2312"/>
          <w:b w:val="0"/>
          <w:bCs/>
          <w:color w:val="000000"/>
          <w:sz w:val="32"/>
          <w:szCs w:val="32"/>
        </w:rPr>
        <w:t xml:space="preserve">. </w:t>
      </w:r>
      <w:r>
        <w:rPr>
          <w:rStyle w:val="17"/>
          <w:rFonts w:hint="eastAsia" w:ascii="仿宋_GB2312" w:eastAsia="仿宋_GB2312"/>
          <w:b w:val="0"/>
          <w:bCs/>
          <w:color w:val="000000"/>
          <w:sz w:val="32"/>
          <w:szCs w:val="32"/>
        </w:rPr>
        <w:t>卫生健康</w:t>
      </w:r>
      <w:r>
        <w:rPr>
          <w:rStyle w:val="17"/>
          <w:rFonts w:ascii="仿宋_GB2312" w:eastAsia="仿宋_GB2312"/>
          <w:b w:val="0"/>
          <w:bCs/>
          <w:color w:val="000000"/>
          <w:sz w:val="32"/>
          <w:szCs w:val="32"/>
        </w:rPr>
        <w:t>210</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行政事业单位医疗</w:t>
      </w:r>
      <w:r>
        <w:rPr>
          <w:rStyle w:val="17"/>
          <w:rFonts w:ascii="仿宋_GB2312" w:eastAsia="仿宋_GB2312"/>
          <w:b w:val="0"/>
          <w:bCs/>
          <w:color w:val="000000"/>
          <w:sz w:val="32"/>
          <w:szCs w:val="32"/>
        </w:rPr>
        <w:t>21011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行政单位医疗</w:t>
      </w:r>
      <w:r>
        <w:rPr>
          <w:rStyle w:val="17"/>
          <w:rFonts w:ascii="仿宋_GB2312" w:eastAsia="仿宋_GB2312"/>
          <w:b w:val="0"/>
          <w:bCs/>
          <w:color w:val="000000"/>
          <w:sz w:val="32"/>
          <w:szCs w:val="32"/>
        </w:rPr>
        <w:t>2101101</w:t>
      </w:r>
      <w:r>
        <w:rPr>
          <w:rStyle w:val="17"/>
          <w:rFonts w:hint="eastAsia" w:ascii="仿宋_GB2312" w:eastAsia="仿宋_GB2312"/>
          <w:b w:val="0"/>
          <w:bCs/>
          <w:color w:val="000000"/>
          <w:sz w:val="32"/>
          <w:szCs w:val="32"/>
        </w:rPr>
        <w:t>：</w:t>
      </w:r>
      <w:r>
        <w:rPr>
          <w:rFonts w:hint="eastAsia" w:ascii="仿宋_GB2312" w:eastAsia="仿宋_GB2312"/>
          <w:sz w:val="32"/>
          <w:szCs w:val="32"/>
        </w:rPr>
        <w:t>单位基本医疗保险缴费。</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8</w:t>
      </w:r>
      <w:r>
        <w:rPr>
          <w:rStyle w:val="17"/>
          <w:rFonts w:ascii="仿宋_GB2312" w:eastAsia="仿宋_GB2312"/>
          <w:b w:val="0"/>
          <w:bCs/>
          <w:color w:val="000000"/>
          <w:sz w:val="32"/>
          <w:szCs w:val="32"/>
        </w:rPr>
        <w:t>.</w:t>
      </w:r>
      <w:r>
        <w:rPr>
          <w:rStyle w:val="17"/>
          <w:rFonts w:hint="eastAsia" w:ascii="仿宋_GB2312" w:eastAsia="仿宋_GB2312"/>
          <w:b w:val="0"/>
          <w:bCs/>
          <w:color w:val="000000"/>
          <w:sz w:val="32"/>
          <w:szCs w:val="32"/>
        </w:rPr>
        <w:t>住房保障支出</w:t>
      </w:r>
      <w:r>
        <w:rPr>
          <w:rStyle w:val="17"/>
          <w:rFonts w:ascii="仿宋_GB2312" w:eastAsia="仿宋_GB2312"/>
          <w:b w:val="0"/>
          <w:bCs/>
          <w:color w:val="000000"/>
          <w:sz w:val="32"/>
          <w:szCs w:val="32"/>
        </w:rPr>
        <w:t>221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住房改革支出</w:t>
      </w:r>
      <w:r>
        <w:rPr>
          <w:rStyle w:val="17"/>
          <w:rFonts w:ascii="仿宋_GB2312" w:eastAsia="仿宋_GB2312"/>
          <w:b w:val="0"/>
          <w:bCs/>
          <w:color w:val="000000"/>
          <w:sz w:val="32"/>
          <w:szCs w:val="32"/>
        </w:rPr>
        <w:t>22102</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住房公积金</w:t>
      </w:r>
      <w:r>
        <w:rPr>
          <w:rStyle w:val="17"/>
          <w:rFonts w:ascii="仿宋_GB2312" w:eastAsia="仿宋_GB2312"/>
          <w:b w:val="0"/>
          <w:bCs/>
          <w:color w:val="000000"/>
          <w:sz w:val="32"/>
          <w:szCs w:val="32"/>
        </w:rPr>
        <w:t>2210201</w:t>
      </w:r>
      <w:r>
        <w:rPr>
          <w:rStyle w:val="17"/>
          <w:rFonts w:hint="eastAsia" w:ascii="仿宋_GB2312" w:eastAsia="仿宋_GB2312"/>
          <w:b w:val="0"/>
          <w:bCs/>
          <w:color w:val="000000"/>
          <w:sz w:val="32"/>
          <w:szCs w:val="32"/>
        </w:rPr>
        <w:t>：</w:t>
      </w:r>
      <w:r>
        <w:rPr>
          <w:rFonts w:hint="eastAsia" w:ascii="仿宋_GB2312" w:eastAsia="仿宋_GB2312"/>
          <w:sz w:val="32"/>
          <w:szCs w:val="32"/>
        </w:rPr>
        <w:t>人社部、财政部规定按基本工资和津贴比例缴纳的住房公积金。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粮油物资储备支出</w:t>
      </w:r>
      <w:r>
        <w:rPr>
          <w:rFonts w:ascii="仿宋_GB2312" w:eastAsia="仿宋_GB2312"/>
          <w:color w:val="000000"/>
          <w:sz w:val="32"/>
          <w:szCs w:val="32"/>
        </w:rPr>
        <w:t>222</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）粮油事务</w:t>
      </w:r>
      <w:r>
        <w:rPr>
          <w:rFonts w:ascii="仿宋_GB2312" w:eastAsia="仿宋_GB2312"/>
          <w:color w:val="000000"/>
          <w:sz w:val="32"/>
          <w:szCs w:val="32"/>
        </w:rPr>
        <w:t>22201</w:t>
      </w:r>
    </w:p>
    <w:p>
      <w:pPr>
        <w:spacing w:line="600" w:lineRule="exact"/>
        <w:ind w:firstLine="640" w:firstLineChars="200"/>
        <w:rPr>
          <w:rFonts w:ascii="仿宋_GB2312" w:eastAsia="仿宋_GB2312"/>
          <w:sz w:val="32"/>
          <w:szCs w:val="32"/>
        </w:rPr>
      </w:pPr>
      <w:r>
        <w:rPr>
          <w:rFonts w:ascii="仿宋_GB2312" w:eastAsia="仿宋_GB2312"/>
          <w:color w:val="000000"/>
          <w:sz w:val="32"/>
          <w:szCs w:val="32"/>
        </w:rPr>
        <w:t>A</w:t>
      </w:r>
      <w:r>
        <w:rPr>
          <w:rFonts w:hint="eastAsia" w:ascii="仿宋_GB2312" w:eastAsia="仿宋_GB2312"/>
          <w:color w:val="000000"/>
          <w:sz w:val="32"/>
          <w:szCs w:val="32"/>
        </w:rPr>
        <w:t>．行政运行</w:t>
      </w:r>
      <w:r>
        <w:rPr>
          <w:rFonts w:ascii="仿宋_GB2312" w:eastAsia="仿宋_GB2312"/>
          <w:color w:val="000000"/>
          <w:sz w:val="32"/>
          <w:szCs w:val="32"/>
        </w:rPr>
        <w:t>2220101</w:t>
      </w:r>
      <w:r>
        <w:rPr>
          <w:rFonts w:hint="eastAsia" w:ascii="仿宋_GB2312" w:eastAsia="仿宋_GB2312"/>
          <w:color w:val="000000"/>
          <w:sz w:val="32"/>
          <w:szCs w:val="32"/>
        </w:rPr>
        <w:t>：</w:t>
      </w:r>
      <w:r>
        <w:rPr>
          <w:rFonts w:hint="eastAsia" w:ascii="仿宋_GB2312" w:eastAsia="仿宋_GB2312"/>
          <w:sz w:val="32"/>
          <w:szCs w:val="32"/>
        </w:rPr>
        <w:t>反映粮储中心的基本支出。</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w:t>
      </w:r>
      <w:r>
        <w:rPr>
          <w:rStyle w:val="17"/>
          <w:rFonts w:ascii="仿宋_GB2312" w:eastAsia="仿宋_GB2312"/>
          <w:b w:val="0"/>
          <w:bCs/>
          <w:color w:val="000000"/>
          <w:sz w:val="32"/>
          <w:szCs w:val="32"/>
        </w:rPr>
        <w:t>2220102</w:t>
      </w:r>
      <w:r>
        <w:rPr>
          <w:rStyle w:val="17"/>
          <w:rFonts w:hint="eastAsia" w:ascii="仿宋_GB2312" w:eastAsia="仿宋_GB2312"/>
          <w:b w:val="0"/>
          <w:bCs/>
          <w:color w:val="000000"/>
          <w:sz w:val="32"/>
          <w:szCs w:val="32"/>
        </w:rPr>
        <w:t>：</w:t>
      </w:r>
      <w:r>
        <w:rPr>
          <w:rFonts w:hint="eastAsia" w:ascii="仿宋_GB2312" w:eastAsia="仿宋_GB2312"/>
          <w:sz w:val="32"/>
          <w:szCs w:val="32"/>
        </w:rPr>
        <w:t>粮食流通管理、统计、市场检测。</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C</w:t>
      </w:r>
      <w:r>
        <w:rPr>
          <w:rStyle w:val="17"/>
          <w:rFonts w:hint="eastAsia" w:ascii="仿宋_GB2312" w:eastAsia="仿宋_GB2312"/>
          <w:b w:val="0"/>
          <w:bCs/>
          <w:color w:val="000000"/>
          <w:sz w:val="32"/>
          <w:szCs w:val="32"/>
        </w:rPr>
        <w:t>．粮食财务挂账利息补贴</w:t>
      </w:r>
      <w:r>
        <w:rPr>
          <w:rStyle w:val="17"/>
          <w:rFonts w:ascii="仿宋_GB2312" w:eastAsia="仿宋_GB2312"/>
          <w:b w:val="0"/>
          <w:bCs/>
          <w:color w:val="000000"/>
          <w:sz w:val="32"/>
          <w:szCs w:val="32"/>
        </w:rPr>
        <w:t>2220112</w:t>
      </w:r>
      <w:r>
        <w:rPr>
          <w:rStyle w:val="17"/>
          <w:rFonts w:hint="eastAsia" w:ascii="仿宋_GB2312" w:eastAsia="仿宋_GB2312"/>
          <w:b w:val="0"/>
          <w:bCs/>
          <w:color w:val="000000"/>
          <w:sz w:val="32"/>
          <w:szCs w:val="32"/>
        </w:rPr>
        <w:t>：</w:t>
      </w:r>
      <w:r>
        <w:rPr>
          <w:rFonts w:hint="eastAsia" w:ascii="仿宋_GB2312" w:eastAsia="仿宋_GB2312"/>
          <w:sz w:val="32"/>
          <w:szCs w:val="32"/>
        </w:rPr>
        <w:t>粮食政策性挂账贷款利息补贴。</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D.</w:t>
      </w:r>
      <w:r>
        <w:rPr>
          <w:rStyle w:val="17"/>
          <w:rFonts w:hint="eastAsia" w:ascii="仿宋_GB2312" w:eastAsia="仿宋_GB2312"/>
          <w:b w:val="0"/>
          <w:bCs/>
          <w:color w:val="000000"/>
          <w:sz w:val="32"/>
          <w:szCs w:val="32"/>
        </w:rPr>
        <w:t>其他粮油事务支出</w:t>
      </w:r>
      <w:r>
        <w:rPr>
          <w:rStyle w:val="17"/>
          <w:rFonts w:ascii="仿宋_GB2312" w:eastAsia="仿宋_GB2312"/>
          <w:b w:val="0"/>
          <w:bCs/>
          <w:sz w:val="32"/>
          <w:szCs w:val="32"/>
        </w:rPr>
        <w:t>2220199</w:t>
      </w:r>
      <w:r>
        <w:rPr>
          <w:rStyle w:val="17"/>
          <w:rFonts w:hint="eastAsia" w:ascii="仿宋_GB2312" w:eastAsia="仿宋_GB2312"/>
          <w:b w:val="0"/>
          <w:bCs/>
          <w:color w:val="000000"/>
          <w:sz w:val="32"/>
          <w:szCs w:val="32"/>
        </w:rPr>
        <w:t>：</w:t>
      </w:r>
      <w:r>
        <w:rPr>
          <w:rFonts w:hint="eastAsia" w:ascii="仿宋_GB2312" w:eastAsia="仿宋_GB2312"/>
          <w:sz w:val="32"/>
          <w:szCs w:val="32"/>
        </w:rPr>
        <w:t>粮油购销公司补贴（原物流中心人员劳务费）、粮食果蔬蔬批发市场管理守夜垃圾清运费。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E.</w:t>
      </w:r>
      <w:r>
        <w:rPr>
          <w:rFonts w:hint="eastAsia" w:ascii="仿宋_GB2312" w:eastAsia="仿宋_GB2312"/>
          <w:color w:val="000000"/>
          <w:sz w:val="32"/>
          <w:szCs w:val="32"/>
        </w:rPr>
        <w:t>物资保管和保养2220</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sz w:val="32"/>
          <w:szCs w:val="32"/>
        </w:rPr>
        <w:t>救灾物资储备工作经费。</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（2）粮油储备</w:t>
      </w:r>
      <w:r>
        <w:rPr>
          <w:rFonts w:ascii="仿宋_GB2312" w:eastAsia="仿宋_GB2312"/>
          <w:sz w:val="32"/>
          <w:szCs w:val="32"/>
        </w:rPr>
        <w:t>22204</w:t>
      </w:r>
    </w:p>
    <w:p>
      <w:pPr>
        <w:spacing w:line="600" w:lineRule="exact"/>
        <w:ind w:firstLine="640" w:firstLineChars="200"/>
        <w:rPr>
          <w:rStyle w:val="17"/>
          <w:rFonts w:ascii="仿宋_GB2312" w:eastAsia="仿宋_GB2312"/>
          <w:b w:val="0"/>
          <w:color w:val="000000"/>
          <w:sz w:val="32"/>
          <w:szCs w:val="32"/>
        </w:rPr>
      </w:pPr>
      <w:r>
        <w:rPr>
          <w:rFonts w:hint="eastAsia" w:ascii="仿宋_GB2312" w:eastAsia="仿宋_GB2312"/>
          <w:color w:val="000000"/>
          <w:sz w:val="32"/>
          <w:szCs w:val="32"/>
        </w:rPr>
        <w:t>储备粮油库建设</w:t>
      </w:r>
      <w:r>
        <w:rPr>
          <w:rFonts w:ascii="仿宋_GB2312" w:eastAsia="仿宋_GB2312"/>
          <w:color w:val="000000"/>
          <w:sz w:val="32"/>
          <w:szCs w:val="32"/>
        </w:rPr>
        <w:t>2220401</w:t>
      </w:r>
      <w:r>
        <w:rPr>
          <w:rFonts w:hint="eastAsia" w:ascii="仿宋_GB2312" w:eastAsia="仿宋_GB2312"/>
          <w:color w:val="000000"/>
          <w:sz w:val="32"/>
          <w:szCs w:val="32"/>
        </w:rPr>
        <w:t>：储备粮油补贴。</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contextualSpacing/>
        <w:rPr>
          <w:rFonts w:ascii="黑体" w:hAnsi="黑体" w:eastAsia="黑体" w:cs="黑体"/>
          <w:szCs w:val="32"/>
          <w:lang w:val="zh-CN"/>
        </w:rPr>
      </w:pPr>
      <w:bookmarkStart w:id="54" w:name="_Toc15377226"/>
      <w:r>
        <w:rPr>
          <w:rFonts w:ascii="宋体"/>
          <w:b/>
          <w:sz w:val="44"/>
          <w:szCs w:val="44"/>
        </w:rPr>
        <w:br w:type="page"/>
      </w:r>
      <w:r>
        <w:rPr>
          <w:rFonts w:hint="eastAsia" w:ascii="黑体" w:hAnsi="黑体" w:eastAsia="黑体" w:cs="黑体"/>
          <w:szCs w:val="32"/>
          <w:lang w:val="zh-CN"/>
        </w:rPr>
        <w:t>附件</w:t>
      </w:r>
      <w:r>
        <w:rPr>
          <w:rFonts w:hint="eastAsia" w:ascii="黑体" w:hAnsi="黑体" w:eastAsia="黑体" w:cs="黑体"/>
          <w:szCs w:val="32"/>
        </w:rPr>
        <w:t>2</w:t>
      </w:r>
    </w:p>
    <w:p>
      <w:pPr>
        <w:widowControl/>
        <w:spacing w:line="580" w:lineRule="exact"/>
        <w:contextualSpacing/>
        <w:rPr>
          <w:rFonts w:ascii="宋体" w:hAnsi="宋体"/>
          <w:b/>
          <w:sz w:val="44"/>
          <w:szCs w:val="44"/>
          <w:shd w:val="clear" w:color="auto" w:fill="FFFFFF"/>
        </w:rPr>
      </w:pPr>
    </w:p>
    <w:p>
      <w:pPr>
        <w:widowControl/>
        <w:spacing w:line="58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2023年发展和改革局整体支出绩效评价报告</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部门（单位）概况</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p>
    <w:p>
      <w:pPr>
        <w:spacing w:line="600" w:lineRule="exact"/>
        <w:ind w:firstLine="640" w:firstLineChars="200"/>
        <w:outlineLvl w:val="1"/>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峨眉山市发改局为市政府工作部门之一，下属独立预算单位峨眉山市粮食和物资储备中心，二级预算单位2个，其中：峨眉山市价格认定服务中心和峨眉山市科技开发和项目服务中心属全额拨款事业单位。</w:t>
      </w:r>
    </w:p>
    <w:p>
      <w:pPr>
        <w:widowControl/>
        <w:numPr>
          <w:ilvl w:val="0"/>
          <w:numId w:val="7"/>
        </w:numPr>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机构职能。</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3、负责监测宏观经济和社会发展态势，承担预测预警和信息引导的责任，研究宏观调控重大问题并提出政策建议，搞好总量平衡，综合协调经济社会发展中的重大问题。</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8、促进城乡区域协调发展。组织拟订区域协调发展战略、规划和重大政策，研究提出城镇化发展战略和统筹城乡发展的重大政策，负责区域经济协作的统筹协调。</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widowControl/>
        <w:adjustRightInd w:val="0"/>
        <w:snapToGrid w:val="0"/>
        <w:spacing w:line="58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r>
        <w:rPr>
          <w:rFonts w:hint="eastAsia" w:ascii="仿宋_GB2312" w:hAnsi="仿宋_GB2312" w:eastAsia="仿宋_GB2312" w:cs="仿宋_GB2312"/>
          <w:sz w:val="32"/>
          <w:szCs w:val="32"/>
        </w:rPr>
        <w:cr/>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11、负责科学技术普及工作，指导协调科普活动和科技宣传工作，推进全市科普能力建设。负责全市专利联络，保护知识产权工作，归上管理科技信息、情报工作。</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14、指导、协调并综合管理全市招标投标工作，会同有关行政主管部门拟订招标投标的地方性规范文件，按照职责分工对建设项目的招标投标活动实施监督检查。</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全市价格监督检查执法、价格成本调查监审、价格监测、价格认证等工作。负责全市重大价格和收费争议的仲裁。</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16、承担市政府公布的有关行政审批事项。</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17、承办市政府交办的其他事项。</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（三）人员概况。</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截止2022年12月31日，发改局</w:t>
      </w:r>
      <w:r>
        <w:rPr>
          <w:rFonts w:hint="eastAsia" w:ascii="仿宋_GB2312" w:hAnsi="仿宋_GB2312" w:eastAsia="仿宋_GB2312" w:cs="仿宋_GB2312"/>
          <w:sz w:val="32"/>
          <w:szCs w:val="32"/>
          <w:lang w:val="zh-CN"/>
        </w:rPr>
        <w:t>行政编制</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zh-CN"/>
        </w:rPr>
        <w:t>名，实有人数</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zh-CN"/>
        </w:rPr>
        <w:t>名，工勤</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名；事业编制</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名，实有人数</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名。总计实有人数为</w:t>
      </w:r>
      <w:r>
        <w:rPr>
          <w:rFonts w:hint="eastAsia" w:ascii="仿宋_GB2312" w:hAnsi="仿宋_GB2312" w:eastAsia="仿宋_GB2312" w:cs="仿宋_GB2312"/>
          <w:sz w:val="32"/>
          <w:szCs w:val="32"/>
        </w:rPr>
        <w:t>30人，聘用人员3人。</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粮储中心行政编制</w:t>
      </w:r>
      <w:r>
        <w:rPr>
          <w:rFonts w:hint="eastAsia" w:ascii="仿宋_GB2312" w:hAnsi="仿宋_GB2312" w:eastAsia="仿宋_GB2312" w:cs="仿宋_GB2312"/>
          <w:sz w:val="32"/>
          <w:szCs w:val="32"/>
        </w:rPr>
        <w:t>13名，其中工勤2名。</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2022年，我部门共收入1413.94万元，其中财政拨款收入1413.94万元。</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（二）部门财政资金支出情况。</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2022年，我单位共支出1496.57万元，其中:财政拨款支出1496.57万元（基本支出914.35万元，项目支出582.22万元）。</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三、部门整体预算绩效管理情况（根据适用指标体系进行调整，涉及到有专项预算的部门，专项预算项目自评报告根据要求另行单独报送）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（一）部门预算项目绩效管理。</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单位部门预算决算编制坚持合法性原则，依法依规编制预算。在充分考虑年度工作计划和相应支出需求、以前年度预算执行情况、以前年度结转和结余情况、资产占有和使用情况等因素的基础上，做到预算编制科学化、精细化。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单位共收入1413.94万元，其中财政拨款收入1413.94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（二）结果应用情况。</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1．部门支出绩效。</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（1）行政运转保障。</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严格报账制度，严格控制一般性行政支出，保障了机关正常运转、正确履行峨眉山市发改局的职能职责，保障了市委、市政府交办任务的顺利及时完成。</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高度重视部门预算支出绩效评价工作，按照峨眉山市财政局《关于开展2023年财政支出绩效评价工作的通知》要求，严格对照绩效评价指标体系，认真开展自查，实事求是编写了2022年部门预算支出绩效报告。</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p>
    <w:p>
      <w:pPr>
        <w:widowControl/>
        <w:numPr>
          <w:ilvl w:val="0"/>
          <w:numId w:val="8"/>
        </w:numPr>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自评质量</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我单位严格对照绩效评价指标体系，认真开展自查。我单位将在以后的工作中，进一步完善内部控制制度，加强节能降耗，加强年终预算执行情况监测、审核和分析，有序推进预算支出绩效评价工作。</w:t>
      </w: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420" w:firstLineChars="200"/>
        <w:jc w:val="right"/>
        <w:outlineLvl w:val="1"/>
        <w:rPr>
          <w:rFonts w:ascii="仿宋_GB2312" w:hAnsi="仿宋"/>
          <w:szCs w:val="32"/>
        </w:rPr>
      </w:pPr>
    </w:p>
    <w:p>
      <w:pPr>
        <w:pStyle w:val="2"/>
        <w:spacing w:before="93"/>
        <w:rPr>
          <w:rFonts w:hAnsi="仿宋"/>
          <w:szCs w:val="32"/>
        </w:rPr>
      </w:pPr>
    </w:p>
    <w:p>
      <w:pPr>
        <w:pStyle w:val="2"/>
        <w:spacing w:before="93"/>
        <w:rPr>
          <w:rFonts w:hAnsi="仿宋"/>
          <w:szCs w:val="32"/>
        </w:rPr>
      </w:pPr>
    </w:p>
    <w:p>
      <w:pPr>
        <w:spacing w:line="600" w:lineRule="exact"/>
        <w:ind w:firstLine="420" w:firstLineChars="200"/>
        <w:outlineLvl w:val="1"/>
        <w:rPr>
          <w:rFonts w:ascii="仿宋_GB2312" w:hAnsi="仿宋" w:eastAsia="仿宋_GB2312"/>
          <w:szCs w:val="32"/>
        </w:rPr>
      </w:pPr>
      <w:r>
        <w:rPr>
          <w:rFonts w:hint="eastAsia" w:ascii="仿宋_GB2312" w:hAnsi="仿宋"/>
          <w:szCs w:val="32"/>
        </w:rPr>
        <w:t xml:space="preserve"> </w:t>
      </w:r>
    </w:p>
    <w:p>
      <w:pPr>
        <w:pStyle w:val="2"/>
        <w:spacing w:before="93"/>
        <w:rPr>
          <w:rFonts w:hAnsi="宋体" w:cs="宋体"/>
          <w:sz w:val="32"/>
          <w:szCs w:val="32"/>
          <w:shd w:val="clear" w:color="auto" w:fill="FFFFFF"/>
          <w:lang w:val="zh-CN"/>
        </w:rPr>
      </w:pPr>
    </w:p>
    <w:p>
      <w:pPr>
        <w:spacing w:line="600" w:lineRule="exact"/>
        <w:jc w:val="center"/>
        <w:outlineLvl w:val="0"/>
        <w:rPr>
          <w:rFonts w:ascii="仿宋" w:hAnsi="仿宋" w:eastAsia="仿宋"/>
        </w:rPr>
      </w:pPr>
      <w:bookmarkStart w:id="55" w:name="_Toc15396618"/>
      <w:r>
        <w:rPr>
          <w:rFonts w:hint="eastAsia" w:ascii="黑体" w:hAnsi="黑体" w:eastAsia="黑体"/>
          <w:sz w:val="44"/>
          <w:szCs w:val="44"/>
        </w:rPr>
        <w:t>第</w:t>
      </w:r>
      <w:r>
        <w:rPr>
          <w:rStyle w:val="28"/>
          <w:rFonts w:hint="eastAsia" w:ascii="黑体" w:hAnsi="黑体" w:eastAsia="黑体"/>
          <w:b w:val="0"/>
        </w:rPr>
        <w:t>五部分 附表</w:t>
      </w:r>
      <w:bookmarkEnd w:id="54"/>
      <w:bookmarkEnd w:id="55"/>
      <w:bookmarkStart w:id="56"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9"/>
          <w:rFonts w:hint="eastAsia" w:ascii="仿宋" w:hAnsi="仿宋" w:eastAsia="仿宋"/>
          <w:b w:val="0"/>
          <w:bCs w:val="0"/>
        </w:rPr>
        <w:t>入决算表</w:t>
      </w:r>
      <w:bookmarkEnd w:id="57"/>
    </w:p>
    <w:p>
      <w:pPr>
        <w:pStyle w:val="4"/>
        <w:rPr>
          <w:rFonts w:ascii="仿宋" w:hAnsi="仿宋" w:eastAsia="仿宋"/>
        </w:rPr>
      </w:pPr>
      <w:bookmarkStart w:id="5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9"/>
    </w:p>
    <w:p>
      <w:pPr>
        <w:pStyle w:val="4"/>
        <w:rPr>
          <w:rStyle w:val="29"/>
          <w:rFonts w:ascii="仿宋" w:hAnsi="仿宋" w:eastAsia="仿宋"/>
          <w:b w:val="0"/>
          <w:bCs w:val="0"/>
        </w:rPr>
      </w:pPr>
      <w:bookmarkStart w:id="6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9"/>
          <w:rFonts w:hint="eastAsia" w:ascii="仿宋" w:hAnsi="仿宋" w:eastAsia="仿宋"/>
          <w:b w:val="0"/>
          <w:bCs w:val="0"/>
        </w:rPr>
        <w:t>十、</w:t>
      </w:r>
      <w:bookmarkEnd w:id="6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9"/>
          <w:rFonts w:hint="eastAsia" w:ascii="仿宋" w:hAnsi="仿宋" w:eastAsia="仿宋"/>
          <w:b w:val="0"/>
          <w:bCs w:val="0"/>
        </w:rPr>
        <w:t>十一、</w:t>
      </w:r>
      <w:bookmarkEnd w:id="6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9"/>
          <w:rFonts w:hint="eastAsia" w:ascii="仿宋" w:hAnsi="仿宋" w:eastAsia="仿宋"/>
          <w:b w:val="0"/>
          <w:bCs w:val="0"/>
        </w:rPr>
        <w:t>十二、</w:t>
      </w:r>
      <w:bookmarkEnd w:id="67"/>
      <w:r>
        <w:rPr>
          <w:rStyle w:val="29"/>
          <w:rFonts w:hint="eastAsia" w:ascii="仿宋" w:hAnsi="仿宋" w:eastAsia="仿宋"/>
          <w:b w:val="0"/>
          <w:bCs w:val="0"/>
        </w:rPr>
        <w:t>国有资本经营预算财政拨款支出决算表</w:t>
      </w:r>
    </w:p>
    <w:p>
      <w:pPr>
        <w:pStyle w:val="4"/>
        <w:rPr>
          <w:rFonts w:eastAsia="仿宋"/>
        </w:rPr>
      </w:pPr>
      <w:bookmarkStart w:id="68" w:name="_Toc15396631"/>
      <w:r>
        <w:rPr>
          <w:rStyle w:val="29"/>
          <w:rFonts w:hint="eastAsia" w:ascii="仿宋" w:hAnsi="仿宋" w:eastAsia="仿宋"/>
          <w:b w:val="0"/>
          <w:bCs w:val="0"/>
        </w:rPr>
        <w:t>十三、</w:t>
      </w:r>
      <w:bookmarkEnd w:id="68"/>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D5B08"/>
    <w:multiLevelType w:val="singleLevel"/>
    <w:tmpl w:val="BE2D5B08"/>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7F48F08"/>
    <w:multiLevelType w:val="singleLevel"/>
    <w:tmpl w:val="D7F48F08"/>
    <w:lvl w:ilvl="0" w:tentative="0">
      <w:start w:val="1"/>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4115DB8D"/>
    <w:multiLevelType w:val="singleLevel"/>
    <w:tmpl w:val="4115DB8D"/>
    <w:lvl w:ilvl="0" w:tentative="0">
      <w:start w:val="7"/>
      <w:numFmt w:val="chineseCounting"/>
      <w:suff w:val="nothing"/>
      <w:lvlText w:val="（%1）"/>
      <w:lvlJc w:val="left"/>
      <w:rPr>
        <w:rFonts w:hint="eastAsia"/>
      </w:rPr>
    </w:lvl>
  </w:abstractNum>
  <w:abstractNum w:abstractNumId="7">
    <w:nsid w:val="6B84DC63"/>
    <w:multiLevelType w:val="singleLevel"/>
    <w:tmpl w:val="6B84DC63"/>
    <w:lvl w:ilvl="0" w:tentative="0">
      <w:start w:val="2"/>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450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621"/>
    <w:rsid w:val="00114E9B"/>
    <w:rsid w:val="001377DA"/>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098A"/>
    <w:rsid w:val="0048263A"/>
    <w:rsid w:val="00487E5D"/>
    <w:rsid w:val="004A711F"/>
    <w:rsid w:val="004B199D"/>
    <w:rsid w:val="004B4690"/>
    <w:rsid w:val="004B5590"/>
    <w:rsid w:val="004E0A2D"/>
    <w:rsid w:val="004E206B"/>
    <w:rsid w:val="004E6DF7"/>
    <w:rsid w:val="004F0FBD"/>
    <w:rsid w:val="00505A47"/>
    <w:rsid w:val="00512FDA"/>
    <w:rsid w:val="00520DA0"/>
    <w:rsid w:val="005664BB"/>
    <w:rsid w:val="00566FFA"/>
    <w:rsid w:val="0057481D"/>
    <w:rsid w:val="0058486E"/>
    <w:rsid w:val="00585B33"/>
    <w:rsid w:val="0059014D"/>
    <w:rsid w:val="005A33D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D7B"/>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62F4"/>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3E7E"/>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43CE"/>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0B56C9"/>
    <w:rsid w:val="1FF35744"/>
    <w:rsid w:val="234A1AA9"/>
    <w:rsid w:val="23860B96"/>
    <w:rsid w:val="240371BF"/>
    <w:rsid w:val="29D91927"/>
    <w:rsid w:val="29FD04D3"/>
    <w:rsid w:val="2C8A61B5"/>
    <w:rsid w:val="2DF04E50"/>
    <w:rsid w:val="2F040D46"/>
    <w:rsid w:val="319F7F4E"/>
    <w:rsid w:val="31D34D51"/>
    <w:rsid w:val="3304709D"/>
    <w:rsid w:val="36AA5135"/>
    <w:rsid w:val="376D39B2"/>
    <w:rsid w:val="37E16F03"/>
    <w:rsid w:val="38D469F0"/>
    <w:rsid w:val="39017E65"/>
    <w:rsid w:val="3D98207C"/>
    <w:rsid w:val="3E78745D"/>
    <w:rsid w:val="422F1E21"/>
    <w:rsid w:val="44E268DA"/>
    <w:rsid w:val="472360A5"/>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3AD73D5"/>
    <w:rsid w:val="73B6EB34"/>
    <w:rsid w:val="744731E5"/>
    <w:rsid w:val="759172BD"/>
    <w:rsid w:val="76E3355F"/>
    <w:rsid w:val="778769C8"/>
    <w:rsid w:val="79EE5BA4"/>
    <w:rsid w:val="7A894339"/>
    <w:rsid w:val="7EEF11D3"/>
    <w:rsid w:val="7FA30C79"/>
    <w:rsid w:val="7FB7269E"/>
    <w:rsid w:val="7FC96657"/>
    <w:rsid w:val="CEFD6D0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0"/>
    <w:pPr>
      <w:spacing w:beforeAutospacing="1"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收、支决算总计变动情况表（单位：万元）</a:t>
            </a:r>
            <a:endParaRPr lang="zh-CN" altLang="en-US"/>
          </a:p>
        </c:rich>
      </c:tx>
      <c:layout>
        <c:manualLayout>
          <c:xMode val="edge"/>
          <c:yMode val="edge"/>
          <c:x val="0.230315434625572"/>
          <c:y val="0.024767801857585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1634.54</c:v>
                </c:pt>
                <c:pt idx="1">
                  <c:v>1413.94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Sheet1!$C$2:$C$3</c:f>
              <c:numCache>
                <c:formatCode>General</c:formatCode>
                <c:ptCount val="2"/>
                <c:pt idx="0">
                  <c:v>1223.9</c:v>
                </c:pt>
                <c:pt idx="1">
                  <c:v>1496.56</c:v>
                </c:pt>
              </c:numCache>
            </c:numRef>
          </c:val>
        </c:ser>
        <c:dLbls>
          <c:showLegendKey val="0"/>
          <c:showVal val="0"/>
          <c:showCatName val="0"/>
          <c:showSerName val="0"/>
          <c:showPercent val="0"/>
          <c:showBubbleSize val="0"/>
        </c:dLbls>
        <c:gapWidth val="219"/>
        <c:overlap val="-27"/>
        <c:axId val="406903144"/>
        <c:axId val="406902160"/>
      </c:barChart>
      <c:catAx>
        <c:axId val="40690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902160"/>
        <c:crosses val="autoZero"/>
        <c:auto val="1"/>
        <c:lblAlgn val="ctr"/>
        <c:lblOffset val="100"/>
        <c:noMultiLvlLbl val="0"/>
      </c:catAx>
      <c:valAx>
        <c:axId val="40690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903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1146.96</c:v>
                </c:pt>
                <c:pt idx="1">
                  <c:v>266.99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914.34</c:v>
                </c:pt>
                <c:pt idx="1">
                  <c:v>582.22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1634.54</c:v>
                </c:pt>
                <c:pt idx="1">
                  <c:v>1496.33</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Sheet1!$C$2:$C$3</c:f>
              <c:numCache>
                <c:formatCode>General</c:formatCode>
                <c:ptCount val="2"/>
                <c:pt idx="0">
                  <c:v>1849.33</c:v>
                </c:pt>
                <c:pt idx="1">
                  <c:v>1511.86</c:v>
                </c:pt>
              </c:numCache>
            </c:numRef>
          </c:val>
        </c:ser>
        <c:dLbls>
          <c:showLegendKey val="0"/>
          <c:showVal val="0"/>
          <c:showCatName val="0"/>
          <c:showSerName val="0"/>
          <c:showPercent val="0"/>
          <c:showBubbleSize val="0"/>
        </c:dLbls>
        <c:gapWidth val="219"/>
        <c:overlap val="-27"/>
        <c:axId val="669401768"/>
        <c:axId val="551523240"/>
      </c:barChart>
      <c:catAx>
        <c:axId val="66940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1523240"/>
        <c:crosses val="autoZero"/>
        <c:auto val="1"/>
        <c:lblAlgn val="ctr"/>
        <c:lblOffset val="100"/>
        <c:noMultiLvlLbl val="0"/>
      </c:catAx>
      <c:valAx>
        <c:axId val="551523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401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一般公共预算财政拨款支出决算变动情况（单位：万元）</a:t>
            </a:r>
            <a:endParaRPr lang="zh-CN"/>
          </a:p>
        </c:rich>
      </c:tx>
      <c:layout>
        <c:manualLayout>
          <c:xMode val="edge"/>
          <c:yMode val="edge"/>
          <c:x val="0.121960028894775"/>
          <c:y val="0.045407636738906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1210.52</c:v>
                </c:pt>
                <c:pt idx="1">
                  <c:v>1229.34</c:v>
                </c:pt>
              </c:numCache>
            </c:numRef>
          </c:val>
        </c:ser>
        <c:dLbls>
          <c:showLegendKey val="0"/>
          <c:showVal val="0"/>
          <c:showCatName val="0"/>
          <c:showSerName val="0"/>
          <c:showPercent val="0"/>
          <c:showBubbleSize val="0"/>
        </c:dLbls>
        <c:gapWidth val="219"/>
        <c:overlap val="-27"/>
        <c:axId val="544558328"/>
        <c:axId val="544558656"/>
      </c:barChart>
      <c:catAx>
        <c:axId val="54455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558656"/>
        <c:crosses val="autoZero"/>
        <c:auto val="1"/>
        <c:lblAlgn val="ctr"/>
        <c:lblOffset val="100"/>
        <c:noMultiLvlLbl val="0"/>
      </c:catAx>
      <c:valAx>
        <c:axId val="54455865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558328"/>
        <c:crosses val="autoZero"/>
        <c:crossBetween val="between"/>
        <c:majorUnit val="100"/>
        <c:min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科学技术支出</c:v>
                </c:pt>
                <c:pt idx="2">
                  <c:v>社会保障和就业支出</c:v>
                </c:pt>
                <c:pt idx="3">
                  <c:v>卫生健康支出</c:v>
                </c:pt>
                <c:pt idx="4">
                  <c:v>城乡社区支出</c:v>
                </c:pt>
                <c:pt idx="5">
                  <c:v>住房保障支出</c:v>
                </c:pt>
                <c:pt idx="6">
                  <c:v>粮油物资储备支出</c:v>
                </c:pt>
              </c:strCache>
            </c:strRef>
          </c:cat>
          <c:val>
            <c:numRef>
              <c:f>Sheet1!$B$2:$B$8</c:f>
              <c:numCache>
                <c:formatCode>General</c:formatCode>
                <c:ptCount val="7"/>
                <c:pt idx="0">
                  <c:v>688.54</c:v>
                </c:pt>
                <c:pt idx="1">
                  <c:v>8.94</c:v>
                </c:pt>
                <c:pt idx="2">
                  <c:v>112.09</c:v>
                </c:pt>
                <c:pt idx="3">
                  <c:v>33.71</c:v>
                </c:pt>
                <c:pt idx="4">
                  <c:v>266.99</c:v>
                </c:pt>
                <c:pt idx="5">
                  <c:v>60.87</c:v>
                </c:pt>
                <c:pt idx="6">
                  <c:v>325.43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352757043101373"/>
                  <c:y val="0.0577915376676987"/>
                </c:manualLayout>
              </c:layout>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213098964603901"/>
                      <c:h val="0.203302373581011"/>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1.9</c:v>
                </c:pt>
                <c:pt idx="2">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12470</Words>
  <Characters>13467</Characters>
  <Lines>99</Lines>
  <Paragraphs>28</Paragraphs>
  <TotalTime>1288</TotalTime>
  <ScaleCrop>false</ScaleCrop>
  <LinksUpToDate>false</LinksUpToDate>
  <CharactersWithSpaces>13494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2023-12-22T06:37:44Z</cp:lastPrinted>
  <dcterms:modified xsi:type="dcterms:W3CDTF">2023-12-25T07:53:38Z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646ECFD109B84E07A9380D21113F29FE</vt:lpwstr>
  </property>
</Properties>
</file>