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96597"/>
      <w:bookmarkStart w:id="3" w:name="_Toc15396475"/>
      <w:bookmarkStart w:id="4" w:name="_Toc15378441"/>
      <w:bookmarkStart w:id="5" w:name="_Toc15377193"/>
      <w:r>
        <w:rPr>
          <w:rFonts w:ascii="黑体" w:hAnsi="黑体" w:eastAsia="黑体"/>
          <w:color w:val="000000"/>
          <w:sz w:val="72"/>
          <w:szCs w:val="72"/>
        </w:rPr>
        <w:t>20</w:t>
      </w:r>
      <w:r>
        <w:rPr>
          <w:rFonts w:hint="eastAsia" w:ascii="黑体" w:hAnsi="黑体" w:eastAsia="黑体"/>
          <w:color w:val="000000"/>
          <w:sz w:val="72"/>
          <w:szCs w:val="72"/>
        </w:rPr>
        <w:t>22</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77194"/>
      <w:bookmarkStart w:id="8" w:name="_Toc15396476"/>
      <w:bookmarkStart w:id="9" w:name="_Toc15378442"/>
      <w:bookmarkStart w:id="10" w:name="_Toc1537742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峨眉山市殡葬</w:t>
      </w:r>
      <w:r>
        <w:rPr>
          <w:rFonts w:hint="eastAsia" w:ascii="方正小标宋简体" w:hAnsi="宋体" w:eastAsia="方正小标宋简体"/>
          <w:color w:val="000000"/>
          <w:sz w:val="72"/>
          <w:szCs w:val="72"/>
          <w:lang w:eastAsia="zh-CN"/>
        </w:rPr>
        <w:t>事务</w:t>
      </w:r>
      <w:bookmarkStart w:id="66" w:name="_GoBack"/>
      <w:bookmarkEnd w:id="66"/>
      <w:r>
        <w:rPr>
          <w:rFonts w:hint="eastAsia" w:ascii="方正小标宋简体" w:hAnsi="宋体" w:eastAsia="方正小标宋简体"/>
          <w:color w:val="000000"/>
          <w:sz w:val="72"/>
          <w:szCs w:val="72"/>
        </w:rPr>
        <w:t>服务中心</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决算</w:t>
      </w:r>
      <w:bookmarkEnd w:id="6"/>
      <w:bookmarkEnd w:id="7"/>
      <w:bookmarkEnd w:id="8"/>
      <w:bookmarkEnd w:id="9"/>
      <w:bookmarkEnd w:id="10"/>
      <w:bookmarkEnd w:id="11"/>
      <w:r>
        <w:rPr>
          <w:rFonts w:hint="eastAsia" w:ascii="方正小标宋简体" w:hAnsi="宋体" w:eastAsia="方正小标宋简体"/>
          <w:color w:val="000000"/>
          <w:sz w:val="72"/>
          <w:szCs w:val="72"/>
        </w:rPr>
        <w:t>公开编制说明</w:t>
      </w:r>
    </w:p>
    <w:p>
      <w:pPr>
        <w:widowControl/>
        <w:spacing w:line="440" w:lineRule="exact"/>
        <w:jc w:val="left"/>
        <w:rPr>
          <w:rFonts w:ascii="仿宋" w:hAnsi="仿宋" w:eastAsia="仿宋"/>
          <w:bCs/>
          <w:kern w:val="44"/>
          <w:sz w:val="24"/>
        </w:rPr>
      </w:pPr>
      <w:r>
        <w:rPr>
          <w:rFonts w:ascii="方正小标宋简体" w:hAnsi="宋体" w:eastAsia="方正小标宋简体"/>
          <w:color w:val="000000"/>
          <w:sz w:val="36"/>
          <w:szCs w:val="36"/>
        </w:rPr>
        <w:br w:type="page"/>
      </w:r>
      <w:bookmarkStart w:id="12" w:name="_Toc15377196"/>
      <w:bookmarkStart w:id="13" w:name="_Toc15396599"/>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rPr>
          <w:rFonts w:cs="仿宋"/>
        </w:rPr>
      </w:pPr>
      <w:r>
        <w:rPr>
          <w:rFonts w:hint="eastAsia" w:cs="仿宋"/>
        </w:rPr>
        <w:t>公开时间：2023年月日</w:t>
      </w:r>
    </w:p>
    <w:p>
      <w:pPr>
        <w:rPr>
          <w:rFonts w:ascii="仿宋" w:hAnsi="仿宋" w:eastAsia="仿宋" w:cs="仿宋"/>
          <w:sz w:val="28"/>
          <w:szCs w:val="28"/>
        </w:rPr>
      </w:pPr>
    </w:p>
    <w:p>
      <w:pPr>
        <w:pStyle w:val="10"/>
        <w:adjustRightInd w:val="0"/>
        <w:snapToGrid w:val="0"/>
        <w:spacing w:before="0" w:line="440" w:lineRule="exact"/>
        <w:jc w:val="left"/>
        <w:rPr>
          <w:rFonts w:cs="仿宋"/>
        </w:rPr>
      </w:pPr>
      <w:r>
        <w:rPr>
          <w:rFonts w:hint="eastAsia" w:cs="仿宋"/>
        </w:rPr>
        <w:t>第一部分 部门概况</w:t>
      </w:r>
    </w:p>
    <w:p>
      <w:pPr>
        <w:pStyle w:val="11"/>
        <w:adjustRightInd w:val="0"/>
        <w:snapToGrid w:val="0"/>
        <w:spacing w:line="440" w:lineRule="exact"/>
        <w:jc w:val="left"/>
        <w:rPr>
          <w:rFonts w:ascii="仿宋" w:hAnsi="仿宋" w:eastAsia="仿宋" w:cs="仿宋"/>
          <w:sz w:val="28"/>
          <w:szCs w:val="28"/>
        </w:rPr>
      </w:pPr>
      <w:r>
        <w:rPr>
          <w:rFonts w:hint="eastAsia" w:ascii="仿宋" w:hAnsi="仿宋" w:eastAsia="仿宋" w:cs="仿宋"/>
          <w:sz w:val="28"/>
          <w:szCs w:val="28"/>
        </w:rPr>
        <w:t>一、部门职责</w:t>
      </w:r>
    </w:p>
    <w:p>
      <w:pPr>
        <w:pStyle w:val="11"/>
        <w:adjustRightInd w:val="0"/>
        <w:snapToGrid w:val="0"/>
        <w:spacing w:line="440" w:lineRule="exact"/>
        <w:jc w:val="left"/>
        <w:rPr>
          <w:rFonts w:ascii="仿宋" w:hAnsi="仿宋" w:eastAsia="仿宋" w:cs="仿宋"/>
          <w:sz w:val="28"/>
          <w:szCs w:val="28"/>
        </w:rPr>
      </w:pPr>
      <w:r>
        <w:rPr>
          <w:rFonts w:hint="eastAsia" w:ascii="仿宋" w:hAnsi="仿宋" w:eastAsia="仿宋" w:cs="仿宋"/>
          <w:sz w:val="28"/>
          <w:szCs w:val="28"/>
        </w:rPr>
        <w:t>二、机构设置</w:t>
      </w:r>
    </w:p>
    <w:p>
      <w:pPr>
        <w:pStyle w:val="10"/>
        <w:adjustRightInd w:val="0"/>
        <w:snapToGrid w:val="0"/>
        <w:spacing w:before="0" w:line="440" w:lineRule="exact"/>
        <w:jc w:val="left"/>
        <w:rPr>
          <w:rFonts w:cs="仿宋"/>
        </w:rPr>
      </w:pPr>
      <w:r>
        <w:rPr>
          <w:rFonts w:hint="eastAsia" w:cs="仿宋"/>
        </w:rPr>
        <w:t>第二部分 2022年度部门决算情况说明</w:t>
      </w:r>
    </w:p>
    <w:p>
      <w:pPr>
        <w:pStyle w:val="11"/>
        <w:adjustRightInd w:val="0"/>
        <w:snapToGrid w:val="0"/>
        <w:spacing w:line="440" w:lineRule="exact"/>
        <w:jc w:val="left"/>
        <w:rPr>
          <w:rFonts w:ascii="仿宋" w:hAnsi="仿宋" w:eastAsia="仿宋" w:cs="仿宋"/>
          <w:sz w:val="28"/>
          <w:szCs w:val="28"/>
        </w:rPr>
      </w:pPr>
      <w:r>
        <w:rPr>
          <w:rFonts w:hint="eastAsia" w:ascii="仿宋" w:hAnsi="仿宋" w:eastAsia="仿宋" w:cs="仿宋"/>
          <w:sz w:val="28"/>
          <w:szCs w:val="28"/>
        </w:rPr>
        <w:t>一、收入支出决算总体情况说明</w:t>
      </w:r>
    </w:p>
    <w:p>
      <w:pPr>
        <w:pStyle w:val="11"/>
        <w:adjustRightInd w:val="0"/>
        <w:snapToGrid w:val="0"/>
        <w:spacing w:line="440" w:lineRule="exact"/>
        <w:jc w:val="left"/>
        <w:rPr>
          <w:rFonts w:ascii="仿宋" w:hAnsi="仿宋" w:eastAsia="仿宋" w:cs="仿宋"/>
          <w:sz w:val="28"/>
          <w:szCs w:val="28"/>
        </w:rPr>
      </w:pPr>
      <w:r>
        <w:rPr>
          <w:rFonts w:hint="eastAsia" w:ascii="仿宋" w:hAnsi="仿宋" w:eastAsia="仿宋" w:cs="仿宋"/>
          <w:sz w:val="28"/>
          <w:szCs w:val="28"/>
        </w:rPr>
        <w:t>二、收入决算情况说明</w:t>
      </w:r>
    </w:p>
    <w:p>
      <w:pPr>
        <w:pStyle w:val="11"/>
        <w:adjustRightInd w:val="0"/>
        <w:snapToGrid w:val="0"/>
        <w:spacing w:line="440" w:lineRule="exact"/>
        <w:jc w:val="left"/>
        <w:rPr>
          <w:rFonts w:ascii="仿宋" w:hAnsi="仿宋" w:eastAsia="仿宋" w:cs="仿宋"/>
          <w:sz w:val="28"/>
          <w:szCs w:val="28"/>
        </w:rPr>
      </w:pPr>
      <w:r>
        <w:rPr>
          <w:rFonts w:hint="eastAsia" w:ascii="仿宋" w:hAnsi="仿宋" w:eastAsia="仿宋" w:cs="仿宋"/>
          <w:sz w:val="28"/>
          <w:szCs w:val="28"/>
        </w:rPr>
        <w:t>三、支出决算情况说明</w:t>
      </w:r>
    </w:p>
    <w:p>
      <w:pPr>
        <w:pStyle w:val="11"/>
        <w:adjustRightInd w:val="0"/>
        <w:snapToGrid w:val="0"/>
        <w:spacing w:line="440" w:lineRule="exact"/>
        <w:jc w:val="left"/>
        <w:rPr>
          <w:rFonts w:ascii="仿宋" w:hAnsi="仿宋" w:eastAsia="仿宋" w:cs="仿宋"/>
          <w:sz w:val="28"/>
          <w:szCs w:val="28"/>
        </w:rPr>
      </w:pPr>
      <w:r>
        <w:rPr>
          <w:rFonts w:hint="eastAsia" w:ascii="仿宋" w:hAnsi="仿宋" w:eastAsia="仿宋" w:cs="仿宋"/>
          <w:sz w:val="28"/>
          <w:szCs w:val="28"/>
        </w:rPr>
        <w:t>四、财政拨款收入支出决算总体情况说明</w:t>
      </w:r>
    </w:p>
    <w:p>
      <w:pPr>
        <w:pStyle w:val="11"/>
        <w:adjustRightInd w:val="0"/>
        <w:snapToGrid w:val="0"/>
        <w:spacing w:line="440" w:lineRule="exact"/>
        <w:jc w:val="left"/>
        <w:rPr>
          <w:rFonts w:ascii="仿宋" w:hAnsi="仿宋" w:eastAsia="仿宋" w:cs="仿宋"/>
          <w:sz w:val="28"/>
          <w:szCs w:val="28"/>
        </w:rPr>
      </w:pPr>
      <w:r>
        <w:rPr>
          <w:rFonts w:hint="eastAsia" w:ascii="仿宋" w:hAnsi="仿宋" w:eastAsia="仿宋" w:cs="仿宋"/>
          <w:sz w:val="28"/>
          <w:szCs w:val="28"/>
        </w:rPr>
        <w:t>五、一般公共预算财政拨款支出决算情况说明</w:t>
      </w:r>
    </w:p>
    <w:p>
      <w:pPr>
        <w:pStyle w:val="11"/>
        <w:adjustRightInd w:val="0"/>
        <w:snapToGrid w:val="0"/>
        <w:spacing w:line="440" w:lineRule="exact"/>
        <w:jc w:val="left"/>
        <w:rPr>
          <w:rFonts w:ascii="仿宋" w:hAnsi="仿宋" w:eastAsia="仿宋" w:cs="仿宋"/>
          <w:sz w:val="28"/>
          <w:szCs w:val="28"/>
        </w:rPr>
      </w:pPr>
      <w:r>
        <w:rPr>
          <w:rFonts w:hint="eastAsia" w:ascii="仿宋" w:hAnsi="仿宋" w:eastAsia="仿宋" w:cs="仿宋"/>
          <w:sz w:val="28"/>
          <w:szCs w:val="28"/>
        </w:rPr>
        <w:t>六、一般公共预算财政拨款基本支出决算情况说明</w:t>
      </w:r>
    </w:p>
    <w:p>
      <w:pPr>
        <w:pStyle w:val="11"/>
        <w:adjustRightInd w:val="0"/>
        <w:snapToGrid w:val="0"/>
        <w:spacing w:line="440" w:lineRule="exact"/>
        <w:jc w:val="left"/>
        <w:rPr>
          <w:rFonts w:ascii="仿宋" w:hAnsi="仿宋" w:eastAsia="仿宋" w:cs="仿宋"/>
          <w:sz w:val="28"/>
          <w:szCs w:val="28"/>
        </w:rPr>
      </w:pPr>
      <w:r>
        <w:rPr>
          <w:rFonts w:hint="eastAsia" w:ascii="仿宋" w:hAnsi="仿宋" w:eastAsia="仿宋" w:cs="仿宋"/>
          <w:sz w:val="28"/>
          <w:szCs w:val="28"/>
        </w:rPr>
        <w:t>七、财政拨款“三公”经费支出决算情况说明</w:t>
      </w:r>
    </w:p>
    <w:p>
      <w:pPr>
        <w:pStyle w:val="11"/>
        <w:adjustRightInd w:val="0"/>
        <w:snapToGrid w:val="0"/>
        <w:spacing w:line="440" w:lineRule="exact"/>
        <w:jc w:val="left"/>
        <w:rPr>
          <w:rFonts w:ascii="仿宋" w:hAnsi="仿宋" w:eastAsia="仿宋" w:cs="仿宋"/>
          <w:sz w:val="28"/>
          <w:szCs w:val="28"/>
        </w:rPr>
      </w:pPr>
      <w:r>
        <w:rPr>
          <w:rFonts w:hint="eastAsia" w:ascii="仿宋" w:hAnsi="仿宋" w:eastAsia="仿宋" w:cs="仿宋"/>
          <w:sz w:val="28"/>
          <w:szCs w:val="28"/>
        </w:rPr>
        <w:t>八、政府性基金预算支出决算情况说明</w:t>
      </w:r>
    </w:p>
    <w:p>
      <w:pPr>
        <w:pStyle w:val="11"/>
        <w:adjustRightInd w:val="0"/>
        <w:snapToGrid w:val="0"/>
        <w:spacing w:line="440" w:lineRule="exact"/>
        <w:ind w:leftChars="0"/>
        <w:jc w:val="left"/>
        <w:rPr>
          <w:rFonts w:ascii="仿宋" w:hAnsi="仿宋" w:eastAsia="仿宋" w:cs="仿宋"/>
          <w:sz w:val="28"/>
          <w:szCs w:val="28"/>
        </w:rPr>
      </w:pPr>
      <w:r>
        <w:rPr>
          <w:rFonts w:hint="eastAsia" w:ascii="仿宋" w:hAnsi="仿宋" w:eastAsia="仿宋" w:cs="仿宋"/>
          <w:sz w:val="28"/>
          <w:szCs w:val="28"/>
        </w:rPr>
        <w:t>九、国有资本经营预算支出决算情况说明</w:t>
      </w:r>
    </w:p>
    <w:p>
      <w:pPr>
        <w:adjustRightInd w:val="0"/>
        <w:snapToGrid w:val="0"/>
        <w:spacing w:line="440" w:lineRule="exact"/>
        <w:ind w:firstLine="490" w:firstLineChars="175"/>
        <w:jc w:val="left"/>
        <w:rPr>
          <w:rFonts w:ascii="仿宋" w:hAnsi="仿宋" w:eastAsia="仿宋" w:cs="仿宋"/>
          <w:sz w:val="28"/>
          <w:szCs w:val="28"/>
        </w:rPr>
      </w:pPr>
      <w:r>
        <w:rPr>
          <w:rStyle w:val="15"/>
          <w:rFonts w:hint="eastAsia" w:ascii="仿宋" w:hAnsi="仿宋" w:eastAsia="仿宋" w:cs="仿宋"/>
          <w:color w:val="auto"/>
          <w:sz w:val="28"/>
          <w:szCs w:val="28"/>
          <w:u w:val="none"/>
        </w:rPr>
        <w:t>十、</w:t>
      </w:r>
      <w:r>
        <w:rPr>
          <w:rFonts w:hint="eastAsia" w:ascii="仿宋" w:hAnsi="仿宋" w:eastAsia="仿宋" w:cs="仿宋"/>
          <w:sz w:val="28"/>
          <w:szCs w:val="28"/>
        </w:rPr>
        <w:t>其他重要事项的情况说明</w:t>
      </w:r>
      <w:r>
        <w:rPr>
          <w:rFonts w:hint="eastAsia" w:ascii="仿宋" w:hAnsi="仿宋" w:eastAsia="仿宋" w:cs="仿宋"/>
          <w:sz w:val="28"/>
          <w:szCs w:val="28"/>
        </w:rPr>
        <w:tab/>
      </w:r>
    </w:p>
    <w:p>
      <w:pPr>
        <w:pStyle w:val="10"/>
        <w:adjustRightInd w:val="0"/>
        <w:snapToGrid w:val="0"/>
        <w:spacing w:before="0" w:line="440" w:lineRule="exact"/>
        <w:jc w:val="left"/>
        <w:rPr>
          <w:rFonts w:cs="仿宋"/>
        </w:rPr>
      </w:pPr>
      <w:r>
        <w:rPr>
          <w:rFonts w:hint="eastAsia" w:cs="仿宋"/>
        </w:rPr>
        <w:t>第三部分 名词解释</w:t>
      </w:r>
    </w:p>
    <w:p>
      <w:pPr>
        <w:pStyle w:val="10"/>
        <w:adjustRightInd w:val="0"/>
        <w:snapToGrid w:val="0"/>
        <w:spacing w:before="0" w:line="440" w:lineRule="exact"/>
        <w:jc w:val="left"/>
        <w:rPr>
          <w:rFonts w:cs="仿宋"/>
        </w:rPr>
      </w:pPr>
      <w:r>
        <w:rPr>
          <w:rFonts w:hint="eastAsia" w:cs="仿宋"/>
        </w:rPr>
        <w:t>第四部分 附件</w:t>
      </w:r>
    </w:p>
    <w:p>
      <w:pPr>
        <w:pStyle w:val="10"/>
        <w:adjustRightInd w:val="0"/>
        <w:snapToGrid w:val="0"/>
        <w:spacing w:before="0" w:line="440" w:lineRule="exact"/>
        <w:jc w:val="left"/>
        <w:rPr>
          <w:rFonts w:cs="仿宋"/>
        </w:rPr>
      </w:pPr>
      <w:r>
        <w:rPr>
          <w:rFonts w:hint="eastAsia" w:cs="仿宋"/>
        </w:rPr>
        <w:t>第五部分 附表</w:t>
      </w:r>
    </w:p>
    <w:p>
      <w:pPr>
        <w:pStyle w:val="11"/>
        <w:adjustRightInd w:val="0"/>
        <w:snapToGrid w:val="0"/>
        <w:spacing w:line="440" w:lineRule="exact"/>
        <w:jc w:val="left"/>
        <w:rPr>
          <w:rFonts w:ascii="仿宋" w:hAnsi="仿宋" w:eastAsia="仿宋" w:cs="仿宋"/>
          <w:sz w:val="28"/>
          <w:szCs w:val="28"/>
        </w:rPr>
      </w:pPr>
      <w:r>
        <w:rPr>
          <w:rFonts w:hint="eastAsia" w:ascii="仿宋" w:hAnsi="仿宋" w:eastAsia="仿宋" w:cs="仿宋"/>
          <w:sz w:val="28"/>
          <w:szCs w:val="28"/>
        </w:rPr>
        <w:t>一、收入支出决算总表</w:t>
      </w:r>
    </w:p>
    <w:p>
      <w:pPr>
        <w:pStyle w:val="11"/>
        <w:adjustRightInd w:val="0"/>
        <w:snapToGrid w:val="0"/>
        <w:spacing w:line="440" w:lineRule="exact"/>
        <w:jc w:val="left"/>
        <w:rPr>
          <w:rFonts w:ascii="仿宋" w:hAnsi="仿宋" w:eastAsia="仿宋" w:cs="仿宋"/>
          <w:sz w:val="28"/>
          <w:szCs w:val="28"/>
        </w:rPr>
      </w:pPr>
      <w:r>
        <w:rPr>
          <w:rFonts w:hint="eastAsia" w:ascii="仿宋" w:hAnsi="仿宋" w:eastAsia="仿宋" w:cs="仿宋"/>
          <w:sz w:val="28"/>
          <w:szCs w:val="28"/>
        </w:rPr>
        <w:t>二、收入决算表</w:t>
      </w:r>
    </w:p>
    <w:p>
      <w:pPr>
        <w:pStyle w:val="11"/>
        <w:adjustRightInd w:val="0"/>
        <w:snapToGrid w:val="0"/>
        <w:spacing w:line="440" w:lineRule="exact"/>
        <w:jc w:val="left"/>
        <w:rPr>
          <w:rFonts w:ascii="仿宋" w:hAnsi="仿宋" w:eastAsia="仿宋" w:cs="仿宋"/>
          <w:sz w:val="28"/>
          <w:szCs w:val="28"/>
        </w:rPr>
      </w:pPr>
      <w:r>
        <w:rPr>
          <w:rFonts w:hint="eastAsia" w:ascii="仿宋" w:hAnsi="仿宋" w:eastAsia="仿宋" w:cs="仿宋"/>
          <w:sz w:val="28"/>
          <w:szCs w:val="28"/>
        </w:rPr>
        <w:t>三、支出决算表</w:t>
      </w:r>
    </w:p>
    <w:p>
      <w:pPr>
        <w:pStyle w:val="11"/>
        <w:adjustRightInd w:val="0"/>
        <w:snapToGrid w:val="0"/>
        <w:spacing w:line="440" w:lineRule="exact"/>
        <w:jc w:val="left"/>
        <w:rPr>
          <w:rFonts w:ascii="仿宋" w:hAnsi="仿宋" w:eastAsia="仿宋" w:cs="仿宋"/>
          <w:sz w:val="28"/>
          <w:szCs w:val="28"/>
        </w:rPr>
      </w:pPr>
      <w:r>
        <w:rPr>
          <w:rFonts w:hint="eastAsia" w:ascii="仿宋" w:hAnsi="仿宋" w:eastAsia="仿宋" w:cs="仿宋"/>
          <w:sz w:val="28"/>
          <w:szCs w:val="28"/>
        </w:rPr>
        <w:t>四、财政拨款收入支出决算总表</w:t>
      </w:r>
    </w:p>
    <w:p>
      <w:pPr>
        <w:pStyle w:val="11"/>
        <w:adjustRightInd w:val="0"/>
        <w:snapToGrid w:val="0"/>
        <w:spacing w:line="440" w:lineRule="exact"/>
        <w:jc w:val="left"/>
        <w:rPr>
          <w:rFonts w:ascii="仿宋" w:hAnsi="仿宋" w:eastAsia="仿宋" w:cs="仿宋"/>
          <w:sz w:val="28"/>
          <w:szCs w:val="28"/>
        </w:rPr>
      </w:pPr>
      <w:r>
        <w:rPr>
          <w:rFonts w:hint="eastAsia" w:ascii="仿宋" w:hAnsi="仿宋" w:eastAsia="仿宋" w:cs="仿宋"/>
          <w:sz w:val="28"/>
          <w:szCs w:val="28"/>
        </w:rPr>
        <w:t>五、财政拨款支出决算明细表</w:t>
      </w:r>
    </w:p>
    <w:p>
      <w:pPr>
        <w:pStyle w:val="11"/>
        <w:adjustRightInd w:val="0"/>
        <w:snapToGrid w:val="0"/>
        <w:spacing w:line="440" w:lineRule="exact"/>
        <w:jc w:val="left"/>
        <w:rPr>
          <w:rFonts w:ascii="仿宋" w:hAnsi="仿宋" w:eastAsia="仿宋" w:cs="仿宋"/>
          <w:sz w:val="28"/>
          <w:szCs w:val="28"/>
        </w:rPr>
      </w:pPr>
      <w:r>
        <w:rPr>
          <w:rFonts w:hint="eastAsia" w:ascii="仿宋" w:hAnsi="仿宋" w:eastAsia="仿宋" w:cs="仿宋"/>
          <w:sz w:val="28"/>
          <w:szCs w:val="28"/>
        </w:rPr>
        <w:t>六、一般公共预算财政拨款支出决算表</w:t>
      </w:r>
    </w:p>
    <w:p>
      <w:pPr>
        <w:pStyle w:val="11"/>
        <w:adjustRightInd w:val="0"/>
        <w:snapToGrid w:val="0"/>
        <w:spacing w:line="440" w:lineRule="exact"/>
        <w:jc w:val="left"/>
        <w:rPr>
          <w:rFonts w:ascii="仿宋" w:hAnsi="仿宋" w:eastAsia="仿宋" w:cs="仿宋"/>
          <w:sz w:val="28"/>
          <w:szCs w:val="28"/>
        </w:rPr>
      </w:pPr>
      <w:r>
        <w:rPr>
          <w:rFonts w:hint="eastAsia" w:ascii="仿宋" w:hAnsi="仿宋" w:eastAsia="仿宋" w:cs="仿宋"/>
          <w:sz w:val="28"/>
          <w:szCs w:val="28"/>
        </w:rPr>
        <w:t>七、一般公共预算财政拨款支出决算明细表</w:t>
      </w:r>
    </w:p>
    <w:p>
      <w:pPr>
        <w:pStyle w:val="11"/>
        <w:adjustRightInd w:val="0"/>
        <w:snapToGrid w:val="0"/>
        <w:spacing w:line="440" w:lineRule="exact"/>
        <w:jc w:val="left"/>
        <w:rPr>
          <w:rFonts w:ascii="仿宋" w:hAnsi="仿宋" w:eastAsia="仿宋" w:cs="仿宋"/>
          <w:sz w:val="28"/>
          <w:szCs w:val="28"/>
        </w:rPr>
      </w:pPr>
      <w:r>
        <w:rPr>
          <w:rFonts w:hint="eastAsia" w:ascii="仿宋" w:hAnsi="仿宋" w:eastAsia="仿宋" w:cs="仿宋"/>
          <w:sz w:val="28"/>
          <w:szCs w:val="28"/>
        </w:rPr>
        <w:t>八、一般公共预算财政拨款基本支出决算明细表</w:t>
      </w:r>
    </w:p>
    <w:p>
      <w:pPr>
        <w:pStyle w:val="11"/>
        <w:adjustRightInd w:val="0"/>
        <w:snapToGrid w:val="0"/>
        <w:spacing w:line="440" w:lineRule="exact"/>
        <w:jc w:val="left"/>
        <w:rPr>
          <w:rFonts w:ascii="仿宋" w:hAnsi="仿宋" w:eastAsia="仿宋" w:cs="仿宋"/>
          <w:sz w:val="28"/>
          <w:szCs w:val="28"/>
        </w:rPr>
      </w:pPr>
      <w:r>
        <w:rPr>
          <w:rFonts w:hint="eastAsia" w:ascii="仿宋" w:hAnsi="仿宋" w:eastAsia="仿宋" w:cs="仿宋"/>
          <w:sz w:val="28"/>
          <w:szCs w:val="28"/>
        </w:rPr>
        <w:t>九、一般公共预算财政拨款项目支出决算表</w:t>
      </w:r>
    </w:p>
    <w:p>
      <w:pPr>
        <w:pStyle w:val="11"/>
        <w:adjustRightInd w:val="0"/>
        <w:snapToGrid w:val="0"/>
        <w:spacing w:line="440" w:lineRule="exact"/>
        <w:jc w:val="left"/>
        <w:rPr>
          <w:rFonts w:ascii="仿宋" w:hAnsi="仿宋" w:eastAsia="仿宋" w:cs="仿宋"/>
          <w:sz w:val="28"/>
          <w:szCs w:val="28"/>
        </w:rPr>
      </w:pPr>
      <w:r>
        <w:rPr>
          <w:rFonts w:hint="eastAsia" w:ascii="仿宋" w:hAnsi="仿宋" w:eastAsia="仿宋" w:cs="仿宋"/>
          <w:sz w:val="28"/>
          <w:szCs w:val="28"/>
        </w:rPr>
        <w:t>十、政府性基金预算财政拨款收入支出决算表</w:t>
      </w:r>
    </w:p>
    <w:p>
      <w:pPr>
        <w:pStyle w:val="11"/>
        <w:adjustRightInd w:val="0"/>
        <w:snapToGrid w:val="0"/>
        <w:spacing w:line="440" w:lineRule="exact"/>
        <w:jc w:val="left"/>
        <w:rPr>
          <w:rFonts w:ascii="仿宋" w:hAnsi="仿宋" w:eastAsia="仿宋" w:cs="仿宋"/>
          <w:sz w:val="28"/>
          <w:szCs w:val="28"/>
        </w:rPr>
      </w:pPr>
      <w:r>
        <w:rPr>
          <w:rFonts w:hint="eastAsia" w:ascii="仿宋" w:hAnsi="仿宋" w:eastAsia="仿宋" w:cs="仿宋"/>
          <w:sz w:val="28"/>
          <w:szCs w:val="28"/>
        </w:rPr>
        <w:t>十一、国有资本经营预算财政拨款收入支出决算表</w:t>
      </w:r>
    </w:p>
    <w:p>
      <w:pPr>
        <w:pStyle w:val="11"/>
        <w:adjustRightInd w:val="0"/>
        <w:snapToGrid w:val="0"/>
        <w:spacing w:line="440" w:lineRule="exact"/>
        <w:jc w:val="left"/>
        <w:rPr>
          <w:rFonts w:ascii="仿宋" w:hAnsi="仿宋" w:eastAsia="仿宋" w:cs="仿宋"/>
          <w:sz w:val="28"/>
          <w:szCs w:val="28"/>
        </w:rPr>
      </w:pPr>
      <w:r>
        <w:rPr>
          <w:rFonts w:hint="eastAsia" w:ascii="仿宋" w:hAnsi="仿宋" w:eastAsia="仿宋" w:cs="仿宋"/>
          <w:sz w:val="28"/>
          <w:szCs w:val="28"/>
        </w:rPr>
        <w:t>十二、国有资本经营预算财政拨款支出决算表</w:t>
      </w:r>
    </w:p>
    <w:p>
      <w:pPr>
        <w:pStyle w:val="11"/>
        <w:adjustRightInd w:val="0"/>
        <w:snapToGrid w:val="0"/>
        <w:spacing w:line="440" w:lineRule="exact"/>
        <w:jc w:val="left"/>
        <w:rPr>
          <w:rFonts w:ascii="仿宋" w:hAnsi="仿宋" w:eastAsia="仿宋" w:cs="仿宋"/>
          <w:sz w:val="28"/>
          <w:szCs w:val="28"/>
        </w:rPr>
      </w:pPr>
      <w:r>
        <w:rPr>
          <w:rFonts w:hint="eastAsia" w:ascii="仿宋" w:hAnsi="仿宋" w:eastAsia="仿宋" w:cs="仿宋"/>
          <w:sz w:val="28"/>
          <w:szCs w:val="28"/>
        </w:rPr>
        <w:t>十三、财政拨款“三公”经费支出决算表</w:t>
      </w:r>
    </w:p>
    <w:p>
      <w:pPr>
        <w:widowControl/>
        <w:adjustRightInd w:val="0"/>
        <w:snapToGrid w:val="0"/>
        <w:spacing w:line="440" w:lineRule="exact"/>
        <w:ind w:firstLine="1540" w:firstLineChars="550"/>
        <w:jc w:val="left"/>
        <w:rPr>
          <w:rFonts w:ascii="仿宋" w:hAnsi="仿宋" w:eastAsia="仿宋" w:cs="仿宋"/>
          <w:sz w:val="28"/>
          <w:szCs w:val="28"/>
        </w:rPr>
      </w:pPr>
      <w:r>
        <w:rPr>
          <w:rFonts w:hint="eastAsia" w:ascii="仿宋" w:hAnsi="仿宋" w:eastAsia="仿宋" w:cs="仿宋"/>
          <w:sz w:val="28"/>
          <w:szCs w:val="28"/>
        </w:rPr>
        <w:t>(注：请部门根据实际注明页码)</w:t>
      </w:r>
    </w:p>
    <w:p>
      <w:pPr>
        <w:pStyle w:val="3"/>
        <w:jc w:val="center"/>
        <w:rPr>
          <w:rFonts w:ascii="方正小标宋简体" w:hAnsi="方正小标宋简体" w:eastAsia="方正小标宋简体" w:cs="方正小标宋简体"/>
          <w:b w:val="0"/>
        </w:rPr>
      </w:pPr>
    </w:p>
    <w:p>
      <w:pPr>
        <w:pStyle w:val="3"/>
        <w:ind w:firstLine="1320" w:firstLineChars="300"/>
        <w:rPr>
          <w:rStyle w:val="24"/>
          <w:rFonts w:ascii="方正小标宋简体" w:hAnsi="方正小标宋简体" w:eastAsia="方正小标宋简体" w:cs="方正小标宋简体"/>
          <w:b/>
          <w:bCs w:val="0"/>
        </w:rPr>
      </w:pPr>
      <w:r>
        <w:rPr>
          <w:rFonts w:hint="eastAsia" w:ascii="方正小标宋简体" w:hAnsi="方正小标宋简体" w:eastAsia="方正小标宋简体" w:cs="方正小标宋简体"/>
          <w:b w:val="0"/>
        </w:rPr>
        <w:t xml:space="preserve">第一部分 </w:t>
      </w:r>
      <w:r>
        <w:rPr>
          <w:rStyle w:val="24"/>
          <w:rFonts w:hint="eastAsia" w:ascii="方正小标宋简体" w:hAnsi="方正小标宋简体" w:eastAsia="方正小标宋简体" w:cs="方正小标宋简体"/>
          <w:b w:val="0"/>
          <w:bCs w:val="0"/>
        </w:rPr>
        <w:t>殡葬</w:t>
      </w:r>
      <w:r>
        <w:rPr>
          <w:rStyle w:val="24"/>
          <w:rFonts w:hint="eastAsia" w:ascii="方正小标宋简体" w:hAnsi="方正小标宋简体" w:eastAsia="方正小标宋简体" w:cs="方正小标宋简体"/>
          <w:b w:val="0"/>
          <w:bCs w:val="0"/>
          <w:lang w:eastAsia="zh-CN"/>
        </w:rPr>
        <w:t>事务</w:t>
      </w:r>
      <w:r>
        <w:rPr>
          <w:rStyle w:val="24"/>
          <w:rFonts w:hint="eastAsia" w:ascii="方正小标宋简体" w:hAnsi="方正小标宋简体" w:eastAsia="方正小标宋简体" w:cs="方正小标宋简体"/>
          <w:b w:val="0"/>
          <w:bCs w:val="0"/>
        </w:rPr>
        <w:t>服务中心概况</w:t>
      </w:r>
      <w:bookmarkEnd w:id="12"/>
      <w:bookmarkEnd w:id="13"/>
    </w:p>
    <w:p>
      <w:pPr>
        <w:pStyle w:val="4"/>
        <w:ind w:firstLine="643" w:firstLineChars="200"/>
        <w:rPr>
          <w:rStyle w:val="25"/>
          <w:rFonts w:ascii="黑体" w:hAnsi="黑体" w:eastAsia="黑体"/>
          <w:b/>
          <w:bCs/>
        </w:rPr>
      </w:pPr>
      <w:bookmarkStart w:id="14" w:name="_Toc15377197"/>
      <w:bookmarkStart w:id="15" w:name="_Toc15396600"/>
      <w:bookmarkStart w:id="16" w:name="_Toc15378445"/>
      <w:bookmarkStart w:id="17" w:name="_Toc15377198"/>
      <w:r>
        <w:rPr>
          <w:rStyle w:val="25"/>
          <w:rFonts w:hint="eastAsia" w:ascii="黑体" w:hAnsi="黑体" w:eastAsia="黑体"/>
          <w:b/>
          <w:bCs/>
        </w:rPr>
        <w:t>一、主要职责</w:t>
      </w:r>
    </w:p>
    <w:p>
      <w:pPr>
        <w:ind w:firstLine="640"/>
        <w:rPr>
          <w:rFonts w:ascii="仿宋" w:hAnsi="仿宋" w:eastAsia="仿宋"/>
          <w:bCs/>
          <w:color w:val="000000"/>
          <w:sz w:val="32"/>
          <w:szCs w:val="32"/>
        </w:rPr>
      </w:pPr>
      <w:r>
        <w:rPr>
          <w:rFonts w:hint="eastAsia" w:ascii="仿宋_GB2312" w:hAnsi="仿宋" w:eastAsia="仿宋_GB2312"/>
          <w:bCs/>
          <w:sz w:val="32"/>
          <w:szCs w:val="32"/>
        </w:rPr>
        <w:t>峨眉山市殡葬</w:t>
      </w:r>
      <w:r>
        <w:rPr>
          <w:rFonts w:hint="eastAsia" w:ascii="仿宋_GB2312" w:hAnsi="仿宋" w:eastAsia="仿宋_GB2312"/>
          <w:bCs/>
          <w:sz w:val="32"/>
          <w:szCs w:val="32"/>
          <w:lang w:eastAsia="zh-CN"/>
        </w:rPr>
        <w:t>事务</w:t>
      </w:r>
      <w:r>
        <w:rPr>
          <w:rFonts w:hint="eastAsia" w:ascii="仿宋_GB2312" w:hAnsi="仿宋" w:eastAsia="仿宋_GB2312"/>
          <w:bCs/>
          <w:sz w:val="32"/>
          <w:szCs w:val="32"/>
        </w:rPr>
        <w:t>服务中心隶属于民政局下属全额拨款事业单位，</w:t>
      </w:r>
      <w:r>
        <w:rPr>
          <w:rFonts w:hint="eastAsia" w:ascii="仿宋" w:hAnsi="仿宋" w:eastAsia="仿宋"/>
          <w:bCs/>
          <w:color w:val="000000"/>
          <w:sz w:val="32"/>
          <w:szCs w:val="32"/>
        </w:rPr>
        <w:t>承担基本殡葬工作，负责遗体接运、遗体抬尸、遗体火化、骨灰寄存、遗体冷藏等基本服务。</w:t>
      </w:r>
    </w:p>
    <w:p>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hAnsi="仿宋"/>
          <w:bCs/>
          <w:sz w:val="32"/>
          <w:szCs w:val="32"/>
        </w:rPr>
        <w:t>2022年有在编职工12人（其中领导职数2人），会议纪要3人，长聘人员3人。一直担负着峨眉、夹江、沙湾、峨边、金口河等各地区县的火化和遗体接运任务，火化遗体4695具。</w:t>
      </w:r>
    </w:p>
    <w:p>
      <w:pPr>
        <w:pStyle w:val="4"/>
        <w:ind w:firstLine="640" w:firstLineChars="200"/>
        <w:rPr>
          <w:rFonts w:ascii="黑体" w:hAnsi="黑体" w:eastAsia="黑体"/>
          <w:b w:val="0"/>
        </w:rPr>
      </w:pPr>
      <w:r>
        <w:rPr>
          <w:rFonts w:hint="eastAsia" w:ascii="黑体" w:hAnsi="黑体" w:eastAsia="黑体"/>
          <w:b w:val="0"/>
        </w:rPr>
        <w:t>二、机构设置</w:t>
      </w:r>
    </w:p>
    <w:p>
      <w:pPr>
        <w:ind w:firstLine="640" w:firstLineChars="200"/>
        <w:rPr>
          <w:rFonts w:ascii="仿宋" w:hAnsi="仿宋" w:eastAsia="仿宋"/>
          <w:sz w:val="32"/>
          <w:szCs w:val="32"/>
        </w:rPr>
      </w:pPr>
      <w:r>
        <w:rPr>
          <w:rFonts w:hint="eastAsia" w:ascii="仿宋" w:hAnsi="仿宋" w:eastAsia="仿宋"/>
          <w:sz w:val="32"/>
          <w:szCs w:val="32"/>
        </w:rPr>
        <w:t>峨眉山市殡葬</w:t>
      </w:r>
      <w:r>
        <w:rPr>
          <w:rFonts w:hint="eastAsia" w:ascii="仿宋" w:hAnsi="仿宋" w:eastAsia="仿宋"/>
          <w:sz w:val="32"/>
          <w:szCs w:val="32"/>
          <w:lang w:eastAsia="zh-CN"/>
        </w:rPr>
        <w:t>事务</w:t>
      </w:r>
      <w:r>
        <w:rPr>
          <w:rFonts w:hint="eastAsia" w:ascii="仿宋" w:hAnsi="仿宋" w:eastAsia="仿宋"/>
          <w:sz w:val="32"/>
          <w:szCs w:val="32"/>
        </w:rPr>
        <w:t>服务中心,属于峨眉山市民政局部门下属的二级预算单位，下设独立编制机构1个，其中行政机构0个，参照公务员法管理的事业机构0个，其他事业机构1个。</w:t>
      </w:r>
    </w:p>
    <w:bookmarkEnd w:id="14"/>
    <w:bookmarkEnd w:id="15"/>
    <w:bookmarkEnd w:id="16"/>
    <w:bookmarkEnd w:id="17"/>
    <w:p>
      <w:pPr>
        <w:pStyle w:val="2"/>
        <w:adjustRightInd w:val="0"/>
        <w:snapToGrid w:val="0"/>
        <w:spacing w:before="93" w:line="600" w:lineRule="exact"/>
        <w:ind w:firstLine="672" w:firstLineChars="210"/>
        <w:outlineLvl w:val="2"/>
        <w:rPr>
          <w:rFonts w:ascii="黑体" w:hAnsi="黑体" w:eastAsia="黑体" w:cs="黑体"/>
          <w:bCs/>
          <w:color w:val="000000"/>
          <w:sz w:val="32"/>
          <w:szCs w:val="32"/>
        </w:rPr>
      </w:pPr>
      <w:bookmarkStart w:id="18" w:name="_Toc15378446"/>
      <w:bookmarkStart w:id="19" w:name="_Toc15377199"/>
      <w:r>
        <w:rPr>
          <w:rFonts w:hint="eastAsia" w:ascii="黑体" w:hAnsi="黑体" w:eastAsia="黑体" w:cs="黑体"/>
          <w:bCs/>
          <w:color w:val="000000"/>
          <w:sz w:val="32"/>
          <w:szCs w:val="32"/>
        </w:rPr>
        <w:t>三、2022年重点工作完成情况。</w:t>
      </w:r>
      <w:bookmarkEnd w:id="18"/>
      <w:bookmarkEnd w:id="19"/>
    </w:p>
    <w:p>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hAnsi="仿宋"/>
          <w:bCs/>
          <w:sz w:val="32"/>
          <w:szCs w:val="32"/>
        </w:rPr>
        <w:t>按年初收入预算400万，实际上缴财政472.66万元。火化遗体4695具，接运遗体800具。年底决算,财政补助收入406.70万元，年初结转结余16.01万（其中中央福彩公益金15万，残保金1.01万元）。按会议纪要文件精神，殡葬收费上缴收入全额返还作为基本殡葬运转成本，财政实拔生产成本44.34万元,劳务绩效82.25万元，以收定支差额346.07万元。</w:t>
      </w:r>
    </w:p>
    <w:p>
      <w:pPr>
        <w:widowControl/>
        <w:jc w:val="left"/>
        <w:rPr>
          <w:rFonts w:ascii="黑体" w:hAnsi="黑体" w:eastAsia="黑体"/>
          <w:color w:val="000000"/>
        </w:rPr>
      </w:pPr>
      <w:bookmarkStart w:id="20" w:name="_Toc15377204"/>
      <w:bookmarkStart w:id="21" w:name="_Toc15396602"/>
    </w:p>
    <w:p>
      <w:pPr>
        <w:widowControl/>
        <w:ind w:firstLine="440" w:firstLineChars="100"/>
        <w:jc w:val="left"/>
        <w:rPr>
          <w:rFonts w:ascii="黑体" w:hAnsi="黑体" w:eastAsia="黑体"/>
          <w:color w:val="000000"/>
          <w:sz w:val="44"/>
          <w:szCs w:val="44"/>
        </w:rPr>
      </w:pPr>
    </w:p>
    <w:p>
      <w:pPr>
        <w:widowControl/>
        <w:ind w:firstLine="440" w:firstLineChars="100"/>
        <w:jc w:val="left"/>
        <w:rPr>
          <w:rFonts w:ascii="方正小标宋简体" w:hAnsi="方正小标宋简体" w:eastAsia="方正小标宋简体" w:cs="方正小标宋简体"/>
          <w:color w:val="000000"/>
          <w:sz w:val="44"/>
          <w:szCs w:val="44"/>
        </w:rPr>
      </w:pPr>
    </w:p>
    <w:p>
      <w:pPr>
        <w:widowControl/>
        <w:ind w:firstLine="440" w:firstLineChars="100"/>
        <w:jc w:val="left"/>
        <w:rPr>
          <w:rStyle w:val="24"/>
          <w:rFonts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color w:val="000000"/>
          <w:sz w:val="44"/>
          <w:szCs w:val="44"/>
        </w:rPr>
        <w:t>第二部分</w:t>
      </w:r>
      <w:r>
        <w:rPr>
          <w:rFonts w:hint="eastAsia" w:ascii="方正小标宋简体" w:hAnsi="方正小标宋简体" w:eastAsia="方正小标宋简体" w:cs="方正小标宋简体"/>
          <w:color w:val="000000"/>
        </w:rPr>
        <w:t xml:space="preserve"> </w:t>
      </w:r>
      <w:r>
        <w:rPr>
          <w:rStyle w:val="24"/>
          <w:rFonts w:hint="eastAsia" w:ascii="方正小标宋简体" w:hAnsi="方正小标宋简体" w:eastAsia="方正小标宋简体" w:cs="方正小标宋简体"/>
          <w:b w:val="0"/>
          <w:bCs w:val="0"/>
        </w:rPr>
        <w:t>2022年度部门决算情况说明</w:t>
      </w:r>
      <w:bookmarkEnd w:id="20"/>
      <w:bookmarkEnd w:id="21"/>
    </w:p>
    <w:p/>
    <w:p>
      <w:pPr>
        <w:pStyle w:val="23"/>
        <w:numPr>
          <w:ilvl w:val="0"/>
          <w:numId w:val="1"/>
        </w:numPr>
        <w:spacing w:line="600" w:lineRule="exact"/>
        <w:ind w:firstLineChars="0"/>
        <w:outlineLvl w:val="1"/>
        <w:rPr>
          <w:rStyle w:val="25"/>
          <w:rFonts w:ascii="黑体" w:hAnsi="黑体" w:eastAsia="黑体"/>
          <w:b w:val="0"/>
        </w:rPr>
      </w:pPr>
      <w:bookmarkStart w:id="22" w:name="_Toc15396603"/>
      <w:bookmarkStart w:id="23"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2"/>
      <w:bookmarkEnd w:id="23"/>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2022年收入406.70万元（其中年初结转16.01万元），支出422.71万元，预算资金安排到位，与2021年相比增减不大，2021年收入477.59万元（其中年初结转0.3万元），支出462.9万元。与2021年相比，2022年收入减少70.89万元，下降14.84%；支出减少40.19万元，下降8.68%。</w:t>
      </w:r>
    </w:p>
    <w:p>
      <w:pPr>
        <w:pStyle w:val="2"/>
        <w:spacing w:before="93"/>
      </w:pPr>
      <w:r>
        <w:rPr>
          <w:rFonts w:hint="eastAsia" w:hAnsi="仿宋"/>
          <w:sz w:val="32"/>
          <w:szCs w:val="32"/>
        </w:rPr>
        <w:t xml:space="preserve">        </w:t>
      </w:r>
      <w:r>
        <w:drawing>
          <wp:inline distT="0" distB="0" distL="114300" distR="114300">
            <wp:extent cx="4000500" cy="2743200"/>
            <wp:effectExtent l="4445" t="5080" r="14605" b="13970"/>
            <wp:docPr id="156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3"/>
        <w:numPr>
          <w:ilvl w:val="0"/>
          <w:numId w:val="1"/>
        </w:numPr>
        <w:spacing w:line="600" w:lineRule="exact"/>
        <w:ind w:firstLineChars="0"/>
        <w:outlineLvl w:val="1"/>
        <w:rPr>
          <w:rStyle w:val="25"/>
          <w:rFonts w:ascii="黑体" w:hAnsi="黑体" w:eastAsia="黑体"/>
          <w:b w:val="0"/>
        </w:rPr>
      </w:pPr>
      <w:bookmarkStart w:id="24" w:name="_Toc15377206"/>
      <w:bookmarkStart w:id="25"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4"/>
      <w:bookmarkEnd w:id="25"/>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22年本年收入合计406.70万元，其中：一般公共预算财政拨款收入277.93万元，占68.34</w:t>
      </w:r>
      <w:r>
        <w:rPr>
          <w:rFonts w:ascii="仿宋" w:hAnsi="仿宋" w:eastAsia="仿宋"/>
          <w:color w:val="000000"/>
          <w:sz w:val="32"/>
          <w:szCs w:val="32"/>
        </w:rPr>
        <w:t>%</w:t>
      </w:r>
      <w:r>
        <w:rPr>
          <w:rFonts w:hint="eastAsia" w:ascii="仿宋" w:hAnsi="仿宋" w:eastAsia="仿宋"/>
          <w:color w:val="000000"/>
          <w:sz w:val="32"/>
          <w:szCs w:val="32"/>
        </w:rPr>
        <w:t>，政府性基金预算财政拨款128.77万元，占31.66%。</w:t>
      </w:r>
    </w:p>
    <w:p>
      <w:pPr>
        <w:pStyle w:val="2"/>
        <w:spacing w:before="93"/>
      </w:pPr>
      <w:r>
        <w:rPr>
          <w:rFonts w:hint="eastAsia" w:ascii="仿宋" w:hAnsi="仿宋" w:eastAsia="仿宋"/>
          <w:color w:val="000000"/>
          <w:sz w:val="32"/>
          <w:szCs w:val="32"/>
        </w:rPr>
        <w:t xml:space="preserve">      </w:t>
      </w:r>
      <w:r>
        <w:drawing>
          <wp:inline distT="0" distB="0" distL="114300" distR="114300">
            <wp:extent cx="4000500" cy="2743835"/>
            <wp:effectExtent l="4445" t="5080" r="14605" b="13335"/>
            <wp:docPr id="1563"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
        <w:spacing w:before="93"/>
      </w:pPr>
    </w:p>
    <w:p>
      <w:pPr>
        <w:pStyle w:val="23"/>
        <w:numPr>
          <w:ilvl w:val="0"/>
          <w:numId w:val="1"/>
        </w:numPr>
        <w:spacing w:line="600" w:lineRule="exact"/>
        <w:ind w:firstLineChars="0"/>
        <w:outlineLvl w:val="1"/>
        <w:rPr>
          <w:rStyle w:val="25"/>
          <w:rFonts w:ascii="黑体" w:hAnsi="黑体" w:eastAsia="黑体"/>
          <w:b w:val="0"/>
        </w:rPr>
      </w:pPr>
      <w:bookmarkStart w:id="26" w:name="_Toc15377207"/>
      <w:bookmarkStart w:id="27"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6"/>
      <w:bookmarkEnd w:id="27"/>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22年本年支出合计422.71万元，其中：基本支出275.34万元，占65.14</w:t>
      </w:r>
      <w:r>
        <w:rPr>
          <w:rFonts w:ascii="仿宋" w:hAnsi="仿宋" w:eastAsia="仿宋"/>
          <w:color w:val="000000"/>
          <w:sz w:val="32"/>
          <w:szCs w:val="32"/>
        </w:rPr>
        <w:t>%</w:t>
      </w:r>
      <w:r>
        <w:rPr>
          <w:rFonts w:hint="eastAsia" w:ascii="仿宋" w:hAnsi="仿宋" w:eastAsia="仿宋"/>
          <w:color w:val="000000"/>
          <w:sz w:val="32"/>
          <w:szCs w:val="32"/>
        </w:rPr>
        <w:t>；项目支出147.37万元，占34.86</w:t>
      </w:r>
      <w:r>
        <w:rPr>
          <w:rFonts w:ascii="仿宋" w:hAnsi="仿宋" w:eastAsia="仿宋"/>
          <w:color w:val="000000"/>
          <w:sz w:val="32"/>
          <w:szCs w:val="32"/>
        </w:rPr>
        <w:t>%</w:t>
      </w:r>
      <w:r>
        <w:rPr>
          <w:rFonts w:hint="eastAsia" w:ascii="仿宋" w:hAnsi="仿宋" w:eastAsia="仿宋"/>
          <w:color w:val="000000"/>
          <w:sz w:val="32"/>
          <w:szCs w:val="32"/>
        </w:rPr>
        <w:t>，年终结转0万元。</w:t>
      </w:r>
    </w:p>
    <w:p>
      <w:pPr>
        <w:pStyle w:val="2"/>
        <w:spacing w:before="93"/>
      </w:pPr>
      <w:r>
        <w:rPr>
          <w:rFonts w:hint="eastAsia" w:ascii="仿宋" w:hAnsi="仿宋" w:eastAsia="仿宋"/>
          <w:color w:val="000000"/>
          <w:sz w:val="32"/>
          <w:szCs w:val="32"/>
        </w:rPr>
        <w:t xml:space="preserve">      </w:t>
      </w:r>
      <w:r>
        <w:drawing>
          <wp:inline distT="0" distB="0" distL="114300" distR="114300">
            <wp:extent cx="4000500" cy="2743200"/>
            <wp:effectExtent l="4445" t="5080" r="14605" b="13970"/>
            <wp:docPr id="1564"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5"/>
          <w:rFonts w:ascii="黑体" w:hAnsi="黑体" w:eastAsia="黑体"/>
          <w:b w:val="0"/>
        </w:rPr>
      </w:pPr>
      <w:bookmarkStart w:id="28" w:name="_Toc15396606"/>
      <w:bookmarkStart w:id="29"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28"/>
      <w:bookmarkEnd w:id="29"/>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2022年财政拨款收入406.70万元，支出422.71万元，预算资金安排到位，与2021年相比增减不大，2021年财政拨款收入477.59万元，支出462.9万元。与2021年相比，2021年收入减少70.89元；支出减少40.19万元，下降8.68%。主要是生产成本柴油汽油用以前年度剩余，未购买。</w:t>
      </w:r>
    </w:p>
    <w:p>
      <w:pPr>
        <w:pStyle w:val="2"/>
        <w:spacing w:before="93"/>
      </w:pPr>
      <w:r>
        <w:rPr>
          <w:rFonts w:hint="eastAsia" w:hAnsi="仿宋"/>
          <w:sz w:val="32"/>
          <w:szCs w:val="32"/>
        </w:rPr>
        <w:t xml:space="preserve">     </w:t>
      </w:r>
      <w:r>
        <w:drawing>
          <wp:inline distT="0" distB="0" distL="114300" distR="114300">
            <wp:extent cx="4151630" cy="3266440"/>
            <wp:effectExtent l="4445" t="4445" r="15875" b="5715"/>
            <wp:docPr id="1560"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5"/>
          <w:rFonts w:ascii="黑体" w:hAnsi="黑体" w:eastAsia="黑体"/>
          <w:b w:val="0"/>
        </w:rPr>
      </w:pPr>
      <w:bookmarkStart w:id="30" w:name="_Toc15377209"/>
      <w:bookmarkStart w:id="31"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0"/>
      <w:bookmarkEnd w:id="31"/>
    </w:p>
    <w:p>
      <w:pPr>
        <w:spacing w:line="600" w:lineRule="exact"/>
        <w:ind w:firstLine="643" w:firstLineChars="200"/>
        <w:outlineLvl w:val="2"/>
        <w:rPr>
          <w:rFonts w:ascii="仿宋" w:hAnsi="仿宋" w:eastAsia="仿宋"/>
          <w:b/>
          <w:color w:val="000000"/>
          <w:sz w:val="32"/>
          <w:szCs w:val="32"/>
        </w:rPr>
      </w:pPr>
      <w:bookmarkStart w:id="32" w:name="_Toc15377210"/>
      <w:r>
        <w:rPr>
          <w:rFonts w:hint="eastAsia" w:ascii="仿宋" w:hAnsi="仿宋" w:eastAsia="仿宋"/>
          <w:b/>
          <w:color w:val="000000"/>
          <w:sz w:val="32"/>
          <w:szCs w:val="32"/>
        </w:rPr>
        <w:t>（一）一般公共预算财政拨款支出决算总体情况</w:t>
      </w:r>
      <w:bookmarkEnd w:id="32"/>
    </w:p>
    <w:p>
      <w:pPr>
        <w:snapToGrid w:val="0"/>
        <w:spacing w:line="52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22年一般公共预算财政拨款支出278.94万元，占全年支出的65.99</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21年相比，一般公共预算财政拨款减少</w:t>
      </w:r>
      <w:r>
        <w:rPr>
          <w:rFonts w:hint="eastAsia" w:ascii="仿宋_GB2312" w:hAnsi="仿宋" w:eastAsia="仿宋_GB2312"/>
          <w:sz w:val="32"/>
          <w:szCs w:val="32"/>
        </w:rPr>
        <w:t>183.96</w:t>
      </w:r>
      <w:r>
        <w:rPr>
          <w:rFonts w:hint="eastAsia" w:ascii="仿宋" w:hAnsi="仿宋" w:eastAsia="仿宋"/>
          <w:color w:val="000000"/>
          <w:sz w:val="32"/>
          <w:szCs w:val="32"/>
        </w:rPr>
        <w:t>万元，下降</w:t>
      </w:r>
      <w:r>
        <w:rPr>
          <w:rFonts w:hint="eastAsia" w:ascii="仿宋_GB2312" w:hAnsi="仿宋" w:eastAsia="仿宋_GB2312"/>
          <w:sz w:val="32"/>
          <w:szCs w:val="32"/>
        </w:rPr>
        <w:t>39.74</w:t>
      </w:r>
      <w:r>
        <w:rPr>
          <w:rFonts w:ascii="仿宋" w:hAnsi="仿宋" w:eastAsia="仿宋"/>
          <w:color w:val="000000"/>
          <w:sz w:val="32"/>
          <w:szCs w:val="32"/>
        </w:rPr>
        <w:t>%</w:t>
      </w:r>
      <w:r>
        <w:rPr>
          <w:rFonts w:hint="eastAsia" w:ascii="仿宋" w:hAnsi="仿宋" w:eastAsia="仿宋"/>
          <w:color w:val="000000"/>
          <w:sz w:val="32"/>
          <w:szCs w:val="32"/>
        </w:rPr>
        <w:t>。主要原因是项目作为政府性基金预算128.77万元。</w:t>
      </w:r>
    </w:p>
    <w:p>
      <w:pPr>
        <w:pStyle w:val="2"/>
        <w:spacing w:before="93"/>
      </w:pPr>
      <w:r>
        <w:rPr>
          <w:rFonts w:hint="eastAsia" w:ascii="仿宋" w:hAnsi="仿宋" w:eastAsia="仿宋"/>
          <w:color w:val="000000"/>
          <w:sz w:val="32"/>
          <w:szCs w:val="32"/>
        </w:rPr>
        <w:t xml:space="preserve">   </w:t>
      </w:r>
      <w:r>
        <w:drawing>
          <wp:inline distT="0" distB="0" distL="114300" distR="114300">
            <wp:extent cx="4572000" cy="2743200"/>
            <wp:effectExtent l="4445" t="4445" r="14605" b="14605"/>
            <wp:docPr id="156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color w:val="000000"/>
          <w:sz w:val="32"/>
          <w:szCs w:val="32"/>
        </w:rPr>
      </w:pPr>
      <w:bookmarkStart w:id="33" w:name="_Toc15377211"/>
      <w:r>
        <w:rPr>
          <w:rFonts w:hint="eastAsia" w:ascii="仿宋" w:hAnsi="仿宋" w:eastAsia="仿宋"/>
          <w:b/>
          <w:color w:val="000000"/>
          <w:sz w:val="32"/>
          <w:szCs w:val="32"/>
        </w:rPr>
        <w:t>（二）一般公共预算财政拨款支出决算结构情况</w:t>
      </w:r>
      <w:bookmarkEnd w:id="33"/>
    </w:p>
    <w:p>
      <w:pPr>
        <w:spacing w:line="600" w:lineRule="exact"/>
        <w:ind w:firstLine="640"/>
      </w:pPr>
      <w:r>
        <w:rPr>
          <w:rFonts w:ascii="仿宋" w:hAnsi="仿宋" w:eastAsia="仿宋"/>
          <w:color w:val="000000"/>
          <w:sz w:val="32"/>
          <w:szCs w:val="32"/>
        </w:rPr>
        <w:t>20</w:t>
      </w:r>
      <w:r>
        <w:rPr>
          <w:rFonts w:hint="eastAsia" w:ascii="仿宋" w:hAnsi="仿宋" w:eastAsia="仿宋"/>
          <w:color w:val="000000"/>
          <w:sz w:val="32"/>
          <w:szCs w:val="32"/>
        </w:rPr>
        <w:t>22年一般公共预算财</w:t>
      </w:r>
      <w:r>
        <w:rPr>
          <w:rFonts w:hint="eastAsia" w:ascii="仿宋" w:hAnsi="仿宋" w:eastAsia="仿宋"/>
          <w:color w:val="000000" w:themeColor="text1"/>
          <w:sz w:val="32"/>
          <w:szCs w:val="32"/>
          <w14:textFill>
            <w14:solidFill>
              <w14:schemeClr w14:val="tx1"/>
            </w14:solidFill>
          </w14:textFill>
        </w:rPr>
        <w:t>政拨款支出278.94元，主要用于以下三个方面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支出257.54万元，占92.33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14:textFill>
            <w14:solidFill>
              <w14:schemeClr w14:val="tx1"/>
            </w14:solidFill>
          </w14:textFill>
        </w:rPr>
        <w:t>5.36万元，占1.92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；住房保障支出16.04万元，占5.75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3" w:firstLineChars="200"/>
        <w:outlineLvl w:val="2"/>
        <w:rPr>
          <w:rFonts w:ascii="仿宋" w:hAnsi="仿宋" w:eastAsia="仿宋"/>
          <w:b/>
          <w:color w:val="000000"/>
          <w:sz w:val="32"/>
          <w:szCs w:val="32"/>
        </w:rPr>
      </w:pPr>
      <w:bookmarkStart w:id="34" w:name="_Toc15377212"/>
      <w:r>
        <w:rPr>
          <w:rFonts w:hint="eastAsia" w:ascii="仿宋" w:hAnsi="仿宋" w:eastAsia="仿宋"/>
          <w:b/>
          <w:color w:val="000000"/>
          <w:sz w:val="32"/>
          <w:szCs w:val="32"/>
        </w:rPr>
        <w:t>（三）一般公共预算财政拨款支出决算具体情况</w:t>
      </w:r>
      <w:bookmarkEnd w:id="34"/>
    </w:p>
    <w:p>
      <w:pPr>
        <w:spacing w:line="600" w:lineRule="exact"/>
        <w:ind w:firstLine="643" w:firstLineChars="200"/>
        <w:outlineLvl w:val="2"/>
        <w:rPr>
          <w:rFonts w:ascii="仿宋" w:hAnsi="仿宋" w:eastAsia="仿宋"/>
          <w:b/>
          <w:color w:val="000000"/>
          <w:sz w:val="32"/>
          <w:szCs w:val="32"/>
        </w:rPr>
      </w:pPr>
      <w:bookmarkStart w:id="35" w:name="_Toc15377444"/>
      <w:bookmarkStart w:id="36" w:name="_Toc15378460"/>
      <w:bookmarkStart w:id="37" w:name="_Toc15377213"/>
      <w:r>
        <w:rPr>
          <w:rFonts w:hint="eastAsia" w:ascii="仿宋" w:hAnsi="仿宋" w:eastAsia="仿宋"/>
          <w:b/>
          <w:color w:val="000000" w:themeColor="text1"/>
          <w:sz w:val="32"/>
          <w:szCs w:val="32"/>
          <w14:textFill>
            <w14:solidFill>
              <w14:schemeClr w14:val="tx1"/>
            </w14:solidFill>
          </w14:textFill>
        </w:rPr>
        <w:t>2022年一般公共预算支出决算数为278.94万元</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5"/>
      <w:bookmarkEnd w:id="36"/>
      <w:bookmarkEnd w:id="37"/>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社会保障和就业支出情况</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14:textFill>
            <w14:solidFill>
              <w14:schemeClr w14:val="tx1"/>
            </w14:solidFill>
          </w14:textFill>
        </w:rPr>
        <w:t>257.54</w:t>
      </w:r>
      <w:r>
        <w:rPr>
          <w:rStyle w:val="14"/>
          <w:rFonts w:hint="eastAsia" w:ascii="仿宋" w:hAnsi="仿宋" w:eastAsia="仿宋"/>
          <w:b w:val="0"/>
          <w:bCs/>
          <w:color w:val="000000"/>
          <w:sz w:val="32"/>
          <w:szCs w:val="32"/>
        </w:rPr>
        <w:t>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（1）2080505机关事业单位基本养老保险缴费支出决算为13.43万元，完成预算100%。</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（2）2080506机关事业单位职业年金缴费支出决算数为6.61万元，完成预算100%。</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（3）2089999其他社会保障和就业支出决算数为0.71万元，完成预算100%。</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（4）2081004殡葬支出决算数为236.75万元，完成预算100%。</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color w:val="000000"/>
          <w:sz w:val="32"/>
          <w:szCs w:val="32"/>
        </w:rPr>
        <w:t>2.卫生健康支出情况</w:t>
      </w:r>
      <w:r>
        <w:rPr>
          <w:rStyle w:val="14"/>
          <w:rFonts w:hint="eastAsia" w:ascii="仿宋" w:hAnsi="仿宋" w:eastAsia="仿宋"/>
          <w:b w:val="0"/>
          <w:bCs/>
          <w:color w:val="000000"/>
          <w:sz w:val="32"/>
          <w:szCs w:val="32"/>
        </w:rPr>
        <w:t>：2101102事业单位医疗支出决算数为5.36万元，完成预算100%。</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color w:val="000000"/>
          <w:sz w:val="32"/>
          <w:szCs w:val="32"/>
        </w:rPr>
        <w:t>3.住房保障支出情况</w:t>
      </w:r>
      <w:r>
        <w:rPr>
          <w:rStyle w:val="14"/>
          <w:rFonts w:hint="eastAsia" w:ascii="仿宋" w:hAnsi="仿宋" w:eastAsia="仿宋"/>
          <w:b w:val="0"/>
          <w:bCs/>
          <w:color w:val="000000"/>
          <w:sz w:val="32"/>
          <w:szCs w:val="32"/>
        </w:rPr>
        <w:t>：2210201住房公积金支出决算数为16.04万元，完成预算100%。</w:t>
      </w:r>
    </w:p>
    <w:p>
      <w:pPr>
        <w:pStyle w:val="2"/>
        <w:spacing w:before="93"/>
      </w:pPr>
      <w:r>
        <w:rPr>
          <w:rStyle w:val="14"/>
          <w:rFonts w:hint="eastAsia" w:ascii="仿宋" w:hAnsi="仿宋" w:eastAsia="仿宋"/>
          <w:b w:val="0"/>
          <w:bCs/>
          <w:color w:val="000000"/>
          <w:sz w:val="32"/>
          <w:szCs w:val="32"/>
        </w:rPr>
        <w:t xml:space="preserve">  </w:t>
      </w:r>
      <w:r>
        <w:drawing>
          <wp:inline distT="0" distB="0" distL="114300" distR="114300">
            <wp:extent cx="4733925" cy="2971800"/>
            <wp:effectExtent l="4445" t="5080" r="5080" b="13970"/>
            <wp:docPr id="156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tabs>
          <w:tab w:val="right" w:pos="8306"/>
        </w:tabs>
        <w:spacing w:line="600" w:lineRule="exact"/>
        <w:ind w:firstLine="640"/>
        <w:outlineLvl w:val="1"/>
        <w:rPr>
          <w:rStyle w:val="25"/>
        </w:rPr>
      </w:pPr>
      <w:bookmarkStart w:id="38" w:name="_Toc15377214"/>
      <w:bookmarkStart w:id="39"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38"/>
      <w:bookmarkEnd w:id="39"/>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22年一般公共预算财政拨款基本支出275.34万元，其中：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253.89万元，主要包括：基本工资、津贴补贴、奖金、伙食补助费、绩效工资、机关事业单位基本养老保险缴费、职业年金缴费、其他社会保障缴费、其他工资福利支出、退休生活补助费、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日常公用经费21.45万元，主要包括：办公费、水费、电费、差旅费、培训费、公务接待费、工会经费、福利费、等。</w:t>
      </w:r>
    </w:p>
    <w:p>
      <w:pPr>
        <w:pStyle w:val="2"/>
        <w:spacing w:before="93"/>
        <w:ind w:firstLine="643" w:firstLineChars="200"/>
        <w:rPr>
          <w:rStyle w:val="25"/>
          <w:rFonts w:ascii="黑体" w:hAnsi="黑体" w:eastAsia="黑体"/>
          <w:b w:val="0"/>
        </w:rPr>
      </w:pPr>
      <w:r>
        <w:rPr>
          <w:rFonts w:hint="eastAsia" w:ascii="黑体" w:eastAsia="黑体"/>
          <w:b/>
          <w:color w:val="000000"/>
          <w:sz w:val="32"/>
          <w:szCs w:val="32"/>
        </w:rPr>
        <w:t>七、</w:t>
      </w:r>
      <w:r>
        <w:rPr>
          <w:rFonts w:hint="eastAsia" w:ascii="黑体" w:hAnsi="黑体" w:eastAsia="黑体"/>
          <w:b/>
          <w:color w:val="000000"/>
          <w:sz w:val="32"/>
          <w:szCs w:val="32"/>
        </w:rPr>
        <w:t>一</w:t>
      </w:r>
      <w:r>
        <w:rPr>
          <w:rStyle w:val="25"/>
          <w:rFonts w:hint="eastAsia" w:ascii="黑体" w:hAnsi="黑体" w:eastAsia="黑体"/>
          <w:b w:val="0"/>
        </w:rPr>
        <w:t>般公共预算财政拨款项目支出决算情况说明</w:t>
      </w:r>
    </w:p>
    <w:p>
      <w:pPr>
        <w:pStyle w:val="2"/>
        <w:spacing w:before="93"/>
        <w:ind w:firstLine="640" w:firstLineChars="200"/>
        <w:rPr>
          <w:rStyle w:val="25"/>
          <w:rFonts w:ascii="黑体" w:hAnsi="黑体" w:eastAsia="仿宋"/>
          <w:b w:val="0"/>
        </w:rPr>
      </w:pPr>
      <w:r>
        <w:rPr>
          <w:rFonts w:ascii="仿宋" w:hAnsi="仿宋" w:eastAsia="仿宋"/>
          <w:color w:val="000000"/>
          <w:sz w:val="32"/>
          <w:szCs w:val="32"/>
        </w:rPr>
        <w:t>20</w:t>
      </w:r>
      <w:r>
        <w:rPr>
          <w:rFonts w:hint="eastAsia" w:ascii="仿宋" w:hAnsi="仿宋" w:eastAsia="仿宋"/>
          <w:color w:val="000000"/>
          <w:sz w:val="32"/>
          <w:szCs w:val="32"/>
        </w:rPr>
        <w:t>22年一般公共预算财政拨款项目支出3.6万元，主要是发放退休职工春节慰问费。</w:t>
      </w:r>
    </w:p>
    <w:p>
      <w:pPr>
        <w:spacing w:line="600" w:lineRule="exact"/>
        <w:ind w:firstLine="640"/>
        <w:outlineLvl w:val="1"/>
        <w:rPr>
          <w:rStyle w:val="25"/>
          <w:rFonts w:ascii="黑体" w:hAnsi="黑体" w:eastAsia="黑体"/>
          <w:b w:val="0"/>
        </w:rPr>
      </w:pPr>
      <w:bookmarkStart w:id="40" w:name="_Toc15396609"/>
      <w:bookmarkStart w:id="41" w:name="_Toc15377215"/>
      <w:r>
        <w:rPr>
          <w:rFonts w:hint="eastAsia" w:ascii="黑体" w:eastAsia="黑体"/>
          <w:color w:val="000000"/>
          <w:sz w:val="32"/>
          <w:szCs w:val="32"/>
        </w:rPr>
        <w:t>八、</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0"/>
      <w:bookmarkEnd w:id="41"/>
    </w:p>
    <w:p>
      <w:pPr>
        <w:spacing w:line="600" w:lineRule="exact"/>
        <w:ind w:firstLine="640"/>
        <w:outlineLvl w:val="2"/>
        <w:rPr>
          <w:rFonts w:ascii="仿宋" w:hAnsi="仿宋" w:eastAsia="仿宋"/>
          <w:b/>
          <w:color w:val="000000"/>
          <w:sz w:val="32"/>
          <w:szCs w:val="32"/>
        </w:rPr>
      </w:pPr>
      <w:bookmarkStart w:id="42" w:name="_Toc15377216"/>
      <w:r>
        <w:rPr>
          <w:rFonts w:hint="eastAsia" w:ascii="仿宋" w:hAnsi="仿宋" w:eastAsia="仿宋"/>
          <w:b/>
          <w:color w:val="000000"/>
          <w:sz w:val="32"/>
          <w:szCs w:val="32"/>
        </w:rPr>
        <w:t>（一）“三公”经费财政拨款支出决算总体情况说明</w:t>
      </w:r>
      <w:bookmarkEnd w:id="42"/>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22年“三公”经费财政拨款支出决算为30.73万元，完成预算100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3" w:name="_Toc15377217"/>
      <w:r>
        <w:rPr>
          <w:rFonts w:hint="eastAsia" w:ascii="仿宋" w:hAnsi="仿宋" w:eastAsia="仿宋"/>
          <w:b/>
          <w:color w:val="000000"/>
          <w:sz w:val="32"/>
          <w:szCs w:val="32"/>
        </w:rPr>
        <w:t>（二）“三公”经费财政拨款支出决算具体情况说明</w:t>
      </w:r>
      <w:bookmarkEnd w:id="43"/>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22年“三公”经费财政拨款支出决算中，公务用车购置及运行维护费支出决算30.60万元，占99.58</w:t>
      </w:r>
      <w:r>
        <w:rPr>
          <w:rFonts w:ascii="仿宋" w:hAnsi="仿宋" w:eastAsia="仿宋"/>
          <w:color w:val="000000"/>
          <w:sz w:val="32"/>
          <w:szCs w:val="32"/>
        </w:rPr>
        <w:t>%</w:t>
      </w:r>
      <w:r>
        <w:rPr>
          <w:rFonts w:hint="eastAsia" w:ascii="仿宋" w:hAnsi="仿宋" w:eastAsia="仿宋"/>
          <w:color w:val="000000"/>
          <w:sz w:val="32"/>
          <w:szCs w:val="32"/>
        </w:rPr>
        <w:t>；公务接待费支出决算0.13万元，占0.42</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rPr>
          <w:rFonts w:ascii="仿宋_GB2312" w:eastAsia="仿宋_GB2312"/>
          <w:b/>
          <w:color w:val="000000"/>
          <w:sz w:val="32"/>
          <w:szCs w:val="32"/>
        </w:rPr>
      </w:pPr>
      <w:r>
        <w:rPr>
          <w:rFonts w:hint="eastAsia" w:ascii="仿宋_GB2312" w:eastAsia="仿宋_GB2312"/>
          <w:b/>
          <w:color w:val="000000"/>
          <w:sz w:val="32"/>
          <w:szCs w:val="32"/>
        </w:rPr>
        <w:t>1</w:t>
      </w:r>
      <w:r>
        <w:rPr>
          <w:rFonts w:ascii="仿宋_GB2312" w:eastAsia="仿宋_GB2312"/>
          <w:b/>
          <w:color w:val="000000"/>
          <w:sz w:val="32"/>
          <w:szCs w:val="32"/>
        </w:rPr>
        <w:t>.</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30.6万元,</w:t>
      </w:r>
      <w:r>
        <w:rPr>
          <w:rStyle w:val="14"/>
          <w:rFonts w:hint="eastAsia" w:ascii="仿宋" w:hAnsi="仿宋" w:eastAsia="仿宋"/>
          <w:b w:val="0"/>
          <w:bCs/>
          <w:color w:val="000000"/>
          <w:sz w:val="32"/>
          <w:szCs w:val="32"/>
        </w:rPr>
        <w:t>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rPr>
        <w:t>21年增加14.07万元，上升85.12</w:t>
      </w:r>
      <w:r>
        <w:rPr>
          <w:rFonts w:ascii="仿宋_GB2312" w:eastAsia="仿宋_GB2312"/>
          <w:color w:val="000000"/>
          <w:sz w:val="32"/>
          <w:szCs w:val="32"/>
        </w:rPr>
        <w:t>%</w:t>
      </w:r>
      <w:r>
        <w:rPr>
          <w:rFonts w:hint="eastAsia" w:ascii="仿宋_GB2312" w:eastAsia="仿宋_GB2312"/>
          <w:color w:val="000000"/>
          <w:sz w:val="32"/>
          <w:szCs w:val="32"/>
        </w:rPr>
        <w:t>。主要原因是2022年用中央福彩基金15万元购置殡仪车一台。</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rPr>
        <w:t>22年</w:t>
      </w:r>
      <w:r>
        <w:rPr>
          <w:rFonts w:ascii="仿宋_GB2312" w:eastAsia="仿宋_GB2312"/>
          <w:color w:val="000000"/>
          <w:sz w:val="32"/>
          <w:szCs w:val="32"/>
        </w:rPr>
        <w:t>12</w:t>
      </w:r>
      <w:r>
        <w:rPr>
          <w:rFonts w:hint="eastAsia" w:ascii="仿宋_GB2312" w:eastAsia="仿宋_GB2312"/>
          <w:color w:val="000000"/>
          <w:sz w:val="32"/>
          <w:szCs w:val="32"/>
        </w:rPr>
        <w:t>月底，单位共有公务用车7辆，其中：应急保障用车1辆、 殡葬特种用车6辆。</w:t>
      </w:r>
    </w:p>
    <w:p>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（1）公务用车运行维护费支出</w:t>
      </w:r>
      <w:r>
        <w:rPr>
          <w:rFonts w:hint="eastAsia" w:ascii="仿宋_GB2312" w:eastAsia="仿宋_GB2312"/>
          <w:color w:val="000000"/>
          <w:sz w:val="32"/>
          <w:szCs w:val="32"/>
        </w:rPr>
        <w:t>15.14万元，主要用于殡葬车接运遗体、接送丧属等所需的公务用车维修费、过路过桥费、洗车费、保险费等支出。</w:t>
      </w:r>
    </w:p>
    <w:p>
      <w:pPr>
        <w:pStyle w:val="2"/>
        <w:spacing w:before="93"/>
        <w:ind w:firstLine="643" w:firstLineChars="200"/>
      </w:pPr>
      <w:r>
        <w:rPr>
          <w:rFonts w:hint="eastAsia"/>
          <w:b/>
          <w:color w:val="000000"/>
          <w:sz w:val="32"/>
          <w:szCs w:val="32"/>
        </w:rPr>
        <w:t>（2）公务用车购置费支出</w:t>
      </w:r>
      <w:r>
        <w:rPr>
          <w:rFonts w:hint="eastAsia"/>
          <w:bCs/>
          <w:color w:val="000000"/>
          <w:sz w:val="32"/>
          <w:szCs w:val="32"/>
        </w:rPr>
        <w:t>15.47万元，主要用于购买殡葬车车费和购置费。</w:t>
      </w:r>
    </w:p>
    <w:p>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2.公务接待费支出</w:t>
      </w:r>
      <w:r>
        <w:rPr>
          <w:rFonts w:hint="eastAsia" w:ascii="仿宋_GB2312" w:eastAsia="仿宋_GB2312"/>
          <w:color w:val="000000"/>
          <w:sz w:val="32"/>
          <w:szCs w:val="32"/>
        </w:rPr>
        <w:t>0.13万元，</w:t>
      </w:r>
      <w:r>
        <w:rPr>
          <w:rStyle w:val="14"/>
          <w:rFonts w:hint="eastAsia" w:ascii="仿宋" w:hAnsi="仿宋" w:eastAsia="仿宋"/>
          <w:b w:val="0"/>
          <w:bCs/>
          <w:color w:val="000000"/>
          <w:sz w:val="32"/>
          <w:szCs w:val="32"/>
        </w:rPr>
        <w:t>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w:t>
      </w:r>
      <w:r>
        <w:rPr>
          <w:rFonts w:hint="eastAsia" w:ascii="仿宋_GB2312" w:eastAsia="仿宋_GB2312"/>
          <w:color w:val="000000"/>
          <w:sz w:val="32"/>
          <w:szCs w:val="32"/>
        </w:rPr>
        <w:t>21年减少0.44万元，减少77.19</w:t>
      </w:r>
      <w:r>
        <w:rPr>
          <w:rFonts w:ascii="仿宋_GB2312" w:eastAsia="仿宋_GB2312"/>
          <w:color w:val="000000"/>
          <w:sz w:val="32"/>
          <w:szCs w:val="32"/>
        </w:rPr>
        <w:t>%</w:t>
      </w:r>
      <w:r>
        <w:rPr>
          <w:rFonts w:hint="eastAsia" w:ascii="仿宋_GB2312" w:eastAsia="仿宋_GB2312"/>
          <w:color w:val="000000"/>
          <w:sz w:val="32"/>
          <w:szCs w:val="32"/>
        </w:rPr>
        <w:t>。</w:t>
      </w:r>
      <w:bookmarkStart w:id="44" w:name="_Toc15377218"/>
      <w:bookmarkStart w:id="45" w:name="_Toc15396610"/>
    </w:p>
    <w:p>
      <w:pPr>
        <w:pStyle w:val="2"/>
        <w:spacing w:before="93"/>
      </w:pPr>
      <w:r>
        <w:rPr>
          <w:rFonts w:hint="eastAsia"/>
          <w:color w:val="000000"/>
          <w:sz w:val="32"/>
          <w:szCs w:val="32"/>
        </w:rPr>
        <w:t xml:space="preserve">    </w:t>
      </w:r>
      <w:r>
        <w:drawing>
          <wp:inline distT="0" distB="0" distL="114300" distR="114300">
            <wp:extent cx="4410075" cy="2743200"/>
            <wp:effectExtent l="4445" t="5080" r="5080" b="13970"/>
            <wp:docPr id="1562"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44"/>
    <w:bookmarkEnd w:id="45"/>
    <w:p>
      <w:pPr>
        <w:spacing w:line="600" w:lineRule="exact"/>
        <w:ind w:firstLine="800" w:firstLineChars="250"/>
        <w:outlineLvl w:val="1"/>
        <w:rPr>
          <w:rStyle w:val="25"/>
          <w:rFonts w:ascii="黑体" w:hAnsi="黑体" w:eastAsia="黑体"/>
          <w:b w:val="0"/>
          <w:bCs w:val="0"/>
        </w:rPr>
      </w:pPr>
      <w:bookmarkStart w:id="46" w:name="_Toc15377221"/>
      <w:bookmarkStart w:id="47" w:name="_Toc15396612"/>
      <w:r>
        <w:rPr>
          <w:rStyle w:val="25"/>
          <w:rFonts w:hint="eastAsia" w:ascii="黑体" w:hAnsi="黑体" w:eastAsia="黑体"/>
          <w:b w:val="0"/>
          <w:bCs w:val="0"/>
        </w:rPr>
        <w:t>九、政府性基金预算支出决算情况说明</w:t>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（一）政府性基金预算财政拨款支出决算总体情况</w:t>
      </w:r>
    </w:p>
    <w:p>
      <w:pPr>
        <w:snapToGrid w:val="0"/>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w:t>
      </w:r>
      <w:r>
        <w:rPr>
          <w:rFonts w:hint="eastAsia" w:ascii="仿宋" w:hAnsi="仿宋" w:eastAsia="仿宋"/>
          <w:color w:val="000000"/>
          <w:sz w:val="32"/>
          <w:szCs w:val="32"/>
        </w:rPr>
        <w:t>22年政府性基金预算财政拨款支出143.77万元，占全年支出的34.01</w:t>
      </w:r>
      <w:r>
        <w:rPr>
          <w:rFonts w:ascii="仿宋" w:hAnsi="仿宋" w:eastAsia="仿宋"/>
          <w:color w:val="000000"/>
          <w:sz w:val="32"/>
          <w:szCs w:val="32"/>
        </w:rPr>
        <w:t>%</w:t>
      </w:r>
      <w:r>
        <w:rPr>
          <w:rFonts w:hint="eastAsia" w:ascii="仿宋" w:hAnsi="仿宋" w:eastAsia="仿宋"/>
          <w:color w:val="000000"/>
          <w:sz w:val="32"/>
          <w:szCs w:val="32"/>
        </w:rPr>
        <w:t>。主要是项目预算全部作为政府性基金预算，2021年项目全部是一般公共预算。</w:t>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（二）政府性基金预算财政拨款支出决算结构情况</w:t>
      </w:r>
    </w:p>
    <w:p>
      <w:pPr>
        <w:spacing w:line="600" w:lineRule="exact"/>
        <w:ind w:firstLine="640"/>
        <w:rPr>
          <w:rFonts w:eastAsia="仿宋"/>
        </w:rPr>
      </w:pPr>
      <w:r>
        <w:rPr>
          <w:rFonts w:ascii="仿宋" w:hAnsi="仿宋" w:eastAsia="仿宋"/>
          <w:color w:val="000000"/>
          <w:sz w:val="32"/>
          <w:szCs w:val="32"/>
        </w:rPr>
        <w:t>20</w:t>
      </w:r>
      <w:r>
        <w:rPr>
          <w:rFonts w:hint="eastAsia" w:ascii="仿宋" w:hAnsi="仿宋" w:eastAsia="仿宋"/>
          <w:color w:val="000000"/>
          <w:sz w:val="32"/>
          <w:szCs w:val="32"/>
        </w:rPr>
        <w:t>22年政府性基金预算财</w:t>
      </w:r>
      <w:r>
        <w:rPr>
          <w:rFonts w:hint="eastAsia" w:ascii="仿宋" w:hAnsi="仿宋" w:eastAsia="仿宋"/>
          <w:color w:val="000000" w:themeColor="text1"/>
          <w:sz w:val="32"/>
          <w:szCs w:val="32"/>
          <w14:textFill>
            <w14:solidFill>
              <w14:schemeClr w14:val="tx1"/>
            </w14:solidFill>
          </w14:textFill>
        </w:rPr>
        <w:t>政拨款支出143.77元，主要用于以下两个方面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城乡社区支出</w:t>
      </w:r>
      <w:r>
        <w:rPr>
          <w:rFonts w:hint="eastAsia" w:ascii="仿宋" w:hAnsi="仿宋" w:eastAsia="仿宋"/>
          <w:color w:val="000000" w:themeColor="text1"/>
          <w:sz w:val="32"/>
          <w:szCs w:val="32"/>
          <w14:textFill>
            <w14:solidFill>
              <w14:schemeClr w14:val="tx1"/>
            </w14:solidFill>
          </w14:textFill>
        </w:rPr>
        <w:t>128.77万元，占89.57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其他支出</w:t>
      </w:r>
      <w:r>
        <w:rPr>
          <w:rFonts w:hint="eastAsia" w:ascii="仿宋" w:hAnsi="仿宋" w:eastAsia="仿宋"/>
          <w:color w:val="000000" w:themeColor="text1"/>
          <w:sz w:val="32"/>
          <w:szCs w:val="32"/>
          <w14:textFill>
            <w14:solidFill>
              <w14:schemeClr w14:val="tx1"/>
            </w14:solidFill>
          </w14:textFill>
        </w:rPr>
        <w:t>15万元，占10.43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（三）政府性基金预算财政拨款支出决算具体情况</w:t>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themeColor="text1"/>
          <w:sz w:val="32"/>
          <w:szCs w:val="32"/>
          <w14:textFill>
            <w14:solidFill>
              <w14:schemeClr w14:val="tx1"/>
            </w14:solidFill>
          </w14:textFill>
        </w:rPr>
        <w:t>2022年政府性基金预算支出决算数为143.77万元</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w:t>
      </w:r>
      <w:r>
        <w:rPr>
          <w:rStyle w:val="14"/>
          <w:rFonts w:ascii="仿宋" w:hAnsi="仿宋" w:eastAsia="仿宋"/>
          <w:bCs/>
          <w:color w:val="000000"/>
          <w:sz w:val="32"/>
          <w:szCs w:val="32"/>
        </w:rPr>
        <w:t>.</w:t>
      </w:r>
      <w:r>
        <w:rPr>
          <w:rFonts w:hint="eastAsia" w:ascii="仿宋" w:hAnsi="仿宋" w:eastAsia="仿宋"/>
          <w:b/>
          <w:color w:val="000000" w:themeColor="text1"/>
          <w:sz w:val="32"/>
          <w:szCs w:val="32"/>
          <w14:textFill>
            <w14:solidFill>
              <w14:schemeClr w14:val="tx1"/>
            </w14:solidFill>
          </w14:textFill>
        </w:rPr>
        <w:t>城乡社区支出</w:t>
      </w:r>
      <w:r>
        <w:rPr>
          <w:rStyle w:val="14"/>
          <w:rFonts w:hint="eastAsia" w:ascii="仿宋" w:hAnsi="仿宋" w:eastAsia="仿宋"/>
          <w:bCs/>
          <w:color w:val="000000"/>
          <w:sz w:val="32"/>
          <w:szCs w:val="32"/>
        </w:rPr>
        <w:t>情况</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14:textFill>
            <w14:solidFill>
              <w14:schemeClr w14:val="tx1"/>
            </w14:solidFill>
          </w14:textFill>
        </w:rPr>
        <w:t>128.77</w:t>
      </w:r>
      <w:r>
        <w:rPr>
          <w:rStyle w:val="14"/>
          <w:rFonts w:hint="eastAsia" w:ascii="仿宋" w:hAnsi="仿宋" w:eastAsia="仿宋"/>
          <w:b w:val="0"/>
          <w:bCs/>
          <w:color w:val="000000"/>
          <w:sz w:val="32"/>
          <w:szCs w:val="32"/>
        </w:rPr>
        <w:t>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2120899其他国有土地使用权出让收入安排的支出决算为128.77万元，完成预算100%。</w:t>
      </w:r>
    </w:p>
    <w:p>
      <w:pPr>
        <w:pStyle w:val="2"/>
        <w:spacing w:before="93"/>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 xml:space="preserve">   （1）生产成本支出决算44.34万元，主要用于购买生产车间消毒防护用品、劳保用品、公务用车运行维护费及办公费等支出。</w:t>
      </w:r>
    </w:p>
    <w:p>
      <w:pPr>
        <w:pStyle w:val="2"/>
        <w:spacing w:before="93"/>
        <w:ind w:firstLine="64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（2）劳务绩效支出决算82.25万元，主要用于职工参与延伸服务发放劳务绩效补偿。</w:t>
      </w:r>
    </w:p>
    <w:p>
      <w:pPr>
        <w:pStyle w:val="2"/>
        <w:spacing w:before="93"/>
        <w:ind w:firstLine="64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（3）一次性退休补贴支出决算2.18万元，主要用于退休人员一次性退休独子费补贴和年金作实。</w:t>
      </w:r>
    </w:p>
    <w:p>
      <w:pPr>
        <w:spacing w:line="600" w:lineRule="exact"/>
        <w:ind w:firstLine="643" w:firstLineChars="200"/>
        <w:rPr>
          <w:rStyle w:val="14"/>
          <w:rFonts w:ascii="仿宋" w:hAnsi="仿宋" w:eastAsia="仿宋"/>
          <w:b w:val="0"/>
          <w:bCs/>
          <w:color w:val="000000"/>
          <w:sz w:val="32"/>
          <w:szCs w:val="32"/>
        </w:rPr>
      </w:pPr>
      <w:r>
        <w:rPr>
          <w:rFonts w:hint="eastAsia" w:ascii="仿宋" w:hAnsi="仿宋" w:eastAsia="仿宋"/>
          <w:b/>
          <w:bCs/>
          <w:color w:val="000000" w:themeColor="text1"/>
          <w:sz w:val="32"/>
          <w:szCs w:val="32"/>
          <w14:textFill>
            <w14:solidFill>
              <w14:schemeClr w14:val="tx1"/>
            </w14:solidFill>
          </w14:textFill>
        </w:rPr>
        <w:t>2.其他支出情况：</w:t>
      </w:r>
      <w:r>
        <w:rPr>
          <w:rStyle w:val="14"/>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14:textFill>
            <w14:solidFill>
              <w14:schemeClr w14:val="tx1"/>
            </w14:solidFill>
          </w14:textFill>
        </w:rPr>
        <w:t>15</w:t>
      </w:r>
      <w:r>
        <w:rPr>
          <w:rStyle w:val="14"/>
          <w:rFonts w:hint="eastAsia" w:ascii="仿宋" w:hAnsi="仿宋" w:eastAsia="仿宋"/>
          <w:b w:val="0"/>
          <w:bCs/>
          <w:color w:val="000000"/>
          <w:sz w:val="32"/>
          <w:szCs w:val="32"/>
        </w:rPr>
        <w:t>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2296002用于社会福利的彩票公益金支出的决算为15万元，完成预算100%。主要用于购买殡葬车。</w:t>
      </w:r>
    </w:p>
    <w:p>
      <w:pPr>
        <w:pStyle w:val="2"/>
        <w:spacing w:before="93"/>
        <w:ind w:firstLine="600" w:firstLineChars="200"/>
        <w:rPr>
          <w:rFonts w:eastAsia="仿宋"/>
        </w:rPr>
      </w:pPr>
    </w:p>
    <w:p>
      <w:pPr>
        <w:spacing w:line="600" w:lineRule="exact"/>
        <w:ind w:firstLine="800" w:firstLineChars="250"/>
        <w:outlineLvl w:val="1"/>
        <w:rPr>
          <w:rStyle w:val="25"/>
          <w:rFonts w:ascii="黑体" w:hAnsi="黑体" w:eastAsia="黑体"/>
          <w:b w:val="0"/>
          <w:bCs w:val="0"/>
        </w:rPr>
      </w:pPr>
      <w:r>
        <w:rPr>
          <w:rStyle w:val="25"/>
          <w:rFonts w:hint="eastAsia" w:ascii="黑体" w:hAnsi="黑体" w:eastAsia="黑体"/>
          <w:b w:val="0"/>
          <w:bCs w:val="0"/>
        </w:rPr>
        <w:t>十、国有资本经营预算支出决算情况说明（无）</w:t>
      </w:r>
    </w:p>
    <w:p>
      <w:pPr>
        <w:spacing w:line="600" w:lineRule="exact"/>
        <w:ind w:firstLine="803" w:firstLineChars="250"/>
        <w:outlineLvl w:val="1"/>
        <w:rPr>
          <w:rFonts w:ascii="仿宋" w:hAnsi="仿宋" w:eastAsia="仿宋"/>
          <w:b/>
          <w:color w:val="FF0000"/>
          <w:sz w:val="32"/>
          <w:szCs w:val="32"/>
        </w:rPr>
      </w:pPr>
      <w:r>
        <w:rPr>
          <w:rStyle w:val="25"/>
          <w:rFonts w:hint="eastAsia" w:ascii="黑体" w:hAnsi="黑体" w:eastAsia="黑体"/>
        </w:rPr>
        <w:t>十一、</w:t>
      </w:r>
      <w:r>
        <w:rPr>
          <w:rStyle w:val="25"/>
          <w:rFonts w:hint="eastAsia" w:ascii="黑体" w:hAnsi="黑体" w:eastAsia="黑体"/>
          <w:b w:val="0"/>
        </w:rPr>
        <w:t>其他重要事项的情况说明</w:t>
      </w:r>
      <w:bookmarkEnd w:id="46"/>
      <w:bookmarkEnd w:id="47"/>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8" w:name="_Toc15377223"/>
      <w:r>
        <w:rPr>
          <w:rFonts w:hint="eastAsia" w:ascii="仿宋" w:hAnsi="仿宋" w:eastAsia="仿宋"/>
          <w:b/>
          <w:color w:val="000000"/>
          <w:sz w:val="32"/>
          <w:szCs w:val="32"/>
        </w:rPr>
        <w:t>（一）政府采购支出情况</w:t>
      </w:r>
      <w:bookmarkEnd w:id="48"/>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22年，峨眉山市政府采购支出总额22.69万元，其中：政府采购货物支出14.95万元；政府采购工程支出0万元；政府采购服务支出7.74万元，主要用于殡葬车维修费所用。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9" w:name="_Toc15377224"/>
      <w:r>
        <w:rPr>
          <w:rFonts w:hint="eastAsia" w:ascii="仿宋" w:hAnsi="仿宋" w:eastAsia="仿宋"/>
          <w:b/>
          <w:color w:val="000000"/>
          <w:sz w:val="32"/>
          <w:szCs w:val="32"/>
        </w:rPr>
        <w:t>（二）国有资产占有使用情况</w:t>
      </w:r>
      <w:bookmarkEnd w:id="49"/>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rPr>
        <w:t>22年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日，殡</w:t>
      </w:r>
      <w:r>
        <w:rPr>
          <w:rFonts w:hint="eastAsia" w:ascii="仿宋_GB2312" w:eastAsia="仿宋_GB2312"/>
          <w:color w:val="000000"/>
          <w:sz w:val="32"/>
          <w:szCs w:val="32"/>
          <w:lang w:eastAsia="zh-CN"/>
        </w:rPr>
        <w:t>葬事务服务中心</w:t>
      </w:r>
      <w:r>
        <w:rPr>
          <w:rFonts w:hint="eastAsia" w:ascii="仿宋_GB2312" w:eastAsia="仿宋_GB2312"/>
          <w:color w:val="000000"/>
          <w:sz w:val="32"/>
          <w:szCs w:val="32"/>
        </w:rPr>
        <w:t>共有车辆7辆，其中：主应急保障用车1辆、特种专业技术用车6辆，特种专业技术用车</w:t>
      </w:r>
      <w:r>
        <w:rPr>
          <w:rFonts w:hint="eastAsia" w:ascii="仿宋_GB2312" w:eastAsia="仿宋_GB2312"/>
          <w:color w:val="000000" w:themeColor="text1"/>
          <w:sz w:val="32"/>
          <w:szCs w:val="32"/>
          <w14:textFill>
            <w14:solidFill>
              <w14:schemeClr w14:val="tx1"/>
            </w14:solidFill>
          </w14:textFill>
        </w:rPr>
        <w:t>主要是用于遗体接运和接送丧属。单价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万元以上通用设备0台（套），单价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（三）预算绩效管理情况。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w:t>
      </w:r>
      <w:r>
        <w:rPr>
          <w:rFonts w:hint="eastAsia" w:ascii="仿宋_GB2312" w:eastAsia="仿宋_GB2312"/>
          <w:sz w:val="32"/>
          <w:szCs w:val="32"/>
        </w:rPr>
        <w:t>本</w:t>
      </w:r>
      <w:r>
        <w:rPr>
          <w:rFonts w:hint="eastAsia" w:ascii="仿宋_GB2312" w:eastAsia="仿宋_GB2312"/>
          <w:sz w:val="32"/>
          <w:szCs w:val="32"/>
          <w:lang w:eastAsia="zh-CN"/>
        </w:rPr>
        <w:t>中心</w:t>
      </w:r>
      <w:r>
        <w:rPr>
          <w:rFonts w:hint="eastAsia" w:ascii="仿宋_GB2312" w:hAnsi="仿宋_GB2312" w:eastAsia="仿宋_GB2312" w:cs="仿宋_GB2312"/>
          <w:sz w:val="32"/>
          <w:szCs w:val="32"/>
        </w:rPr>
        <w:t>在2022年度预算编制阶段，组织对殡葬、城乡社区支出等19个预算项目开展了预算事前绩效评估，对19个项目编制了绩效目标，预算执行过程中，选取19个项目开展绩效监控，年终执行完毕后，对19个项目开展了绩效自评，2022年特定目标类部门预算项目绩效目标自评表见附件（第四部分）。</w:t>
      </w:r>
    </w:p>
    <w:p>
      <w:pPr>
        <w:autoSpaceDE w:val="0"/>
        <w:autoSpaceDN w:val="0"/>
        <w:adjustRightInd w:val="0"/>
        <w:spacing w:line="600" w:lineRule="exact"/>
        <w:ind w:firstLine="640" w:firstLineChars="200"/>
        <w:rPr>
          <w:rFonts w:ascii="仿宋_GB2312" w:hAnsi="仿宋_GB2312" w:eastAsia="仿宋_GB2312" w:cs="仿宋_GB2312"/>
          <w:sz w:val="32"/>
          <w:szCs w:val="32"/>
        </w:rPr>
      </w:pPr>
    </w:p>
    <w:p>
      <w:pPr>
        <w:autoSpaceDE w:val="0"/>
        <w:autoSpaceDN w:val="0"/>
        <w:adjustRightInd w:val="0"/>
        <w:spacing w:line="600" w:lineRule="exact"/>
        <w:ind w:firstLine="640" w:firstLineChars="200"/>
        <w:rPr>
          <w:rFonts w:ascii="仿宋_GB2312" w:hAnsi="仿宋_GB2312" w:eastAsia="仿宋_GB2312" w:cs="仿宋_GB2312"/>
          <w:sz w:val="32"/>
          <w:szCs w:val="32"/>
        </w:rPr>
      </w:pPr>
    </w:p>
    <w:p>
      <w:pPr>
        <w:pStyle w:val="2"/>
        <w:spacing w:before="93"/>
      </w:pPr>
    </w:p>
    <w:p>
      <w:pPr>
        <w:numPr>
          <w:ilvl w:val="0"/>
          <w:numId w:val="2"/>
        </w:numPr>
        <w:spacing w:line="600" w:lineRule="exact"/>
        <w:ind w:firstLine="660"/>
        <w:outlineLvl w:val="0"/>
        <w:rPr>
          <w:rStyle w:val="24"/>
          <w:rFonts w:ascii="黑体" w:hAnsi="黑体" w:eastAsia="黑体"/>
          <w:b w:val="0"/>
        </w:rPr>
      </w:pPr>
      <w:bookmarkStart w:id="50" w:name="_Toc15377225"/>
      <w:bookmarkStart w:id="51" w:name="_Toc15396613"/>
      <w:r>
        <w:rPr>
          <w:rFonts w:hint="eastAsia" w:ascii="黑体" w:hAnsi="黑体" w:eastAsia="黑体"/>
          <w:color w:val="000000"/>
          <w:sz w:val="44"/>
          <w:szCs w:val="44"/>
        </w:rPr>
        <w:t xml:space="preserve">  名</w:t>
      </w:r>
      <w:r>
        <w:rPr>
          <w:rStyle w:val="24"/>
          <w:rFonts w:hint="eastAsia" w:ascii="黑体" w:hAnsi="黑体" w:eastAsia="黑体"/>
          <w:b w:val="0"/>
        </w:rPr>
        <w:t>词解释</w:t>
      </w:r>
      <w:bookmarkEnd w:id="50"/>
      <w:bookmarkEnd w:id="51"/>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600" w:lineRule="exact"/>
        <w:ind w:firstLine="640" w:firstLineChars="200"/>
        <w:rPr>
          <w:rFonts w:ascii="仿宋_GB2312" w:eastAsia="仿宋_GB2312"/>
          <w:b/>
          <w:bCs/>
          <w:color w:val="000000"/>
          <w:sz w:val="32"/>
          <w:szCs w:val="32"/>
        </w:rPr>
      </w:pPr>
      <w:r>
        <w:rPr>
          <w:rFonts w:hint="eastAsia" w:ascii="仿宋_GB2312" w:eastAsia="仿宋_GB2312"/>
          <w:color w:val="000000"/>
          <w:sz w:val="32"/>
          <w:szCs w:val="32"/>
        </w:rPr>
        <w:t>9、</w:t>
      </w:r>
      <w:r>
        <w:rPr>
          <w:rFonts w:hint="eastAsia" w:ascii="仿宋_GB2312" w:eastAsia="仿宋_GB2312"/>
          <w:b/>
          <w:bCs/>
          <w:color w:val="000000"/>
          <w:sz w:val="32"/>
          <w:szCs w:val="32"/>
        </w:rPr>
        <w:t>社会保障和就业支出</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（1）2080505机关事业单位基本养老保险缴费支出：用于事业人员养老保险缴费。</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（2）2080506机关事业单位职业年金缴费支出：用于事业人员职业年金缴费。</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（3）2089999其他社会保障和就业支出：用于事业人员工伤保险支出。</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（4）2081004殡葬支出：用于全体职工工资支出，编外人员各类保险支出、日常经费支出。</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color w:val="000000"/>
          <w:sz w:val="32"/>
          <w:szCs w:val="32"/>
        </w:rPr>
        <w:t>10、卫生健康支出</w:t>
      </w:r>
      <w:r>
        <w:rPr>
          <w:rStyle w:val="14"/>
          <w:rFonts w:hint="eastAsia" w:ascii="仿宋" w:hAnsi="仿宋" w:eastAsia="仿宋"/>
          <w:b w:val="0"/>
          <w:bCs/>
          <w:color w:val="000000"/>
          <w:sz w:val="32"/>
          <w:szCs w:val="32"/>
        </w:rPr>
        <w:t>：2101102事业单位医疗支出：用于事业人员医疗保险支出。</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color w:val="000000"/>
          <w:sz w:val="32"/>
          <w:szCs w:val="32"/>
        </w:rPr>
        <w:t>11、住房保障支出</w:t>
      </w:r>
      <w:r>
        <w:rPr>
          <w:rStyle w:val="14"/>
          <w:rFonts w:hint="eastAsia" w:ascii="仿宋" w:hAnsi="仿宋" w:eastAsia="仿宋"/>
          <w:b w:val="0"/>
          <w:bCs/>
          <w:color w:val="000000"/>
          <w:sz w:val="32"/>
          <w:szCs w:val="32"/>
        </w:rPr>
        <w:t>：2210201住房公积金支出：用于事业人员住房公积金支出。</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（解释本部门决算报表中全部功能分类科目至项级，不涉及的科目请自行删除。请参照《</w:t>
      </w:r>
      <w:r>
        <w:rPr>
          <w:rFonts w:ascii="仿宋" w:hAnsi="仿宋" w:eastAsia="仿宋"/>
          <w:b/>
          <w:color w:val="000000"/>
          <w:sz w:val="32"/>
          <w:szCs w:val="32"/>
        </w:rPr>
        <w:t>20</w:t>
      </w:r>
      <w:r>
        <w:rPr>
          <w:rFonts w:hint="eastAsia" w:ascii="仿宋" w:hAnsi="仿宋" w:eastAsia="仿宋"/>
          <w:b/>
          <w:color w:val="000000"/>
          <w:sz w:val="32"/>
          <w:szCs w:val="32"/>
        </w:rPr>
        <w:t>21年政府收支分类科目》增减内容。）</w:t>
      </w:r>
    </w:p>
    <w:p>
      <w:pPr>
        <w:pStyle w:val="2"/>
        <w:spacing w:before="93"/>
        <w:rPr>
          <w:rFonts w:eastAsia="仿宋"/>
          <w:bCs/>
        </w:rPr>
      </w:pPr>
      <w:r>
        <w:rPr>
          <w:rFonts w:hint="eastAsia" w:ascii="仿宋" w:hAnsi="仿宋" w:eastAsia="仿宋"/>
          <w:b/>
          <w:color w:val="000000"/>
          <w:sz w:val="32"/>
          <w:szCs w:val="32"/>
        </w:rPr>
        <w:t xml:space="preserve">    12.城乡社区支出：</w:t>
      </w:r>
      <w:r>
        <w:rPr>
          <w:rFonts w:hint="eastAsia" w:ascii="仿宋" w:hAnsi="仿宋" w:eastAsia="仿宋"/>
          <w:bCs/>
          <w:color w:val="000000"/>
          <w:sz w:val="32"/>
          <w:szCs w:val="32"/>
        </w:rPr>
        <w:t>2120899其他国有土地使用权出让收入安排的支出：用于各类生产成本、劳务绩效支出。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13</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14</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15</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cs="黑体"/>
          <w:sz w:val="32"/>
          <w:szCs w:val="32"/>
        </w:rPr>
      </w:pPr>
      <w:r>
        <w:rPr>
          <w:rFonts w:hint="eastAsia" w:ascii="仿宋_GB2312" w:eastAsia="仿宋_GB2312"/>
          <w:sz w:val="32"/>
          <w:szCs w:val="32"/>
        </w:rPr>
        <w:t>16</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3" w:firstLineChars="200"/>
        <w:rPr>
          <w:rFonts w:ascii="方正小标宋_GBK" w:hAnsi="方正小标宋_GBK" w:eastAsia="方正小标宋_GBK" w:cs="方正小标宋_GBK"/>
          <w:sz w:val="44"/>
          <w:szCs w:val="44"/>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Fonts w:ascii="方正小标宋_GBK" w:hAnsi="方正小标宋_GBK" w:eastAsia="方正小标宋_GBK" w:cs="方正小标宋_GBK"/>
          <w:sz w:val="44"/>
          <w:szCs w:val="44"/>
        </w:rPr>
      </w:pPr>
    </w:p>
    <w:p>
      <w:pPr>
        <w:spacing w:line="600" w:lineRule="exact"/>
        <w:ind w:firstLine="2640" w:firstLineChars="600"/>
        <w:outlineLvl w:val="0"/>
        <w:rPr>
          <w:rStyle w:val="30"/>
          <w:rFonts w:ascii="方正小标宋_GBK" w:hAnsi="方正小标宋_GBK" w:eastAsia="方正小标宋_GBK" w:cs="方正小标宋_GBK"/>
          <w:b w:val="0"/>
        </w:rPr>
      </w:pPr>
      <w:r>
        <w:rPr>
          <w:rFonts w:hint="eastAsia" w:ascii="方正小标宋_GBK" w:hAnsi="方正小标宋_GBK" w:eastAsia="方正小标宋_GBK" w:cs="方正小标宋_GBK"/>
          <w:sz w:val="44"/>
          <w:szCs w:val="44"/>
        </w:rPr>
        <w:t>第</w:t>
      </w:r>
      <w:r>
        <w:rPr>
          <w:rStyle w:val="30"/>
          <w:rFonts w:hint="eastAsia" w:ascii="方正小标宋_GBK" w:hAnsi="方正小标宋_GBK" w:eastAsia="方正小标宋_GBK" w:cs="方正小标宋_GBK"/>
          <w:b w:val="0"/>
        </w:rPr>
        <w:t>四部分 附  件</w:t>
      </w:r>
    </w:p>
    <w:tbl>
      <w:tblPr>
        <w:tblStyle w:val="12"/>
        <w:tblpPr w:leftFromText="180" w:rightFromText="180" w:vertAnchor="text" w:horzAnchor="page" w:tblpX="1409" w:tblpY="515"/>
        <w:tblOverlap w:val="never"/>
        <w:tblW w:w="9960" w:type="dxa"/>
        <w:tblInd w:w="0" w:type="dxa"/>
        <w:tblLayout w:type="autofit"/>
        <w:tblCellMar>
          <w:top w:w="0" w:type="dxa"/>
          <w:left w:w="108" w:type="dxa"/>
          <w:bottom w:w="0" w:type="dxa"/>
          <w:right w:w="108" w:type="dxa"/>
        </w:tblCellMar>
      </w:tblPr>
      <w:tblGrid>
        <w:gridCol w:w="576"/>
        <w:gridCol w:w="1281"/>
        <w:gridCol w:w="997"/>
        <w:gridCol w:w="1351"/>
        <w:gridCol w:w="514"/>
        <w:gridCol w:w="854"/>
        <w:gridCol w:w="514"/>
        <w:gridCol w:w="895"/>
        <w:gridCol w:w="576"/>
        <w:gridCol w:w="576"/>
        <w:gridCol w:w="1826"/>
      </w:tblGrid>
      <w:tr>
        <w:tblPrEx>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28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997"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35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1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5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1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95"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7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7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826" w:type="dxa"/>
            <w:tcBorders>
              <w:top w:val="nil"/>
              <w:left w:val="nil"/>
              <w:bottom w:val="nil"/>
              <w:right w:val="nil"/>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28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997"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35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1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5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1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95"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7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7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826" w:type="dxa"/>
            <w:tcBorders>
              <w:top w:val="nil"/>
              <w:left w:val="nil"/>
              <w:bottom w:val="nil"/>
              <w:right w:val="nil"/>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904" w:hRule="atLeast"/>
        </w:trPr>
        <w:tc>
          <w:tcPr>
            <w:tcW w:w="99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81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51118121T000000059053-劳务绩效补偿</w:t>
            </w:r>
          </w:p>
        </w:tc>
      </w:tr>
      <w:tr>
        <w:tblPrEx>
          <w:tblCellMar>
            <w:top w:w="0" w:type="dxa"/>
            <w:left w:w="108" w:type="dxa"/>
            <w:bottom w:w="0" w:type="dxa"/>
            <w:right w:w="108" w:type="dxa"/>
          </w:tblCellMar>
        </w:tblPrEx>
        <w:trPr>
          <w:trHeight w:val="514" w:hRule="atLeast"/>
        </w:trPr>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42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民政局</w:t>
            </w:r>
          </w:p>
        </w:tc>
        <w:tc>
          <w:tcPr>
            <w:tcW w:w="895"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29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峨眉山市殡葬</w:t>
            </w:r>
            <w:r>
              <w:rPr>
                <w:rFonts w:hint="eastAsia" w:ascii="宋体" w:hAnsi="宋体" w:cs="宋体"/>
                <w:color w:val="000000"/>
                <w:kern w:val="0"/>
                <w:sz w:val="18"/>
                <w:szCs w:val="18"/>
                <w:lang w:eastAsia="zh-CN"/>
              </w:rPr>
              <w:t>事务</w:t>
            </w:r>
            <w:r>
              <w:rPr>
                <w:rFonts w:ascii="宋体" w:hAnsi="宋体" w:cs="宋体"/>
                <w:color w:val="000000"/>
                <w:kern w:val="0"/>
                <w:sz w:val="18"/>
                <w:szCs w:val="18"/>
              </w:rPr>
              <w:t>服务中心</w:t>
            </w:r>
          </w:p>
        </w:tc>
      </w:tr>
      <w:tr>
        <w:tblPrEx>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42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38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2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职工参与延伸服务，按2.5倍核定绩效工资</w:t>
            </w:r>
          </w:p>
        </w:tc>
        <w:tc>
          <w:tcPr>
            <w:tcW w:w="38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严格执行相关政策，足额发放，预算执行率为100%，全面完成预期目标。</w:t>
            </w:r>
          </w:p>
        </w:tc>
      </w:tr>
      <w:tr>
        <w:tblPrEx>
          <w:tblCellMar>
            <w:top w:w="0" w:type="dxa"/>
            <w:left w:w="108" w:type="dxa"/>
            <w:bottom w:w="0" w:type="dxa"/>
            <w:right w:w="108" w:type="dxa"/>
          </w:tblCellMar>
        </w:tblPrEx>
        <w:trPr>
          <w:trHeight w:val="69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81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严格按文件要求，职工参与延伸服务，按月发放劳务绩效，7月份在职工退休1人。</w:t>
            </w:r>
          </w:p>
        </w:tc>
      </w:tr>
      <w:tr>
        <w:tblPrEx>
          <w:tblCellMar>
            <w:top w:w="0" w:type="dxa"/>
            <w:left w:w="108" w:type="dxa"/>
            <w:bottom w:w="0" w:type="dxa"/>
            <w:right w:w="108" w:type="dxa"/>
          </w:tblCellMar>
        </w:tblPrEx>
        <w:trPr>
          <w:trHeight w:val="3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18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82.25</w:t>
            </w:r>
          </w:p>
        </w:tc>
        <w:tc>
          <w:tcPr>
            <w:tcW w:w="18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82.25</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43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82.25</w:t>
            </w:r>
          </w:p>
        </w:tc>
        <w:tc>
          <w:tcPr>
            <w:tcW w:w="18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82.25</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4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8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0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8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7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8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4"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职工参与延伸服务，领取2.5倍绩效工资</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1000000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元</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配合好企业参与延伸服务</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一年内</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9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在上缴的基本殡葬收入扣除正常生产运转成本后的结余和8%的劳务绩效补偿中列支</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1000000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元</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配合延伸服务满足群众需求</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可持续影响指标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每年持续进行</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社会满意度</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群众满意度</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5" w:hRule="atLeast"/>
        </w:trPr>
        <w:tc>
          <w:tcPr>
            <w:tcW w:w="69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0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938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此预算项目执行率为100%，项目自评总分100分，该项目实施取得了良好的成效。</w:t>
            </w:r>
          </w:p>
        </w:tc>
      </w:tr>
      <w:tr>
        <w:tblPrEx>
          <w:tblCellMar>
            <w:top w:w="0" w:type="dxa"/>
            <w:left w:w="108" w:type="dxa"/>
            <w:bottom w:w="0" w:type="dxa"/>
            <w:right w:w="108" w:type="dxa"/>
          </w:tblCellMar>
        </w:tblPrEx>
        <w:trPr>
          <w:trHeight w:val="57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938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63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938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285" w:hRule="atLeast"/>
        </w:trPr>
        <w:tc>
          <w:tcPr>
            <w:tcW w:w="4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项目负责人：吴桂容</w:t>
            </w:r>
          </w:p>
        </w:tc>
        <w:tc>
          <w:tcPr>
            <w:tcW w:w="52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财务负责人：夏学平</w:t>
            </w:r>
          </w:p>
        </w:tc>
      </w:tr>
      <w:tr>
        <w:tblPrEx>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28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997"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35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1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5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1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95"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7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7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826" w:type="dxa"/>
            <w:tcBorders>
              <w:top w:val="nil"/>
              <w:left w:val="nil"/>
              <w:bottom w:val="nil"/>
              <w:right w:val="nil"/>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28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997"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35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1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5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1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95"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7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7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826" w:type="dxa"/>
            <w:tcBorders>
              <w:top w:val="nil"/>
              <w:left w:val="nil"/>
              <w:bottom w:val="nil"/>
              <w:right w:val="nil"/>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28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997"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35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1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5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1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95"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7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7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826" w:type="dxa"/>
            <w:tcBorders>
              <w:top w:val="nil"/>
              <w:left w:val="nil"/>
              <w:bottom w:val="nil"/>
              <w:right w:val="nil"/>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904" w:hRule="atLeast"/>
        </w:trPr>
        <w:tc>
          <w:tcPr>
            <w:tcW w:w="99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81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51118122T000000333779-生产成本</w:t>
            </w:r>
          </w:p>
        </w:tc>
      </w:tr>
      <w:tr>
        <w:tblPrEx>
          <w:tblCellMar>
            <w:top w:w="0" w:type="dxa"/>
            <w:left w:w="108" w:type="dxa"/>
            <w:bottom w:w="0" w:type="dxa"/>
            <w:right w:w="108" w:type="dxa"/>
          </w:tblCellMar>
        </w:tblPrEx>
        <w:trPr>
          <w:trHeight w:val="514" w:hRule="atLeast"/>
        </w:trPr>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42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民政局</w:t>
            </w:r>
          </w:p>
        </w:tc>
        <w:tc>
          <w:tcPr>
            <w:tcW w:w="895"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29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峨眉山市殡葬</w:t>
            </w:r>
            <w:r>
              <w:rPr>
                <w:rFonts w:hint="eastAsia" w:ascii="宋体" w:hAnsi="宋体" w:cs="宋体"/>
                <w:color w:val="000000"/>
                <w:kern w:val="0"/>
                <w:sz w:val="18"/>
                <w:szCs w:val="18"/>
                <w:lang w:eastAsia="zh-CN"/>
              </w:rPr>
              <w:t>事务</w:t>
            </w:r>
            <w:r>
              <w:rPr>
                <w:rFonts w:ascii="宋体" w:hAnsi="宋体" w:cs="宋体"/>
                <w:color w:val="000000"/>
                <w:kern w:val="0"/>
                <w:sz w:val="18"/>
                <w:szCs w:val="18"/>
              </w:rPr>
              <w:t>服务中心</w:t>
            </w:r>
          </w:p>
        </w:tc>
      </w:tr>
      <w:tr>
        <w:tblPrEx>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42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38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2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完成火化遗体3300具，接运遗体800具，基本殡葬收入达到200万元，按厂家技术考核油耗，保证殡葬工作正常运行。</w:t>
            </w:r>
          </w:p>
        </w:tc>
        <w:tc>
          <w:tcPr>
            <w:tcW w:w="38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完成火化遗体4600具，按运遗体800具，严格执行相关政策，按厂家技术考核油耗，节约成本，预算执行率为100%，全面完成预期目标。</w:t>
            </w:r>
          </w:p>
        </w:tc>
      </w:tr>
      <w:tr>
        <w:tblPrEx>
          <w:tblCellMar>
            <w:top w:w="0" w:type="dxa"/>
            <w:left w:w="108" w:type="dxa"/>
            <w:bottom w:w="0" w:type="dxa"/>
            <w:right w:w="108" w:type="dxa"/>
          </w:tblCellMar>
        </w:tblPrEx>
        <w:trPr>
          <w:trHeight w:val="69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81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完成火化、接运遗体所需柴油、汽油、劳保用品、消毒防护用品、设备维修费、车辆运行费等</w:t>
            </w:r>
          </w:p>
        </w:tc>
      </w:tr>
      <w:tr>
        <w:tblPrEx>
          <w:tblCellMar>
            <w:top w:w="0" w:type="dxa"/>
            <w:left w:w="108" w:type="dxa"/>
            <w:bottom w:w="0" w:type="dxa"/>
            <w:right w:w="108" w:type="dxa"/>
          </w:tblCellMar>
        </w:tblPrEx>
        <w:trPr>
          <w:trHeight w:val="3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18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150.00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59.34</w:t>
            </w:r>
          </w:p>
        </w:tc>
        <w:tc>
          <w:tcPr>
            <w:tcW w:w="18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59.34</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43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150.00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59.34</w:t>
            </w:r>
          </w:p>
        </w:tc>
        <w:tc>
          <w:tcPr>
            <w:tcW w:w="18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59.34</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4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8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0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8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7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8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54"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火化遗体3300具，接运遗体800具</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保质保量完成火化遗体和接运遗体</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按期完成</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基本惠民殡葬，严格按物价标准，按厂家考核节油</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绿色惠民殡葬</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可持续影响指标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殡葬工作每年持续开展</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群众满意度</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社会满意度</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5" w:hRule="atLeast"/>
        </w:trPr>
        <w:tc>
          <w:tcPr>
            <w:tcW w:w="69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0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938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此预算项目执行率为100%，项目自评总分100分，该项目实施取得了良好的成效。</w:t>
            </w:r>
          </w:p>
        </w:tc>
      </w:tr>
      <w:tr>
        <w:tblPrEx>
          <w:tblCellMar>
            <w:top w:w="0" w:type="dxa"/>
            <w:left w:w="108" w:type="dxa"/>
            <w:bottom w:w="0" w:type="dxa"/>
            <w:right w:w="108" w:type="dxa"/>
          </w:tblCellMar>
        </w:tblPrEx>
        <w:trPr>
          <w:trHeight w:val="57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938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63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938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285" w:hRule="atLeast"/>
        </w:trPr>
        <w:tc>
          <w:tcPr>
            <w:tcW w:w="4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项目负责人：吴桂容</w:t>
            </w:r>
          </w:p>
        </w:tc>
        <w:tc>
          <w:tcPr>
            <w:tcW w:w="52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财务负责人：夏学平</w:t>
            </w:r>
          </w:p>
        </w:tc>
      </w:tr>
      <w:tr>
        <w:tblPrEx>
          <w:tblCellMar>
            <w:top w:w="0" w:type="dxa"/>
            <w:left w:w="108" w:type="dxa"/>
            <w:bottom w:w="0" w:type="dxa"/>
            <w:right w:w="108" w:type="dxa"/>
          </w:tblCellMar>
        </w:tblPrEx>
        <w:trPr>
          <w:trHeight w:val="285" w:hRule="atLeast"/>
        </w:trPr>
        <w:tc>
          <w:tcPr>
            <w:tcW w:w="57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28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997"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351"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1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5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14"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895"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7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76"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826" w:type="dxa"/>
            <w:tcBorders>
              <w:top w:val="nil"/>
              <w:left w:val="nil"/>
              <w:bottom w:val="nil"/>
              <w:right w:val="nil"/>
            </w:tcBorders>
            <w:shd w:val="clear" w:color="auto" w:fill="auto"/>
            <w:vAlign w:val="center"/>
          </w:tcPr>
          <w:p>
            <w:pPr>
              <w:rPr>
                <w:rFonts w:ascii="宋体" w:hAnsi="宋体" w:cs="宋体"/>
                <w:color w:val="000000"/>
                <w:sz w:val="18"/>
                <w:szCs w:val="18"/>
              </w:rPr>
            </w:pPr>
          </w:p>
        </w:tc>
      </w:tr>
    </w:tbl>
    <w:p>
      <w:pPr>
        <w:pStyle w:val="2"/>
        <w:spacing w:before="93"/>
      </w:pPr>
    </w:p>
    <w:p>
      <w:pPr>
        <w:pStyle w:val="2"/>
        <w:spacing w:before="93"/>
      </w:pPr>
    </w:p>
    <w:p>
      <w:pPr>
        <w:widowControl/>
        <w:jc w:val="left"/>
        <w:rPr>
          <w:rStyle w:val="24"/>
          <w:rFonts w:ascii="黑体" w:hAnsi="黑体" w:eastAsia="黑体"/>
          <w:b w:val="0"/>
        </w:rPr>
      </w:pPr>
      <w:bookmarkStart w:id="52" w:name="_Toc15377226"/>
      <w:r>
        <w:rPr>
          <w:rFonts w:ascii="宋体"/>
          <w:b/>
          <w:color w:val="000000"/>
          <w:sz w:val="44"/>
          <w:szCs w:val="44"/>
        </w:rPr>
        <w:br w:type="page"/>
      </w:r>
    </w:p>
    <w:bookmarkEnd w:id="52"/>
    <w:p>
      <w:pPr>
        <w:spacing w:line="600" w:lineRule="exact"/>
        <w:jc w:val="center"/>
        <w:outlineLvl w:val="0"/>
        <w:rPr>
          <w:rFonts w:ascii="仿宋" w:hAnsi="仿宋" w:eastAsia="仿宋"/>
        </w:rPr>
      </w:pPr>
      <w:r>
        <w:rPr>
          <w:rFonts w:hint="eastAsia" w:ascii="黑体" w:hAnsi="黑体" w:eastAsia="黑体"/>
          <w:sz w:val="44"/>
          <w:szCs w:val="44"/>
        </w:rPr>
        <w:t>第</w:t>
      </w:r>
      <w:r>
        <w:rPr>
          <w:rStyle w:val="30"/>
          <w:rFonts w:hint="eastAsia" w:ascii="黑体" w:hAnsi="黑体" w:eastAsia="黑体"/>
          <w:b w:val="0"/>
        </w:rPr>
        <w:t>五部分 附表</w:t>
      </w:r>
      <w:bookmarkStart w:id="53" w:name="_Toc15396619"/>
    </w:p>
    <w:p>
      <w:pPr>
        <w:pStyle w:val="4"/>
        <w:rPr>
          <w:rFonts w:ascii="仿宋" w:hAnsi="仿宋" w:eastAsia="仿宋"/>
        </w:rPr>
      </w:pPr>
      <w:r>
        <w:rPr>
          <w:rFonts w:hint="eastAsia" w:ascii="仿宋" w:hAnsi="仿宋" w:eastAsia="仿宋"/>
          <w:b w:val="0"/>
        </w:rPr>
        <w:t>一、收</w:t>
      </w:r>
      <w:r>
        <w:rPr>
          <w:rStyle w:val="31"/>
          <w:rFonts w:hint="eastAsia" w:ascii="仿宋" w:hAnsi="仿宋" w:eastAsia="仿宋"/>
          <w:b w:val="0"/>
          <w:bCs w:val="0"/>
        </w:rPr>
        <w:t>入支出决算总表</w:t>
      </w:r>
      <w:bookmarkEnd w:id="53"/>
    </w:p>
    <w:p>
      <w:pPr>
        <w:pStyle w:val="4"/>
        <w:rPr>
          <w:rFonts w:ascii="仿宋" w:hAnsi="仿宋" w:eastAsia="仿宋"/>
        </w:rPr>
      </w:pPr>
      <w:bookmarkStart w:id="54" w:name="_Toc15396620"/>
      <w:r>
        <w:rPr>
          <w:rFonts w:hint="eastAsia" w:ascii="仿宋" w:hAnsi="仿宋" w:eastAsia="仿宋"/>
          <w:b w:val="0"/>
        </w:rPr>
        <w:t>二、收</w:t>
      </w:r>
      <w:r>
        <w:rPr>
          <w:rStyle w:val="31"/>
          <w:rFonts w:hint="eastAsia" w:ascii="仿宋" w:hAnsi="仿宋" w:eastAsia="仿宋"/>
          <w:b w:val="0"/>
          <w:bCs w:val="0"/>
        </w:rPr>
        <w:t>入决算表</w:t>
      </w:r>
      <w:bookmarkEnd w:id="54"/>
    </w:p>
    <w:p>
      <w:pPr>
        <w:pStyle w:val="4"/>
        <w:rPr>
          <w:rFonts w:ascii="仿宋" w:hAnsi="仿宋" w:eastAsia="仿宋"/>
        </w:rPr>
      </w:pPr>
      <w:bookmarkStart w:id="55" w:name="_Toc15396621"/>
      <w:r>
        <w:rPr>
          <w:rStyle w:val="31"/>
          <w:rFonts w:hint="eastAsia" w:ascii="仿宋" w:hAnsi="仿宋" w:eastAsia="仿宋"/>
          <w:b w:val="0"/>
          <w:bCs w:val="0"/>
        </w:rPr>
        <w:t>三、</w:t>
      </w:r>
      <w:r>
        <w:rPr>
          <w:rFonts w:hint="eastAsia" w:ascii="仿宋" w:hAnsi="仿宋" w:eastAsia="仿宋"/>
          <w:b w:val="0"/>
        </w:rPr>
        <w:t>支</w:t>
      </w:r>
      <w:r>
        <w:rPr>
          <w:rStyle w:val="31"/>
          <w:rFonts w:hint="eastAsia" w:ascii="仿宋" w:hAnsi="仿宋" w:eastAsia="仿宋"/>
          <w:b w:val="0"/>
          <w:bCs w:val="0"/>
        </w:rPr>
        <w:t>出决算表</w:t>
      </w:r>
      <w:bookmarkEnd w:id="55"/>
    </w:p>
    <w:p>
      <w:pPr>
        <w:pStyle w:val="4"/>
        <w:rPr>
          <w:rFonts w:ascii="仿宋" w:hAnsi="仿宋" w:eastAsia="仿宋"/>
          <w:b w:val="0"/>
        </w:rPr>
      </w:pPr>
      <w:bookmarkStart w:id="56" w:name="_Toc15396622"/>
      <w:r>
        <w:rPr>
          <w:rStyle w:val="31"/>
          <w:rFonts w:hint="eastAsia" w:ascii="仿宋" w:hAnsi="仿宋" w:eastAsia="仿宋"/>
          <w:b w:val="0"/>
          <w:bCs w:val="0"/>
        </w:rPr>
        <w:t>四、</w:t>
      </w:r>
      <w:r>
        <w:rPr>
          <w:rFonts w:hint="eastAsia" w:ascii="仿宋" w:hAnsi="仿宋" w:eastAsia="仿宋"/>
          <w:b w:val="0"/>
        </w:rPr>
        <w:t>财</w:t>
      </w:r>
      <w:r>
        <w:rPr>
          <w:rStyle w:val="31"/>
          <w:rFonts w:hint="eastAsia" w:ascii="仿宋" w:hAnsi="仿宋" w:eastAsia="仿宋"/>
          <w:b w:val="0"/>
          <w:bCs w:val="0"/>
        </w:rPr>
        <w:t>政拨款收入支出决算总表</w:t>
      </w:r>
      <w:bookmarkEnd w:id="56"/>
    </w:p>
    <w:p>
      <w:pPr>
        <w:pStyle w:val="4"/>
        <w:rPr>
          <w:rStyle w:val="31"/>
          <w:rFonts w:ascii="仿宋" w:hAnsi="仿宋" w:eastAsia="仿宋"/>
          <w:b w:val="0"/>
          <w:bCs w:val="0"/>
        </w:rPr>
      </w:pPr>
      <w:bookmarkStart w:id="57" w:name="_Toc15396623"/>
      <w:r>
        <w:rPr>
          <w:rStyle w:val="31"/>
          <w:rFonts w:hint="eastAsia" w:ascii="仿宋" w:hAnsi="仿宋" w:eastAsia="仿宋"/>
          <w:b w:val="0"/>
          <w:bCs w:val="0"/>
        </w:rPr>
        <w:t>五、</w:t>
      </w:r>
      <w:r>
        <w:rPr>
          <w:rFonts w:hint="eastAsia" w:ascii="仿宋" w:hAnsi="仿宋" w:eastAsia="仿宋"/>
          <w:b w:val="0"/>
        </w:rPr>
        <w:t>财</w:t>
      </w:r>
      <w:r>
        <w:rPr>
          <w:rStyle w:val="31"/>
          <w:rFonts w:hint="eastAsia" w:ascii="仿宋" w:hAnsi="仿宋" w:eastAsia="仿宋"/>
          <w:b w:val="0"/>
          <w:bCs w:val="0"/>
        </w:rPr>
        <w:t>政拨款支出决算明细表</w:t>
      </w:r>
      <w:bookmarkEnd w:id="57"/>
      <w:bookmarkStart w:id="58" w:name="_Toc15396624"/>
    </w:p>
    <w:p>
      <w:pPr>
        <w:pStyle w:val="4"/>
        <w:rPr>
          <w:rFonts w:ascii="仿宋" w:hAnsi="仿宋" w:eastAsia="仿宋"/>
        </w:rPr>
      </w:pPr>
      <w:r>
        <w:rPr>
          <w:rStyle w:val="31"/>
          <w:rFonts w:hint="eastAsia" w:ascii="仿宋" w:hAnsi="仿宋" w:eastAsia="仿宋"/>
          <w:b w:val="0"/>
          <w:bCs w:val="0"/>
        </w:rPr>
        <w:t>六、</w:t>
      </w:r>
      <w:r>
        <w:rPr>
          <w:rFonts w:hint="eastAsia" w:ascii="仿宋" w:hAnsi="仿宋" w:eastAsia="仿宋"/>
          <w:b w:val="0"/>
        </w:rPr>
        <w:t>一</w:t>
      </w:r>
      <w:r>
        <w:rPr>
          <w:rStyle w:val="31"/>
          <w:rFonts w:hint="eastAsia" w:ascii="仿宋" w:hAnsi="仿宋" w:eastAsia="仿宋"/>
          <w:b w:val="0"/>
          <w:bCs w:val="0"/>
        </w:rPr>
        <w:t>般公共预算财政拨款支出决算表</w:t>
      </w:r>
      <w:bookmarkEnd w:id="58"/>
    </w:p>
    <w:p>
      <w:pPr>
        <w:pStyle w:val="4"/>
        <w:rPr>
          <w:rFonts w:ascii="仿宋" w:hAnsi="仿宋" w:eastAsia="仿宋"/>
        </w:rPr>
      </w:pPr>
      <w:bookmarkStart w:id="59" w:name="_Toc15396625"/>
      <w:r>
        <w:rPr>
          <w:rStyle w:val="31"/>
          <w:rFonts w:hint="eastAsia" w:ascii="仿宋" w:hAnsi="仿宋" w:eastAsia="仿宋"/>
          <w:b w:val="0"/>
          <w:bCs w:val="0"/>
        </w:rPr>
        <w:t>七、</w:t>
      </w:r>
      <w:r>
        <w:rPr>
          <w:rFonts w:hint="eastAsia" w:ascii="仿宋" w:hAnsi="仿宋" w:eastAsia="仿宋"/>
          <w:b w:val="0"/>
        </w:rPr>
        <w:t>一</w:t>
      </w:r>
      <w:r>
        <w:rPr>
          <w:rStyle w:val="31"/>
          <w:rFonts w:hint="eastAsia" w:ascii="仿宋" w:hAnsi="仿宋" w:eastAsia="仿宋"/>
          <w:b w:val="0"/>
          <w:bCs w:val="0"/>
        </w:rPr>
        <w:t>般公共预算财政拨款支出决算明细表</w:t>
      </w:r>
      <w:bookmarkEnd w:id="59"/>
    </w:p>
    <w:p>
      <w:pPr>
        <w:pStyle w:val="4"/>
        <w:rPr>
          <w:rFonts w:ascii="仿宋" w:hAnsi="仿宋" w:eastAsia="仿宋"/>
        </w:rPr>
      </w:pPr>
      <w:bookmarkStart w:id="60" w:name="_Toc15396626"/>
      <w:r>
        <w:rPr>
          <w:rStyle w:val="31"/>
          <w:rFonts w:hint="eastAsia" w:ascii="仿宋" w:hAnsi="仿宋" w:eastAsia="仿宋"/>
          <w:b w:val="0"/>
          <w:bCs w:val="0"/>
        </w:rPr>
        <w:t>八、</w:t>
      </w:r>
      <w:r>
        <w:rPr>
          <w:rFonts w:hint="eastAsia" w:ascii="仿宋" w:hAnsi="仿宋" w:eastAsia="仿宋"/>
          <w:b w:val="0"/>
        </w:rPr>
        <w:t>一</w:t>
      </w:r>
      <w:r>
        <w:rPr>
          <w:rStyle w:val="31"/>
          <w:rFonts w:hint="eastAsia" w:ascii="仿宋" w:hAnsi="仿宋" w:eastAsia="仿宋"/>
          <w:b w:val="0"/>
          <w:bCs w:val="0"/>
        </w:rPr>
        <w:t>般公共预算财政拨款基本支出决算表</w:t>
      </w:r>
      <w:bookmarkEnd w:id="60"/>
    </w:p>
    <w:p>
      <w:pPr>
        <w:pStyle w:val="4"/>
        <w:rPr>
          <w:rFonts w:ascii="仿宋" w:hAnsi="仿宋" w:eastAsia="仿宋"/>
        </w:rPr>
      </w:pPr>
      <w:bookmarkStart w:id="61" w:name="_Toc15396627"/>
      <w:r>
        <w:rPr>
          <w:rStyle w:val="31"/>
          <w:rFonts w:hint="eastAsia" w:ascii="仿宋" w:hAnsi="仿宋" w:eastAsia="仿宋"/>
          <w:b w:val="0"/>
          <w:bCs w:val="0"/>
        </w:rPr>
        <w:t>九、</w:t>
      </w:r>
      <w:r>
        <w:rPr>
          <w:rFonts w:hint="eastAsia" w:ascii="仿宋" w:hAnsi="仿宋" w:eastAsia="仿宋"/>
          <w:b w:val="0"/>
        </w:rPr>
        <w:t>一</w:t>
      </w:r>
      <w:r>
        <w:rPr>
          <w:rStyle w:val="31"/>
          <w:rFonts w:hint="eastAsia" w:ascii="仿宋" w:hAnsi="仿宋" w:eastAsia="仿宋"/>
          <w:b w:val="0"/>
          <w:bCs w:val="0"/>
        </w:rPr>
        <w:t>般公共预算财政拨款项目支出决算表</w:t>
      </w:r>
      <w:bookmarkEnd w:id="61"/>
    </w:p>
    <w:p>
      <w:pPr>
        <w:pStyle w:val="4"/>
        <w:rPr>
          <w:rFonts w:ascii="仿宋" w:hAnsi="仿宋" w:eastAsia="仿宋"/>
        </w:rPr>
      </w:pPr>
      <w:bookmarkStart w:id="62" w:name="_Toc15396628"/>
      <w:r>
        <w:rPr>
          <w:rStyle w:val="31"/>
          <w:rFonts w:hint="eastAsia" w:ascii="仿宋" w:hAnsi="仿宋" w:eastAsia="仿宋"/>
          <w:b w:val="0"/>
          <w:bCs w:val="0"/>
        </w:rPr>
        <w:t>十、</w:t>
      </w:r>
      <w:bookmarkEnd w:id="62"/>
      <w:r>
        <w:rPr>
          <w:rFonts w:hint="eastAsia" w:ascii="仿宋" w:hAnsi="仿宋" w:eastAsia="仿宋"/>
          <w:b w:val="0"/>
        </w:rPr>
        <w:t>政</w:t>
      </w:r>
      <w:r>
        <w:rPr>
          <w:rStyle w:val="31"/>
          <w:rFonts w:hint="eastAsia" w:ascii="仿宋" w:hAnsi="仿宋" w:eastAsia="仿宋"/>
          <w:b w:val="0"/>
          <w:bCs w:val="0"/>
        </w:rPr>
        <w:t>府性基金预算财政拨款收入支出决算表</w:t>
      </w:r>
    </w:p>
    <w:p>
      <w:pPr>
        <w:pStyle w:val="4"/>
        <w:rPr>
          <w:rFonts w:ascii="仿宋" w:hAnsi="仿宋" w:eastAsia="仿宋"/>
        </w:rPr>
      </w:pPr>
      <w:bookmarkStart w:id="63" w:name="_Toc15396629"/>
      <w:r>
        <w:rPr>
          <w:rStyle w:val="31"/>
          <w:rFonts w:hint="eastAsia" w:ascii="仿宋" w:hAnsi="仿宋" w:eastAsia="仿宋"/>
          <w:b w:val="0"/>
          <w:bCs w:val="0"/>
        </w:rPr>
        <w:t>十一、</w:t>
      </w:r>
      <w:bookmarkEnd w:id="63"/>
      <w:r>
        <w:rPr>
          <w:rFonts w:hint="eastAsia" w:ascii="仿宋" w:hAnsi="仿宋" w:eastAsia="仿宋"/>
          <w:b w:val="0"/>
        </w:rPr>
        <w:t>国</w:t>
      </w:r>
      <w:r>
        <w:rPr>
          <w:rStyle w:val="31"/>
          <w:rFonts w:hint="eastAsia" w:ascii="仿宋" w:hAnsi="仿宋" w:eastAsia="仿宋"/>
          <w:b w:val="0"/>
          <w:bCs w:val="0"/>
        </w:rPr>
        <w:t>有资本经营预算财政拨款收入支出决算表</w:t>
      </w:r>
    </w:p>
    <w:p>
      <w:pPr>
        <w:pStyle w:val="4"/>
        <w:rPr>
          <w:rFonts w:ascii="仿宋" w:hAnsi="仿宋" w:eastAsia="仿宋"/>
        </w:rPr>
      </w:pPr>
      <w:bookmarkStart w:id="64" w:name="_Toc15396630"/>
      <w:r>
        <w:rPr>
          <w:rStyle w:val="31"/>
          <w:rFonts w:hint="eastAsia" w:ascii="仿宋" w:hAnsi="仿宋" w:eastAsia="仿宋"/>
          <w:b w:val="0"/>
          <w:bCs w:val="0"/>
        </w:rPr>
        <w:t>十二、</w:t>
      </w:r>
      <w:bookmarkEnd w:id="64"/>
      <w:r>
        <w:rPr>
          <w:rStyle w:val="31"/>
          <w:rFonts w:hint="eastAsia" w:ascii="仿宋" w:hAnsi="仿宋" w:eastAsia="仿宋"/>
          <w:b w:val="0"/>
          <w:bCs w:val="0"/>
        </w:rPr>
        <w:t>国有资本经营预算财政拨款支出决算表</w:t>
      </w:r>
    </w:p>
    <w:p>
      <w:pPr>
        <w:pStyle w:val="4"/>
        <w:rPr>
          <w:rFonts w:eastAsia="仿宋"/>
        </w:rPr>
      </w:pPr>
      <w:bookmarkStart w:id="65" w:name="_Toc15396631"/>
      <w:r>
        <w:rPr>
          <w:rStyle w:val="31"/>
          <w:rFonts w:hint="eastAsia" w:ascii="仿宋" w:hAnsi="仿宋" w:eastAsia="仿宋"/>
          <w:b w:val="0"/>
          <w:bCs w:val="0"/>
        </w:rPr>
        <w:t>十三、</w:t>
      </w:r>
      <w:bookmarkEnd w:id="65"/>
      <w:r>
        <w:rPr>
          <w:rStyle w:val="31"/>
          <w:rFonts w:hint="eastAsia" w:ascii="仿宋" w:hAnsi="仿宋" w:eastAsia="仿宋"/>
          <w:b w:val="0"/>
          <w:bCs w:val="0"/>
        </w:rPr>
        <w:t>财政拨款“三公”经费支出决算表</w:t>
      </w:r>
    </w:p>
    <w:p>
      <w:pPr>
        <w:rPr>
          <w:rFonts w:eastAsia="仿宋"/>
        </w:rPr>
      </w:pPr>
    </w:p>
    <w:sectPr>
      <w:headerReference r:id="rId3" w:type="default"/>
      <w:footerReference r:id="rId4" w:type="default"/>
      <w:pgSz w:w="11906" w:h="16838"/>
      <w:pgMar w:top="1547" w:right="1800" w:bottom="1538"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19</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pPr>
        <w:ind w:left="600"/>
      </w:pPr>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NWY2ZTE0ZWI0ZGM1OGZkNTc0MThkYWI3NzUyYT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587A"/>
    <w:rsid w:val="002D19B0"/>
    <w:rsid w:val="002D6D05"/>
    <w:rsid w:val="002F1818"/>
    <w:rsid w:val="002F567B"/>
    <w:rsid w:val="003216A9"/>
    <w:rsid w:val="00335A74"/>
    <w:rsid w:val="0036561B"/>
    <w:rsid w:val="0037013F"/>
    <w:rsid w:val="003743E7"/>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2A8"/>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1DE0"/>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579F"/>
    <w:rsid w:val="00FD3085"/>
    <w:rsid w:val="00FD3CC1"/>
    <w:rsid w:val="00FF1E02"/>
    <w:rsid w:val="00FF30B4"/>
    <w:rsid w:val="0490098D"/>
    <w:rsid w:val="072E57F1"/>
    <w:rsid w:val="07CE0CF5"/>
    <w:rsid w:val="07F85CF3"/>
    <w:rsid w:val="0A064DB1"/>
    <w:rsid w:val="0BF30352"/>
    <w:rsid w:val="0CAA1664"/>
    <w:rsid w:val="0DD569E9"/>
    <w:rsid w:val="0EC70B12"/>
    <w:rsid w:val="105A0745"/>
    <w:rsid w:val="10C055FF"/>
    <w:rsid w:val="118B5D02"/>
    <w:rsid w:val="135B378E"/>
    <w:rsid w:val="16AB7DC1"/>
    <w:rsid w:val="16BB723D"/>
    <w:rsid w:val="178160CF"/>
    <w:rsid w:val="18AF6ED0"/>
    <w:rsid w:val="1C483AFE"/>
    <w:rsid w:val="1F7A7D9C"/>
    <w:rsid w:val="2150749B"/>
    <w:rsid w:val="240371BF"/>
    <w:rsid w:val="24635869"/>
    <w:rsid w:val="27BE64E7"/>
    <w:rsid w:val="29E41618"/>
    <w:rsid w:val="29FD04D3"/>
    <w:rsid w:val="2E811DDA"/>
    <w:rsid w:val="319F7F4E"/>
    <w:rsid w:val="34801060"/>
    <w:rsid w:val="3B1E68C8"/>
    <w:rsid w:val="3D502E2F"/>
    <w:rsid w:val="3E1A3D5D"/>
    <w:rsid w:val="3EA54964"/>
    <w:rsid w:val="3F7C3982"/>
    <w:rsid w:val="3FAD7C2C"/>
    <w:rsid w:val="40247720"/>
    <w:rsid w:val="410A75C3"/>
    <w:rsid w:val="42D801CB"/>
    <w:rsid w:val="44101B08"/>
    <w:rsid w:val="478B0E36"/>
    <w:rsid w:val="48984AE5"/>
    <w:rsid w:val="49F75C98"/>
    <w:rsid w:val="4AE93245"/>
    <w:rsid w:val="4ECE2238"/>
    <w:rsid w:val="4EDA31DD"/>
    <w:rsid w:val="50AA00C5"/>
    <w:rsid w:val="515B5826"/>
    <w:rsid w:val="515C4084"/>
    <w:rsid w:val="51B0106E"/>
    <w:rsid w:val="53660C72"/>
    <w:rsid w:val="538502CB"/>
    <w:rsid w:val="55571BA2"/>
    <w:rsid w:val="55C900CE"/>
    <w:rsid w:val="570054B7"/>
    <w:rsid w:val="57D404B7"/>
    <w:rsid w:val="59FE52BF"/>
    <w:rsid w:val="5AEA6E38"/>
    <w:rsid w:val="5F692DA2"/>
    <w:rsid w:val="627E789F"/>
    <w:rsid w:val="69014EFE"/>
    <w:rsid w:val="6AD82E47"/>
    <w:rsid w:val="6C663611"/>
    <w:rsid w:val="6D3F2827"/>
    <w:rsid w:val="71E440CC"/>
    <w:rsid w:val="72734D90"/>
    <w:rsid w:val="72DB25BD"/>
    <w:rsid w:val="78997C1A"/>
    <w:rsid w:val="7A042394"/>
    <w:rsid w:val="7C0C4F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autoRedefine/>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autoRedefine/>
    <w:qFormat/>
    <w:uiPriority w:val="99"/>
    <w:pPr>
      <w:spacing w:beforeLines="30"/>
    </w:pPr>
    <w:rPr>
      <w:rFonts w:ascii="仿宋_GB2312" w:eastAsia="仿宋_GB2312"/>
      <w:kern w:val="0"/>
      <w:sz w:val="30"/>
    </w:rPr>
  </w:style>
  <w:style w:type="paragraph" w:styleId="6">
    <w:name w:val="toc 3"/>
    <w:basedOn w:val="1"/>
    <w:next w:val="1"/>
    <w:autoRedefine/>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autoRedefine/>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autoRedefine/>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autoRedefine/>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autoRedefine/>
    <w:semiHidden/>
    <w:qFormat/>
    <w:uiPriority w:val="99"/>
    <w:rPr>
      <w:rFonts w:ascii="Times New Roman" w:hAnsi="Times New Roman"/>
      <w:szCs w:val="24"/>
    </w:rPr>
  </w:style>
  <w:style w:type="character" w:customStyle="1" w:styleId="21">
    <w:name w:val="正文文本 Char"/>
    <w:link w:val="2"/>
    <w:autoRedefine/>
    <w:qFormat/>
    <w:locked/>
    <w:uiPriority w:val="99"/>
    <w:rPr>
      <w:rFonts w:ascii="仿宋_GB2312" w:hAnsi="Times New Roman" w:eastAsia="仿宋_GB2312"/>
      <w:sz w:val="24"/>
    </w:rPr>
  </w:style>
  <w:style w:type="paragraph" w:customStyle="1" w:styleId="22">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autoRedefine/>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标题 1 Char1"/>
    <w:basedOn w:val="13"/>
    <w:link w:val="3"/>
    <w:qFormat/>
    <w:locked/>
    <w:uiPriority w:val="9"/>
    <w:rPr>
      <w:rFonts w:ascii="Times New Roman" w:hAnsi="Times New Roman" w:cs="Times New Roman"/>
      <w:b/>
      <w:bCs/>
      <w:kern w:val="44"/>
      <w:sz w:val="44"/>
      <w:szCs w:val="44"/>
    </w:rPr>
  </w:style>
  <w:style w:type="character" w:customStyle="1" w:styleId="31">
    <w:name w:val="标题 2 Char1"/>
    <w:basedOn w:val="13"/>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1452;&#31119;&#20013;&#23398;2023Microsoft%20Excel%20&#24037;&#20316;&#34920;(&#20915;&#31639;&#20844;&#24320;&#29992;&#22270;&#6528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1452;&#31119;&#20013;&#23398;2023Microsoft%20Excel%20&#24037;&#20316;&#34920;(&#20915;&#31639;&#20844;&#24320;&#29992;&#22270;&#6528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1452;&#31119;&#20013;&#23398;2023Microsoft%20Excel%20&#24037;&#20316;&#34920;(&#20915;&#31639;&#20844;&#24320;&#29992;&#22270;&#6528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1452;&#31119;&#20013;&#23398;2023Microsoft%20Excel%20&#24037;&#20316;&#34920;(&#20915;&#31639;&#20844;&#24320;&#29992;&#22270;&#65289;.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1452;&#31119;&#20013;&#23398;2023Microsoft%20Excel%20&#24037;&#20316;&#34920;(&#20915;&#31639;&#20844;&#24320;&#29992;&#22270;&#65289;.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1452;&#31119;&#20013;&#23398;2023Microsoft%20Excel%20&#24037;&#20316;&#34920;(&#20915;&#31639;&#20844;&#24320;&#29992;&#22270;&#65289;.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1452;&#31119;&#20013;&#23398;2023Microsoft%20Excel%20&#24037;&#20316;&#34920;(&#20915;&#31639;&#20844;&#24320;&#29992;&#22270;&#6528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57142857142857"/>
          <c:y val="0.0486111111111111"/>
          <c:w val="0.75"/>
          <c:h val="0.677083333333333"/>
        </c:manualLayout>
      </c:layout>
      <c:barChart>
        <c:barDir val="col"/>
        <c:grouping val="stacked"/>
        <c:varyColors val="0"/>
        <c:ser>
          <c:idx val="0"/>
          <c:order val="0"/>
          <c:spPr>
            <a:solidFill>
              <a:srgbClr val="4F81BD">
                <a:alpha val="100000"/>
              </a:srgbClr>
            </a:solidFill>
            <a:ln w="3175">
              <a:noFill/>
            </a:ln>
          </c:spPr>
          <c:invertIfNegative val="0"/>
          <c:dLbls>
            <c:delete val="1"/>
          </c:dLbls>
          <c:cat>
            <c:strRef>
              <c:f>'[双福中学2023Microsoft Excel 工作表(决算公开用图）.xls]Sheet1'!$A$128:$A$132</c:f>
              <c:strCache>
                <c:ptCount val="5"/>
                <c:pt idx="0">
                  <c:v>2021年收入</c:v>
                </c:pt>
                <c:pt idx="1">
                  <c:v>2021年支出</c:v>
                </c:pt>
                <c:pt idx="2">
                  <c:v>2022年收入</c:v>
                </c:pt>
                <c:pt idx="3">
                  <c:v>2022年支出</c:v>
                </c:pt>
              </c:strCache>
            </c:strRef>
          </c:cat>
          <c:val>
            <c:numRef>
              <c:f>'[双福中学2023Microsoft Excel 工作表(决算公开用图）.xls]Sheet1'!$B$128:$B$132</c:f>
              <c:numCache>
                <c:formatCode>General</c:formatCode>
                <c:ptCount val="5"/>
                <c:pt idx="0">
                  <c:v>477.59</c:v>
                </c:pt>
                <c:pt idx="1">
                  <c:v>462.9</c:v>
                </c:pt>
                <c:pt idx="2">
                  <c:v>406.7</c:v>
                </c:pt>
                <c:pt idx="3">
                  <c:v>422.71</c:v>
                </c:pt>
              </c:numCache>
            </c:numRef>
          </c:val>
        </c:ser>
        <c:dLbls>
          <c:showLegendKey val="0"/>
          <c:showVal val="0"/>
          <c:showCatName val="0"/>
          <c:showSerName val="0"/>
          <c:showPercent val="0"/>
          <c:showBubbleSize val="0"/>
        </c:dLbls>
        <c:gapWidth val="150"/>
        <c:overlap val="100"/>
        <c:axId val="59026816"/>
        <c:axId val="63311232"/>
      </c:barChart>
      <c:catAx>
        <c:axId val="5902681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270000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63311232"/>
        <c:crosses val="autoZero"/>
        <c:auto val="1"/>
        <c:lblAlgn val="ctr"/>
        <c:lblOffset val="100"/>
        <c:noMultiLvlLbl val="0"/>
      </c:catAx>
      <c:valAx>
        <c:axId val="633112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59026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1"/>
              <c:layout>
                <c:manualLayout>
                  <c:x val="0.188097112860892"/>
                  <c:y val="0.0094116360454943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85846456692913"/>
                  <c:y val="-0.0079006270049577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611375765529309"/>
                  <c:y val="0.0059882618839311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33968285214348"/>
                  <c:y val="0.027984470691163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'[双福中学2023Microsoft Excel 工作表(决算公开用图）.xls]Sheet1'!$A$2:$A$8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'[双福中学2023Microsoft Excel 工作表(决算公开用图）.xls]Sheet1'!$B$2:$B$8</c:f>
              <c:numCache>
                <c:formatCode>General</c:formatCode>
                <c:ptCount val="7"/>
                <c:pt idx="0">
                  <c:v>277.93</c:v>
                </c:pt>
                <c:pt idx="1">
                  <c:v>128.77</c:v>
                </c:pt>
                <c:pt idx="2">
                  <c:v>0</c:v>
                </c:pt>
                <c:pt idx="3">
                  <c:v>0</c:v>
                </c:pt>
                <c:pt idx="4">
                  <c:v>0</c:v>
                </c:pt>
                <c:pt idx="5">
                  <c:v>0</c:v>
                </c:pt>
                <c:pt idx="6">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Lbls>
            <c:dLbl>
              <c:idx val="2"/>
              <c:layout>
                <c:manualLayout>
                  <c:x val="-0.106966754155731"/>
                  <c:y val="0.031458151064450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1991469816273"/>
                  <c:y val="0.025671114027413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'[双福中学2023Microsoft Excel 工作表(决算公开用图）.xls]Sheet1'!$A$18:$A$22</c:f>
              <c:strCache>
                <c:ptCount val="5"/>
                <c:pt idx="0">
                  <c:v>基本支出</c:v>
                </c:pt>
                <c:pt idx="1">
                  <c:v>项目支出</c:v>
                </c:pt>
                <c:pt idx="2">
                  <c:v>上缴上级支出</c:v>
                </c:pt>
                <c:pt idx="3">
                  <c:v>经营支出</c:v>
                </c:pt>
                <c:pt idx="4">
                  <c:v>对附属单位补助支出</c:v>
                </c:pt>
              </c:strCache>
            </c:strRef>
          </c:cat>
          <c:val>
            <c:numRef>
              <c:f>'[双福中学2023Microsoft Excel 工作表(决算公开用图）.xls]Sheet1'!$B$18:$B$22</c:f>
              <c:numCache>
                <c:formatCode>General</c:formatCode>
                <c:ptCount val="5"/>
                <c:pt idx="0">
                  <c:v>275.34</c:v>
                </c:pt>
                <c:pt idx="1">
                  <c:v>147.37</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5714950044062"/>
          <c:y val="0.114583721868632"/>
          <c:w val="0.611906184677699"/>
          <c:h val="0.673613395227713"/>
        </c:manualLayout>
      </c:layout>
      <c:barChart>
        <c:barDir val="col"/>
        <c:grouping val="clustered"/>
        <c:varyColors val="0"/>
        <c:ser>
          <c:idx val="0"/>
          <c:order val="0"/>
          <c:invertIfNegative val="0"/>
          <c:dLbls>
            <c:delete val="1"/>
          </c:dLbls>
          <c:cat>
            <c:strRef>
              <c:f>'[双福中学2023Microsoft Excel 工作表(决算公开用图）.xls]Sheet1'!$A$38:$A$41</c:f>
              <c:strCache>
                <c:ptCount val="4"/>
                <c:pt idx="0">
                  <c:v>2021年财收</c:v>
                </c:pt>
                <c:pt idx="1">
                  <c:v>2021年财支</c:v>
                </c:pt>
                <c:pt idx="2">
                  <c:v>2022年财收</c:v>
                </c:pt>
                <c:pt idx="3">
                  <c:v>2022年财支</c:v>
                </c:pt>
              </c:strCache>
            </c:strRef>
          </c:cat>
          <c:val>
            <c:numRef>
              <c:f>'[双福中学2023Microsoft Excel 工作表(决算公开用图）.xls]Sheet1'!$B$38:$B$41</c:f>
              <c:numCache>
                <c:formatCode>General</c:formatCode>
                <c:ptCount val="4"/>
                <c:pt idx="0">
                  <c:v>477.59</c:v>
                </c:pt>
                <c:pt idx="1">
                  <c:v>462.9</c:v>
                </c:pt>
                <c:pt idx="2">
                  <c:v>406.7</c:v>
                </c:pt>
                <c:pt idx="3">
                  <c:v>422.71</c:v>
                </c:pt>
              </c:numCache>
            </c:numRef>
          </c:val>
        </c:ser>
        <c:dLbls>
          <c:showLegendKey val="0"/>
          <c:showVal val="0"/>
          <c:showCatName val="0"/>
          <c:showSerName val="0"/>
          <c:showPercent val="0"/>
          <c:showBubbleSize val="0"/>
        </c:dLbls>
        <c:gapWidth val="150"/>
        <c:axId val="135910144"/>
        <c:axId val="136239360"/>
      </c:barChart>
      <c:catAx>
        <c:axId val="135910144"/>
        <c:scaling>
          <c:orientation val="minMax"/>
        </c:scaling>
        <c:delete val="0"/>
        <c:axPos val="b"/>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136239360"/>
        <c:crosses val="autoZero"/>
        <c:auto val="1"/>
        <c:lblAlgn val="ctr"/>
        <c:lblOffset val="100"/>
        <c:noMultiLvlLbl val="0"/>
      </c:catAx>
      <c:valAx>
        <c:axId val="136239360"/>
        <c:scaling>
          <c:orientation val="minMax"/>
        </c:scaling>
        <c:delete val="0"/>
        <c:axPos val="l"/>
        <c:majorGridlines/>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135910144"/>
        <c:crosses val="autoZero"/>
        <c:crossBetween val="between"/>
      </c:valAx>
    </c:plotArea>
    <c:plotVisOnly val="1"/>
    <c:dispBlanksAs val="gap"/>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5"/>
          <c:y val="0.0486111111111111"/>
          <c:w val="0.88125"/>
          <c:h val="0.434027777777778"/>
        </c:manualLayout>
      </c:layout>
      <c:barChart>
        <c:barDir val="col"/>
        <c:grouping val="stacked"/>
        <c:varyColors val="0"/>
        <c:ser>
          <c:idx val="0"/>
          <c:order val="0"/>
          <c:spPr>
            <a:solidFill>
              <a:srgbClr val="4F81BD">
                <a:alpha val="100000"/>
              </a:srgbClr>
            </a:solidFill>
            <a:ln w="3175">
              <a:noFill/>
            </a:ln>
          </c:spPr>
          <c:invertIfNegative val="0"/>
          <c:dLbls>
            <c:delete val="1"/>
          </c:dLbls>
          <c:cat>
            <c:strRef>
              <c:f>'[双福中学2023Microsoft Excel 工作表(决算公开用图）.xls]Sheet1'!$A$61:$A$62</c:f>
              <c:strCache>
                <c:ptCount val="2"/>
                <c:pt idx="0">
                  <c:v>2021年度一般公共预算财政拨款支出</c:v>
                </c:pt>
                <c:pt idx="1">
                  <c:v>2022年度一般公共预算财政拨款支出</c:v>
                </c:pt>
              </c:strCache>
            </c:strRef>
          </c:cat>
          <c:val>
            <c:numRef>
              <c:f>'[双福中学2023Microsoft Excel 工作表(决算公开用图）.xls]Sheet1'!$B$61:$B$62</c:f>
              <c:numCache>
                <c:formatCode>General</c:formatCode>
                <c:ptCount val="2"/>
                <c:pt idx="0">
                  <c:v>462.9</c:v>
                </c:pt>
                <c:pt idx="1" c:formatCode="0.00_ ">
                  <c:v>278.94</c:v>
                </c:pt>
              </c:numCache>
            </c:numRef>
          </c:val>
        </c:ser>
        <c:dLbls>
          <c:showLegendKey val="0"/>
          <c:showVal val="0"/>
          <c:showCatName val="0"/>
          <c:showSerName val="0"/>
          <c:showPercent val="0"/>
          <c:showBubbleSize val="0"/>
        </c:dLbls>
        <c:gapWidth val="150"/>
        <c:overlap val="100"/>
        <c:axId val="161091584"/>
        <c:axId val="161093504"/>
      </c:barChart>
      <c:catAx>
        <c:axId val="16109158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540000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161093504"/>
        <c:crosses val="autoZero"/>
        <c:auto val="1"/>
        <c:lblAlgn val="ctr"/>
        <c:lblOffset val="100"/>
        <c:noMultiLvlLbl val="0"/>
      </c:catAx>
      <c:valAx>
        <c:axId val="1610935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161091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0.0381003488060102"/>
          <c:y val="0.0641025641025641"/>
          <c:w val="0.656023611483767"/>
          <c:h val="0.834615384615385"/>
        </c:manualLayout>
      </c:layout>
      <c:pie3D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'[双福中学2023Microsoft Excel 工作表(决算公开用图）.xls]Sheet1'!$A$81:$A$88</c:f>
              <c:strCache>
                <c:ptCount val="8"/>
                <c:pt idx="0">
                  <c:v>一般公共服务支出</c:v>
                </c:pt>
                <c:pt idx="1">
                  <c:v>国防支出</c:v>
                </c:pt>
                <c:pt idx="2">
                  <c:v>教育支出</c:v>
                </c:pt>
                <c:pt idx="3">
                  <c:v>社会保障和就业支出</c:v>
                </c:pt>
                <c:pt idx="4">
                  <c:v>卫生健康支出</c:v>
                </c:pt>
                <c:pt idx="5">
                  <c:v>城乡社区支出</c:v>
                </c:pt>
                <c:pt idx="6">
                  <c:v>其他支出</c:v>
                </c:pt>
                <c:pt idx="7">
                  <c:v>住房保障支出</c:v>
                </c:pt>
              </c:strCache>
            </c:strRef>
          </c:cat>
          <c:val>
            <c:numRef>
              <c:f>'[双福中学2023Microsoft Excel 工作表(决算公开用图）.xls]Sheet1'!$B$81:$B$88</c:f>
              <c:numCache>
                <c:formatCode>General</c:formatCode>
                <c:ptCount val="8"/>
                <c:pt idx="0">
                  <c:v>0</c:v>
                </c:pt>
                <c:pt idx="1">
                  <c:v>0</c:v>
                </c:pt>
                <c:pt idx="3">
                  <c:v>257.54</c:v>
                </c:pt>
                <c:pt idx="4">
                  <c:v>5.36</c:v>
                </c:pt>
                <c:pt idx="5">
                  <c:v>128.77</c:v>
                </c:pt>
                <c:pt idx="6">
                  <c:v>15</c:v>
                </c:pt>
                <c:pt idx="7">
                  <c:v>16.04</c:v>
                </c:pt>
              </c:numCache>
            </c:numRef>
          </c:val>
        </c:ser>
        <c:dLbls>
          <c:showLegendKey val="0"/>
          <c:showVal val="1"/>
          <c:showCatName val="0"/>
          <c:showSerName val="0"/>
          <c:showPercent val="0"/>
          <c:showBubbleSize val="0"/>
        </c:dLbls>
      </c:pie3DChart>
      <c:spPr>
        <a:noFill/>
        <a:ln>
          <a:noFill/>
        </a:ln>
        <a:effectLst/>
      </c:spPr>
    </c:plotArea>
    <c:legend>
      <c:legendPos val="r"/>
      <c:layout>
        <c:manualLayout>
          <c:xMode val="edge"/>
          <c:yMode val="edge"/>
          <c:x val="0.712500092418025"/>
          <c:y val="0.16399993270072"/>
          <c:w val="0.26025"/>
          <c:h val="0.64675"/>
        </c:manualLayout>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'[双福中学2023Microsoft Excel 工作表(决算公开用图）.xls]Sheet1'!$A$109:$A$111</c:f>
              <c:strCache>
                <c:ptCount val="3"/>
                <c:pt idx="0">
                  <c:v>因公出国（境）费支出决算</c:v>
                </c:pt>
                <c:pt idx="1">
                  <c:v>公务用车购置及运行维护费支出决算</c:v>
                </c:pt>
                <c:pt idx="2">
                  <c:v>公务接待费支出决算</c:v>
                </c:pt>
              </c:strCache>
            </c:strRef>
          </c:cat>
          <c:val>
            <c:numRef>
              <c:f>'[双福中学2023Microsoft Excel 工作表(决算公开用图）.xls]Sheet1'!$B$109:$B$111</c:f>
              <c:numCache>
                <c:formatCode>General</c:formatCode>
                <c:ptCount val="3"/>
                <c:pt idx="0">
                  <c:v>0</c:v>
                </c:pt>
                <c:pt idx="1">
                  <c:v>30.6</c:v>
                </c:pt>
                <c:pt idx="2">
                  <c:v>0.13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82BD6-EDC9-416E-A7EA-EBE4EE0D7227}">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1134</Words>
  <Characters>6464</Characters>
  <Lines>53</Lines>
  <Paragraphs>15</Paragraphs>
  <TotalTime>9</TotalTime>
  <ScaleCrop>false</ScaleCrop>
  <LinksUpToDate>false</LinksUpToDate>
  <CharactersWithSpaces>7583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2023-12-07T14:35:00Z</dcterms:created>
  <dc:creator>曹颖</dc:creator>
  <cp:lastModifiedBy>城里的月光</cp:lastModifiedBy>
  <cp:lastPrinted>2021-10-27T00:40:00Z</cp:lastPrinted>
  <dcterms:modified xsi:type="dcterms:W3CDTF">2023-12-15T08:52:34Z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AD952A314CBD4E7983B3B728AEB3B4C8_13</vt:lpwstr>
  </property>
</Properties>
</file>