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7193"/>
      <w:bookmarkStart w:id="2" w:name="_Toc15377425"/>
      <w:bookmarkStart w:id="3" w:name="_Toc15378441"/>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96598"/>
      <w:bookmarkStart w:id="9" w:name="_Toc15396476"/>
      <w:bookmarkStart w:id="10" w:name="_Toc15377194"/>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峨眉山市审计局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pStyle w:val="2"/>
        <w:spacing w:before="93"/>
        <w:rPr>
          <w:rFonts w:hint="eastAsia"/>
        </w:rPr>
        <w:sectPr>
          <w:headerReference r:id="rId3" w:type="default"/>
          <w:pgSz w:w="11906" w:h="16838"/>
          <w:pgMar w:top="1440" w:right="1800" w:bottom="1440" w:left="1800" w:header="851" w:footer="992" w:gutter="0"/>
          <w:pgNumType w:start="1"/>
          <w:cols w:space="425" w:num="1"/>
          <w:titlePg/>
          <w:docGrid w:type="lines" w:linePitch="312" w:charSpace="0"/>
        </w:sectPr>
      </w:pPr>
    </w:p>
    <w:p>
      <w:pPr>
        <w:pStyle w:val="2"/>
        <w:spacing w:before="93"/>
        <w:rPr>
          <w:rFonts w:hint="eastAsia"/>
        </w:r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rPr>
          <w:sz w:val="32"/>
          <w:szCs w:val="32"/>
        </w:rPr>
      </w:pPr>
      <w:r>
        <w:rPr>
          <w:rFonts w:hint="eastAsia"/>
          <w:sz w:val="32"/>
          <w:szCs w:val="32"/>
        </w:rPr>
        <w:t>公开时间：2023年</w:t>
      </w:r>
      <w:r>
        <w:rPr>
          <w:rFonts w:hint="eastAsia"/>
          <w:sz w:val="32"/>
          <w:szCs w:val="32"/>
          <w:lang w:val="en-US" w:eastAsia="zh-CN"/>
        </w:rPr>
        <w:t>12</w:t>
      </w:r>
      <w:r>
        <w:rPr>
          <w:rFonts w:hint="eastAsia"/>
          <w:sz w:val="32"/>
          <w:szCs w:val="32"/>
        </w:rPr>
        <w:t>月</w:t>
      </w:r>
      <w:r>
        <w:rPr>
          <w:rFonts w:hint="eastAsia"/>
          <w:sz w:val="32"/>
          <w:szCs w:val="32"/>
          <w:lang w:val="en-US" w:eastAsia="zh-CN"/>
        </w:rPr>
        <w:t>15</w:t>
      </w:r>
      <w:bookmarkStart w:id="67" w:name="_GoBack"/>
      <w:bookmarkEnd w:id="67"/>
      <w:r>
        <w:rPr>
          <w:rFonts w:hint="eastAsia"/>
          <w:sz w:val="32"/>
          <w:szCs w:val="32"/>
        </w:rPr>
        <w:t>日</w:t>
      </w:r>
    </w:p>
    <w:p>
      <w:pPr>
        <w:rPr>
          <w:rFonts w:ascii="仿宋" w:hAnsi="仿宋" w:eastAsia="仿宋"/>
          <w:sz w:val="32"/>
          <w:szCs w:val="32"/>
        </w:rPr>
      </w:pPr>
    </w:p>
    <w:p>
      <w:pPr>
        <w:pStyle w:val="11"/>
        <w:adjustRightInd w:val="0"/>
        <w:snapToGrid w:val="0"/>
        <w:spacing w:before="0" w:line="440" w:lineRule="exact"/>
        <w:jc w:val="left"/>
        <w:rPr>
          <w:rFonts w:hint="eastAsia" w:eastAsia="仿宋" w:cstheme="minorBidi"/>
          <w:b/>
          <w:sz w:val="32"/>
          <w:szCs w:val="32"/>
          <w:lang w:val="en-US" w:eastAsia="zh-CN"/>
        </w:rPr>
      </w:pPr>
      <w:r>
        <w:rPr>
          <w:rFonts w:hint="eastAsia"/>
          <w:b/>
          <w:sz w:val="32"/>
          <w:szCs w:val="32"/>
        </w:rPr>
        <w:t>第一部分</w:t>
      </w:r>
      <w:r>
        <w:rPr>
          <w:b/>
          <w:sz w:val="32"/>
          <w:szCs w:val="32"/>
        </w:rPr>
        <w:t xml:space="preserve"> </w:t>
      </w:r>
      <w:r>
        <w:rPr>
          <w:rFonts w:hint="eastAsia"/>
          <w:b/>
          <w:sz w:val="32"/>
          <w:szCs w:val="32"/>
        </w:rPr>
        <w:t>部门概况</w:t>
      </w:r>
      <w:r>
        <w:rPr>
          <w:b/>
          <w:sz w:val="32"/>
          <w:szCs w:val="32"/>
        </w:rPr>
        <w:tab/>
      </w:r>
      <w:r>
        <w:rPr>
          <w:rFonts w:hint="eastAsia"/>
          <w:b/>
          <w:sz w:val="32"/>
          <w:szCs w:val="32"/>
          <w:lang w:val="en-US" w:eastAsia="zh-CN"/>
        </w:rPr>
        <w:t>1</w:t>
      </w:r>
    </w:p>
    <w:p>
      <w:pPr>
        <w:pStyle w:val="12"/>
        <w:adjustRightInd w:val="0"/>
        <w:snapToGrid w:val="0"/>
        <w:spacing w:line="440" w:lineRule="exact"/>
        <w:jc w:val="left"/>
        <w:rPr>
          <w:rFonts w:hint="eastAsia" w:ascii="仿宋" w:hAnsi="仿宋" w:eastAsia="仿宋"/>
          <w:sz w:val="32"/>
          <w:szCs w:val="32"/>
          <w:lang w:val="en-US" w:eastAsia="zh-CN"/>
        </w:rPr>
      </w:pPr>
      <w:r>
        <w:rPr>
          <w:rFonts w:hint="eastAsia" w:ascii="仿宋" w:hAnsi="仿宋" w:eastAsia="仿宋"/>
          <w:sz w:val="32"/>
          <w:szCs w:val="32"/>
        </w:rPr>
        <w:t>一、部门职责</w:t>
      </w:r>
      <w:r>
        <w:rPr>
          <w:rFonts w:ascii="仿宋" w:hAnsi="仿宋" w:eastAsia="仿宋"/>
          <w:sz w:val="32"/>
          <w:szCs w:val="32"/>
        </w:rPr>
        <w:tab/>
      </w:r>
      <w:r>
        <w:rPr>
          <w:rFonts w:hint="eastAsia" w:ascii="仿宋" w:hAnsi="仿宋" w:eastAsia="仿宋"/>
          <w:sz w:val="32"/>
          <w:szCs w:val="32"/>
          <w:lang w:val="en-US" w:eastAsia="zh-CN"/>
        </w:rPr>
        <w:t>1</w:t>
      </w:r>
    </w:p>
    <w:p>
      <w:pPr>
        <w:pStyle w:val="12"/>
        <w:adjustRightInd w:val="0"/>
        <w:snapToGrid w:val="0"/>
        <w:spacing w:line="440" w:lineRule="exact"/>
        <w:jc w:val="left"/>
        <w:rPr>
          <w:rFonts w:hint="eastAsia" w:ascii="仿宋" w:hAnsi="仿宋" w:eastAsia="仿宋" w:cstheme="minorBidi"/>
          <w:sz w:val="32"/>
          <w:szCs w:val="32"/>
          <w:lang w:val="en-US" w:eastAsia="zh-CN"/>
        </w:rPr>
      </w:pPr>
      <w:r>
        <w:rPr>
          <w:rFonts w:hint="eastAsia" w:ascii="仿宋" w:hAnsi="仿宋" w:eastAsia="仿宋"/>
          <w:sz w:val="32"/>
          <w:szCs w:val="32"/>
        </w:rPr>
        <w:t>二、机构设置</w:t>
      </w:r>
      <w:r>
        <w:rPr>
          <w:rFonts w:ascii="仿宋" w:hAnsi="仿宋" w:eastAsia="仿宋"/>
          <w:sz w:val="32"/>
          <w:szCs w:val="32"/>
        </w:rPr>
        <w:tab/>
      </w:r>
      <w:r>
        <w:rPr>
          <w:rFonts w:hint="eastAsia" w:ascii="仿宋" w:hAnsi="仿宋" w:eastAsia="仿宋"/>
          <w:sz w:val="32"/>
          <w:szCs w:val="32"/>
          <w:lang w:val="en-US" w:eastAsia="zh-CN"/>
        </w:rPr>
        <w:t>1</w:t>
      </w:r>
    </w:p>
    <w:p>
      <w:pPr>
        <w:pStyle w:val="11"/>
        <w:adjustRightInd w:val="0"/>
        <w:snapToGrid w:val="0"/>
        <w:spacing w:before="0" w:line="440" w:lineRule="exact"/>
        <w:jc w:val="left"/>
        <w:rPr>
          <w:rFonts w:hint="eastAsia" w:eastAsia="仿宋"/>
          <w:b/>
          <w:sz w:val="32"/>
          <w:szCs w:val="32"/>
          <w:lang w:val="en-US" w:eastAsia="zh-CN"/>
        </w:rPr>
      </w:pPr>
      <w:r>
        <w:rPr>
          <w:rFonts w:hint="eastAsia"/>
          <w:b/>
          <w:sz w:val="32"/>
          <w:szCs w:val="32"/>
        </w:rPr>
        <w:t>第二部分 2022年度部门决算情况说明</w:t>
      </w:r>
      <w:r>
        <w:rPr>
          <w:b/>
          <w:sz w:val="32"/>
          <w:szCs w:val="32"/>
        </w:rPr>
        <w:tab/>
      </w:r>
      <w:r>
        <w:rPr>
          <w:rFonts w:hint="eastAsia"/>
          <w:b/>
          <w:sz w:val="32"/>
          <w:szCs w:val="32"/>
          <w:lang w:val="en-US" w:eastAsia="zh-CN"/>
        </w:rPr>
        <w:t>3</w:t>
      </w:r>
    </w:p>
    <w:p>
      <w:pPr>
        <w:pStyle w:val="12"/>
        <w:adjustRightInd w:val="0"/>
        <w:snapToGrid w:val="0"/>
        <w:spacing w:line="440" w:lineRule="exact"/>
        <w:jc w:val="left"/>
        <w:rPr>
          <w:rFonts w:hint="eastAsia" w:ascii="仿宋" w:hAnsi="仿宋" w:eastAsia="仿宋" w:cstheme="minorBidi"/>
          <w:sz w:val="32"/>
          <w:szCs w:val="32"/>
          <w:lang w:val="en-US" w:eastAsia="zh-CN"/>
        </w:rPr>
      </w:pPr>
      <w:r>
        <w:rPr>
          <w:rFonts w:hint="eastAsia" w:ascii="仿宋" w:hAnsi="仿宋" w:eastAsia="仿宋"/>
          <w:sz w:val="32"/>
          <w:szCs w:val="32"/>
        </w:rPr>
        <w:t>一、收入支出决算总体情况说明</w:t>
      </w:r>
      <w:r>
        <w:rPr>
          <w:rFonts w:ascii="仿宋" w:hAnsi="仿宋" w:eastAsia="仿宋"/>
          <w:sz w:val="32"/>
          <w:szCs w:val="32"/>
        </w:rPr>
        <w:tab/>
      </w:r>
      <w:r>
        <w:rPr>
          <w:rFonts w:hint="eastAsia" w:ascii="仿宋" w:hAnsi="仿宋" w:eastAsia="仿宋"/>
          <w:sz w:val="32"/>
          <w:szCs w:val="32"/>
          <w:lang w:val="en-US" w:eastAsia="zh-CN"/>
        </w:rPr>
        <w:t>3</w:t>
      </w:r>
    </w:p>
    <w:p>
      <w:pPr>
        <w:pStyle w:val="12"/>
        <w:adjustRightInd w:val="0"/>
        <w:snapToGrid w:val="0"/>
        <w:spacing w:line="440" w:lineRule="exact"/>
        <w:jc w:val="left"/>
        <w:rPr>
          <w:rFonts w:hint="eastAsia" w:ascii="仿宋" w:hAnsi="仿宋" w:eastAsia="仿宋" w:cstheme="minorBidi"/>
          <w:sz w:val="32"/>
          <w:szCs w:val="32"/>
          <w:lang w:val="en-US" w:eastAsia="zh-CN"/>
        </w:rPr>
      </w:pPr>
      <w:r>
        <w:rPr>
          <w:rFonts w:hint="eastAsia" w:ascii="仿宋" w:hAnsi="仿宋" w:eastAsia="仿宋"/>
          <w:sz w:val="32"/>
          <w:szCs w:val="32"/>
        </w:rPr>
        <w:t>二、收入决算情况说明</w:t>
      </w:r>
      <w:r>
        <w:rPr>
          <w:rFonts w:ascii="仿宋" w:hAnsi="仿宋" w:eastAsia="仿宋"/>
          <w:sz w:val="32"/>
          <w:szCs w:val="32"/>
        </w:rPr>
        <w:tab/>
      </w:r>
      <w:r>
        <w:rPr>
          <w:rFonts w:hint="eastAsia" w:ascii="仿宋" w:hAnsi="仿宋" w:eastAsia="仿宋"/>
          <w:sz w:val="32"/>
          <w:szCs w:val="32"/>
          <w:lang w:val="en-US" w:eastAsia="zh-CN"/>
        </w:rPr>
        <w:t>3</w:t>
      </w:r>
    </w:p>
    <w:p>
      <w:pPr>
        <w:pStyle w:val="12"/>
        <w:adjustRightInd w:val="0"/>
        <w:snapToGrid w:val="0"/>
        <w:spacing w:line="440" w:lineRule="exact"/>
        <w:jc w:val="left"/>
        <w:rPr>
          <w:rFonts w:hint="eastAsia" w:ascii="仿宋" w:hAnsi="仿宋" w:eastAsia="仿宋" w:cstheme="minorBidi"/>
          <w:sz w:val="32"/>
          <w:szCs w:val="32"/>
          <w:lang w:val="en-US" w:eastAsia="zh-CN"/>
        </w:rPr>
      </w:pPr>
      <w:r>
        <w:rPr>
          <w:rFonts w:hint="eastAsia" w:ascii="仿宋" w:hAnsi="仿宋" w:eastAsia="仿宋"/>
          <w:sz w:val="32"/>
          <w:szCs w:val="32"/>
        </w:rPr>
        <w:t>三、支出决算情况说明</w:t>
      </w:r>
      <w:r>
        <w:rPr>
          <w:rFonts w:ascii="仿宋" w:hAnsi="仿宋" w:eastAsia="仿宋"/>
          <w:sz w:val="32"/>
          <w:szCs w:val="32"/>
        </w:rPr>
        <w:tab/>
      </w:r>
      <w:r>
        <w:rPr>
          <w:rFonts w:hint="eastAsia" w:ascii="仿宋" w:hAnsi="仿宋" w:eastAsia="仿宋"/>
          <w:sz w:val="32"/>
          <w:szCs w:val="32"/>
          <w:lang w:val="en-US" w:eastAsia="zh-CN"/>
        </w:rPr>
        <w:t>4</w:t>
      </w:r>
    </w:p>
    <w:p>
      <w:pPr>
        <w:pStyle w:val="12"/>
        <w:adjustRightInd w:val="0"/>
        <w:snapToGrid w:val="0"/>
        <w:spacing w:line="440" w:lineRule="exact"/>
        <w:jc w:val="left"/>
        <w:rPr>
          <w:rFonts w:hint="eastAsia" w:ascii="仿宋" w:hAnsi="仿宋" w:eastAsia="仿宋" w:cstheme="minorBidi"/>
          <w:sz w:val="32"/>
          <w:szCs w:val="32"/>
          <w:lang w:val="en-US" w:eastAsia="zh-CN"/>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hint="eastAsia" w:ascii="仿宋" w:hAnsi="仿宋" w:eastAsia="仿宋"/>
          <w:sz w:val="32"/>
          <w:szCs w:val="32"/>
          <w:lang w:val="en-US" w:eastAsia="zh-CN"/>
        </w:rPr>
        <w:t>5</w:t>
      </w:r>
    </w:p>
    <w:p>
      <w:pPr>
        <w:pStyle w:val="12"/>
        <w:adjustRightInd w:val="0"/>
        <w:snapToGrid w:val="0"/>
        <w:spacing w:line="440" w:lineRule="exact"/>
        <w:jc w:val="left"/>
        <w:rPr>
          <w:rFonts w:hint="eastAsia" w:ascii="仿宋" w:hAnsi="仿宋" w:eastAsia="仿宋" w:cstheme="minorBidi"/>
          <w:sz w:val="32"/>
          <w:szCs w:val="32"/>
          <w:lang w:val="en-US" w:eastAsia="zh-CN"/>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hint="eastAsia" w:ascii="仿宋" w:hAnsi="仿宋" w:eastAsia="仿宋"/>
          <w:sz w:val="32"/>
          <w:szCs w:val="32"/>
          <w:lang w:val="en-US" w:eastAsia="zh-CN"/>
        </w:rPr>
        <w:t>6</w:t>
      </w:r>
    </w:p>
    <w:p>
      <w:pPr>
        <w:pStyle w:val="12"/>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hint="eastAsia" w:ascii="仿宋" w:hAnsi="仿宋" w:eastAsia="仿宋"/>
          <w:sz w:val="32"/>
          <w:szCs w:val="32"/>
          <w:lang w:val="en-US" w:eastAsia="zh-CN"/>
        </w:rPr>
        <w:t>10</w:t>
      </w:r>
    </w:p>
    <w:p>
      <w:pPr>
        <w:pStyle w:val="12"/>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七、财政拨款“三公”经费支出决算情况说明</w:t>
      </w:r>
      <w:r>
        <w:rPr>
          <w:rFonts w:ascii="仿宋" w:hAnsi="仿宋" w:eastAsia="仿宋"/>
          <w:sz w:val="32"/>
          <w:szCs w:val="32"/>
        </w:rPr>
        <w:tab/>
      </w:r>
      <w:r>
        <w:rPr>
          <w:rFonts w:hint="eastAsia" w:ascii="仿宋" w:hAnsi="仿宋" w:eastAsia="仿宋"/>
          <w:sz w:val="32"/>
          <w:szCs w:val="32"/>
          <w:lang w:val="en-US" w:eastAsia="zh-CN"/>
        </w:rPr>
        <w:t>11</w:t>
      </w:r>
    </w:p>
    <w:p>
      <w:pPr>
        <w:pStyle w:val="12"/>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hint="eastAsia" w:ascii="仿宋" w:hAnsi="仿宋" w:eastAsia="仿宋"/>
          <w:sz w:val="32"/>
          <w:szCs w:val="32"/>
          <w:lang w:val="en-US" w:eastAsia="zh-CN"/>
        </w:rPr>
        <w:t>14</w:t>
      </w:r>
    </w:p>
    <w:p>
      <w:pPr>
        <w:pStyle w:val="12"/>
        <w:adjustRightInd w:val="0"/>
        <w:snapToGrid w:val="0"/>
        <w:spacing w:line="440" w:lineRule="exact"/>
        <w:ind w:leftChars="0"/>
        <w:jc w:val="left"/>
        <w:rPr>
          <w:rFonts w:hint="default" w:ascii="仿宋" w:hAnsi="仿宋" w:eastAsia="仿宋" w:cstheme="minorEastAsia"/>
          <w:sz w:val="32"/>
          <w:szCs w:val="32"/>
          <w:lang w:val="en-US" w:eastAsia="zh-CN"/>
        </w:rPr>
      </w:pPr>
      <w:r>
        <w:rPr>
          <w:rFonts w:hint="eastAsia" w:ascii="仿宋" w:hAnsi="仿宋" w:eastAsia="仿宋" w:cstheme="minorEastAsia"/>
          <w:sz w:val="32"/>
          <w:szCs w:val="32"/>
        </w:rPr>
        <w:t>九、国有资本经营预算支出决算情况说明</w:t>
      </w:r>
      <w:r>
        <w:rPr>
          <w:rFonts w:ascii="仿宋" w:hAnsi="仿宋" w:eastAsia="仿宋" w:cstheme="minorEastAsia"/>
          <w:sz w:val="32"/>
          <w:szCs w:val="32"/>
        </w:rPr>
        <w:tab/>
      </w:r>
      <w:r>
        <w:rPr>
          <w:rFonts w:hint="eastAsia" w:ascii="仿宋" w:hAnsi="仿宋" w:eastAsia="仿宋" w:cstheme="minorEastAsia"/>
          <w:sz w:val="32"/>
          <w:szCs w:val="32"/>
          <w:lang w:val="en-US" w:eastAsia="zh-CN"/>
        </w:rPr>
        <w:t>14</w:t>
      </w:r>
    </w:p>
    <w:p>
      <w:pPr>
        <w:pStyle w:val="12"/>
        <w:adjustRightInd w:val="0"/>
        <w:snapToGrid w:val="0"/>
        <w:spacing w:line="440" w:lineRule="exact"/>
        <w:ind w:leftChars="0"/>
        <w:jc w:val="left"/>
        <w:rPr>
          <w:rFonts w:hint="default" w:ascii="仿宋" w:hAnsi="仿宋" w:eastAsia="仿宋" w:cstheme="minorEastAsia"/>
          <w:sz w:val="32"/>
          <w:szCs w:val="32"/>
          <w:lang w:val="en-US" w:eastAsia="zh-CN"/>
        </w:rPr>
      </w:pPr>
      <w:r>
        <w:rPr>
          <w:rFonts w:hint="eastAsia" w:ascii="仿宋" w:hAnsi="仿宋" w:eastAsia="仿宋" w:cstheme="minorEastAsia"/>
          <w:sz w:val="32"/>
          <w:szCs w:val="32"/>
        </w:rPr>
        <w:t>十、其他重要事项的情况说明</w:t>
      </w:r>
      <w:r>
        <w:rPr>
          <w:rFonts w:hint="eastAsia" w:ascii="仿宋" w:hAnsi="仿宋" w:eastAsia="仿宋" w:cstheme="minorEastAsia"/>
          <w:sz w:val="32"/>
          <w:szCs w:val="32"/>
        </w:rPr>
        <w:tab/>
      </w:r>
      <w:r>
        <w:rPr>
          <w:rFonts w:hint="eastAsia" w:ascii="仿宋" w:hAnsi="仿宋" w:eastAsia="仿宋" w:cstheme="minorEastAsia"/>
          <w:sz w:val="32"/>
          <w:szCs w:val="32"/>
          <w:lang w:val="en-US" w:eastAsia="zh-CN"/>
        </w:rPr>
        <w:t>14</w:t>
      </w:r>
    </w:p>
    <w:p>
      <w:pPr>
        <w:pStyle w:val="11"/>
        <w:adjustRightInd w:val="0"/>
        <w:snapToGrid w:val="0"/>
        <w:spacing w:before="0" w:line="440" w:lineRule="exact"/>
        <w:jc w:val="left"/>
        <w:rPr>
          <w:rFonts w:hint="default" w:eastAsia="仿宋" w:cstheme="minorBidi"/>
          <w:b/>
          <w:sz w:val="32"/>
          <w:szCs w:val="32"/>
          <w:lang w:val="en-US" w:eastAsia="zh-CN"/>
        </w:rPr>
      </w:pPr>
      <w:r>
        <w:rPr>
          <w:rFonts w:hint="eastAsia"/>
          <w:b/>
          <w:sz w:val="32"/>
          <w:szCs w:val="32"/>
        </w:rPr>
        <w:t>第三部分</w:t>
      </w:r>
      <w:r>
        <w:rPr>
          <w:b/>
          <w:sz w:val="32"/>
          <w:szCs w:val="32"/>
        </w:rPr>
        <w:t xml:space="preserve"> </w:t>
      </w:r>
      <w:r>
        <w:rPr>
          <w:rFonts w:hint="eastAsia"/>
          <w:b/>
          <w:sz w:val="32"/>
          <w:szCs w:val="32"/>
        </w:rPr>
        <w:t>名词解释</w:t>
      </w:r>
      <w:r>
        <w:rPr>
          <w:b/>
          <w:sz w:val="32"/>
          <w:szCs w:val="32"/>
        </w:rPr>
        <w:tab/>
      </w:r>
      <w:r>
        <w:rPr>
          <w:rFonts w:hint="eastAsia"/>
          <w:b/>
          <w:sz w:val="32"/>
          <w:szCs w:val="32"/>
          <w:lang w:val="en-US" w:eastAsia="zh-CN"/>
        </w:rPr>
        <w:t>16</w:t>
      </w:r>
    </w:p>
    <w:p>
      <w:pPr>
        <w:pStyle w:val="11"/>
        <w:adjustRightInd w:val="0"/>
        <w:snapToGrid w:val="0"/>
        <w:spacing w:before="0" w:line="440" w:lineRule="exact"/>
        <w:jc w:val="left"/>
        <w:rPr>
          <w:rFonts w:hint="default" w:eastAsia="仿宋" w:cstheme="minorBidi"/>
          <w:b/>
          <w:sz w:val="32"/>
          <w:szCs w:val="32"/>
          <w:lang w:val="en-US" w:eastAsia="zh-CN"/>
        </w:rPr>
      </w:pPr>
      <w:r>
        <w:rPr>
          <w:rFonts w:hint="eastAsia"/>
          <w:b/>
          <w:sz w:val="32"/>
          <w:szCs w:val="32"/>
        </w:rPr>
        <w:t>第四部分</w:t>
      </w:r>
      <w:r>
        <w:rPr>
          <w:b/>
          <w:sz w:val="32"/>
          <w:szCs w:val="32"/>
        </w:rPr>
        <w:t xml:space="preserve"> </w:t>
      </w:r>
      <w:r>
        <w:rPr>
          <w:rFonts w:hint="eastAsia"/>
          <w:b/>
          <w:sz w:val="32"/>
          <w:szCs w:val="32"/>
        </w:rPr>
        <w:t>附件</w:t>
      </w:r>
      <w:r>
        <w:rPr>
          <w:b/>
          <w:sz w:val="32"/>
          <w:szCs w:val="32"/>
        </w:rPr>
        <w:tab/>
      </w:r>
      <w:r>
        <w:rPr>
          <w:rFonts w:hint="eastAsia"/>
          <w:b/>
          <w:sz w:val="32"/>
          <w:szCs w:val="32"/>
          <w:lang w:val="en-US" w:eastAsia="zh-CN"/>
        </w:rPr>
        <w:t>20</w:t>
      </w:r>
    </w:p>
    <w:p>
      <w:pPr>
        <w:pStyle w:val="11"/>
        <w:adjustRightInd w:val="0"/>
        <w:snapToGrid w:val="0"/>
        <w:spacing w:before="0" w:line="440" w:lineRule="exact"/>
        <w:jc w:val="left"/>
        <w:rPr>
          <w:rFonts w:hint="default" w:eastAsia="仿宋" w:cstheme="minorBidi"/>
          <w:b/>
          <w:sz w:val="32"/>
          <w:szCs w:val="32"/>
          <w:lang w:val="en-US" w:eastAsia="zh-CN"/>
        </w:rPr>
      </w:pPr>
      <w:r>
        <w:rPr>
          <w:rFonts w:hint="eastAsia"/>
          <w:b/>
          <w:sz w:val="32"/>
          <w:szCs w:val="32"/>
        </w:rPr>
        <w:t>第五部分</w:t>
      </w:r>
      <w:r>
        <w:rPr>
          <w:b/>
          <w:sz w:val="32"/>
          <w:szCs w:val="32"/>
        </w:rPr>
        <w:t xml:space="preserve"> </w:t>
      </w:r>
      <w:r>
        <w:rPr>
          <w:rFonts w:hint="eastAsia"/>
          <w:b/>
          <w:sz w:val="32"/>
          <w:szCs w:val="32"/>
        </w:rPr>
        <w:t>附表</w:t>
      </w:r>
      <w:r>
        <w:rPr>
          <w:b/>
          <w:sz w:val="32"/>
          <w:szCs w:val="32"/>
        </w:rPr>
        <w:tab/>
      </w:r>
      <w:r>
        <w:rPr>
          <w:rFonts w:hint="eastAsia"/>
          <w:b/>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一、收入支出决算总表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二、收入决算表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三、支出决算表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四、财政拨款收入支出决算总表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五、财政拨款支出决算明细表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eastAsia" w:ascii="仿宋" w:hAnsi="仿宋" w:eastAsia="仿宋"/>
          <w:sz w:val="32"/>
          <w:szCs w:val="32"/>
        </w:rPr>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pP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hint="eastAsia" w:ascii="仿宋" w:hAnsi="仿宋" w:eastAsia="仿宋"/>
          <w:sz w:val="32"/>
          <w:szCs w:val="32"/>
          <w:lang w:val="en-US" w:eastAsia="zh-CN"/>
        </w:rPr>
        <w:t>31</w:t>
      </w:r>
    </w:p>
    <w:p>
      <w:pPr>
        <w:pStyle w:val="12"/>
        <w:adjustRightInd w:val="0"/>
        <w:snapToGrid w:val="0"/>
        <w:spacing w:line="440" w:lineRule="exact"/>
        <w:jc w:val="left"/>
        <w:rPr>
          <w:rFonts w:hint="default" w:ascii="仿宋" w:hAnsi="仿宋" w:eastAsia="仿宋" w:cstheme="minorEastAsia"/>
          <w:sz w:val="32"/>
          <w:szCs w:val="32"/>
          <w:lang w:val="en-US" w:eastAsia="zh-CN"/>
        </w:rPr>
      </w:pPr>
      <w:r>
        <w:rPr>
          <w:rFonts w:hint="eastAsia" w:ascii="仿宋" w:hAnsi="仿宋" w:eastAsia="仿宋"/>
          <w:sz w:val="32"/>
          <w:szCs w:val="32"/>
        </w:rPr>
        <w:t>十三、财政拨款“三公”经费支出决算表</w:t>
      </w:r>
      <w:r>
        <w:rPr>
          <w:rFonts w:ascii="仿宋" w:hAnsi="仿宋" w:eastAsia="仿宋"/>
          <w:sz w:val="32"/>
          <w:szCs w:val="32"/>
        </w:rPr>
        <w:tab/>
      </w:r>
      <w:r>
        <w:rPr>
          <w:rFonts w:hint="eastAsia" w:ascii="仿宋" w:hAnsi="仿宋" w:eastAsia="仿宋"/>
          <w:sz w:val="32"/>
          <w:szCs w:val="32"/>
          <w:lang w:val="en-US" w:eastAsia="zh-CN"/>
        </w:rPr>
        <w:t>31</w:t>
      </w:r>
    </w:p>
    <w:p>
      <w:pPr>
        <w:widowControl/>
        <w:adjustRightInd w:val="0"/>
        <w:snapToGrid w:val="0"/>
        <w:spacing w:line="440" w:lineRule="exact"/>
        <w:ind w:firstLine="1760" w:firstLineChars="550"/>
        <w:jc w:val="left"/>
        <w:rPr>
          <w:rFonts w:ascii="仿宋" w:hAnsi="仿宋" w:eastAsia="仿宋"/>
          <w:sz w:val="32"/>
          <w:szCs w:val="32"/>
        </w:rPr>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pPr>
    </w:p>
    <w:p>
      <w:pPr>
        <w:pStyle w:val="3"/>
        <w:jc w:val="center"/>
        <w:rPr>
          <w:rStyle w:val="27"/>
          <w:rFonts w:ascii="黑体" w:hAnsi="黑体" w:eastAsia="黑体"/>
          <w:b/>
          <w:bCs w:val="0"/>
        </w:rPr>
      </w:pPr>
      <w:bookmarkStart w:id="12" w:name="_Toc15377196"/>
      <w:bookmarkStart w:id="13" w:name="_Toc15396599"/>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ascii="黑体" w:hAnsi="黑体" w:eastAsia="黑体"/>
          <w:b w:val="0"/>
          <w:highlight w:val="none"/>
        </w:rPr>
      </w:pPr>
      <w:r>
        <w:rPr>
          <w:rFonts w:hint="eastAsia" w:ascii="黑体" w:hAnsi="黑体" w:eastAsia="黑体"/>
          <w:b w:val="0"/>
          <w:highlight w:val="none"/>
        </w:rPr>
        <w:t>部门职责</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贯彻执行国家、省、市有关审计工作的方针政策和法律法规；负责对本级财政收支和法律法规规定属审计监督范围的财务收支的真实、合法和效益进行审计监督；向市政府提出审计结果报告，受市政府委托向市人大常委会提出审计工作报告、审计发现问题的纠正和处理结果报告，依法向社会公布审计结果；依法检查审计决定执行情况，督促纠正和处理审计发现的问题，协助配合有关部门查处相关重大案件；组织开展审计领域的交流与合作，指导和推广信息技术在审计领域的应用，组织建设审计信息系统等。</w:t>
      </w:r>
    </w:p>
    <w:p>
      <w:pPr>
        <w:pStyle w:val="4"/>
        <w:rPr>
          <w:rStyle w:val="28"/>
          <w:b w:val="0"/>
          <w:bCs w:val="0"/>
          <w:highlight w:val="none"/>
        </w:rPr>
      </w:pPr>
      <w:bookmarkStart w:id="14" w:name="_Toc15396601"/>
      <w:bookmarkStart w:id="15" w:name="_Toc15377200"/>
      <w:r>
        <w:rPr>
          <w:rFonts w:hint="eastAsia" w:ascii="黑体" w:eastAsia="黑体"/>
          <w:b w:val="0"/>
          <w:highlight w:val="none"/>
        </w:rPr>
        <w:t>二、</w:t>
      </w:r>
      <w:r>
        <w:rPr>
          <w:rFonts w:hint="eastAsia" w:ascii="黑体" w:hAnsi="黑体" w:eastAsia="黑体"/>
          <w:b w:val="0"/>
          <w:highlight w:val="none"/>
        </w:rPr>
        <w:t>机</w:t>
      </w:r>
      <w:r>
        <w:rPr>
          <w:rStyle w:val="28"/>
          <w:rFonts w:hint="eastAsia" w:ascii="黑体" w:hAnsi="黑体" w:eastAsia="黑体"/>
          <w:b w:val="0"/>
          <w:bCs w:val="0"/>
          <w:highlight w:val="none"/>
        </w:rPr>
        <w:t>构设置</w:t>
      </w:r>
      <w:bookmarkEnd w:id="14"/>
      <w:bookmarkEnd w:id="15"/>
    </w:p>
    <w:p>
      <w:pPr>
        <w:ind w:firstLine="800" w:firstLineChars="250"/>
        <w:rPr>
          <w:rFonts w:ascii="仿宋" w:hAnsi="仿宋" w:eastAsia="仿宋"/>
          <w:sz w:val="32"/>
          <w:szCs w:val="32"/>
        </w:rPr>
      </w:pPr>
      <w:r>
        <w:rPr>
          <w:rFonts w:hint="eastAsia" w:ascii="仿宋" w:hAnsi="仿宋" w:eastAsia="仿宋"/>
          <w:sz w:val="32"/>
          <w:szCs w:val="32"/>
          <w:highlight w:val="none"/>
        </w:rPr>
        <w:t>峨眉山市审计局下属二级预算单位</w:t>
      </w:r>
      <w:r>
        <w:rPr>
          <w:rFonts w:ascii="仿宋" w:hAnsi="仿宋" w:eastAsia="仿宋"/>
          <w:sz w:val="32"/>
          <w:szCs w:val="32"/>
          <w:highlight w:val="none"/>
        </w:rPr>
        <w:t>0</w:t>
      </w:r>
      <w:r>
        <w:rPr>
          <w:rFonts w:hint="eastAsia" w:ascii="仿宋" w:hAnsi="仿宋" w:eastAsia="仿宋"/>
          <w:sz w:val="32"/>
          <w:szCs w:val="32"/>
          <w:highlight w:val="none"/>
        </w:rPr>
        <w:t>个，其中行政单位</w:t>
      </w:r>
      <w:r>
        <w:rPr>
          <w:rFonts w:ascii="仿宋" w:hAnsi="仿宋" w:eastAsia="仿宋"/>
          <w:sz w:val="32"/>
          <w:szCs w:val="32"/>
          <w:highlight w:val="none"/>
        </w:rPr>
        <w:t>0</w:t>
      </w:r>
      <w:r>
        <w:rPr>
          <w:rFonts w:hint="eastAsia" w:ascii="仿宋" w:hAnsi="仿宋" w:eastAsia="仿宋"/>
          <w:sz w:val="32"/>
          <w:szCs w:val="32"/>
          <w:highlight w:val="none"/>
        </w:rPr>
        <w:t>个，参照公务员法管</w:t>
      </w:r>
      <w:r>
        <w:rPr>
          <w:rFonts w:hint="eastAsia" w:ascii="仿宋" w:hAnsi="仿宋" w:eastAsia="仿宋"/>
          <w:sz w:val="32"/>
          <w:szCs w:val="32"/>
        </w:rPr>
        <w:t>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纳入峨眉山市审计局2022年度部门决算编制范围的二级预算单位包括：</w:t>
      </w:r>
    </w:p>
    <w:p>
      <w:pPr>
        <w:pStyle w:val="2"/>
        <w:adjustRightInd w:val="0"/>
        <w:snapToGrid w:val="0"/>
        <w:spacing w:before="93" w:line="600" w:lineRule="exact"/>
        <w:ind w:firstLine="1120" w:firstLineChars="350"/>
        <w:rPr>
          <w:rFonts w:ascii="仿宋" w:hAnsi="仿宋" w:eastAsia="仿宋"/>
          <w:sz w:val="32"/>
          <w:szCs w:val="32"/>
        </w:rPr>
      </w:pPr>
      <w:r>
        <w:rPr>
          <w:rFonts w:hint="eastAsia" w:ascii="仿宋" w:hAnsi="仿宋" w:eastAsia="仿宋"/>
          <w:sz w:val="32"/>
          <w:szCs w:val="32"/>
        </w:rPr>
        <w:t>无</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7"/>
          <w:rFonts w:hint="eastAsia" w:ascii="黑体" w:hAnsi="黑体" w:eastAsia="黑体"/>
          <w:b w:val="0"/>
          <w:bCs/>
        </w:rPr>
        <w:t>部门决算情况说明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rPr>
        <w:t>2022年度收、支总计</w:t>
      </w:r>
      <w:r>
        <w:rPr>
          <w:rFonts w:ascii="仿宋" w:hAnsi="仿宋" w:eastAsia="仿宋"/>
          <w:sz w:val="32"/>
          <w:szCs w:val="32"/>
          <w:highlight w:val="none"/>
        </w:rPr>
        <w:t>476.3</w:t>
      </w:r>
      <w:r>
        <w:rPr>
          <w:rFonts w:hint="eastAsia" w:ascii="仿宋" w:hAnsi="仿宋" w:eastAsia="仿宋"/>
          <w:sz w:val="32"/>
          <w:szCs w:val="32"/>
          <w:highlight w:val="none"/>
        </w:rPr>
        <w:t>万元。与2021年相比，收、支总计各减少</w:t>
      </w:r>
      <w:r>
        <w:rPr>
          <w:rFonts w:ascii="仿宋" w:hAnsi="仿宋" w:eastAsia="仿宋"/>
          <w:sz w:val="32"/>
          <w:szCs w:val="32"/>
          <w:highlight w:val="none"/>
        </w:rPr>
        <w:t>136.11</w:t>
      </w:r>
      <w:r>
        <w:rPr>
          <w:rFonts w:hint="eastAsia" w:ascii="仿宋" w:hAnsi="仿宋" w:eastAsia="仿宋"/>
          <w:sz w:val="32"/>
          <w:szCs w:val="32"/>
          <w:highlight w:val="none"/>
        </w:rPr>
        <w:t>万元，下降</w:t>
      </w:r>
      <w:r>
        <w:rPr>
          <w:rFonts w:ascii="仿宋" w:hAnsi="仿宋" w:eastAsia="仿宋"/>
          <w:sz w:val="32"/>
          <w:szCs w:val="32"/>
          <w:highlight w:val="none"/>
        </w:rPr>
        <w:t>22.23%</w:t>
      </w:r>
      <w:r>
        <w:rPr>
          <w:rFonts w:hint="eastAsia" w:ascii="仿宋" w:hAnsi="仿宋" w:eastAsia="仿宋"/>
          <w:sz w:val="32"/>
          <w:szCs w:val="32"/>
          <w:highlight w:val="none"/>
        </w:rPr>
        <w:t>。主要变动原因是</w:t>
      </w:r>
      <w:r>
        <w:rPr>
          <w:rFonts w:hint="eastAsia" w:ascii="仿宋" w:hAnsi="仿宋" w:eastAsia="仿宋"/>
          <w:sz w:val="32"/>
          <w:szCs w:val="32"/>
          <w:highlight w:val="none"/>
          <w:lang w:eastAsia="zh-CN"/>
        </w:rPr>
        <w:t>政府投资项目中介结算费用</w:t>
      </w:r>
      <w:r>
        <w:rPr>
          <w:rFonts w:hint="eastAsia" w:ascii="仿宋" w:hAnsi="仿宋" w:eastAsia="仿宋"/>
          <w:sz w:val="32"/>
          <w:szCs w:val="32"/>
          <w:highlight w:val="none"/>
          <w:lang w:val="en-US" w:eastAsia="zh-CN"/>
        </w:rPr>
        <w:t>2021年支付252.93万元，2022年支付15万元</w:t>
      </w:r>
      <w:r>
        <w:rPr>
          <w:rFonts w:hint="eastAsia" w:ascii="仿宋" w:hAnsi="仿宋" w:eastAsia="仿宋"/>
          <w:sz w:val="32"/>
          <w:szCs w:val="32"/>
          <w:highlight w:val="none"/>
        </w:rPr>
        <w:t>。</w:t>
      </w:r>
    </w:p>
    <w:p>
      <w:pPr>
        <w:pStyle w:val="2"/>
        <w:spacing w:before="93"/>
      </w:pPr>
      <w:r>
        <w:drawing>
          <wp:inline distT="0" distB="0" distL="0" distR="0">
            <wp:extent cx="5451475" cy="4563745"/>
            <wp:effectExtent l="0" t="0" r="0" b="8255"/>
            <wp:docPr id="8" name="图片 8" descr="C:\Users\Administrator\Desktop\定期要删除的临时资料\微信\WeChat Files\wxid_1y4uycj7qfjk21\FileStorage\Temp\17012558573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定期要删除的临时资料\微信\WeChat Files\wxid_1y4uycj7qfjk21\FileStorage\Temp\17012558573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53159" cy="4564803"/>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476.26</w:t>
      </w:r>
      <w:r>
        <w:rPr>
          <w:rFonts w:hint="eastAsia" w:ascii="仿宋" w:hAnsi="仿宋" w:eastAsia="仿宋"/>
          <w:sz w:val="32"/>
          <w:szCs w:val="32"/>
        </w:rPr>
        <w:t>万元，其中：一般公共预算财政拨款收入</w:t>
      </w:r>
      <w:r>
        <w:rPr>
          <w:rFonts w:ascii="仿宋" w:hAnsi="仿宋" w:eastAsia="仿宋"/>
          <w:sz w:val="32"/>
          <w:szCs w:val="32"/>
        </w:rPr>
        <w:t>461.26</w:t>
      </w:r>
      <w:r>
        <w:rPr>
          <w:rFonts w:hint="eastAsia" w:ascii="仿宋" w:hAnsi="仿宋" w:eastAsia="仿宋"/>
          <w:sz w:val="32"/>
          <w:szCs w:val="32"/>
        </w:rPr>
        <w:t>万元，占</w:t>
      </w:r>
      <w:r>
        <w:rPr>
          <w:rFonts w:ascii="仿宋" w:hAnsi="仿宋" w:eastAsia="仿宋"/>
          <w:sz w:val="32"/>
          <w:szCs w:val="32"/>
        </w:rPr>
        <w:t>96.85%</w:t>
      </w:r>
      <w:r>
        <w:rPr>
          <w:rFonts w:hint="eastAsia" w:ascii="仿宋" w:hAnsi="仿宋" w:eastAsia="仿宋"/>
          <w:sz w:val="32"/>
          <w:szCs w:val="32"/>
        </w:rPr>
        <w:t>；政府性基金预算财政拨款收入</w:t>
      </w:r>
      <w:r>
        <w:rPr>
          <w:rFonts w:ascii="仿宋" w:hAnsi="仿宋" w:eastAsia="仿宋"/>
          <w:sz w:val="32"/>
          <w:szCs w:val="32"/>
        </w:rPr>
        <w:t>15</w:t>
      </w:r>
      <w:r>
        <w:rPr>
          <w:rFonts w:hint="eastAsia" w:ascii="仿宋" w:hAnsi="仿宋" w:eastAsia="仿宋"/>
          <w:sz w:val="32"/>
          <w:szCs w:val="32"/>
        </w:rPr>
        <w:t>万元，占</w:t>
      </w:r>
      <w:r>
        <w:rPr>
          <w:rFonts w:ascii="仿宋" w:hAnsi="仿宋" w:eastAsia="仿宋"/>
          <w:sz w:val="32"/>
          <w:szCs w:val="32"/>
        </w:rPr>
        <w:t>3.15%</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pStyle w:val="2"/>
        <w:spacing w:before="93"/>
      </w:pPr>
      <w:r>
        <w:drawing>
          <wp:inline distT="0" distB="0" distL="0" distR="0">
            <wp:extent cx="5400040" cy="3909060"/>
            <wp:effectExtent l="0" t="0" r="0" b="0"/>
            <wp:docPr id="9" name="图片 9" descr="C:\Users\Administrator\Desktop\定期要删除的临时资料\微信\WeChat Files\wxid_1y4uycj7qfjk21\FileStorage\Temp\1701255911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定期要删除的临时资料\微信\WeChat Files\wxid_1y4uycj7qfjk21\FileStorage\Temp\170125591161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02162" cy="3910527"/>
                    </a:xfrm>
                    <a:prstGeom prst="rect">
                      <a:avLst/>
                    </a:prstGeom>
                    <a:noFill/>
                    <a:ln>
                      <a:noFill/>
                    </a:ln>
                  </pic:spPr>
                </pic:pic>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476.26</w:t>
      </w:r>
      <w:r>
        <w:rPr>
          <w:rFonts w:hint="eastAsia" w:ascii="仿宋" w:hAnsi="仿宋" w:eastAsia="仿宋"/>
          <w:sz w:val="32"/>
          <w:szCs w:val="32"/>
        </w:rPr>
        <w:t>万元，其中：基本支出</w:t>
      </w:r>
      <w:r>
        <w:rPr>
          <w:rFonts w:ascii="仿宋" w:hAnsi="仿宋" w:eastAsia="仿宋"/>
          <w:sz w:val="32"/>
          <w:szCs w:val="32"/>
        </w:rPr>
        <w:t>410.92</w:t>
      </w:r>
      <w:r>
        <w:rPr>
          <w:rFonts w:hint="eastAsia" w:ascii="仿宋" w:hAnsi="仿宋" w:eastAsia="仿宋"/>
          <w:sz w:val="32"/>
          <w:szCs w:val="32"/>
        </w:rPr>
        <w:t>万元，占</w:t>
      </w:r>
      <w:r>
        <w:rPr>
          <w:rFonts w:ascii="仿宋" w:hAnsi="仿宋" w:eastAsia="仿宋"/>
          <w:sz w:val="32"/>
          <w:szCs w:val="32"/>
        </w:rPr>
        <w:t>86.28%</w:t>
      </w:r>
      <w:r>
        <w:rPr>
          <w:rFonts w:hint="eastAsia" w:ascii="仿宋" w:hAnsi="仿宋" w:eastAsia="仿宋"/>
          <w:sz w:val="32"/>
          <w:szCs w:val="32"/>
        </w:rPr>
        <w:t>；项目支出</w:t>
      </w:r>
      <w:r>
        <w:rPr>
          <w:rFonts w:ascii="仿宋" w:hAnsi="仿宋" w:eastAsia="仿宋"/>
          <w:sz w:val="32"/>
          <w:szCs w:val="32"/>
        </w:rPr>
        <w:t>65.34</w:t>
      </w:r>
      <w:r>
        <w:rPr>
          <w:rFonts w:hint="eastAsia" w:ascii="仿宋" w:hAnsi="仿宋" w:eastAsia="仿宋"/>
          <w:sz w:val="32"/>
          <w:szCs w:val="32"/>
        </w:rPr>
        <w:t>万元，占</w:t>
      </w:r>
      <w:r>
        <w:rPr>
          <w:rFonts w:ascii="仿宋" w:hAnsi="仿宋" w:eastAsia="仿宋"/>
          <w:sz w:val="32"/>
          <w:szCs w:val="32"/>
        </w:rPr>
        <w:t>13.72%</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spacing w:line="600" w:lineRule="exact"/>
        <w:ind w:firstLine="640"/>
        <w:rPr>
          <w:rFonts w:ascii="仿宋" w:hAnsi="仿宋" w:eastAsia="仿宋"/>
          <w:sz w:val="32"/>
          <w:szCs w:val="32"/>
          <w:shd w:val="pct10" w:color="auto" w:fill="FFFFFF"/>
        </w:rPr>
      </w:pPr>
    </w:p>
    <w:p>
      <w:pPr>
        <w:pStyle w:val="2"/>
        <w:spacing w:before="93"/>
        <w:ind w:firstLine="300" w:firstLineChars="100"/>
      </w:pPr>
      <w:r>
        <w:drawing>
          <wp:inline distT="0" distB="0" distL="0" distR="0">
            <wp:extent cx="5321935" cy="3937635"/>
            <wp:effectExtent l="0" t="0" r="0" b="5715"/>
            <wp:docPr id="10" name="图片 10" descr="C:\Users\Administrator\Desktop\定期要删除的临时资料\微信\WeChat Files\wxid_1y4uycj7qfjk21\FileStorage\Temp\1701256016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定期要删除的临时资料\微信\WeChat Files\wxid_1y4uycj7qfjk21\FileStorage\Temp\170125601649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323821" cy="3938614"/>
                    </a:xfrm>
                    <a:prstGeom prst="rect">
                      <a:avLst/>
                    </a:prstGeom>
                    <a:noFill/>
                    <a:ln>
                      <a:noFill/>
                    </a:ln>
                  </pic:spPr>
                </pic:pic>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firstLineChars="200"/>
        <w:rPr>
          <w:rFonts w:hint="eastAsia" w:ascii="仿宋" w:hAnsi="仿宋" w:eastAsia="仿宋"/>
          <w:sz w:val="32"/>
          <w:szCs w:val="32"/>
          <w:highlight w:val="none"/>
          <w:lang w:eastAsia="zh-CN"/>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476.26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w:t>
      </w:r>
      <w:r>
        <w:rPr>
          <w:rFonts w:hint="eastAsia" w:ascii="仿宋" w:hAnsi="仿宋" w:eastAsia="仿宋"/>
          <w:sz w:val="32"/>
          <w:szCs w:val="32"/>
          <w:highlight w:val="none"/>
        </w:rPr>
        <w:t>各减少</w:t>
      </w:r>
      <w:r>
        <w:rPr>
          <w:rFonts w:ascii="仿宋" w:hAnsi="仿宋" w:eastAsia="仿宋"/>
          <w:sz w:val="32"/>
          <w:szCs w:val="32"/>
          <w:highlight w:val="none"/>
        </w:rPr>
        <w:t>136.15</w:t>
      </w:r>
      <w:r>
        <w:rPr>
          <w:rFonts w:hint="eastAsia" w:ascii="仿宋" w:hAnsi="仿宋" w:eastAsia="仿宋"/>
          <w:sz w:val="32"/>
          <w:szCs w:val="32"/>
          <w:highlight w:val="none"/>
        </w:rPr>
        <w:t>万元，下降</w:t>
      </w:r>
      <w:r>
        <w:rPr>
          <w:rFonts w:ascii="仿宋" w:hAnsi="仿宋" w:eastAsia="仿宋"/>
          <w:sz w:val="32"/>
          <w:szCs w:val="32"/>
          <w:highlight w:val="none"/>
        </w:rPr>
        <w:t>22.23%</w:t>
      </w:r>
      <w:r>
        <w:rPr>
          <w:rFonts w:hint="eastAsia" w:ascii="仿宋" w:hAnsi="仿宋" w:eastAsia="仿宋"/>
          <w:sz w:val="32"/>
          <w:szCs w:val="32"/>
          <w:highlight w:val="none"/>
        </w:rPr>
        <w:t>。主要变动原因是</w:t>
      </w:r>
      <w:r>
        <w:rPr>
          <w:rFonts w:hint="eastAsia" w:ascii="仿宋" w:hAnsi="仿宋" w:eastAsia="仿宋"/>
          <w:sz w:val="32"/>
          <w:szCs w:val="32"/>
          <w:highlight w:val="none"/>
          <w:lang w:eastAsia="zh-CN"/>
        </w:rPr>
        <w:t>政府投资项目中介结算费用</w:t>
      </w:r>
      <w:r>
        <w:rPr>
          <w:rFonts w:hint="eastAsia" w:ascii="仿宋" w:hAnsi="仿宋" w:eastAsia="仿宋"/>
          <w:sz w:val="32"/>
          <w:szCs w:val="32"/>
          <w:highlight w:val="none"/>
          <w:lang w:val="en-US" w:eastAsia="zh-CN"/>
        </w:rPr>
        <w:t>2021年支付252.93万元，2022年支付15万元</w:t>
      </w:r>
      <w:r>
        <w:rPr>
          <w:rFonts w:hint="eastAsia" w:ascii="仿宋" w:hAnsi="仿宋" w:eastAsia="仿宋"/>
          <w:sz w:val="32"/>
          <w:szCs w:val="32"/>
          <w:highlight w:val="none"/>
        </w:rPr>
        <w:t>。</w:t>
      </w:r>
    </w:p>
    <w:p>
      <w:pPr>
        <w:spacing w:line="600" w:lineRule="exact"/>
        <w:ind w:firstLine="640"/>
        <w:rPr>
          <w:rFonts w:ascii="仿宋" w:hAnsi="仿宋" w:eastAsia="仿宋"/>
          <w:b/>
          <w:sz w:val="32"/>
          <w:szCs w:val="32"/>
          <w:highlight w:val="none"/>
        </w:rPr>
      </w:pPr>
      <w:r>
        <w:rPr>
          <w:rFonts w:hint="eastAsia" w:ascii="仿宋" w:hAnsi="仿宋" w:eastAsia="仿宋"/>
          <w:b/>
          <w:sz w:val="32"/>
          <w:szCs w:val="32"/>
          <w:highlight w:val="none"/>
        </w:rPr>
        <w:t>（注：数据来源于财决</w:t>
      </w:r>
      <w:r>
        <w:rPr>
          <w:rFonts w:ascii="仿宋" w:hAnsi="仿宋" w:eastAsia="仿宋"/>
          <w:b/>
          <w:sz w:val="32"/>
          <w:szCs w:val="32"/>
          <w:highlight w:val="none"/>
        </w:rPr>
        <w:t>01-1</w:t>
      </w:r>
      <w:r>
        <w:rPr>
          <w:rFonts w:hint="eastAsia" w:ascii="仿宋" w:hAnsi="仿宋" w:eastAsia="仿宋"/>
          <w:b/>
          <w:sz w:val="32"/>
          <w:szCs w:val="32"/>
          <w:highlight w:val="none"/>
        </w:rPr>
        <w:t>表</w:t>
      </w:r>
      <w:r>
        <w:rPr>
          <w:rFonts w:ascii="仿宋" w:hAnsi="仿宋" w:eastAsia="仿宋"/>
          <w:b/>
          <w:sz w:val="32"/>
          <w:szCs w:val="32"/>
          <w:highlight w:val="none"/>
        </w:rPr>
        <w:t>）</w:t>
      </w:r>
    </w:p>
    <w:p>
      <w:pPr>
        <w:pStyle w:val="2"/>
        <w:spacing w:before="93"/>
        <w:ind w:firstLine="150" w:firstLineChars="50"/>
      </w:pPr>
      <w:r>
        <w:drawing>
          <wp:inline distT="0" distB="0" distL="0" distR="0">
            <wp:extent cx="5443220" cy="4176395"/>
            <wp:effectExtent l="0" t="0" r="5080" b="0"/>
            <wp:docPr id="11" name="图片 11" descr="C:\Users\Administrator\Desktop\定期要删除的临时资料\微信\WeChat Files\wxid_1y4uycj7qfjk21\FileStorage\Temp\1701256156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定期要删除的临时资料\微信\WeChat Files\wxid_1y4uycj7qfjk21\FileStorage\Temp\170125615668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46228" cy="4178666"/>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highlight w:val="none"/>
          <w:lang w:eastAsia="zh-CN"/>
        </w:rPr>
      </w:pPr>
      <w:r>
        <w:rPr>
          <w:rFonts w:ascii="仿宋" w:hAnsi="仿宋" w:eastAsia="仿宋"/>
          <w:sz w:val="32"/>
          <w:szCs w:val="32"/>
        </w:rPr>
        <w:t>20</w:t>
      </w:r>
      <w:r>
        <w:rPr>
          <w:rFonts w:hint="eastAsia" w:ascii="仿宋" w:hAnsi="仿宋" w:eastAsia="仿宋"/>
          <w:sz w:val="32"/>
          <w:szCs w:val="32"/>
        </w:rPr>
        <w:t>22年一般公共预算财政拨</w:t>
      </w:r>
      <w:r>
        <w:rPr>
          <w:rFonts w:hint="eastAsia" w:ascii="仿宋" w:hAnsi="仿宋" w:eastAsia="仿宋"/>
          <w:sz w:val="32"/>
          <w:szCs w:val="32"/>
          <w:highlight w:val="none"/>
        </w:rPr>
        <w:t>款支出</w:t>
      </w:r>
      <w:r>
        <w:rPr>
          <w:rFonts w:ascii="仿宋" w:hAnsi="仿宋" w:eastAsia="仿宋"/>
          <w:sz w:val="32"/>
          <w:szCs w:val="32"/>
          <w:highlight w:val="none"/>
        </w:rPr>
        <w:t>461.26</w:t>
      </w:r>
      <w:r>
        <w:rPr>
          <w:rFonts w:hint="eastAsia" w:ascii="仿宋" w:hAnsi="仿宋" w:eastAsia="仿宋"/>
          <w:sz w:val="32"/>
          <w:szCs w:val="32"/>
          <w:highlight w:val="none"/>
        </w:rPr>
        <w:t>万元，占本年支出合计的</w:t>
      </w:r>
      <w:r>
        <w:rPr>
          <w:rFonts w:ascii="仿宋" w:hAnsi="仿宋" w:eastAsia="仿宋"/>
          <w:sz w:val="32"/>
          <w:szCs w:val="32"/>
          <w:highlight w:val="none"/>
        </w:rPr>
        <w:t>96.85%</w:t>
      </w:r>
      <w:r>
        <w:rPr>
          <w:rFonts w:hint="eastAsia" w:ascii="仿宋" w:hAnsi="仿宋" w:eastAsia="仿宋"/>
          <w:sz w:val="32"/>
          <w:szCs w:val="32"/>
          <w:highlight w:val="none"/>
        </w:rPr>
        <w:t>。与</w:t>
      </w:r>
      <w:r>
        <w:rPr>
          <w:rFonts w:ascii="仿宋" w:hAnsi="仿宋" w:eastAsia="仿宋"/>
          <w:sz w:val="32"/>
          <w:szCs w:val="32"/>
          <w:highlight w:val="none"/>
        </w:rPr>
        <w:t>20</w:t>
      </w:r>
      <w:r>
        <w:rPr>
          <w:rFonts w:hint="eastAsia" w:ascii="仿宋" w:hAnsi="仿宋" w:eastAsia="仿宋"/>
          <w:sz w:val="32"/>
          <w:szCs w:val="32"/>
          <w:highlight w:val="none"/>
        </w:rPr>
        <w:t>21年相比，一般公共预算财政拨款支出增加</w:t>
      </w:r>
      <w:r>
        <w:rPr>
          <w:rFonts w:ascii="仿宋" w:hAnsi="仿宋" w:eastAsia="仿宋"/>
          <w:sz w:val="32"/>
          <w:szCs w:val="32"/>
          <w:highlight w:val="none"/>
        </w:rPr>
        <w:t>102.09</w:t>
      </w:r>
      <w:r>
        <w:rPr>
          <w:rFonts w:hint="eastAsia" w:ascii="仿宋" w:hAnsi="仿宋" w:eastAsia="仿宋"/>
          <w:sz w:val="32"/>
          <w:szCs w:val="32"/>
          <w:highlight w:val="none"/>
        </w:rPr>
        <w:t>万元，增长</w:t>
      </w:r>
      <w:r>
        <w:rPr>
          <w:rFonts w:ascii="仿宋" w:hAnsi="仿宋" w:eastAsia="仿宋"/>
          <w:sz w:val="32"/>
          <w:szCs w:val="32"/>
          <w:highlight w:val="none"/>
        </w:rPr>
        <w:t>28.42%</w:t>
      </w:r>
      <w:r>
        <w:rPr>
          <w:rFonts w:hint="eastAsia" w:ascii="仿宋" w:hAnsi="仿宋" w:eastAsia="仿宋"/>
          <w:sz w:val="32"/>
          <w:szCs w:val="32"/>
          <w:highlight w:val="none"/>
        </w:rPr>
        <w:t>。主要变动原因是</w:t>
      </w:r>
      <w:r>
        <w:rPr>
          <w:rFonts w:hint="eastAsia" w:ascii="仿宋" w:hAnsi="仿宋" w:eastAsia="仿宋"/>
          <w:sz w:val="32"/>
          <w:szCs w:val="32"/>
          <w:highlight w:val="none"/>
          <w:lang w:eastAsia="zh-CN"/>
        </w:rPr>
        <w:t>新进人员</w:t>
      </w:r>
      <w:r>
        <w:rPr>
          <w:rFonts w:hint="eastAsia" w:ascii="仿宋" w:hAnsi="仿宋" w:eastAsia="仿宋"/>
          <w:sz w:val="32"/>
          <w:szCs w:val="32"/>
          <w:highlight w:val="none"/>
          <w:lang w:val="en-US" w:eastAsia="zh-CN"/>
        </w:rPr>
        <w:t>4名，干部职工晋级晋档，支付往年度欠款</w:t>
      </w:r>
      <w:r>
        <w:rPr>
          <w:rFonts w:hint="eastAsia" w:ascii="仿宋" w:hAnsi="仿宋" w:eastAsia="仿宋"/>
          <w:sz w:val="32"/>
          <w:szCs w:val="32"/>
          <w:highlight w:val="none"/>
          <w:lang w:eastAsia="zh-CN"/>
        </w:rPr>
        <w:t>。</w:t>
      </w:r>
    </w:p>
    <w:p>
      <w:pPr>
        <w:pStyle w:val="2"/>
        <w:spacing w:before="93"/>
      </w:pPr>
    </w:p>
    <w:p>
      <w:pPr>
        <w:pStyle w:val="2"/>
        <w:spacing w:before="93"/>
        <w:ind w:firstLine="300" w:firstLineChars="100"/>
      </w:pPr>
      <w:r>
        <w:drawing>
          <wp:inline distT="0" distB="0" distL="0" distR="0">
            <wp:extent cx="5274310" cy="3975100"/>
            <wp:effectExtent l="0" t="0" r="2540" b="6350"/>
            <wp:docPr id="12" name="图片 12" descr="C:\Users\Administrator\Desktop\定期要删除的临时资料\微信\WeChat Files\wxid_1y4uycj7qfjk21\FileStorage\Temp\1701256287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定期要删除的临时资料\微信\WeChat Files\wxid_1y4uycj7qfjk21\FileStorage\Temp\17012562878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310" cy="3975114"/>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461.26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Cs/>
          <w:sz w:val="32"/>
          <w:szCs w:val="32"/>
        </w:rPr>
        <w:t>一般公共服务支出</w:t>
      </w:r>
      <w:r>
        <w:rPr>
          <w:rFonts w:ascii="仿宋" w:hAnsi="仿宋" w:eastAsia="仿宋"/>
          <w:sz w:val="32"/>
          <w:szCs w:val="32"/>
        </w:rPr>
        <w:t>371.9</w:t>
      </w:r>
      <w:r>
        <w:rPr>
          <w:rFonts w:hint="eastAsia" w:ascii="仿宋" w:hAnsi="仿宋" w:eastAsia="仿宋"/>
          <w:sz w:val="32"/>
          <w:szCs w:val="32"/>
        </w:rPr>
        <w:t>万元，占</w:t>
      </w:r>
      <w:r>
        <w:rPr>
          <w:rFonts w:ascii="仿宋" w:hAnsi="仿宋" w:eastAsia="仿宋"/>
          <w:sz w:val="32"/>
          <w:szCs w:val="32"/>
        </w:rPr>
        <w:t>80.63%</w:t>
      </w:r>
      <w:r>
        <w:rPr>
          <w:rFonts w:hint="eastAsia" w:ascii="仿宋" w:hAnsi="仿宋" w:eastAsia="仿宋"/>
          <w:sz w:val="32"/>
          <w:szCs w:val="32"/>
        </w:rPr>
        <w:t>；</w:t>
      </w:r>
      <w:r>
        <w:rPr>
          <w:rFonts w:hint="eastAsia" w:ascii="仿宋" w:hAnsi="仿宋" w:eastAsia="仿宋"/>
          <w:bCs/>
          <w:sz w:val="32"/>
          <w:szCs w:val="32"/>
        </w:rPr>
        <w:t>教育支出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Cs/>
          <w:sz w:val="32"/>
          <w:szCs w:val="32"/>
        </w:rPr>
        <w:t>科学技术支出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；文化旅游体育与传媒支出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Cs/>
          <w:sz w:val="32"/>
          <w:szCs w:val="32"/>
        </w:rPr>
        <w:t>社会保障和就业支出</w:t>
      </w:r>
      <w:r>
        <w:rPr>
          <w:rFonts w:ascii="仿宋" w:hAnsi="仿宋" w:eastAsia="仿宋"/>
          <w:sz w:val="32"/>
          <w:szCs w:val="32"/>
        </w:rPr>
        <w:t>45.02</w:t>
      </w:r>
      <w:r>
        <w:rPr>
          <w:rFonts w:hint="eastAsia" w:ascii="仿宋" w:hAnsi="仿宋" w:eastAsia="仿宋"/>
          <w:sz w:val="32"/>
          <w:szCs w:val="32"/>
        </w:rPr>
        <w:t>万元，占</w:t>
      </w:r>
      <w:r>
        <w:rPr>
          <w:rFonts w:ascii="仿宋" w:hAnsi="仿宋" w:eastAsia="仿宋"/>
          <w:sz w:val="32"/>
          <w:szCs w:val="32"/>
        </w:rPr>
        <w:t>9.76%</w:t>
      </w:r>
      <w:r>
        <w:rPr>
          <w:rFonts w:hint="eastAsia" w:ascii="仿宋" w:hAnsi="仿宋" w:eastAsia="仿宋"/>
          <w:sz w:val="32"/>
          <w:szCs w:val="32"/>
        </w:rPr>
        <w:t>；卫生健康支出</w:t>
      </w:r>
      <w:r>
        <w:rPr>
          <w:rFonts w:ascii="仿宋" w:hAnsi="仿宋" w:eastAsia="仿宋"/>
          <w:sz w:val="32"/>
          <w:szCs w:val="32"/>
        </w:rPr>
        <w:t>13.06</w:t>
      </w:r>
      <w:r>
        <w:rPr>
          <w:rFonts w:hint="eastAsia" w:ascii="仿宋" w:hAnsi="仿宋" w:eastAsia="仿宋"/>
          <w:sz w:val="32"/>
          <w:szCs w:val="32"/>
        </w:rPr>
        <w:t>万元，占</w:t>
      </w:r>
      <w:r>
        <w:rPr>
          <w:rFonts w:ascii="仿宋" w:hAnsi="仿宋" w:eastAsia="仿宋"/>
          <w:sz w:val="32"/>
          <w:szCs w:val="32"/>
        </w:rPr>
        <w:t>2.83%</w:t>
      </w:r>
      <w:r>
        <w:rPr>
          <w:rFonts w:hint="eastAsia" w:ascii="仿宋" w:hAnsi="仿宋" w:eastAsia="仿宋"/>
          <w:sz w:val="32"/>
          <w:szCs w:val="32"/>
        </w:rPr>
        <w:t>；住房保障支出</w:t>
      </w:r>
      <w:r>
        <w:rPr>
          <w:rFonts w:ascii="仿宋" w:hAnsi="仿宋" w:eastAsia="仿宋"/>
          <w:sz w:val="32"/>
          <w:szCs w:val="32"/>
        </w:rPr>
        <w:t>31.28</w:t>
      </w:r>
      <w:r>
        <w:rPr>
          <w:rFonts w:hint="eastAsia" w:ascii="仿宋" w:hAnsi="仿宋" w:eastAsia="仿宋"/>
          <w:sz w:val="32"/>
          <w:szCs w:val="32"/>
        </w:rPr>
        <w:t>万元，占</w:t>
      </w:r>
      <w:r>
        <w:rPr>
          <w:rFonts w:ascii="仿宋" w:hAnsi="仿宋" w:eastAsia="仿宋"/>
          <w:sz w:val="32"/>
          <w:szCs w:val="32"/>
        </w:rPr>
        <w:t>6.78%</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pStyle w:val="2"/>
        <w:spacing w:before="93"/>
      </w:pPr>
    </w:p>
    <w:p>
      <w:pPr>
        <w:pStyle w:val="2"/>
        <w:spacing w:before="93"/>
      </w:pPr>
      <w:r>
        <w:drawing>
          <wp:inline distT="0" distB="0" distL="0" distR="0">
            <wp:extent cx="5391150" cy="4274185"/>
            <wp:effectExtent l="0" t="0" r="0" b="0"/>
            <wp:docPr id="13" name="图片 13" descr="C:\Users\Administrator\Desktop\定期要删除的临时资料\微信\WeChat Files\wxid_1y4uycj7qfjk21\FileStorage\Temp\170125637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定期要删除的临时资料\微信\WeChat Files\wxid_1y4uycj7qfjk21\FileStorage\Temp\170125637217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395370" cy="4277245"/>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0" w:firstLineChars="200"/>
        <w:outlineLvl w:val="2"/>
        <w:rPr>
          <w:rFonts w:ascii="仿宋" w:hAnsi="仿宋" w:eastAsia="仿宋"/>
          <w:b/>
          <w:sz w:val="32"/>
          <w:szCs w:val="32"/>
        </w:rPr>
      </w:pPr>
      <w:bookmarkStart w:id="31" w:name="_Toc15377213"/>
      <w:bookmarkStart w:id="32" w:name="_Toc15378460"/>
      <w:bookmarkStart w:id="33" w:name="_Toc15377444"/>
      <w:r>
        <w:rPr>
          <w:rFonts w:hint="eastAsia" w:ascii="仿宋" w:hAnsi="仿宋" w:eastAsia="仿宋"/>
          <w:bCs/>
          <w:sz w:val="32"/>
          <w:szCs w:val="32"/>
        </w:rPr>
        <w:t>2022年一般公共预算支出决算数为</w:t>
      </w:r>
      <w:r>
        <w:rPr>
          <w:rFonts w:ascii="仿宋" w:hAnsi="仿宋" w:eastAsia="仿宋"/>
          <w:bCs/>
          <w:sz w:val="32"/>
          <w:szCs w:val="32"/>
        </w:rPr>
        <w:t>461.26</w:t>
      </w:r>
      <w:r>
        <w:rPr>
          <w:rFonts w:hint="eastAsia" w:ascii="仿宋" w:hAnsi="仿宋" w:eastAsia="仿宋"/>
          <w:bCs/>
          <w:sz w:val="32"/>
          <w:szCs w:val="32"/>
        </w:rPr>
        <w:t>，</w:t>
      </w:r>
      <w:r>
        <w:rPr>
          <w:rStyle w:val="16"/>
          <w:rFonts w:hint="eastAsia" w:ascii="仿宋" w:hAnsi="仿宋" w:eastAsia="仿宋"/>
          <w:b w:val="0"/>
          <w:sz w:val="32"/>
          <w:szCs w:val="32"/>
        </w:rPr>
        <w:t>完成预算</w:t>
      </w:r>
      <w:r>
        <w:rPr>
          <w:rStyle w:val="16"/>
          <w:rFonts w:ascii="仿宋" w:hAnsi="仿宋" w:eastAsia="仿宋"/>
          <w:b w:val="0"/>
          <w:sz w:val="32"/>
          <w:szCs w:val="32"/>
        </w:rPr>
        <w:t>100%</w:t>
      </w:r>
      <w:r>
        <w:rPr>
          <w:rStyle w:val="16"/>
          <w:rFonts w:hint="eastAsia" w:ascii="仿宋" w:hAnsi="仿宋" w:eastAsia="仿宋"/>
          <w:b w:val="0"/>
          <w:sz w:val="32"/>
          <w:szCs w:val="32"/>
        </w:rPr>
        <w:t>。其中：</w:t>
      </w:r>
      <w:bookmarkEnd w:id="31"/>
      <w:bookmarkEnd w:id="32"/>
      <w:bookmarkEnd w:id="33"/>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sz w:val="32"/>
          <w:szCs w:val="32"/>
        </w:rPr>
        <w:t>1.</w:t>
      </w:r>
      <w:r>
        <w:rPr>
          <w:rStyle w:val="16"/>
          <w:rFonts w:hint="eastAsia" w:ascii="仿宋" w:hAnsi="仿宋" w:eastAsia="仿宋"/>
          <w:b w:val="0"/>
          <w:sz w:val="32"/>
          <w:szCs w:val="32"/>
        </w:rPr>
        <w:t>一般公共服务（类）审计事务（款）行政运行（项）</w:t>
      </w:r>
      <w:r>
        <w:rPr>
          <w:rStyle w:val="16"/>
          <w:rFonts w:ascii="仿宋" w:hAnsi="仿宋" w:eastAsia="仿宋"/>
          <w:b w:val="0"/>
          <w:sz w:val="32"/>
          <w:szCs w:val="32"/>
        </w:rPr>
        <w:t xml:space="preserve">: </w:t>
      </w:r>
      <w:r>
        <w:rPr>
          <w:rStyle w:val="16"/>
          <w:rFonts w:hint="eastAsia" w:ascii="仿宋" w:hAnsi="仿宋" w:eastAsia="仿宋"/>
          <w:b w:val="0"/>
          <w:bCs/>
          <w:sz w:val="32"/>
          <w:szCs w:val="32"/>
        </w:rPr>
        <w:t>支出决算数为</w:t>
      </w:r>
      <w:r>
        <w:rPr>
          <w:rStyle w:val="16"/>
          <w:rFonts w:ascii="仿宋" w:hAnsi="仿宋" w:eastAsia="仿宋"/>
          <w:b w:val="0"/>
          <w:bCs/>
          <w:sz w:val="32"/>
          <w:szCs w:val="32"/>
        </w:rPr>
        <w:t>240.03</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pStyle w:val="2"/>
        <w:spacing w:before="93"/>
        <w:ind w:firstLine="640" w:firstLineChars="200"/>
        <w:rPr>
          <w:rStyle w:val="16"/>
          <w:rFonts w:ascii="仿宋" w:hAnsi="仿宋" w:eastAsia="仿宋"/>
          <w:b w:val="0"/>
          <w:bCs/>
          <w:sz w:val="32"/>
          <w:szCs w:val="32"/>
        </w:rPr>
      </w:pPr>
      <w:r>
        <w:rPr>
          <w:rStyle w:val="16"/>
          <w:rFonts w:hint="eastAsia" w:ascii="仿宋" w:hAnsi="仿宋" w:eastAsia="仿宋"/>
          <w:b w:val="0"/>
          <w:sz w:val="32"/>
          <w:szCs w:val="32"/>
        </w:rPr>
        <w:t>2</w:t>
      </w:r>
      <w:r>
        <w:rPr>
          <w:rStyle w:val="16"/>
          <w:rFonts w:ascii="仿宋" w:hAnsi="仿宋" w:eastAsia="仿宋"/>
          <w:b w:val="0"/>
          <w:sz w:val="32"/>
          <w:szCs w:val="32"/>
        </w:rPr>
        <w:t>.</w:t>
      </w:r>
      <w:r>
        <w:rPr>
          <w:rStyle w:val="16"/>
          <w:rFonts w:hint="eastAsia" w:ascii="仿宋" w:hAnsi="仿宋" w:eastAsia="仿宋"/>
          <w:b w:val="0"/>
          <w:sz w:val="32"/>
          <w:szCs w:val="32"/>
        </w:rPr>
        <w:t xml:space="preserve"> 一般公共服务（类）审计事务（款）一般行政管理事务（项）</w:t>
      </w:r>
      <w:r>
        <w:rPr>
          <w:rStyle w:val="16"/>
          <w:rFonts w:ascii="仿宋" w:hAnsi="仿宋" w:eastAsia="仿宋"/>
          <w:b w:val="0"/>
          <w:sz w:val="32"/>
          <w:szCs w:val="32"/>
        </w:rPr>
        <w:t xml:space="preserve">: </w:t>
      </w:r>
      <w:r>
        <w:rPr>
          <w:rStyle w:val="16"/>
          <w:rFonts w:hint="eastAsia" w:ascii="仿宋" w:hAnsi="仿宋" w:eastAsia="仿宋"/>
          <w:b w:val="0"/>
          <w:bCs/>
          <w:sz w:val="32"/>
          <w:szCs w:val="32"/>
        </w:rPr>
        <w:t>支出决算数为</w:t>
      </w:r>
      <w:r>
        <w:rPr>
          <w:rStyle w:val="16"/>
          <w:rFonts w:ascii="仿宋" w:hAnsi="仿宋" w:eastAsia="仿宋"/>
          <w:b w:val="0"/>
          <w:bCs/>
          <w:sz w:val="32"/>
          <w:szCs w:val="32"/>
        </w:rPr>
        <w:t>25.51</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pStyle w:val="2"/>
        <w:spacing w:before="93"/>
        <w:ind w:firstLine="640" w:firstLineChars="200"/>
        <w:rPr>
          <w:rStyle w:val="16"/>
          <w:rFonts w:ascii="仿宋" w:hAnsi="仿宋" w:eastAsia="仿宋"/>
          <w:b w:val="0"/>
          <w:bCs/>
          <w:sz w:val="32"/>
          <w:szCs w:val="32"/>
        </w:rPr>
      </w:pPr>
      <w:r>
        <w:rPr>
          <w:rStyle w:val="16"/>
          <w:rFonts w:hint="eastAsia" w:ascii="仿宋" w:hAnsi="仿宋" w:eastAsia="仿宋"/>
          <w:b w:val="0"/>
          <w:sz w:val="32"/>
          <w:szCs w:val="32"/>
        </w:rPr>
        <w:t>3</w:t>
      </w:r>
      <w:r>
        <w:rPr>
          <w:rStyle w:val="16"/>
          <w:rFonts w:ascii="仿宋" w:hAnsi="仿宋" w:eastAsia="仿宋"/>
          <w:b w:val="0"/>
          <w:sz w:val="32"/>
          <w:szCs w:val="32"/>
        </w:rPr>
        <w:t>.</w:t>
      </w:r>
      <w:r>
        <w:rPr>
          <w:rStyle w:val="16"/>
          <w:rFonts w:hint="eastAsia" w:ascii="仿宋" w:hAnsi="仿宋" w:eastAsia="仿宋"/>
          <w:b w:val="0"/>
          <w:sz w:val="32"/>
          <w:szCs w:val="32"/>
        </w:rPr>
        <w:t>一般公共服务（类）审计事务（款）审计业务（项）</w:t>
      </w:r>
      <w:r>
        <w:rPr>
          <w:rStyle w:val="16"/>
          <w:rFonts w:ascii="仿宋" w:hAnsi="仿宋" w:eastAsia="仿宋"/>
          <w:b w:val="0"/>
          <w:sz w:val="32"/>
          <w:szCs w:val="32"/>
        </w:rPr>
        <w:t xml:space="preserve">: </w:t>
      </w:r>
      <w:r>
        <w:rPr>
          <w:rStyle w:val="16"/>
          <w:rFonts w:hint="eastAsia" w:ascii="仿宋" w:hAnsi="仿宋" w:eastAsia="仿宋"/>
          <w:b w:val="0"/>
          <w:bCs/>
          <w:sz w:val="32"/>
          <w:szCs w:val="32"/>
        </w:rPr>
        <w:t>支出决算数为</w:t>
      </w:r>
      <w:r>
        <w:rPr>
          <w:rStyle w:val="16"/>
          <w:rFonts w:ascii="仿宋" w:hAnsi="仿宋" w:eastAsia="仿宋"/>
          <w:b w:val="0"/>
          <w:bCs/>
          <w:sz w:val="32"/>
          <w:szCs w:val="32"/>
        </w:rPr>
        <w:t>18.12</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pStyle w:val="2"/>
        <w:spacing w:before="93"/>
        <w:ind w:firstLine="640" w:firstLineChars="200"/>
        <w:rPr>
          <w:rStyle w:val="16"/>
          <w:rFonts w:ascii="仿宋" w:hAnsi="仿宋" w:eastAsia="仿宋"/>
          <w:b w:val="0"/>
          <w:bCs/>
          <w:sz w:val="32"/>
          <w:szCs w:val="32"/>
        </w:rPr>
      </w:pPr>
      <w:r>
        <w:rPr>
          <w:rStyle w:val="16"/>
          <w:rFonts w:hint="eastAsia" w:ascii="仿宋" w:hAnsi="仿宋" w:eastAsia="仿宋"/>
          <w:b w:val="0"/>
          <w:sz w:val="32"/>
          <w:szCs w:val="32"/>
        </w:rPr>
        <w:t>4</w:t>
      </w:r>
      <w:r>
        <w:rPr>
          <w:rStyle w:val="16"/>
          <w:rFonts w:ascii="仿宋" w:hAnsi="仿宋" w:eastAsia="仿宋"/>
          <w:b w:val="0"/>
          <w:sz w:val="32"/>
          <w:szCs w:val="32"/>
        </w:rPr>
        <w:t>.</w:t>
      </w:r>
      <w:r>
        <w:rPr>
          <w:rStyle w:val="16"/>
          <w:rFonts w:hint="eastAsia" w:ascii="仿宋" w:hAnsi="仿宋" w:eastAsia="仿宋"/>
          <w:b w:val="0"/>
          <w:sz w:val="32"/>
          <w:szCs w:val="32"/>
        </w:rPr>
        <w:t>一般公共服务（类）审计事务（款）信息化建设（项）</w:t>
      </w:r>
      <w:r>
        <w:rPr>
          <w:rStyle w:val="16"/>
          <w:rFonts w:ascii="仿宋" w:hAnsi="仿宋" w:eastAsia="仿宋"/>
          <w:b w:val="0"/>
          <w:sz w:val="32"/>
          <w:szCs w:val="32"/>
        </w:rPr>
        <w:t xml:space="preserve">: </w:t>
      </w:r>
      <w:r>
        <w:rPr>
          <w:rStyle w:val="16"/>
          <w:rFonts w:hint="eastAsia" w:ascii="仿宋" w:hAnsi="仿宋" w:eastAsia="仿宋"/>
          <w:b w:val="0"/>
          <w:bCs/>
          <w:sz w:val="32"/>
          <w:szCs w:val="32"/>
        </w:rPr>
        <w:t>支出决算数为</w:t>
      </w:r>
      <w:r>
        <w:rPr>
          <w:rStyle w:val="16"/>
          <w:rFonts w:ascii="仿宋" w:hAnsi="仿宋" w:eastAsia="仿宋"/>
          <w:b w:val="0"/>
          <w:bCs/>
          <w:sz w:val="32"/>
          <w:szCs w:val="32"/>
        </w:rPr>
        <w:t>6.71</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pStyle w:val="2"/>
        <w:spacing w:before="93"/>
        <w:ind w:firstLine="640" w:firstLineChars="200"/>
      </w:pPr>
      <w:r>
        <w:rPr>
          <w:rStyle w:val="16"/>
          <w:rFonts w:hint="eastAsia" w:ascii="仿宋" w:hAnsi="仿宋" w:eastAsia="仿宋"/>
          <w:b w:val="0"/>
          <w:sz w:val="32"/>
          <w:szCs w:val="32"/>
        </w:rPr>
        <w:t>5</w:t>
      </w:r>
      <w:r>
        <w:rPr>
          <w:rStyle w:val="16"/>
          <w:rFonts w:ascii="仿宋" w:hAnsi="仿宋" w:eastAsia="仿宋"/>
          <w:b w:val="0"/>
          <w:sz w:val="32"/>
          <w:szCs w:val="32"/>
        </w:rPr>
        <w:t>.</w:t>
      </w:r>
      <w:r>
        <w:rPr>
          <w:rStyle w:val="16"/>
          <w:rFonts w:hint="eastAsia" w:ascii="仿宋" w:hAnsi="仿宋" w:eastAsia="仿宋"/>
          <w:b w:val="0"/>
          <w:sz w:val="32"/>
          <w:szCs w:val="32"/>
        </w:rPr>
        <w:t>一般公共服务（类）审计事务（款）事业运行（项）</w:t>
      </w:r>
      <w:r>
        <w:rPr>
          <w:rStyle w:val="16"/>
          <w:rFonts w:ascii="仿宋" w:hAnsi="仿宋" w:eastAsia="仿宋"/>
          <w:b w:val="0"/>
          <w:sz w:val="32"/>
          <w:szCs w:val="32"/>
        </w:rPr>
        <w:t xml:space="preserve">: </w:t>
      </w:r>
      <w:r>
        <w:rPr>
          <w:rStyle w:val="16"/>
          <w:rFonts w:hint="eastAsia" w:ascii="仿宋" w:hAnsi="仿宋" w:eastAsia="仿宋"/>
          <w:b w:val="0"/>
          <w:bCs/>
          <w:sz w:val="32"/>
          <w:szCs w:val="32"/>
        </w:rPr>
        <w:t>支出决算数为</w:t>
      </w:r>
      <w:r>
        <w:rPr>
          <w:rStyle w:val="16"/>
          <w:rFonts w:ascii="仿宋" w:hAnsi="仿宋" w:eastAsia="仿宋"/>
          <w:b w:val="0"/>
          <w:bCs/>
          <w:sz w:val="32"/>
          <w:szCs w:val="32"/>
        </w:rPr>
        <w:t>81.53</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spacing w:line="600" w:lineRule="exact"/>
        <w:ind w:firstLine="640" w:firstLineChars="200"/>
        <w:rPr>
          <w:rFonts w:ascii="仿宋" w:hAnsi="仿宋" w:eastAsia="仿宋"/>
          <w:b/>
          <w:sz w:val="32"/>
          <w:szCs w:val="32"/>
        </w:rPr>
      </w:pPr>
      <w:r>
        <w:rPr>
          <w:rStyle w:val="16"/>
          <w:rFonts w:ascii="仿宋" w:hAnsi="仿宋" w:eastAsia="仿宋"/>
          <w:b w:val="0"/>
          <w:sz w:val="32"/>
          <w:szCs w:val="32"/>
        </w:rPr>
        <w:t>6.</w:t>
      </w:r>
      <w:r>
        <w:rPr>
          <w:rStyle w:val="16"/>
          <w:rFonts w:hint="eastAsia" w:ascii="仿宋" w:hAnsi="仿宋" w:eastAsia="仿宋"/>
          <w:b w:val="0"/>
          <w:sz w:val="32"/>
          <w:szCs w:val="32"/>
        </w:rPr>
        <w:t>教育（类）</w:t>
      </w:r>
      <w:r>
        <w:rPr>
          <w:rStyle w:val="16"/>
          <w:rFonts w:ascii="仿宋" w:hAnsi="仿宋" w:eastAsia="仿宋"/>
          <w:b w:val="0"/>
          <w:sz w:val="32"/>
          <w:szCs w:val="32"/>
        </w:rPr>
        <w:t>***</w:t>
      </w:r>
      <w:r>
        <w:rPr>
          <w:rStyle w:val="16"/>
          <w:rFonts w:hint="eastAsia" w:ascii="仿宋" w:hAnsi="仿宋" w:eastAsia="仿宋"/>
          <w:b w:val="0"/>
          <w:sz w:val="32"/>
          <w:szCs w:val="32"/>
        </w:rPr>
        <w:t>（款）</w:t>
      </w:r>
      <w:r>
        <w:rPr>
          <w:rStyle w:val="16"/>
          <w:rFonts w:ascii="仿宋" w:hAnsi="仿宋" w:eastAsia="仿宋"/>
          <w:b w:val="0"/>
          <w:sz w:val="32"/>
          <w:szCs w:val="32"/>
        </w:rPr>
        <w:t>***</w:t>
      </w:r>
      <w:r>
        <w:rPr>
          <w:rStyle w:val="16"/>
          <w:rFonts w:hint="eastAsia" w:ascii="仿宋" w:hAnsi="仿宋" w:eastAsia="仿宋"/>
          <w:b w:val="0"/>
          <w:sz w:val="32"/>
          <w:szCs w:val="32"/>
        </w:rPr>
        <w:t>（项）</w:t>
      </w:r>
      <w:r>
        <w:rPr>
          <w:rStyle w:val="16"/>
          <w:rFonts w:ascii="仿宋" w:hAnsi="仿宋" w:eastAsia="仿宋"/>
          <w:b w:val="0"/>
          <w:sz w:val="32"/>
          <w:szCs w:val="32"/>
        </w:rPr>
        <w:t>:</w:t>
      </w:r>
      <w:r>
        <w:rPr>
          <w:rStyle w:val="16"/>
          <w:rFonts w:hint="eastAsia" w:ascii="仿宋" w:hAnsi="仿宋" w:eastAsia="仿宋"/>
          <w:b w:val="0"/>
          <w:bCs/>
          <w:sz w:val="32"/>
          <w:szCs w:val="32"/>
        </w:rPr>
        <w:t>本年无此项业务支出。</w:t>
      </w:r>
    </w:p>
    <w:p>
      <w:pPr>
        <w:spacing w:line="600" w:lineRule="exact"/>
        <w:ind w:firstLine="640" w:firstLineChars="200"/>
        <w:rPr>
          <w:rFonts w:ascii="仿宋" w:hAnsi="仿宋" w:eastAsia="仿宋"/>
          <w:b/>
          <w:sz w:val="32"/>
          <w:szCs w:val="32"/>
        </w:rPr>
      </w:pPr>
      <w:r>
        <w:rPr>
          <w:rStyle w:val="16"/>
          <w:rFonts w:ascii="仿宋" w:hAnsi="仿宋" w:eastAsia="仿宋"/>
          <w:b w:val="0"/>
          <w:sz w:val="32"/>
          <w:szCs w:val="32"/>
        </w:rPr>
        <w:t>7.</w:t>
      </w:r>
      <w:r>
        <w:rPr>
          <w:rStyle w:val="16"/>
          <w:rFonts w:hint="eastAsia" w:ascii="仿宋" w:hAnsi="仿宋" w:eastAsia="仿宋"/>
          <w:b w:val="0"/>
          <w:sz w:val="32"/>
          <w:szCs w:val="32"/>
        </w:rPr>
        <w:t>科学技术（类）</w:t>
      </w:r>
      <w:r>
        <w:rPr>
          <w:rStyle w:val="16"/>
          <w:rFonts w:ascii="仿宋" w:hAnsi="仿宋" w:eastAsia="仿宋"/>
          <w:b w:val="0"/>
          <w:sz w:val="32"/>
          <w:szCs w:val="32"/>
        </w:rPr>
        <w:t>***</w:t>
      </w:r>
      <w:r>
        <w:rPr>
          <w:rStyle w:val="16"/>
          <w:rFonts w:hint="eastAsia" w:ascii="仿宋" w:hAnsi="仿宋" w:eastAsia="仿宋"/>
          <w:b w:val="0"/>
          <w:sz w:val="32"/>
          <w:szCs w:val="32"/>
        </w:rPr>
        <w:t>（款）</w:t>
      </w:r>
      <w:r>
        <w:rPr>
          <w:rStyle w:val="16"/>
          <w:rFonts w:ascii="仿宋" w:hAnsi="仿宋" w:eastAsia="仿宋"/>
          <w:b w:val="0"/>
          <w:sz w:val="32"/>
          <w:szCs w:val="32"/>
        </w:rPr>
        <w:t>***</w:t>
      </w:r>
      <w:r>
        <w:rPr>
          <w:rStyle w:val="16"/>
          <w:rFonts w:hint="eastAsia" w:ascii="仿宋" w:hAnsi="仿宋" w:eastAsia="仿宋"/>
          <w:b w:val="0"/>
          <w:sz w:val="32"/>
          <w:szCs w:val="32"/>
        </w:rPr>
        <w:t>（项）</w:t>
      </w:r>
      <w:r>
        <w:rPr>
          <w:rStyle w:val="16"/>
          <w:rFonts w:ascii="仿宋" w:hAnsi="仿宋" w:eastAsia="仿宋"/>
          <w:b w:val="0"/>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本年无此项业务支出。</w:t>
      </w:r>
    </w:p>
    <w:p>
      <w:pPr>
        <w:spacing w:line="600" w:lineRule="exact"/>
        <w:ind w:firstLine="640" w:firstLineChars="200"/>
        <w:rPr>
          <w:rFonts w:ascii="仿宋" w:hAnsi="仿宋" w:eastAsia="仿宋"/>
          <w:b/>
          <w:sz w:val="32"/>
          <w:szCs w:val="32"/>
        </w:rPr>
      </w:pPr>
      <w:r>
        <w:rPr>
          <w:rStyle w:val="16"/>
          <w:rFonts w:ascii="仿宋" w:hAnsi="仿宋" w:eastAsia="仿宋"/>
          <w:b w:val="0"/>
          <w:sz w:val="32"/>
          <w:szCs w:val="32"/>
        </w:rPr>
        <w:t>8.</w:t>
      </w:r>
      <w:r>
        <w:rPr>
          <w:rStyle w:val="16"/>
          <w:rFonts w:hint="eastAsia" w:ascii="仿宋" w:hAnsi="仿宋" w:eastAsia="仿宋"/>
          <w:b w:val="0"/>
          <w:sz w:val="32"/>
          <w:szCs w:val="32"/>
        </w:rPr>
        <w:t>文化旅游体育与传媒（类）</w:t>
      </w:r>
      <w:r>
        <w:rPr>
          <w:rStyle w:val="16"/>
          <w:rFonts w:ascii="仿宋" w:hAnsi="仿宋" w:eastAsia="仿宋"/>
          <w:b w:val="0"/>
          <w:sz w:val="32"/>
          <w:szCs w:val="32"/>
        </w:rPr>
        <w:t>***</w:t>
      </w:r>
      <w:r>
        <w:rPr>
          <w:rStyle w:val="16"/>
          <w:rFonts w:hint="eastAsia" w:ascii="仿宋" w:hAnsi="仿宋" w:eastAsia="仿宋"/>
          <w:b w:val="0"/>
          <w:sz w:val="32"/>
          <w:szCs w:val="32"/>
        </w:rPr>
        <w:t>（款）</w:t>
      </w:r>
      <w:r>
        <w:rPr>
          <w:rStyle w:val="16"/>
          <w:rFonts w:ascii="仿宋" w:hAnsi="仿宋" w:eastAsia="仿宋"/>
          <w:b w:val="0"/>
          <w:sz w:val="32"/>
          <w:szCs w:val="32"/>
        </w:rPr>
        <w:t>***</w:t>
      </w:r>
      <w:r>
        <w:rPr>
          <w:rStyle w:val="16"/>
          <w:rFonts w:hint="eastAsia" w:ascii="仿宋" w:hAnsi="仿宋" w:eastAsia="仿宋"/>
          <w:b w:val="0"/>
          <w:sz w:val="32"/>
          <w:szCs w:val="32"/>
        </w:rPr>
        <w:t>（项）</w:t>
      </w:r>
      <w:r>
        <w:rPr>
          <w:rStyle w:val="16"/>
          <w:rFonts w:ascii="仿宋" w:hAnsi="仿宋" w:eastAsia="仿宋"/>
          <w:b w:val="0"/>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本年无此项业务支出。</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sz w:val="32"/>
          <w:szCs w:val="32"/>
        </w:rPr>
        <w:t>9.</w:t>
      </w:r>
      <w:r>
        <w:rPr>
          <w:rStyle w:val="16"/>
          <w:rFonts w:hint="eastAsia" w:ascii="仿宋" w:hAnsi="仿宋" w:eastAsia="仿宋"/>
          <w:b w:val="0"/>
          <w:sz w:val="32"/>
          <w:szCs w:val="32"/>
        </w:rPr>
        <w:t>社会保障和就业（类）行政事业单位养老支出（款）  机关事业单位基本养老保险缴费支出（项）</w:t>
      </w:r>
      <w:r>
        <w:rPr>
          <w:rStyle w:val="16"/>
          <w:rFonts w:ascii="仿宋" w:hAnsi="仿宋" w:eastAsia="仿宋"/>
          <w:b w:val="0"/>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22.94</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pStyle w:val="2"/>
        <w:spacing w:before="93"/>
        <w:ind w:firstLine="640" w:firstLineChars="200"/>
        <w:rPr>
          <w:rStyle w:val="16"/>
          <w:rFonts w:ascii="仿宋" w:hAnsi="仿宋" w:eastAsia="仿宋"/>
          <w:b w:val="0"/>
          <w:bCs/>
          <w:sz w:val="32"/>
          <w:szCs w:val="32"/>
        </w:rPr>
      </w:pPr>
      <w:r>
        <w:rPr>
          <w:rStyle w:val="16"/>
          <w:rFonts w:ascii="仿宋" w:hAnsi="仿宋" w:eastAsia="仿宋"/>
          <w:b w:val="0"/>
          <w:sz w:val="32"/>
          <w:szCs w:val="32"/>
        </w:rPr>
        <w:t>10.</w:t>
      </w:r>
      <w:r>
        <w:rPr>
          <w:rStyle w:val="16"/>
          <w:rFonts w:hint="eastAsia" w:ascii="仿宋" w:hAnsi="仿宋" w:eastAsia="仿宋"/>
          <w:b w:val="0"/>
          <w:sz w:val="32"/>
          <w:szCs w:val="32"/>
        </w:rPr>
        <w:t>社会保障和就业（类）行政事业单位养老支出（款）  机关事业单位职业年金缴费支出（项）</w:t>
      </w:r>
      <w:r>
        <w:rPr>
          <w:rStyle w:val="16"/>
          <w:rFonts w:ascii="仿宋" w:hAnsi="仿宋" w:eastAsia="仿宋"/>
          <w:b w:val="0"/>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20.89</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pStyle w:val="2"/>
        <w:spacing w:before="93"/>
        <w:ind w:firstLine="640" w:firstLineChars="200"/>
      </w:pPr>
      <w:r>
        <w:rPr>
          <w:rStyle w:val="16"/>
          <w:rFonts w:hint="eastAsia" w:ascii="仿宋" w:hAnsi="仿宋" w:eastAsia="仿宋"/>
          <w:b w:val="0"/>
          <w:sz w:val="32"/>
          <w:szCs w:val="32"/>
        </w:rPr>
        <w:t>1</w:t>
      </w:r>
      <w:r>
        <w:rPr>
          <w:rStyle w:val="16"/>
          <w:rFonts w:ascii="仿宋" w:hAnsi="仿宋" w:eastAsia="仿宋"/>
          <w:b w:val="0"/>
          <w:sz w:val="32"/>
          <w:szCs w:val="32"/>
        </w:rPr>
        <w:t>1.</w:t>
      </w:r>
      <w:r>
        <w:rPr>
          <w:rStyle w:val="16"/>
          <w:rFonts w:hint="eastAsia" w:ascii="仿宋" w:hAnsi="仿宋" w:eastAsia="仿宋"/>
          <w:b w:val="0"/>
          <w:sz w:val="32"/>
          <w:szCs w:val="32"/>
        </w:rPr>
        <w:t>社会保障和就业（类）其他社会保障和就业支出（款）其他社会保障和就业支出（项）</w:t>
      </w:r>
      <w:r>
        <w:rPr>
          <w:rStyle w:val="16"/>
          <w:rFonts w:ascii="仿宋" w:hAnsi="仿宋" w:eastAsia="仿宋"/>
          <w:b w:val="0"/>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1.19</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sz w:val="32"/>
          <w:szCs w:val="32"/>
        </w:rPr>
        <w:t>12.</w:t>
      </w:r>
      <w:r>
        <w:rPr>
          <w:rFonts w:hint="eastAsia" w:ascii="仿宋" w:hAnsi="仿宋" w:eastAsia="仿宋"/>
          <w:bCs/>
          <w:sz w:val="32"/>
          <w:szCs w:val="32"/>
        </w:rPr>
        <w:t>卫生健康</w:t>
      </w:r>
      <w:r>
        <w:rPr>
          <w:rStyle w:val="16"/>
          <w:rFonts w:hint="eastAsia" w:ascii="仿宋" w:hAnsi="仿宋" w:eastAsia="仿宋"/>
          <w:b w:val="0"/>
          <w:sz w:val="32"/>
          <w:szCs w:val="32"/>
        </w:rPr>
        <w:t>支出（类）行政事业单位医疗（款）行政单位医疗（项）</w:t>
      </w:r>
      <w:r>
        <w:rPr>
          <w:rStyle w:val="16"/>
          <w:rFonts w:ascii="仿宋" w:hAnsi="仿宋" w:eastAsia="仿宋"/>
          <w:b w:val="0"/>
          <w:sz w:val="32"/>
          <w:szCs w:val="32"/>
        </w:rPr>
        <w:t>:</w:t>
      </w:r>
      <w:r>
        <w:rPr>
          <w:rStyle w:val="16"/>
          <w:rFonts w:hint="eastAsia" w:ascii="仿宋" w:hAnsi="仿宋" w:eastAsia="仿宋"/>
          <w:b w:val="0"/>
          <w:bCs/>
          <w:sz w:val="32"/>
          <w:szCs w:val="32"/>
        </w:rPr>
        <w:t>支出决算数为</w:t>
      </w:r>
      <w:r>
        <w:rPr>
          <w:rStyle w:val="16"/>
          <w:rFonts w:ascii="仿宋" w:hAnsi="仿宋" w:eastAsia="仿宋"/>
          <w:b w:val="0"/>
          <w:bCs/>
          <w:sz w:val="32"/>
          <w:szCs w:val="32"/>
        </w:rPr>
        <w:t>6.73</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sz w:val="32"/>
          <w:szCs w:val="32"/>
        </w:rPr>
        <w:t>13.</w:t>
      </w:r>
      <w:r>
        <w:rPr>
          <w:rFonts w:hint="eastAsia" w:ascii="仿宋" w:hAnsi="仿宋" w:eastAsia="仿宋"/>
          <w:bCs/>
          <w:sz w:val="32"/>
          <w:szCs w:val="32"/>
        </w:rPr>
        <w:t>卫生健康</w:t>
      </w:r>
      <w:r>
        <w:rPr>
          <w:rStyle w:val="16"/>
          <w:rFonts w:hint="eastAsia" w:ascii="仿宋" w:hAnsi="仿宋" w:eastAsia="仿宋"/>
          <w:b w:val="0"/>
          <w:sz w:val="32"/>
          <w:szCs w:val="32"/>
        </w:rPr>
        <w:t>支出（类）行政事业单位医疗（款）事业单位医疗（项）</w:t>
      </w:r>
      <w:r>
        <w:rPr>
          <w:rStyle w:val="16"/>
          <w:rFonts w:ascii="仿宋" w:hAnsi="仿宋" w:eastAsia="仿宋"/>
          <w:b w:val="0"/>
          <w:sz w:val="32"/>
          <w:szCs w:val="32"/>
        </w:rPr>
        <w:t>:</w:t>
      </w:r>
      <w:r>
        <w:rPr>
          <w:rStyle w:val="16"/>
          <w:rFonts w:hint="eastAsia" w:ascii="仿宋" w:hAnsi="仿宋" w:eastAsia="仿宋"/>
          <w:b w:val="0"/>
          <w:bCs/>
          <w:sz w:val="32"/>
          <w:szCs w:val="32"/>
        </w:rPr>
        <w:t>支出决算数为</w:t>
      </w:r>
      <w:r>
        <w:rPr>
          <w:rStyle w:val="16"/>
          <w:rFonts w:ascii="仿宋" w:hAnsi="仿宋" w:eastAsia="仿宋"/>
          <w:b w:val="0"/>
          <w:bCs/>
          <w:sz w:val="32"/>
          <w:szCs w:val="32"/>
        </w:rPr>
        <w:t>2.58</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spacing w:line="600" w:lineRule="exact"/>
        <w:ind w:firstLine="640" w:firstLineChars="200"/>
        <w:rPr>
          <w:rFonts w:ascii="仿宋" w:hAnsi="仿宋" w:eastAsia="仿宋"/>
          <w:b/>
          <w:sz w:val="32"/>
          <w:szCs w:val="32"/>
        </w:rPr>
      </w:pPr>
      <w:r>
        <w:rPr>
          <w:rStyle w:val="16"/>
          <w:rFonts w:ascii="仿宋" w:hAnsi="仿宋" w:eastAsia="仿宋"/>
          <w:b w:val="0"/>
          <w:sz w:val="32"/>
          <w:szCs w:val="32"/>
        </w:rPr>
        <w:t>14.</w:t>
      </w:r>
      <w:r>
        <w:rPr>
          <w:rFonts w:hint="eastAsia" w:ascii="仿宋" w:hAnsi="仿宋" w:eastAsia="仿宋"/>
          <w:bCs/>
          <w:sz w:val="32"/>
          <w:szCs w:val="32"/>
        </w:rPr>
        <w:t>卫生健康</w:t>
      </w:r>
      <w:r>
        <w:rPr>
          <w:rStyle w:val="16"/>
          <w:rFonts w:hint="eastAsia" w:ascii="仿宋" w:hAnsi="仿宋" w:eastAsia="仿宋"/>
          <w:b w:val="0"/>
          <w:sz w:val="32"/>
          <w:szCs w:val="32"/>
        </w:rPr>
        <w:t>支出（类）行政事业单位医疗（款）  公务员医疗补助（项）</w:t>
      </w:r>
      <w:r>
        <w:rPr>
          <w:rStyle w:val="16"/>
          <w:rFonts w:ascii="仿宋" w:hAnsi="仿宋" w:eastAsia="仿宋"/>
          <w:b w:val="0"/>
          <w:sz w:val="32"/>
          <w:szCs w:val="32"/>
        </w:rPr>
        <w:t>:</w:t>
      </w:r>
      <w:r>
        <w:rPr>
          <w:rStyle w:val="16"/>
          <w:rFonts w:hint="eastAsia" w:ascii="仿宋" w:hAnsi="仿宋" w:eastAsia="仿宋"/>
          <w:b w:val="0"/>
          <w:bCs/>
          <w:sz w:val="32"/>
          <w:szCs w:val="32"/>
        </w:rPr>
        <w:t>支出决算数为</w:t>
      </w:r>
      <w:r>
        <w:rPr>
          <w:rStyle w:val="16"/>
          <w:rFonts w:ascii="仿宋" w:hAnsi="仿宋" w:eastAsia="仿宋"/>
          <w:b w:val="0"/>
          <w:bCs/>
          <w:sz w:val="32"/>
          <w:szCs w:val="32"/>
        </w:rPr>
        <w:t>3.75</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spacing w:line="600" w:lineRule="exact"/>
        <w:ind w:firstLine="640" w:firstLineChars="200"/>
        <w:rPr>
          <w:rFonts w:ascii="仿宋" w:hAnsi="仿宋" w:eastAsia="仿宋"/>
          <w:b/>
          <w:sz w:val="32"/>
          <w:szCs w:val="32"/>
        </w:rPr>
      </w:pPr>
      <w:r>
        <w:rPr>
          <w:rStyle w:val="16"/>
          <w:rFonts w:ascii="仿宋" w:hAnsi="仿宋" w:eastAsia="仿宋"/>
          <w:b w:val="0"/>
          <w:sz w:val="32"/>
          <w:szCs w:val="32"/>
        </w:rPr>
        <w:t>15.</w:t>
      </w:r>
      <w:r>
        <w:rPr>
          <w:rFonts w:hint="eastAsia"/>
        </w:rPr>
        <w:t xml:space="preserve"> </w:t>
      </w:r>
      <w:r>
        <w:rPr>
          <w:rFonts w:hint="eastAsia" w:ascii="仿宋" w:hAnsi="仿宋" w:eastAsia="仿宋"/>
          <w:bCs/>
          <w:sz w:val="32"/>
          <w:szCs w:val="32"/>
        </w:rPr>
        <w:t>住房保障支出</w:t>
      </w:r>
      <w:r>
        <w:rPr>
          <w:rStyle w:val="16"/>
          <w:rFonts w:hint="eastAsia" w:ascii="仿宋" w:hAnsi="仿宋" w:eastAsia="仿宋"/>
          <w:b w:val="0"/>
          <w:sz w:val="32"/>
          <w:szCs w:val="32"/>
        </w:rPr>
        <w:t>（类）住房改革支出（款）住房公积金（项）</w:t>
      </w:r>
      <w:r>
        <w:rPr>
          <w:rStyle w:val="16"/>
          <w:rFonts w:ascii="仿宋" w:hAnsi="仿宋" w:eastAsia="仿宋"/>
          <w:b w:val="0"/>
          <w:sz w:val="32"/>
          <w:szCs w:val="32"/>
        </w:rPr>
        <w:t>:</w:t>
      </w:r>
      <w:r>
        <w:rPr>
          <w:rStyle w:val="16"/>
          <w:rFonts w:hint="eastAsia" w:ascii="仿宋" w:hAnsi="仿宋" w:eastAsia="仿宋"/>
          <w:b w:val="0"/>
          <w:bCs/>
          <w:sz w:val="32"/>
          <w:szCs w:val="32"/>
        </w:rPr>
        <w:t>支出决算数为</w:t>
      </w:r>
      <w:r>
        <w:rPr>
          <w:rStyle w:val="16"/>
          <w:rFonts w:ascii="仿宋" w:hAnsi="仿宋" w:eastAsia="仿宋"/>
          <w:b w:val="0"/>
          <w:bCs/>
          <w:sz w:val="32"/>
          <w:szCs w:val="32"/>
        </w:rPr>
        <w:t>31.28</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，决算数与预算数持平。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410.92</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ascii="仿宋" w:hAnsi="仿宋" w:eastAsia="仿宋"/>
          <w:sz w:val="32"/>
          <w:szCs w:val="32"/>
        </w:rPr>
        <w:t>357.93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ascii="仿宋" w:hAnsi="仿宋" w:eastAsia="仿宋"/>
          <w:sz w:val="32"/>
          <w:szCs w:val="32"/>
        </w:rPr>
        <w:t>52.99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0.92</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，较上年增加</w:t>
      </w:r>
      <w:r>
        <w:rPr>
          <w:rFonts w:ascii="仿宋" w:hAnsi="仿宋" w:eastAsia="仿宋"/>
          <w:sz w:val="32"/>
          <w:szCs w:val="32"/>
        </w:rPr>
        <w:t>0.25</w:t>
      </w:r>
      <w:r>
        <w:rPr>
          <w:rFonts w:hint="eastAsia" w:ascii="仿宋" w:hAnsi="仿宋" w:eastAsia="仿宋"/>
          <w:sz w:val="32"/>
          <w:szCs w:val="32"/>
        </w:rPr>
        <w:t>万元，增长3</w:t>
      </w:r>
      <w:r>
        <w:rPr>
          <w:rFonts w:ascii="仿宋" w:hAnsi="仿宋" w:eastAsia="仿宋"/>
          <w:sz w:val="32"/>
          <w:szCs w:val="32"/>
        </w:rPr>
        <w:t>7.31</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0.65</w:t>
      </w:r>
      <w:r>
        <w:rPr>
          <w:rFonts w:hint="eastAsia" w:ascii="仿宋" w:hAnsi="仿宋" w:eastAsia="仿宋"/>
          <w:sz w:val="32"/>
          <w:szCs w:val="32"/>
        </w:rPr>
        <w:t>万元，占</w:t>
      </w:r>
      <w:r>
        <w:rPr>
          <w:rFonts w:ascii="仿宋" w:hAnsi="仿宋" w:eastAsia="仿宋"/>
          <w:sz w:val="32"/>
          <w:szCs w:val="32"/>
        </w:rPr>
        <w:t>70.65%</w:t>
      </w:r>
      <w:r>
        <w:rPr>
          <w:rFonts w:hint="eastAsia" w:ascii="仿宋" w:hAnsi="仿宋" w:eastAsia="仿宋"/>
          <w:sz w:val="32"/>
          <w:szCs w:val="32"/>
        </w:rPr>
        <w:t>；公务接待费支出决算</w:t>
      </w:r>
      <w:r>
        <w:rPr>
          <w:rFonts w:ascii="仿宋" w:hAnsi="仿宋" w:eastAsia="仿宋"/>
          <w:sz w:val="32"/>
          <w:szCs w:val="32"/>
        </w:rPr>
        <w:t>0.27</w:t>
      </w:r>
      <w:r>
        <w:rPr>
          <w:rFonts w:hint="eastAsia" w:ascii="仿宋" w:hAnsi="仿宋" w:eastAsia="仿宋"/>
          <w:sz w:val="32"/>
          <w:szCs w:val="32"/>
        </w:rPr>
        <w:t>万元，占</w:t>
      </w:r>
      <w:r>
        <w:rPr>
          <w:rFonts w:ascii="仿宋" w:hAnsi="仿宋" w:eastAsia="仿宋"/>
          <w:sz w:val="32"/>
          <w:szCs w:val="32"/>
        </w:rPr>
        <w:t>29.35%</w:t>
      </w:r>
      <w:r>
        <w:rPr>
          <w:rFonts w:hint="eastAsia" w:ascii="仿宋" w:hAnsi="仿宋" w:eastAsia="仿宋"/>
          <w:sz w:val="32"/>
          <w:szCs w:val="32"/>
        </w:rPr>
        <w:t>。具体情况如下：</w:t>
      </w:r>
    </w:p>
    <w:p>
      <w:pPr>
        <w:pStyle w:val="2"/>
        <w:spacing w:before="93"/>
        <w:ind w:firstLine="450" w:firstLineChars="150"/>
      </w:pPr>
      <w:r>
        <w:drawing>
          <wp:inline distT="0" distB="0" distL="0" distR="0">
            <wp:extent cx="5236210" cy="3985260"/>
            <wp:effectExtent l="0" t="0" r="2540" b="0"/>
            <wp:docPr id="14" name="图片 14" descr="C:\Users\Administrator\Desktop\定期要删除的临时资料\微信\WeChat Files\wxid_1y4uycj7qfjk21\FileStorage\Temp\1701256691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定期要删除的临时资料\微信\WeChat Files\wxid_1y4uycj7qfjk21\FileStorage\Temp\170125669130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37279" cy="3986055"/>
                    </a:xfrm>
                    <a:prstGeom prst="rect">
                      <a:avLst/>
                    </a:prstGeom>
                    <a:noFill/>
                    <a:ln>
                      <a:noFill/>
                    </a:ln>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 w:hAnsi="仿宋" w:eastAsia="仿宋"/>
          <w:b/>
          <w:sz w:val="32"/>
          <w:szCs w:val="32"/>
        </w:rPr>
      </w:pPr>
      <w:r>
        <w:rPr>
          <w:rFonts w:ascii="仿宋" w:hAnsi="仿宋" w:eastAsia="仿宋"/>
          <w:bCs/>
          <w:sz w:val="32"/>
          <w:szCs w:val="32"/>
        </w:rPr>
        <w:t>1.</w:t>
      </w:r>
      <w:r>
        <w:rPr>
          <w:rFonts w:hint="eastAsia" w:ascii="仿宋" w:hAnsi="仿宋" w:eastAsia="仿宋"/>
          <w:bCs/>
          <w:sz w:val="32"/>
          <w:szCs w:val="32"/>
        </w:rPr>
        <w:t>因公出国（境）经费支出</w:t>
      </w:r>
      <w:r>
        <w:rPr>
          <w:rFonts w:ascii="仿宋" w:hAnsi="仿宋" w:eastAsia="仿宋"/>
          <w:sz w:val="32"/>
          <w:szCs w:val="32"/>
        </w:rPr>
        <w:t>0</w:t>
      </w:r>
      <w:r>
        <w:rPr>
          <w:rFonts w:hint="eastAsia" w:ascii="仿宋" w:hAnsi="仿宋" w:eastAsia="仿宋"/>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 w:hAnsi="仿宋" w:eastAsia="仿宋"/>
          <w:sz w:val="32"/>
          <w:szCs w:val="32"/>
        </w:rPr>
        <w:t>全年安排因公出国（境）团组</w:t>
      </w:r>
      <w:r>
        <w:rPr>
          <w:rFonts w:ascii="仿宋" w:hAnsi="仿宋" w:eastAsia="仿宋"/>
          <w:sz w:val="32"/>
          <w:szCs w:val="32"/>
        </w:rPr>
        <w:t>0</w:t>
      </w:r>
      <w:r>
        <w:rPr>
          <w:rFonts w:hint="eastAsia" w:ascii="仿宋" w:hAnsi="仿宋" w:eastAsia="仿宋"/>
          <w:sz w:val="32"/>
          <w:szCs w:val="32"/>
        </w:rPr>
        <w:t>次，出国（境）</w:t>
      </w:r>
      <w:r>
        <w:rPr>
          <w:rFonts w:ascii="仿宋" w:hAnsi="仿宋" w:eastAsia="仿宋"/>
          <w:sz w:val="32"/>
          <w:szCs w:val="32"/>
        </w:rPr>
        <w:t>0</w:t>
      </w:r>
      <w:r>
        <w:rPr>
          <w:rFonts w:hint="eastAsia" w:ascii="仿宋" w:hAnsi="仿宋" w:eastAsia="仿宋"/>
          <w:sz w:val="32"/>
          <w:szCs w:val="32"/>
        </w:rPr>
        <w:t>人。本年无此项业务发生。</w:t>
      </w:r>
    </w:p>
    <w:p>
      <w:pPr>
        <w:spacing w:line="600" w:lineRule="exact"/>
        <w:ind w:firstLine="640"/>
        <w:rPr>
          <w:rFonts w:hint="eastAsia" w:ascii="仿宋" w:hAnsi="仿宋" w:eastAsia="仿宋"/>
          <w:b/>
          <w:sz w:val="32"/>
          <w:szCs w:val="32"/>
          <w:lang w:eastAsia="zh-CN"/>
        </w:rPr>
      </w:pPr>
      <w:r>
        <w:rPr>
          <w:rFonts w:ascii="仿宋" w:hAnsi="仿宋" w:eastAsia="仿宋"/>
          <w:bCs/>
          <w:sz w:val="32"/>
          <w:szCs w:val="32"/>
        </w:rPr>
        <w:t>2.</w:t>
      </w:r>
      <w:r>
        <w:rPr>
          <w:rFonts w:hint="eastAsia" w:ascii="仿宋" w:hAnsi="仿宋" w:eastAsia="仿宋"/>
          <w:bCs/>
          <w:sz w:val="32"/>
          <w:szCs w:val="32"/>
        </w:rPr>
        <w:t>公务用车购置及运行维护费支出</w:t>
      </w:r>
      <w:r>
        <w:rPr>
          <w:rFonts w:ascii="仿宋" w:hAnsi="仿宋" w:eastAsia="仿宋"/>
          <w:bCs/>
          <w:sz w:val="32"/>
          <w:szCs w:val="32"/>
        </w:rPr>
        <w:t>0.65</w:t>
      </w:r>
      <w:r>
        <w:rPr>
          <w:rFonts w:hint="eastAsia" w:ascii="仿宋" w:hAnsi="仿宋" w:eastAsia="仿宋"/>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 w:hAnsi="仿宋" w:eastAsia="仿宋"/>
          <w:sz w:val="32"/>
          <w:szCs w:val="32"/>
        </w:rPr>
        <w:t>公务用车购置及运行维护费支出决算比</w:t>
      </w:r>
      <w:r>
        <w:rPr>
          <w:rFonts w:ascii="仿宋" w:hAnsi="仿宋" w:eastAsia="仿宋"/>
          <w:sz w:val="32"/>
          <w:szCs w:val="32"/>
        </w:rPr>
        <w:t>20</w:t>
      </w:r>
      <w:r>
        <w:rPr>
          <w:rFonts w:hint="eastAsia" w:ascii="仿宋" w:hAnsi="仿宋" w:eastAsia="仿宋"/>
          <w:sz w:val="32"/>
          <w:szCs w:val="32"/>
        </w:rPr>
        <w:t>21年减少</w:t>
      </w:r>
      <w:r>
        <w:rPr>
          <w:rFonts w:ascii="仿宋" w:hAnsi="仿宋" w:eastAsia="仿宋"/>
          <w:sz w:val="32"/>
          <w:szCs w:val="32"/>
        </w:rPr>
        <w:t>0.02</w:t>
      </w:r>
      <w:r>
        <w:rPr>
          <w:rFonts w:hint="eastAsia" w:ascii="仿宋" w:hAnsi="仿宋" w:eastAsia="仿宋"/>
          <w:sz w:val="32"/>
          <w:szCs w:val="32"/>
        </w:rPr>
        <w:t>万元，下降</w:t>
      </w:r>
      <w:r>
        <w:rPr>
          <w:rFonts w:ascii="仿宋" w:hAnsi="仿宋" w:eastAsia="仿宋"/>
          <w:sz w:val="32"/>
          <w:szCs w:val="32"/>
        </w:rPr>
        <w:t>2.99%</w:t>
      </w:r>
      <w:r>
        <w:rPr>
          <w:rFonts w:hint="eastAsia" w:ascii="仿宋" w:hAnsi="仿宋" w:eastAsia="仿宋"/>
          <w:sz w:val="32"/>
          <w:szCs w:val="32"/>
        </w:rPr>
        <w:t>。</w:t>
      </w:r>
      <w:r>
        <w:rPr>
          <w:rFonts w:hint="eastAsia" w:ascii="仿宋" w:hAnsi="仿宋" w:eastAsia="仿宋"/>
          <w:sz w:val="32"/>
          <w:szCs w:val="32"/>
          <w:lang w:eastAsia="zh-CN"/>
        </w:rPr>
        <w:t>与往年基本持平。</w:t>
      </w:r>
    </w:p>
    <w:p>
      <w:pPr>
        <w:spacing w:line="600" w:lineRule="exact"/>
        <w:ind w:firstLine="640" w:firstLineChars="200"/>
        <w:rPr>
          <w:rFonts w:ascii="仿宋" w:hAnsi="仿宋" w:eastAsia="仿宋"/>
          <w:b/>
          <w:sz w:val="32"/>
          <w:szCs w:val="32"/>
          <w:highlight w:val="none"/>
        </w:rPr>
      </w:pPr>
      <w:r>
        <w:rPr>
          <w:rFonts w:hint="eastAsia" w:ascii="仿宋" w:hAnsi="仿宋" w:eastAsia="仿宋"/>
          <w:sz w:val="32"/>
          <w:szCs w:val="32"/>
        </w:rPr>
        <w:t>其中：</w:t>
      </w:r>
      <w:r>
        <w:rPr>
          <w:rFonts w:hint="eastAsia" w:ascii="仿宋" w:hAnsi="仿宋" w:eastAsia="仿宋"/>
          <w:bCs/>
          <w:sz w:val="32"/>
          <w:szCs w:val="32"/>
        </w:rPr>
        <w:t>公务用车购置支出</w:t>
      </w:r>
      <w:r>
        <w:rPr>
          <w:rFonts w:hint="eastAsia" w:ascii="仿宋" w:hAnsi="仿宋" w:eastAsia="仿宋"/>
          <w:sz w:val="32"/>
          <w:szCs w:val="32"/>
        </w:rPr>
        <w:t>0万元。全年按规定更新购置公务用车</w:t>
      </w:r>
      <w:r>
        <w:rPr>
          <w:rFonts w:ascii="仿宋" w:hAnsi="仿宋" w:eastAsia="仿宋"/>
          <w:sz w:val="32"/>
          <w:szCs w:val="32"/>
        </w:rPr>
        <w:t>0</w:t>
      </w:r>
      <w:r>
        <w:rPr>
          <w:rFonts w:hint="eastAsia" w:ascii="仿宋" w:hAnsi="仿宋" w:eastAsia="仿宋"/>
          <w:sz w:val="32"/>
          <w:szCs w:val="32"/>
        </w:rPr>
        <w:t>辆，其中：轿车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万元，越野车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万元，载客汽车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月底，单位共有公务用车</w:t>
      </w:r>
      <w:r>
        <w:rPr>
          <w:rFonts w:ascii="仿宋" w:hAnsi="仿宋" w:eastAsia="仿宋"/>
          <w:sz w:val="32"/>
          <w:szCs w:val="32"/>
        </w:rPr>
        <w:t>2</w:t>
      </w:r>
      <w:r>
        <w:rPr>
          <w:rFonts w:hint="eastAsia" w:ascii="仿宋" w:hAnsi="仿宋" w:eastAsia="仿宋"/>
          <w:sz w:val="32"/>
          <w:szCs w:val="32"/>
        </w:rPr>
        <w:t>辆，其中：</w:t>
      </w:r>
      <w:r>
        <w:rPr>
          <w:rFonts w:hint="eastAsia" w:ascii="仿宋" w:hAnsi="仿宋" w:eastAsia="仿宋"/>
          <w:sz w:val="32"/>
          <w:szCs w:val="32"/>
          <w:highlight w:val="none"/>
        </w:rPr>
        <w:t>轿车</w:t>
      </w:r>
      <w:r>
        <w:rPr>
          <w:rFonts w:ascii="仿宋" w:hAnsi="仿宋" w:eastAsia="仿宋"/>
          <w:sz w:val="32"/>
          <w:szCs w:val="32"/>
          <w:highlight w:val="none"/>
        </w:rPr>
        <w:t>2</w:t>
      </w:r>
      <w:r>
        <w:rPr>
          <w:rFonts w:hint="eastAsia" w:ascii="仿宋" w:hAnsi="仿宋" w:eastAsia="仿宋"/>
          <w:sz w:val="32"/>
          <w:szCs w:val="32"/>
          <w:highlight w:val="none"/>
        </w:rPr>
        <w:t>辆、越野车</w:t>
      </w:r>
      <w:r>
        <w:rPr>
          <w:rFonts w:ascii="仿宋" w:hAnsi="仿宋" w:eastAsia="仿宋"/>
          <w:sz w:val="32"/>
          <w:szCs w:val="32"/>
          <w:highlight w:val="none"/>
        </w:rPr>
        <w:t>0</w:t>
      </w:r>
      <w:r>
        <w:rPr>
          <w:rFonts w:hint="eastAsia" w:ascii="仿宋" w:hAnsi="仿宋" w:eastAsia="仿宋"/>
          <w:sz w:val="32"/>
          <w:szCs w:val="32"/>
          <w:highlight w:val="none"/>
        </w:rPr>
        <w:t>辆、载客汽车</w:t>
      </w:r>
      <w:r>
        <w:rPr>
          <w:rFonts w:ascii="仿宋" w:hAnsi="仿宋" w:eastAsia="仿宋"/>
          <w:sz w:val="32"/>
          <w:szCs w:val="32"/>
          <w:highlight w:val="none"/>
        </w:rPr>
        <w:t>0</w:t>
      </w:r>
      <w:r>
        <w:rPr>
          <w:rFonts w:hint="eastAsia" w:ascii="仿宋" w:hAnsi="仿宋" w:eastAsia="仿宋"/>
          <w:sz w:val="32"/>
          <w:szCs w:val="32"/>
          <w:highlight w:val="none"/>
        </w:rPr>
        <w:t>辆。</w:t>
      </w:r>
    </w:p>
    <w:p>
      <w:pPr>
        <w:spacing w:line="600" w:lineRule="exact"/>
        <w:ind w:firstLine="640"/>
        <w:rPr>
          <w:rFonts w:ascii="仿宋" w:hAnsi="仿宋" w:eastAsia="仿宋"/>
          <w:sz w:val="32"/>
          <w:szCs w:val="32"/>
          <w:highlight w:val="none"/>
        </w:rPr>
      </w:pPr>
      <w:r>
        <w:rPr>
          <w:rFonts w:hint="eastAsia" w:ascii="仿宋" w:hAnsi="仿宋" w:eastAsia="仿宋"/>
          <w:bCs/>
          <w:sz w:val="32"/>
          <w:szCs w:val="32"/>
          <w:highlight w:val="none"/>
        </w:rPr>
        <w:t>公务用车运行维护费支出</w:t>
      </w:r>
      <w:r>
        <w:rPr>
          <w:rFonts w:ascii="仿宋" w:hAnsi="仿宋" w:eastAsia="仿宋"/>
          <w:bCs/>
          <w:sz w:val="32"/>
          <w:szCs w:val="32"/>
          <w:highlight w:val="none"/>
        </w:rPr>
        <w:t>0.65</w:t>
      </w:r>
      <w:r>
        <w:rPr>
          <w:rFonts w:hint="eastAsia" w:ascii="仿宋" w:hAnsi="仿宋" w:eastAsia="仿宋"/>
          <w:sz w:val="32"/>
          <w:szCs w:val="32"/>
          <w:highlight w:val="none"/>
        </w:rPr>
        <w:t>万元。主要用于外出审计、精准扶贫、“河长制”巡河等所需的公务用车燃料费、维修费、过路过桥费、保险费等支出。</w:t>
      </w:r>
    </w:p>
    <w:p>
      <w:pPr>
        <w:spacing w:line="600" w:lineRule="exact"/>
        <w:ind w:firstLine="640"/>
        <w:rPr>
          <w:rFonts w:ascii="仿宋" w:hAnsi="仿宋" w:eastAsia="仿宋"/>
          <w:sz w:val="32"/>
          <w:szCs w:val="32"/>
          <w:highlight w:val="none"/>
        </w:rPr>
      </w:pPr>
      <w:r>
        <w:rPr>
          <w:rFonts w:ascii="仿宋" w:hAnsi="仿宋" w:eastAsia="仿宋"/>
          <w:bCs/>
          <w:sz w:val="32"/>
          <w:szCs w:val="32"/>
          <w:highlight w:val="none"/>
        </w:rPr>
        <w:t>3.</w:t>
      </w:r>
      <w:r>
        <w:rPr>
          <w:rFonts w:hint="eastAsia" w:ascii="仿宋" w:hAnsi="仿宋" w:eastAsia="仿宋"/>
          <w:bCs/>
          <w:sz w:val="32"/>
          <w:szCs w:val="32"/>
          <w:highlight w:val="none"/>
        </w:rPr>
        <w:t>公务接待费支出</w:t>
      </w:r>
      <w:r>
        <w:rPr>
          <w:rFonts w:ascii="仿宋" w:hAnsi="仿宋" w:eastAsia="仿宋"/>
          <w:sz w:val="32"/>
          <w:szCs w:val="32"/>
          <w:highlight w:val="none"/>
        </w:rPr>
        <w:t>0.27</w:t>
      </w:r>
      <w:r>
        <w:rPr>
          <w:rFonts w:hint="eastAsia" w:ascii="仿宋" w:hAnsi="仿宋" w:eastAsia="仿宋"/>
          <w:sz w:val="32"/>
          <w:szCs w:val="32"/>
          <w:highlight w:val="none"/>
        </w:rPr>
        <w:t>万元，</w:t>
      </w:r>
      <w:r>
        <w:rPr>
          <w:rStyle w:val="16"/>
          <w:rFonts w:hint="eastAsia" w:ascii="仿宋" w:hAnsi="仿宋" w:eastAsia="仿宋"/>
          <w:b w:val="0"/>
          <w:bCs/>
          <w:sz w:val="32"/>
          <w:szCs w:val="32"/>
          <w:highlight w:val="none"/>
        </w:rPr>
        <w:t>完成预算</w:t>
      </w:r>
      <w:r>
        <w:rPr>
          <w:rStyle w:val="16"/>
          <w:rFonts w:ascii="仿宋" w:hAnsi="仿宋" w:eastAsia="仿宋"/>
          <w:b w:val="0"/>
          <w:bCs/>
          <w:sz w:val="32"/>
          <w:szCs w:val="32"/>
          <w:highlight w:val="none"/>
        </w:rPr>
        <w:t>100%</w:t>
      </w:r>
      <w:r>
        <w:rPr>
          <w:rStyle w:val="16"/>
          <w:rFonts w:hint="eastAsia" w:ascii="仿宋" w:hAnsi="仿宋" w:eastAsia="仿宋"/>
          <w:b w:val="0"/>
          <w:bCs/>
          <w:sz w:val="32"/>
          <w:szCs w:val="32"/>
          <w:highlight w:val="none"/>
        </w:rPr>
        <w:t>。</w:t>
      </w:r>
      <w:r>
        <w:rPr>
          <w:rFonts w:hint="eastAsia" w:ascii="仿宋" w:hAnsi="仿宋" w:eastAsia="仿宋"/>
          <w:sz w:val="32"/>
          <w:szCs w:val="32"/>
          <w:highlight w:val="none"/>
        </w:rPr>
        <w:t>公务接待费支出决算比</w:t>
      </w:r>
      <w:r>
        <w:rPr>
          <w:rFonts w:ascii="仿宋" w:hAnsi="仿宋" w:eastAsia="仿宋"/>
          <w:sz w:val="32"/>
          <w:szCs w:val="32"/>
          <w:highlight w:val="none"/>
        </w:rPr>
        <w:t>20</w:t>
      </w:r>
      <w:r>
        <w:rPr>
          <w:rFonts w:hint="eastAsia" w:ascii="仿宋" w:hAnsi="仿宋" w:eastAsia="仿宋"/>
          <w:sz w:val="32"/>
          <w:szCs w:val="32"/>
          <w:highlight w:val="none"/>
        </w:rPr>
        <w:t>21年增加</w:t>
      </w:r>
      <w:r>
        <w:rPr>
          <w:rFonts w:ascii="仿宋" w:hAnsi="仿宋" w:eastAsia="仿宋"/>
          <w:sz w:val="32"/>
          <w:szCs w:val="32"/>
          <w:highlight w:val="none"/>
        </w:rPr>
        <w:t>0.27</w:t>
      </w:r>
      <w:r>
        <w:rPr>
          <w:rFonts w:hint="eastAsia" w:ascii="仿宋" w:hAnsi="仿宋" w:eastAsia="仿宋"/>
          <w:sz w:val="32"/>
          <w:szCs w:val="32"/>
          <w:highlight w:val="none"/>
        </w:rPr>
        <w:t>万元，增长</w:t>
      </w:r>
      <w:r>
        <w:rPr>
          <w:rFonts w:ascii="仿宋" w:hAnsi="仿宋" w:eastAsia="仿宋"/>
          <w:sz w:val="32"/>
          <w:szCs w:val="32"/>
          <w:highlight w:val="none"/>
        </w:rPr>
        <w:t>100%</w:t>
      </w:r>
      <w:r>
        <w:rPr>
          <w:rFonts w:hint="eastAsia" w:ascii="仿宋" w:hAnsi="仿宋" w:eastAsia="仿宋"/>
          <w:sz w:val="32"/>
          <w:szCs w:val="32"/>
          <w:highlight w:val="none"/>
        </w:rPr>
        <w:t>。主要原因是</w:t>
      </w:r>
      <w:r>
        <w:rPr>
          <w:rFonts w:hint="eastAsia" w:ascii="仿宋" w:hAnsi="仿宋" w:eastAsia="仿宋"/>
          <w:sz w:val="32"/>
          <w:szCs w:val="32"/>
          <w:highlight w:val="none"/>
          <w:lang w:val="en-US" w:eastAsia="zh-CN"/>
        </w:rPr>
        <w:t>2022年</w:t>
      </w:r>
      <w:r>
        <w:rPr>
          <w:rFonts w:hint="eastAsia" w:ascii="仿宋" w:hAnsi="仿宋" w:eastAsia="仿宋"/>
          <w:sz w:val="32"/>
          <w:szCs w:val="32"/>
          <w:highlight w:val="none"/>
          <w:lang w:eastAsia="zh-CN"/>
        </w:rPr>
        <w:t>审计工作交流等接待开销</w:t>
      </w:r>
      <w:r>
        <w:rPr>
          <w:rFonts w:hint="eastAsia" w:ascii="仿宋" w:hAnsi="仿宋" w:eastAsia="仿宋"/>
          <w:sz w:val="32"/>
          <w:szCs w:val="32"/>
          <w:highlight w:val="none"/>
        </w:rPr>
        <w:t>。其中：</w:t>
      </w:r>
    </w:p>
    <w:p>
      <w:pPr>
        <w:spacing w:line="600" w:lineRule="exact"/>
        <w:ind w:firstLine="640"/>
        <w:rPr>
          <w:rFonts w:ascii="仿宋" w:hAnsi="仿宋" w:eastAsia="仿宋"/>
          <w:sz w:val="32"/>
          <w:szCs w:val="32"/>
          <w:highlight w:val="none"/>
        </w:rPr>
      </w:pPr>
      <w:r>
        <w:rPr>
          <w:rFonts w:hint="eastAsia" w:ascii="仿宋" w:hAnsi="仿宋" w:eastAsia="仿宋"/>
          <w:bCs/>
          <w:sz w:val="32"/>
          <w:szCs w:val="32"/>
          <w:highlight w:val="none"/>
        </w:rPr>
        <w:t>国内公务接待支出</w:t>
      </w:r>
      <w:r>
        <w:rPr>
          <w:rFonts w:ascii="仿宋" w:hAnsi="仿宋" w:eastAsia="仿宋"/>
          <w:bCs/>
          <w:sz w:val="32"/>
          <w:szCs w:val="32"/>
          <w:highlight w:val="none"/>
        </w:rPr>
        <w:t>0.27</w:t>
      </w:r>
      <w:r>
        <w:rPr>
          <w:rFonts w:hint="eastAsia" w:ascii="仿宋" w:hAnsi="仿宋" w:eastAsia="仿宋"/>
          <w:sz w:val="32"/>
          <w:szCs w:val="32"/>
          <w:highlight w:val="none"/>
        </w:rPr>
        <w:t>万元，主要用于</w:t>
      </w:r>
      <w:r>
        <w:rPr>
          <w:rFonts w:hint="eastAsia" w:ascii="仿宋" w:hAnsi="仿宋" w:eastAsia="仿宋"/>
          <w:sz w:val="32"/>
          <w:szCs w:val="32"/>
          <w:highlight w:val="none"/>
          <w:lang w:eastAsia="zh-CN"/>
        </w:rPr>
        <w:t>其他单位交流工作、调研用餐费等</w:t>
      </w:r>
      <w:r>
        <w:rPr>
          <w:rFonts w:hint="eastAsia" w:ascii="仿宋" w:hAnsi="仿宋" w:eastAsia="仿宋"/>
          <w:sz w:val="32"/>
          <w:szCs w:val="32"/>
          <w:highlight w:val="none"/>
        </w:rPr>
        <w:t>。国内公务接待</w:t>
      </w:r>
      <w:r>
        <w:rPr>
          <w:rFonts w:ascii="仿宋" w:hAnsi="仿宋" w:eastAsia="仿宋"/>
          <w:sz w:val="32"/>
          <w:szCs w:val="32"/>
          <w:highlight w:val="none"/>
        </w:rPr>
        <w:t>4</w:t>
      </w:r>
      <w:r>
        <w:rPr>
          <w:rFonts w:hint="eastAsia" w:ascii="仿宋" w:hAnsi="仿宋" w:eastAsia="仿宋"/>
          <w:sz w:val="32"/>
          <w:szCs w:val="32"/>
          <w:highlight w:val="none"/>
        </w:rPr>
        <w:t>批次，</w:t>
      </w:r>
      <w:r>
        <w:rPr>
          <w:rFonts w:ascii="仿宋" w:hAnsi="仿宋" w:eastAsia="仿宋"/>
          <w:sz w:val="32"/>
          <w:szCs w:val="32"/>
          <w:highlight w:val="none"/>
        </w:rPr>
        <w:t>34</w:t>
      </w:r>
      <w:r>
        <w:rPr>
          <w:rFonts w:hint="eastAsia" w:ascii="仿宋" w:hAnsi="仿宋" w:eastAsia="仿宋"/>
          <w:sz w:val="32"/>
          <w:szCs w:val="32"/>
          <w:highlight w:val="none"/>
        </w:rPr>
        <w:t>人次（不包括陪同人员），共计支出</w:t>
      </w:r>
      <w:r>
        <w:rPr>
          <w:rFonts w:ascii="仿宋" w:hAnsi="仿宋" w:eastAsia="仿宋"/>
          <w:sz w:val="32"/>
          <w:szCs w:val="32"/>
          <w:highlight w:val="none"/>
        </w:rPr>
        <w:t>0.27</w:t>
      </w:r>
      <w:r>
        <w:rPr>
          <w:rFonts w:hint="eastAsia" w:ascii="仿宋" w:hAnsi="仿宋" w:eastAsia="仿宋"/>
          <w:sz w:val="32"/>
          <w:szCs w:val="32"/>
          <w:highlight w:val="none"/>
        </w:rPr>
        <w:t>万元，具体内容包括：</w:t>
      </w:r>
      <w:r>
        <w:rPr>
          <w:rFonts w:hint="eastAsia" w:ascii="仿宋" w:hAnsi="仿宋" w:eastAsia="仿宋"/>
          <w:sz w:val="32"/>
          <w:szCs w:val="32"/>
          <w:highlight w:val="none"/>
          <w:lang w:eastAsia="zh-CN"/>
        </w:rPr>
        <w:t>井研审计局对接工作接待费</w:t>
      </w:r>
      <w:r>
        <w:rPr>
          <w:rFonts w:hint="eastAsia" w:ascii="仿宋" w:hAnsi="仿宋" w:eastAsia="仿宋"/>
          <w:sz w:val="32"/>
          <w:szCs w:val="32"/>
          <w:highlight w:val="none"/>
          <w:lang w:val="en-US" w:eastAsia="zh-CN"/>
        </w:rPr>
        <w:t>1480元、峨边审计局到我单位交流工作接待费450元、接待乐山审计局调研用餐320元、10月25日公务接待乐山审计局检查工作用餐450元</w:t>
      </w:r>
      <w:r>
        <w:rPr>
          <w:rFonts w:hint="eastAsia" w:ascii="仿宋" w:hAnsi="仿宋" w:eastAsia="仿宋"/>
          <w:sz w:val="32"/>
          <w:szCs w:val="32"/>
          <w:highlight w:val="none"/>
        </w:rPr>
        <w:t>。</w:t>
      </w:r>
    </w:p>
    <w:p>
      <w:pPr>
        <w:spacing w:line="600" w:lineRule="exact"/>
        <w:ind w:firstLine="640" w:firstLineChars="200"/>
        <w:rPr>
          <w:rFonts w:ascii="仿宋" w:hAnsi="仿宋" w:eastAsia="仿宋"/>
          <w:sz w:val="32"/>
          <w:szCs w:val="32"/>
        </w:rPr>
      </w:pPr>
      <w:r>
        <w:rPr>
          <w:rFonts w:hint="eastAsia" w:ascii="仿宋" w:hAnsi="仿宋" w:eastAsia="仿宋"/>
          <w:bCs/>
          <w:sz w:val="32"/>
          <w:szCs w:val="32"/>
          <w:highlight w:val="none"/>
        </w:rPr>
        <w:t>外事接待支出</w:t>
      </w:r>
      <w:r>
        <w:rPr>
          <w:rFonts w:ascii="仿宋" w:hAnsi="仿宋" w:eastAsia="仿宋"/>
          <w:bCs/>
          <w:sz w:val="32"/>
          <w:szCs w:val="32"/>
          <w:highlight w:val="none"/>
        </w:rPr>
        <w:t>0</w:t>
      </w:r>
      <w:r>
        <w:rPr>
          <w:rFonts w:hint="eastAsia" w:ascii="仿宋" w:hAnsi="仿宋" w:eastAsia="仿宋"/>
          <w:sz w:val="32"/>
          <w:szCs w:val="32"/>
          <w:highlight w:val="none"/>
        </w:rPr>
        <w:t>万元。外事接待</w:t>
      </w:r>
      <w:r>
        <w:rPr>
          <w:rFonts w:ascii="仿宋" w:hAnsi="仿宋" w:eastAsia="仿宋"/>
          <w:sz w:val="32"/>
          <w:szCs w:val="32"/>
          <w:highlight w:val="none"/>
        </w:rPr>
        <w:t>0</w:t>
      </w:r>
      <w:r>
        <w:rPr>
          <w:rFonts w:hint="eastAsia" w:ascii="仿宋" w:hAnsi="仿宋" w:eastAsia="仿宋"/>
          <w:sz w:val="32"/>
          <w:szCs w:val="32"/>
          <w:highlight w:val="none"/>
        </w:rPr>
        <w:t>批次，</w:t>
      </w:r>
      <w:r>
        <w:rPr>
          <w:rFonts w:ascii="仿宋" w:hAnsi="仿宋" w:eastAsia="仿宋"/>
          <w:sz w:val="32"/>
          <w:szCs w:val="32"/>
          <w:highlight w:val="none"/>
        </w:rPr>
        <w:t>0</w:t>
      </w:r>
      <w:r>
        <w:rPr>
          <w:rFonts w:hint="eastAsia" w:ascii="仿宋" w:hAnsi="仿宋" w:eastAsia="仿宋"/>
          <w:sz w:val="32"/>
          <w:szCs w:val="32"/>
          <w:highlight w:val="none"/>
        </w:rPr>
        <w:t>人</w:t>
      </w:r>
      <w:r>
        <w:rPr>
          <w:rFonts w:hint="eastAsia" w:ascii="仿宋" w:hAnsi="仿宋" w:eastAsia="仿宋"/>
          <w:sz w:val="32"/>
          <w:szCs w:val="32"/>
        </w:rPr>
        <w:t>次（不包括陪同人员），共计支出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outlineLvl w:val="1"/>
        <w:rPr>
          <w:rFonts w:ascii="仿宋" w:hAnsi="仿宋" w:eastAsia="仿宋"/>
          <w:sz w:val="32"/>
          <w:szCs w:val="32"/>
        </w:rPr>
      </w:pPr>
      <w:bookmarkStart w:id="40" w:name="_Toc15377218"/>
      <w:bookmarkStart w:id="41" w:name="_Toc15396610"/>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22年政府性基金预算财政拨款支出</w:t>
      </w:r>
      <w:r>
        <w:rPr>
          <w:rFonts w:ascii="仿宋" w:hAnsi="仿宋" w:eastAsia="仿宋"/>
          <w:sz w:val="32"/>
          <w:szCs w:val="32"/>
        </w:rPr>
        <w:t>15</w:t>
      </w:r>
      <w:r>
        <w:rPr>
          <w:rFonts w:hint="eastAsia" w:ascii="仿宋" w:hAnsi="仿宋" w:eastAsia="仿宋"/>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22年国有资本经营预算财政拨款支出</w:t>
      </w:r>
      <w:r>
        <w:rPr>
          <w:rFonts w:ascii="仿宋" w:hAnsi="仿宋" w:eastAsia="仿宋"/>
          <w:sz w:val="32"/>
          <w:szCs w:val="32"/>
        </w:rPr>
        <w:t>0</w:t>
      </w:r>
      <w:r>
        <w:rPr>
          <w:rFonts w:hint="eastAsia" w:ascii="仿宋" w:hAnsi="仿宋" w:eastAsia="仿宋"/>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 w:hAnsi="仿宋" w:eastAsia="仿宋"/>
          <w:sz w:val="32"/>
          <w:szCs w:val="32"/>
          <w:highlight w:val="none"/>
        </w:rPr>
      </w:pPr>
      <w:r>
        <w:rPr>
          <w:rFonts w:ascii="仿宋" w:hAnsi="仿宋" w:eastAsia="仿宋"/>
          <w:sz w:val="32"/>
          <w:szCs w:val="32"/>
        </w:rPr>
        <w:t>20</w:t>
      </w:r>
      <w:r>
        <w:rPr>
          <w:rFonts w:hint="eastAsia" w:ascii="仿宋" w:hAnsi="仿宋" w:eastAsia="仿宋"/>
          <w:sz w:val="32"/>
          <w:szCs w:val="32"/>
        </w:rPr>
        <w:t>22年，峨眉山市审计局机关运行经费支出</w:t>
      </w:r>
      <w:r>
        <w:rPr>
          <w:rFonts w:ascii="仿宋" w:hAnsi="仿宋" w:eastAsia="仿宋"/>
          <w:sz w:val="32"/>
          <w:szCs w:val="32"/>
        </w:rPr>
        <w:t>52.99</w:t>
      </w:r>
      <w:r>
        <w:rPr>
          <w:rFonts w:hint="eastAsia" w:ascii="仿宋" w:hAnsi="仿宋" w:eastAsia="仿宋"/>
          <w:sz w:val="32"/>
          <w:szCs w:val="32"/>
        </w:rPr>
        <w:t>万元，比</w:t>
      </w:r>
      <w:r>
        <w:rPr>
          <w:rFonts w:ascii="仿宋" w:hAnsi="仿宋" w:eastAsia="仿宋"/>
          <w:sz w:val="32"/>
          <w:szCs w:val="32"/>
        </w:rPr>
        <w:t>20</w:t>
      </w:r>
      <w:r>
        <w:rPr>
          <w:rFonts w:hint="eastAsia" w:ascii="仿宋" w:hAnsi="仿宋" w:eastAsia="仿宋"/>
          <w:sz w:val="32"/>
          <w:szCs w:val="32"/>
        </w:rPr>
        <w:t>21年增加</w:t>
      </w:r>
      <w:r>
        <w:rPr>
          <w:rFonts w:ascii="仿宋" w:hAnsi="仿宋" w:eastAsia="仿宋"/>
          <w:sz w:val="32"/>
          <w:szCs w:val="32"/>
        </w:rPr>
        <w:t>0.68</w:t>
      </w:r>
      <w:r>
        <w:rPr>
          <w:rFonts w:hint="eastAsia" w:ascii="仿宋" w:hAnsi="仿宋" w:eastAsia="仿宋"/>
          <w:sz w:val="32"/>
          <w:szCs w:val="32"/>
        </w:rPr>
        <w:t>万元，增长</w:t>
      </w:r>
      <w:r>
        <w:rPr>
          <w:rFonts w:ascii="仿宋" w:hAnsi="仿宋" w:eastAsia="仿宋"/>
          <w:sz w:val="32"/>
          <w:szCs w:val="32"/>
        </w:rPr>
        <w:t>1.31%</w:t>
      </w:r>
      <w:r>
        <w:rPr>
          <w:rFonts w:hint="eastAsia" w:ascii="仿宋" w:hAnsi="仿宋" w:eastAsia="仿宋"/>
          <w:sz w:val="32"/>
          <w:szCs w:val="32"/>
          <w:highlight w:val="none"/>
        </w:rPr>
        <w:t>。</w:t>
      </w:r>
      <w:r>
        <w:rPr>
          <w:rFonts w:hint="eastAsia" w:ascii="仿宋" w:hAnsi="仿宋" w:eastAsia="仿宋"/>
          <w:sz w:val="32"/>
          <w:szCs w:val="32"/>
          <w:highlight w:val="none"/>
          <w:lang w:eastAsia="zh-CN"/>
        </w:rPr>
        <w:t>与往年基本持平</w:t>
      </w:r>
      <w:r>
        <w:rPr>
          <w:rFonts w:hint="eastAsia" w:ascii="仿宋" w:hAnsi="仿宋" w:eastAsia="仿宋"/>
          <w:sz w:val="32"/>
          <w:szCs w:val="32"/>
          <w:highlight w:val="none"/>
        </w:rPr>
        <w:t>。</w:t>
      </w:r>
    </w:p>
    <w:p>
      <w:pPr>
        <w:spacing w:line="60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（注：数据来源于财决附</w:t>
      </w:r>
      <w:r>
        <w:rPr>
          <w:rFonts w:ascii="仿宋" w:hAnsi="仿宋" w:eastAsia="仿宋"/>
          <w:b/>
          <w:sz w:val="32"/>
          <w:szCs w:val="32"/>
          <w:highlight w:val="none"/>
        </w:rPr>
        <w:t>03</w:t>
      </w:r>
      <w:r>
        <w:rPr>
          <w:rFonts w:hint="eastAsia" w:ascii="仿宋" w:hAnsi="仿宋" w:eastAsia="仿宋"/>
          <w:b/>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47" w:name="_Toc15377223"/>
      <w:r>
        <w:rPr>
          <w:rFonts w:hint="eastAsia" w:ascii="仿宋" w:hAnsi="仿宋" w:eastAsia="仿宋"/>
          <w:b/>
          <w:sz w:val="32"/>
          <w:szCs w:val="32"/>
          <w:highlight w:val="none"/>
        </w:rPr>
        <w:t>（二）政府采购支出情况</w:t>
      </w:r>
      <w:bookmarkEnd w:id="47"/>
    </w:p>
    <w:p>
      <w:pPr>
        <w:spacing w:line="600" w:lineRule="exact"/>
        <w:ind w:firstLine="640" w:firstLineChars="200"/>
        <w:rPr>
          <w:rFonts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22年，峨眉山市审计局政府采购支出总额</w:t>
      </w:r>
      <w:r>
        <w:rPr>
          <w:rFonts w:ascii="仿宋" w:hAnsi="仿宋" w:eastAsia="仿宋"/>
          <w:sz w:val="32"/>
          <w:szCs w:val="32"/>
          <w:highlight w:val="none"/>
        </w:rPr>
        <w:t>1.98</w:t>
      </w:r>
      <w:r>
        <w:rPr>
          <w:rFonts w:hint="eastAsia" w:ascii="仿宋" w:hAnsi="仿宋" w:eastAsia="仿宋"/>
          <w:sz w:val="32"/>
          <w:szCs w:val="32"/>
          <w:highlight w:val="none"/>
        </w:rPr>
        <w:t>万元，其中：政府采购货物支出</w:t>
      </w:r>
      <w:r>
        <w:rPr>
          <w:rFonts w:ascii="仿宋" w:hAnsi="仿宋" w:eastAsia="仿宋"/>
          <w:sz w:val="32"/>
          <w:szCs w:val="32"/>
          <w:highlight w:val="none"/>
        </w:rPr>
        <w:t>1.98</w:t>
      </w:r>
      <w:r>
        <w:rPr>
          <w:rFonts w:hint="eastAsia" w:ascii="仿宋" w:hAnsi="仿宋" w:eastAsia="仿宋"/>
          <w:sz w:val="32"/>
          <w:szCs w:val="32"/>
          <w:highlight w:val="none"/>
        </w:rPr>
        <w:t>万元、政府采购工程支出</w:t>
      </w:r>
      <w:r>
        <w:rPr>
          <w:rFonts w:ascii="仿宋" w:hAnsi="仿宋" w:eastAsia="仿宋"/>
          <w:sz w:val="32"/>
          <w:szCs w:val="32"/>
          <w:highlight w:val="none"/>
        </w:rPr>
        <w:t>0</w:t>
      </w:r>
      <w:r>
        <w:rPr>
          <w:rFonts w:hint="eastAsia" w:ascii="仿宋" w:hAnsi="仿宋" w:eastAsia="仿宋"/>
          <w:sz w:val="32"/>
          <w:szCs w:val="32"/>
          <w:highlight w:val="none"/>
        </w:rPr>
        <w:t>万元、政府采购服务支出</w:t>
      </w:r>
      <w:r>
        <w:rPr>
          <w:rFonts w:ascii="仿宋" w:hAnsi="仿宋" w:eastAsia="仿宋"/>
          <w:sz w:val="32"/>
          <w:szCs w:val="32"/>
          <w:highlight w:val="none"/>
        </w:rPr>
        <w:t>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购买多功能复印机</w:t>
      </w:r>
      <w:r>
        <w:rPr>
          <w:rFonts w:hint="eastAsia" w:ascii="仿宋" w:hAnsi="仿宋" w:eastAsia="仿宋"/>
          <w:sz w:val="32"/>
          <w:szCs w:val="32"/>
          <w:highlight w:val="none"/>
          <w:lang w:val="en-US" w:eastAsia="zh-CN"/>
        </w:rPr>
        <w:t>1台</w:t>
      </w:r>
      <w:r>
        <w:rPr>
          <w:rFonts w:hint="eastAsia" w:ascii="仿宋" w:hAnsi="仿宋" w:eastAsia="仿宋"/>
          <w:sz w:val="32"/>
          <w:szCs w:val="32"/>
          <w:highlight w:val="none"/>
          <w:lang w:eastAsia="zh-CN"/>
        </w:rPr>
        <w:t>，</w:t>
      </w:r>
      <w:r>
        <w:rPr>
          <w:rFonts w:hint="eastAsia" w:ascii="仿宋" w:hAnsi="仿宋" w:eastAsia="仿宋"/>
          <w:sz w:val="32"/>
          <w:szCs w:val="32"/>
          <w:highlight w:val="none"/>
        </w:rPr>
        <w:t>授予中小企业合同金额</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万元，占政府采购支出总额的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，其中：授予小微企业合同金额</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万元，占政府采购支出总额的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p>
    <w:p>
      <w:pPr>
        <w:spacing w:line="60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（注：数据来源于财决附</w:t>
      </w:r>
      <w:r>
        <w:rPr>
          <w:rFonts w:ascii="仿宋" w:hAnsi="仿宋" w:eastAsia="仿宋"/>
          <w:b/>
          <w:sz w:val="32"/>
          <w:szCs w:val="32"/>
          <w:highlight w:val="none"/>
        </w:rPr>
        <w:t>03</w:t>
      </w:r>
      <w:r>
        <w:rPr>
          <w:rFonts w:hint="eastAsia" w:ascii="仿宋" w:hAnsi="仿宋" w:eastAsia="仿宋"/>
          <w:b/>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48" w:name="_Toc15377224"/>
      <w:r>
        <w:rPr>
          <w:rFonts w:hint="eastAsia" w:ascii="仿宋" w:hAnsi="仿宋" w:eastAsia="仿宋"/>
          <w:b/>
          <w:sz w:val="32"/>
          <w:szCs w:val="32"/>
          <w:highlight w:val="none"/>
        </w:rPr>
        <w:t>（三）国有资产占有使用情况</w:t>
      </w:r>
      <w:bookmarkEnd w:id="48"/>
    </w:p>
    <w:p>
      <w:pPr>
        <w:autoSpaceDE w:val="0"/>
        <w:autoSpaceDN w:val="0"/>
        <w:adjustRightInd w:val="0"/>
        <w:spacing w:line="60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截至</w:t>
      </w:r>
      <w:r>
        <w:rPr>
          <w:rFonts w:ascii="仿宋" w:hAnsi="仿宋" w:eastAsia="仿宋"/>
          <w:sz w:val="32"/>
          <w:szCs w:val="32"/>
          <w:highlight w:val="none"/>
        </w:rPr>
        <w:t>20</w:t>
      </w:r>
      <w:r>
        <w:rPr>
          <w:rFonts w:hint="eastAsia" w:ascii="仿宋" w:hAnsi="仿宋" w:eastAsia="仿宋"/>
          <w:sz w:val="32"/>
          <w:szCs w:val="32"/>
          <w:highlight w:val="none"/>
        </w:rPr>
        <w:t>22年</w:t>
      </w:r>
      <w:r>
        <w:rPr>
          <w:rFonts w:ascii="仿宋" w:hAnsi="仿宋" w:eastAsia="仿宋"/>
          <w:sz w:val="32"/>
          <w:szCs w:val="32"/>
          <w:highlight w:val="none"/>
        </w:rPr>
        <w:t>12</w:t>
      </w:r>
      <w:r>
        <w:rPr>
          <w:rFonts w:hint="eastAsia" w:ascii="仿宋" w:hAnsi="仿宋" w:eastAsia="仿宋"/>
          <w:sz w:val="32"/>
          <w:szCs w:val="32"/>
          <w:highlight w:val="none"/>
        </w:rPr>
        <w:t>月</w:t>
      </w:r>
      <w:r>
        <w:rPr>
          <w:rFonts w:ascii="仿宋" w:hAnsi="仿宋" w:eastAsia="仿宋"/>
          <w:sz w:val="32"/>
          <w:szCs w:val="32"/>
          <w:highlight w:val="none"/>
        </w:rPr>
        <w:t>31</w:t>
      </w:r>
      <w:r>
        <w:rPr>
          <w:rFonts w:hint="eastAsia" w:ascii="仿宋" w:hAnsi="仿宋" w:eastAsia="仿宋"/>
          <w:sz w:val="32"/>
          <w:szCs w:val="32"/>
          <w:highlight w:val="none"/>
        </w:rPr>
        <w:t>日，峨眉山市审计局共有车辆</w:t>
      </w:r>
      <w:r>
        <w:rPr>
          <w:rFonts w:ascii="仿宋" w:hAnsi="仿宋" w:eastAsia="仿宋"/>
          <w:sz w:val="32"/>
          <w:szCs w:val="32"/>
          <w:highlight w:val="none"/>
        </w:rPr>
        <w:t>2</w:t>
      </w:r>
      <w:r>
        <w:rPr>
          <w:rFonts w:hint="eastAsia" w:ascii="仿宋" w:hAnsi="仿宋" w:eastAsia="仿宋"/>
          <w:sz w:val="32"/>
          <w:szCs w:val="32"/>
          <w:highlight w:val="none"/>
        </w:rPr>
        <w:t>辆，其中：主要领导干部用车</w:t>
      </w:r>
      <w:r>
        <w:rPr>
          <w:rFonts w:ascii="仿宋" w:hAnsi="仿宋" w:eastAsia="仿宋"/>
          <w:sz w:val="32"/>
          <w:szCs w:val="32"/>
          <w:highlight w:val="none"/>
        </w:rPr>
        <w:t>0</w:t>
      </w:r>
      <w:r>
        <w:rPr>
          <w:rFonts w:hint="eastAsia" w:ascii="仿宋" w:hAnsi="仿宋" w:eastAsia="仿宋"/>
          <w:sz w:val="32"/>
          <w:szCs w:val="32"/>
          <w:highlight w:val="none"/>
        </w:rPr>
        <w:t>辆、机要通信用车</w:t>
      </w:r>
      <w:r>
        <w:rPr>
          <w:rFonts w:ascii="仿宋" w:hAnsi="仿宋" w:eastAsia="仿宋"/>
          <w:sz w:val="32"/>
          <w:szCs w:val="32"/>
          <w:highlight w:val="none"/>
        </w:rPr>
        <w:t>0</w:t>
      </w:r>
      <w:r>
        <w:rPr>
          <w:rFonts w:hint="eastAsia" w:ascii="仿宋" w:hAnsi="仿宋" w:eastAsia="仿宋"/>
          <w:sz w:val="32"/>
          <w:szCs w:val="32"/>
          <w:highlight w:val="none"/>
        </w:rPr>
        <w:t>辆、应急保障用车</w:t>
      </w:r>
      <w:r>
        <w:rPr>
          <w:rFonts w:ascii="仿宋" w:hAnsi="仿宋" w:eastAsia="仿宋"/>
          <w:sz w:val="32"/>
          <w:szCs w:val="32"/>
          <w:highlight w:val="none"/>
        </w:rPr>
        <w:t>2</w:t>
      </w:r>
      <w:r>
        <w:rPr>
          <w:rFonts w:hint="eastAsia" w:ascii="仿宋" w:hAnsi="仿宋" w:eastAsia="仿宋"/>
          <w:sz w:val="32"/>
          <w:szCs w:val="32"/>
          <w:highlight w:val="none"/>
        </w:rPr>
        <w:t>辆、其他用车</w:t>
      </w:r>
      <w:r>
        <w:rPr>
          <w:rFonts w:ascii="仿宋" w:hAnsi="仿宋" w:eastAsia="仿宋"/>
          <w:sz w:val="32"/>
          <w:szCs w:val="32"/>
          <w:highlight w:val="none"/>
        </w:rPr>
        <w:t>0</w:t>
      </w:r>
      <w:r>
        <w:rPr>
          <w:rFonts w:hint="eastAsia" w:ascii="仿宋" w:hAnsi="仿宋" w:eastAsia="仿宋"/>
          <w:sz w:val="32"/>
          <w:szCs w:val="32"/>
          <w:highlight w:val="none"/>
        </w:rPr>
        <w:t>。单价</w:t>
      </w:r>
      <w:r>
        <w:rPr>
          <w:rFonts w:ascii="仿宋" w:hAnsi="仿宋" w:eastAsia="仿宋"/>
          <w:sz w:val="32"/>
          <w:szCs w:val="32"/>
          <w:highlight w:val="none"/>
        </w:rPr>
        <w:t>100</w:t>
      </w:r>
      <w:r>
        <w:rPr>
          <w:rFonts w:hint="eastAsia" w:ascii="仿宋" w:hAnsi="仿宋" w:eastAsia="仿宋"/>
          <w:sz w:val="32"/>
          <w:szCs w:val="32"/>
          <w:highlight w:val="none"/>
        </w:rPr>
        <w:t>万元以上专用设备</w:t>
      </w:r>
      <w:r>
        <w:rPr>
          <w:rFonts w:ascii="仿宋" w:hAnsi="仿宋" w:eastAsia="仿宋"/>
          <w:sz w:val="32"/>
          <w:szCs w:val="32"/>
          <w:highlight w:val="none"/>
        </w:rPr>
        <w:t>0</w:t>
      </w:r>
      <w:r>
        <w:rPr>
          <w:rFonts w:hint="eastAsia" w:ascii="仿宋" w:hAnsi="仿宋" w:eastAsia="仿宋"/>
          <w:sz w:val="32"/>
          <w:szCs w:val="32"/>
          <w:highlight w:val="none"/>
        </w:rPr>
        <w:t>台（套）。</w:t>
      </w:r>
    </w:p>
    <w:p>
      <w:pPr>
        <w:autoSpaceDE w:val="0"/>
        <w:autoSpaceDN w:val="0"/>
        <w:adjustRightInd w:val="0"/>
        <w:spacing w:line="600" w:lineRule="exact"/>
        <w:ind w:firstLine="643" w:firstLineChars="200"/>
        <w:jc w:val="left"/>
        <w:rPr>
          <w:rFonts w:ascii="仿宋" w:hAnsi="仿宋" w:eastAsia="仿宋"/>
          <w:b/>
          <w:sz w:val="32"/>
          <w:szCs w:val="32"/>
          <w:highlight w:val="none"/>
        </w:rPr>
      </w:pPr>
      <w:r>
        <w:rPr>
          <w:rFonts w:hint="eastAsia" w:ascii="仿宋" w:hAnsi="仿宋" w:eastAsia="仿宋"/>
          <w:b/>
          <w:sz w:val="32"/>
          <w:szCs w:val="32"/>
          <w:highlight w:val="none"/>
        </w:rPr>
        <w:t>（注：数据来源于财决附</w:t>
      </w:r>
      <w:r>
        <w:rPr>
          <w:rFonts w:ascii="仿宋" w:hAnsi="仿宋" w:eastAsia="仿宋"/>
          <w:b/>
          <w:sz w:val="32"/>
          <w:szCs w:val="32"/>
          <w:highlight w:val="none"/>
        </w:rPr>
        <w:t>03</w:t>
      </w:r>
      <w:r>
        <w:rPr>
          <w:rFonts w:hint="eastAsia" w:ascii="仿宋" w:hAnsi="仿宋" w:eastAsia="仿宋"/>
          <w:b/>
          <w:sz w:val="32"/>
          <w:szCs w:val="32"/>
          <w:highlight w:val="none"/>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pPr>
        <w:widowControl/>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根据预算绩效管理要求，本部门在2022年度预算编制阶段，组织对</w:t>
      </w:r>
      <w:r>
        <w:rPr>
          <w:rFonts w:hint="eastAsia" w:ascii="仿宋_GB2312" w:hAnsi="仿宋_GB2312" w:eastAsia="仿宋_GB2312" w:cs="仿宋_GB2312"/>
          <w:sz w:val="32"/>
          <w:szCs w:val="32"/>
          <w:highlight w:val="none"/>
          <w:lang w:eastAsia="zh-CN"/>
        </w:rPr>
        <w:t>财务审计经费、审计外勤经费</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个项目开展了预算事前绩效评估，对</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highlight w:val="none"/>
          <w:lang w:eastAsia="zh-CN"/>
        </w:rPr>
        <w:t>峨眉山市审计局</w:t>
      </w:r>
      <w:r>
        <w:rPr>
          <w:rFonts w:hint="eastAsia" w:ascii="仿宋_GB2312" w:hAnsi="仿宋_GB2312" w:eastAsia="仿宋_GB2312" w:cs="仿宋_GB2312"/>
          <w:sz w:val="32"/>
          <w:szCs w:val="32"/>
          <w:highlight w:val="none"/>
        </w:rPr>
        <w:t>部门整体（含部门预算项目）绩效自评报告，其中，</w:t>
      </w:r>
      <w:r>
        <w:rPr>
          <w:rFonts w:hint="eastAsia" w:ascii="仿宋_GB2312" w:hAnsi="仿宋_GB2312" w:eastAsia="仿宋_GB2312" w:cs="仿宋_GB2312"/>
          <w:sz w:val="32"/>
          <w:szCs w:val="32"/>
          <w:highlight w:val="none"/>
          <w:lang w:eastAsia="zh-CN"/>
        </w:rPr>
        <w:t>峨眉山市审计局</w:t>
      </w:r>
      <w:r>
        <w:rPr>
          <w:rFonts w:hint="eastAsia" w:ascii="仿宋_GB2312" w:hAnsi="仿宋_GB2312" w:eastAsia="仿宋_GB2312" w:cs="仿宋_GB2312"/>
          <w:sz w:val="32"/>
          <w:szCs w:val="32"/>
          <w:highlight w:val="none"/>
        </w:rPr>
        <w:t>部门整体（含部门预算项目）绩效自评得分为</w:t>
      </w:r>
      <w:r>
        <w:rPr>
          <w:rFonts w:hint="eastAsia" w:ascii="仿宋_GB2312" w:hAnsi="仿宋_GB2312" w:eastAsia="仿宋_GB2312" w:cs="仿宋_GB2312"/>
          <w:sz w:val="32"/>
          <w:szCs w:val="32"/>
          <w:highlight w:val="none"/>
          <w:lang w:val="en-US" w:eastAsia="zh-CN"/>
        </w:rPr>
        <w:t>97.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分，绩效自评综述：本部门在2022年度不断加强对财务管理能力的建设和提高财务管理水平，有效保证了部门整体自评的准确情况，自评质量较好。绩效自评报告详见附件。</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5"/>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5"/>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pPr>
        <w:ind w:firstLine="640" w:firstLineChars="200"/>
        <w:rPr>
          <w:rFonts w:ascii="仿宋" w:hAnsi="仿宋" w:eastAsia="仿宋"/>
          <w:sz w:val="32"/>
          <w:szCs w:val="32"/>
        </w:rPr>
      </w:pPr>
      <w:r>
        <w:rPr>
          <w:rFonts w:ascii="仿宋" w:hAnsi="仿宋" w:eastAsia="仿宋"/>
          <w:sz w:val="32"/>
          <w:szCs w:val="32"/>
        </w:rPr>
        <w:t>9.</w:t>
      </w:r>
      <w:r>
        <w:rPr>
          <w:rFonts w:hint="eastAsia"/>
        </w:rPr>
        <w:t xml:space="preserve"> </w:t>
      </w:r>
      <w:r>
        <w:rPr>
          <w:rFonts w:hint="eastAsia" w:ascii="仿宋" w:hAnsi="仿宋" w:eastAsia="仿宋"/>
          <w:sz w:val="32"/>
          <w:szCs w:val="32"/>
        </w:rPr>
        <w:t>一般公共服务（类）审计事务（款）行政运行（项）：指行政单位（实行公务员管理的事业单位）的基本支出。</w:t>
      </w:r>
    </w:p>
    <w:p>
      <w:pPr>
        <w:ind w:firstLine="640" w:firstLineChars="200"/>
        <w:rPr>
          <w:rFonts w:ascii="仿宋" w:hAnsi="仿宋" w:eastAsia="仿宋"/>
          <w:sz w:val="32"/>
          <w:szCs w:val="32"/>
        </w:rPr>
      </w:pPr>
      <w:r>
        <w:rPr>
          <w:rFonts w:ascii="仿宋" w:hAnsi="仿宋" w:eastAsia="仿宋"/>
          <w:sz w:val="32"/>
          <w:szCs w:val="32"/>
        </w:rPr>
        <w:t>10.</w:t>
      </w:r>
      <w:r>
        <w:rPr>
          <w:rFonts w:hint="eastAsia"/>
        </w:rPr>
        <w:t xml:space="preserve"> </w:t>
      </w:r>
      <w:r>
        <w:rPr>
          <w:rFonts w:hint="eastAsia" w:ascii="仿宋" w:hAnsi="仿宋" w:eastAsia="仿宋"/>
          <w:sz w:val="32"/>
          <w:szCs w:val="32"/>
        </w:rPr>
        <w:t>一般公共服务（类）审计事务（款）一般行政管理事务（项）：指行政单位（实行公务员管理的事业单位）未单独设置项级科目的其他项目支出。</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一般公共服务（类）审计事务（款）审计业务（项）：指各级审计机构的审计、专项审计调查、聘请社会审计组织人员 及技术专家等方面的支出。</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一般公共服务（类）审计事务（款）信息化建设（项）：指审计部门用于信息化建设方面的支出。</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一般公共服务（类）审计事务（款）事业运行（项）：指行政单位（实行公务员管理的事业单位）提供后勤服务的各类 后勤服务中心，医务室等附属事业单位外的其他事业单位基本支出。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一般公共服务（类）审计事务（款）其他审计事务（项）：反映除上述项目以外其他审计事务方面的支出。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社会保障和就业（类）行政事业单位养老支出（款）机关事业单位基本养老保险缴费支出（项）：是指反映机关事业单位实施养老保险制度由单位缴纳的基本养老保险支出。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社会保障和就业（类）行政事业单位养老支出（款）机关事业单位职业年金缴费支出（项）：是指反映机关事业单位实施养老保险制度由单位缴纳的职业年金支出。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7.</w:t>
      </w:r>
      <w:r>
        <w:rPr>
          <w:rFonts w:hint="eastAsia" w:ascii="仿宋" w:hAnsi="仿宋" w:eastAsia="仿宋"/>
          <w:sz w:val="32"/>
          <w:szCs w:val="32"/>
        </w:rPr>
        <w:t>社会保障和就业（类）其他社会保障和就业支出（款）其他社会保障和就业支出（项）:是指反映除上述项目以外其他用于社会保障和就业方面的支出。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8.</w:t>
      </w:r>
      <w:r>
        <w:rPr>
          <w:rFonts w:hint="eastAsia" w:ascii="仿宋" w:hAnsi="仿宋" w:eastAsia="仿宋"/>
          <w:sz w:val="32"/>
          <w:szCs w:val="32"/>
        </w:rPr>
        <w:t>卫生健康支出（类）行政事业单位医疗（款）行政单位医疗（项）:是指反映财政部门集中安排的行政单位基本医疗保险缴费经费，未参加医疗保险的行政单位的公费医疗经费，按国家规定享受离退休人员、红军老战士待遇人员的医疗经费。</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9.</w:t>
      </w:r>
      <w:r>
        <w:rPr>
          <w:rFonts w:hint="eastAsia" w:ascii="仿宋" w:hAnsi="仿宋" w:eastAsia="仿宋"/>
          <w:sz w:val="32"/>
          <w:szCs w:val="32"/>
        </w:rPr>
        <w:t>卫生健康支出（类）行政事业单位医疗（款）事业单位医疗（项）:是指反映财政部门安排的事业单位基本医疗保险缴费经费、未参加医疗保险的事业单位的公费医疗经费，按国家规定享受离休人员待遇的医疗经费。</w:t>
      </w:r>
    </w:p>
    <w:p>
      <w:pPr>
        <w:pStyle w:val="2"/>
        <w:spacing w:before="93"/>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卫生健康支出（类）行政事业单位医疗（款）  公务员医疗补助（项）:反应财政部门安排的公务员医疗补助经费。</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1.</w:t>
      </w:r>
      <w:r>
        <w:rPr>
          <w:rFonts w:hint="eastAsia" w:ascii="仿宋" w:hAnsi="仿宋" w:eastAsia="仿宋"/>
          <w:sz w:val="32"/>
          <w:szCs w:val="32"/>
        </w:rPr>
        <w:t xml:space="preserve"> 住房保障支出（类）住房改革支出（款）住房公积金（项）:是指反映行政事业单位按人力资源和社会保障部、财政部规定的基本工资和津贴补贴以及规定比例为职工缴纳的住房公积金。</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2.</w:t>
      </w:r>
      <w:r>
        <w:rPr>
          <w:rFonts w:hint="eastAsia" w:ascii="仿宋" w:hAnsi="仿宋" w:eastAsia="仿宋"/>
          <w:sz w:val="32"/>
          <w:szCs w:val="32"/>
        </w:rPr>
        <w:t>城乡社区支出（类</w:t>
      </w:r>
      <w:r>
        <w:rPr>
          <w:rFonts w:ascii="仿宋" w:hAnsi="仿宋" w:eastAsia="仿宋"/>
          <w:sz w:val="32"/>
          <w:szCs w:val="32"/>
        </w:rPr>
        <w:t>）</w:t>
      </w:r>
      <w:r>
        <w:rPr>
          <w:rFonts w:hint="eastAsia" w:ascii="仿宋" w:hAnsi="仿宋" w:eastAsia="仿宋"/>
          <w:sz w:val="32"/>
          <w:szCs w:val="32"/>
        </w:rPr>
        <w:t>国有土地使用权出让收入安排的支出(款)其他国有土地使用权出让收入安排的支出（项）：反映土地出让收入用于其他方面的支出。不包括市县级政府当年按规定用土地出让收入向中央和省级政府缴纳的新增建设用地土地有偿使用费的支出。</w:t>
      </w:r>
    </w:p>
    <w:p>
      <w:pPr>
        <w:ind w:firstLine="640" w:firstLineChars="200"/>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ascii="仿宋" w:hAnsi="仿宋" w:eastAsia="仿宋"/>
          <w:sz w:val="32"/>
          <w:szCs w:val="32"/>
        </w:rPr>
        <w:t>24.</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25.</w:t>
      </w:r>
      <w:r>
        <w:rPr>
          <w:rFonts w:hint="eastAsia" w:ascii="仿宋" w:hAnsi="仿宋" w:eastAsia="仿宋"/>
          <w:sz w:val="32"/>
          <w:szCs w:val="32"/>
        </w:rPr>
        <w:t>经营支出：指事业单位在专业业务活动及其辅助活动之外开展非独立核算经营活动发生的支出。</w:t>
      </w:r>
    </w:p>
    <w:p>
      <w:pPr>
        <w:pStyle w:val="25"/>
        <w:spacing w:line="560" w:lineRule="exact"/>
        <w:ind w:firstLine="640" w:firstLineChars="200"/>
        <w:rPr>
          <w:rFonts w:hAnsi="仿宋"/>
          <w:color w:val="auto"/>
          <w:sz w:val="32"/>
          <w:szCs w:val="32"/>
        </w:rPr>
      </w:pPr>
      <w:r>
        <w:rPr>
          <w:rFonts w:hAnsi="仿宋"/>
          <w:color w:val="auto"/>
          <w:sz w:val="32"/>
          <w:szCs w:val="32"/>
        </w:rPr>
        <w:t>26.</w:t>
      </w:r>
      <w:r>
        <w:rPr>
          <w:rFonts w:hint="eastAsia" w:hAnsi="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Ansi="仿宋"/>
          <w:color w:val="auto"/>
          <w:sz w:val="32"/>
          <w:szCs w:val="32"/>
        </w:rPr>
      </w:pPr>
      <w:r>
        <w:rPr>
          <w:rFonts w:hAnsi="仿宋"/>
          <w:color w:val="auto"/>
          <w:sz w:val="32"/>
          <w:szCs w:val="32"/>
        </w:rPr>
        <w:t>27.</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s="黑体"/>
          <w:color w:val="auto"/>
          <w:sz w:val="32"/>
          <w:szCs w:val="32"/>
        </w:rPr>
      </w:pPr>
    </w:p>
    <w:p>
      <w:pPr>
        <w:pStyle w:val="2"/>
        <w:spacing w:before="93"/>
      </w:pPr>
    </w:p>
    <w:p>
      <w:pPr>
        <w:pStyle w:val="2"/>
        <w:spacing w:before="93"/>
      </w:pPr>
    </w:p>
    <w:p>
      <w:pPr>
        <w:pStyle w:val="2"/>
        <w:spacing w:before="93"/>
      </w:pPr>
    </w:p>
    <w:p>
      <w:pPr>
        <w:spacing w:line="600" w:lineRule="exact"/>
        <w:jc w:val="center"/>
        <w:outlineLvl w:val="0"/>
        <w:rPr>
          <w:rStyle w:val="27"/>
          <w:rFonts w:ascii="黑体" w:hAnsi="黑体" w:eastAsia="黑体"/>
          <w:b w:val="0"/>
          <w:highlight w:val="none"/>
        </w:rPr>
      </w:pPr>
      <w:bookmarkStart w:id="51" w:name="_Toc15396614"/>
      <w:bookmarkStart w:id="52" w:name="_Toc15377226"/>
      <w:r>
        <w:rPr>
          <w:rFonts w:hint="eastAsia" w:ascii="黑体" w:hAnsi="黑体" w:eastAsia="黑体"/>
          <w:sz w:val="44"/>
          <w:szCs w:val="44"/>
          <w:highlight w:val="none"/>
        </w:rPr>
        <w:t>第</w:t>
      </w:r>
      <w:r>
        <w:rPr>
          <w:rStyle w:val="27"/>
          <w:rFonts w:hint="eastAsia" w:ascii="黑体" w:hAnsi="黑体" w:eastAsia="黑体"/>
          <w:b w:val="0"/>
          <w:highlight w:val="none"/>
        </w:rPr>
        <w:t>四部分 附件</w:t>
      </w:r>
      <w:bookmarkEnd w:id="51"/>
    </w:p>
    <w:p>
      <w:pPr>
        <w:spacing w:line="572" w:lineRule="exact"/>
        <w:jc w:val="left"/>
        <w:outlineLvl w:val="0"/>
        <w:rPr>
          <w:rFonts w:ascii="方正小标宋简体" w:hAnsi="方正小标宋简体" w:eastAsia="方正小标宋简体" w:cs="方正小标宋简体"/>
          <w:sz w:val="44"/>
          <w:szCs w:val="44"/>
          <w:highlight w:val="none"/>
        </w:rPr>
      </w:pPr>
      <w:r>
        <w:rPr>
          <w:rFonts w:hint="eastAsia" w:ascii="黑体" w:hAnsi="黑体" w:eastAsia="黑体" w:cs="黑体"/>
          <w:sz w:val="32"/>
          <w:szCs w:val="32"/>
          <w:highlight w:val="none"/>
        </w:rPr>
        <w:t>附件</w:t>
      </w:r>
    </w:p>
    <w:p>
      <w:pPr>
        <w:widowControl/>
        <w:spacing w:line="560" w:lineRule="exact"/>
        <w:contextualSpacing/>
        <w:jc w:val="center"/>
        <w:rPr>
          <w:rFonts w:ascii="宋体" w:hAnsi="宋体"/>
          <w:b/>
          <w:sz w:val="32"/>
          <w:szCs w:val="32"/>
          <w:highlight w:val="none"/>
          <w:shd w:val="clear" w:color="auto" w:fill="FFFFFF"/>
        </w:rPr>
      </w:pPr>
      <w:r>
        <w:rPr>
          <w:rFonts w:hint="eastAsia" w:ascii="宋体" w:hAnsi="宋体"/>
          <w:b/>
          <w:sz w:val="32"/>
          <w:szCs w:val="32"/>
          <w:highlight w:val="none"/>
          <w:shd w:val="clear" w:color="auto" w:fill="FFFFFF"/>
        </w:rPr>
        <w:t>2023年省级部门整体绩效评价报告范本</w:t>
      </w:r>
    </w:p>
    <w:p>
      <w:pPr>
        <w:widowControl/>
        <w:spacing w:line="560" w:lineRule="exact"/>
        <w:contextualSpacing/>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highlight w:val="none"/>
          <w:shd w:val="clear" w:color="auto" w:fill="FFFFFF"/>
        </w:rPr>
        <w:t>（报告范围包括机关和下属单位</w:t>
      </w:r>
      <w:r>
        <w:rPr>
          <w:rFonts w:hint="eastAsia" w:ascii="仿宋_GB2312" w:hAnsi="仿宋_GB2312" w:eastAsia="仿宋_GB2312" w:cs="仿宋_GB2312"/>
          <w:sz w:val="32"/>
          <w:szCs w:val="32"/>
          <w:shd w:val="clear" w:color="auto" w:fill="FFFFFF"/>
        </w:rPr>
        <w:t>）</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（一）机构组成。（简要介绍）</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lang w:val="zh-CN"/>
        </w:rPr>
      </w:pPr>
      <w:r>
        <w:rPr>
          <w:rFonts w:hint="eastAsia"/>
          <w:lang w:val="zh-CN"/>
        </w:rPr>
        <w:t>我单位行政单位1个，下属事业单位1个，与去年相比无增减，分别是峨眉山市审计局和峨眉山市政府投资审计中心。</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（二）机构职能和人员概况。（简要介绍）</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zh-CN"/>
        </w:rPr>
      </w:pPr>
      <w:r>
        <w:rPr>
          <w:rFonts w:hint="eastAsia"/>
          <w:lang w:val="zh-CN"/>
        </w:rPr>
        <w:t>主管全市审计工作。负责对本级财政收支和法律法规规定属于审计监督范围的财务收支的真实、合法和效益进行审计监督，对公共资金、固有资产、固有资源和领导干部履行经济责任情况实行审计全覆盖，对领导干部实行自然资源资产离任审计，对国家和省、乐山市、峨眉山市有关重大政策措施贯彻落实情况进行跟踪审计。对审计、专项审计调查和核查社会审计机构相关审计报告的结果承担责任，并负有督促被审计单位整改的责任。</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zh-CN"/>
        </w:rPr>
      </w:pPr>
      <w:r>
        <w:rPr>
          <w:rFonts w:hint="eastAsia"/>
          <w:lang w:val="zh-CN"/>
        </w:rPr>
        <w:t>截至2022年底，市审计局机关行政编制16名。其中：局长1名，副局长2名，总审计师1名。年末实有人数共1</w:t>
      </w:r>
      <w:r>
        <w:rPr>
          <w:rFonts w:hint="eastAsia"/>
          <w:lang w:val="en-US" w:eastAsia="zh-CN"/>
        </w:rPr>
        <w:t>3</w:t>
      </w:r>
      <w:r>
        <w:rPr>
          <w:rFonts w:hint="eastAsia"/>
          <w:lang w:val="zh-CN"/>
        </w:rPr>
        <w:t>名。</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zh-CN"/>
        </w:rPr>
      </w:pPr>
      <w:r>
        <w:rPr>
          <w:rFonts w:hint="eastAsia"/>
          <w:lang w:val="zh-CN"/>
        </w:rPr>
        <w:t>下设1个事业单位：峨眉山市政府投资审计中心，年末实有人数共6名。</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w:t>
      </w:r>
      <w:r>
        <w:rPr>
          <w:rFonts w:hint="eastAsia" w:ascii="楷体_GB2312" w:hAnsi="楷体_GB2312" w:eastAsia="楷体_GB2312" w:cs="楷体_GB2312"/>
          <w:b/>
          <w:bCs/>
          <w:kern w:val="0"/>
          <w:sz w:val="32"/>
          <w:szCs w:val="32"/>
          <w:highlight w:val="none"/>
          <w:shd w:val="clear" w:color="auto" w:fill="FFFFFF"/>
          <w:lang w:val="zh-CN"/>
        </w:rPr>
        <w:t>年度主要工作任务。</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lang w:val="zh-CN"/>
        </w:rPr>
      </w:pPr>
      <w:r>
        <w:rPr>
          <w:rFonts w:hint="eastAsia"/>
          <w:highlight w:val="none"/>
          <w:lang w:val="zh-CN"/>
        </w:rPr>
        <w:t>重点对本级财政预算执行情况审计及决算草案审计、农业农村审计、政策跟踪审计、资源环境审计、民生审计等方面开展审计工作。2022年以来，峨眉山市审计局共开展各类审计项目18个，累计审计资金92.85亿元,查出管理不规范金额10.25亿元，挽回损失1.2亿元；发现审计问题180个，提出审计建议66条；向纪委监委、财政等部门移送问题</w:t>
      </w:r>
      <w:r>
        <w:rPr>
          <w:rFonts w:hint="eastAsia"/>
          <w:lang w:val="zh-CN"/>
        </w:rPr>
        <w:t>线索5件,形成审计专报5篇,</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eastAsia="仿宋_GB2312"/>
          <w:lang w:val="en-US" w:eastAsia="zh-CN"/>
        </w:rPr>
      </w:pPr>
      <w:r>
        <w:rPr>
          <w:rFonts w:hint="eastAsia"/>
          <w:lang w:val="zh-CN"/>
        </w:rPr>
        <w:t>预算编制科学合理、三公经费控制率小于等于</w:t>
      </w:r>
      <w:r>
        <w:rPr>
          <w:rFonts w:hint="eastAsia"/>
          <w:lang w:val="en-US" w:eastAsia="zh-CN"/>
        </w:rPr>
        <w:t>100%、财务管理制度健全、资金使用合规、政府采购规范、资产管理有效、效益情况较好、完成情况良好。</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rPr>
        <w:t>2022年度，审计局</w:t>
      </w:r>
      <w:r>
        <w:rPr>
          <w:rFonts w:hint="eastAsia"/>
          <w:lang w:eastAsia="zh-CN"/>
        </w:rPr>
        <w:t>总体收入</w:t>
      </w:r>
      <w:r>
        <w:rPr>
          <w:rFonts w:hint="eastAsia"/>
        </w:rPr>
        <w:t>476.</w:t>
      </w:r>
      <w:r>
        <w:rPr>
          <w:rFonts w:hint="eastAsia"/>
          <w:lang w:val="en-US" w:eastAsia="zh-CN"/>
        </w:rPr>
        <w:t>26</w:t>
      </w:r>
      <w:r>
        <w:rPr>
          <w:rFonts w:hint="eastAsia"/>
        </w:rPr>
        <w:t>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2.部门总体支出情况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rPr>
        <w:t>2022年度，审计局</w:t>
      </w:r>
      <w:r>
        <w:rPr>
          <w:rFonts w:hint="eastAsia"/>
          <w:lang w:eastAsia="zh-CN"/>
        </w:rPr>
        <w:t>总体</w:t>
      </w:r>
      <w:r>
        <w:rPr>
          <w:rFonts w:hint="eastAsia"/>
        </w:rPr>
        <w:t>支出476.</w:t>
      </w:r>
      <w:r>
        <w:rPr>
          <w:rFonts w:hint="eastAsia"/>
          <w:lang w:val="en-US" w:eastAsia="zh-CN"/>
        </w:rPr>
        <w:t>26</w:t>
      </w:r>
      <w:r>
        <w:rPr>
          <w:rFonts w:hint="eastAsia"/>
        </w:rPr>
        <w:t>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3.部门总体结转结余情况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eastAsia="仿宋_GB2312"/>
          <w:highlight w:val="none"/>
          <w:lang w:eastAsia="zh-CN"/>
        </w:rPr>
      </w:pPr>
      <w:r>
        <w:rPr>
          <w:rFonts w:hint="eastAsia"/>
          <w:highlight w:val="none"/>
          <w:lang w:eastAsia="zh-CN"/>
        </w:rPr>
        <w:t>无</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rPr>
        <w:t>2022年度，审计局</w:t>
      </w:r>
      <w:r>
        <w:rPr>
          <w:rFonts w:hint="eastAsia" w:ascii="仿宋_GB2312" w:hAnsi="仿宋_GB2312" w:eastAsia="仿宋_GB2312" w:cs="仿宋_GB2312"/>
          <w:kern w:val="0"/>
          <w:sz w:val="32"/>
          <w:szCs w:val="32"/>
          <w:shd w:val="clear" w:color="auto" w:fill="FFFFFF"/>
        </w:rPr>
        <w:t>财政拨款收入</w:t>
      </w:r>
      <w:r>
        <w:rPr>
          <w:rFonts w:hint="eastAsia"/>
        </w:rPr>
        <w:t>476.</w:t>
      </w:r>
      <w:r>
        <w:rPr>
          <w:rFonts w:hint="eastAsia"/>
          <w:lang w:val="en-US" w:eastAsia="zh-CN"/>
        </w:rPr>
        <w:t>26</w:t>
      </w:r>
      <w:r>
        <w:rPr>
          <w:rFonts w:hint="eastAsia"/>
        </w:rPr>
        <w:t>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2.部门财政拨款支出情况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rPr>
        <w:t>2022年度，审计局</w:t>
      </w:r>
      <w:r>
        <w:rPr>
          <w:rFonts w:hint="eastAsia" w:ascii="仿宋_GB2312" w:hAnsi="仿宋_GB2312" w:eastAsia="仿宋_GB2312" w:cs="仿宋_GB2312"/>
          <w:kern w:val="0"/>
          <w:sz w:val="32"/>
          <w:szCs w:val="32"/>
          <w:shd w:val="clear" w:color="auto" w:fill="FFFFFF"/>
        </w:rPr>
        <w:t>财政拨款</w:t>
      </w:r>
      <w:r>
        <w:rPr>
          <w:rFonts w:hint="eastAsia" w:hAnsi="仿宋_GB2312" w:cs="仿宋_GB2312"/>
          <w:kern w:val="0"/>
          <w:sz w:val="32"/>
          <w:szCs w:val="32"/>
          <w:shd w:val="clear" w:color="auto" w:fill="FFFFFF"/>
          <w:lang w:eastAsia="zh-CN"/>
        </w:rPr>
        <w:t>支出</w:t>
      </w:r>
      <w:r>
        <w:rPr>
          <w:rFonts w:hint="eastAsia"/>
        </w:rPr>
        <w:t>476.</w:t>
      </w:r>
      <w:r>
        <w:rPr>
          <w:rFonts w:hint="eastAsia"/>
          <w:lang w:val="en-US" w:eastAsia="zh-CN"/>
        </w:rPr>
        <w:t>26</w:t>
      </w:r>
      <w:r>
        <w:rPr>
          <w:rFonts w:hint="eastAsia"/>
        </w:rPr>
        <w:t>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3.部门财政拨款结转结余情况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eastAsia="仿宋_GB2312"/>
          <w:lang w:eastAsia="zh-CN"/>
        </w:rPr>
      </w:pPr>
      <w:r>
        <w:rPr>
          <w:rFonts w:hint="eastAsia"/>
          <w:lang w:eastAsia="zh-CN"/>
        </w:rPr>
        <w:t>无</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三、部门整体绩效分析（根据适用指标体系进行调整，涉及到有专项资金预算项目的部门，专项资金预算项目自评报告作为本报告附件一并公开）</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r>
        <w:rPr>
          <w:rFonts w:hint="eastAsia" w:ascii="仿宋_GB2312" w:hAnsi="仿宋_GB2312" w:eastAsia="仿宋_GB2312" w:cs="仿宋_GB2312"/>
          <w:kern w:val="0"/>
          <w:sz w:val="32"/>
          <w:szCs w:val="32"/>
          <w:shd w:val="clear" w:color="auto" w:fill="FFFFFF"/>
          <w:lang w:val="zh-CN"/>
        </w:rPr>
        <w:t>（分段表述人员类、运转类、特定目标类项目绩效情况和存在问题）</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部门绩效目标制度合理，目标完成情况良好，严格按照支出标准进行控制，发放及时，未出现资金低效无效率的情况，无任何违纪违规情况。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w:t>
      </w:r>
      <w:r>
        <w:rPr>
          <w:rFonts w:hint="eastAsia" w:ascii="仿宋_GB2312" w:hAnsi="仿宋_GB2312" w:eastAsia="仿宋_GB2312" w:cs="仿宋_GB2312"/>
          <w:kern w:val="0"/>
          <w:sz w:val="32"/>
          <w:szCs w:val="32"/>
          <w:shd w:val="clear" w:color="auto" w:fill="FFFFFF"/>
          <w:lang w:eastAsia="zh-CN"/>
        </w:rPr>
        <w:t>审计局</w:t>
      </w:r>
      <w:r>
        <w:rPr>
          <w:rFonts w:hint="eastAsia" w:ascii="仿宋_GB2312" w:hAnsi="仿宋_GB2312" w:eastAsia="仿宋_GB2312" w:cs="仿宋_GB2312"/>
          <w:kern w:val="0"/>
          <w:sz w:val="32"/>
          <w:szCs w:val="32"/>
          <w:shd w:val="clear" w:color="auto" w:fill="FFFFFF"/>
        </w:rPr>
        <w:t>无运转类项目。</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部门绩效目标制度合理，目标完成情况良好，严格按照支出标准进行控制，按照相关</w:t>
      </w:r>
      <w:r>
        <w:rPr>
          <w:rFonts w:hint="eastAsia" w:ascii="仿宋_GB2312" w:hAnsi="仿宋_GB2312" w:eastAsia="仿宋_GB2312" w:cs="仿宋_GB2312"/>
          <w:kern w:val="0"/>
          <w:sz w:val="32"/>
          <w:szCs w:val="32"/>
          <w:shd w:val="clear" w:color="auto" w:fill="FFFFFF"/>
          <w:lang w:eastAsia="zh-CN"/>
        </w:rPr>
        <w:t>要求保证特定目标项目实施</w:t>
      </w:r>
      <w:r>
        <w:rPr>
          <w:rFonts w:hint="eastAsia" w:ascii="仿宋_GB2312" w:hAnsi="仿宋_GB2312" w:eastAsia="仿宋_GB2312" w:cs="仿宋_GB2312"/>
          <w:kern w:val="0"/>
          <w:sz w:val="32"/>
          <w:szCs w:val="32"/>
          <w:shd w:val="clear" w:color="auto" w:fill="FFFFFF"/>
        </w:rPr>
        <w:t>，无任何违纪违规情况。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认真落实全面实施预算绩效管理的相关工作，按照地方财政绩效目标要求认真落实绩效工作，切实做好2022年预算项目绩效目标编报工作，通过建机制、强管理、严审核、提质量,不断强化绩效目标管理,硬化绩效目标约束，有效推进了各项指标任务的落实，通过查缺补漏，增强财务报告编制的科学性、合理性、规范性，努力提高财政资金的使用绩效，截止年底全年绩效目标完成，执行情况良好，取得了预期效果。</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本部门严格按照预算绩效管理的相关要求，以绩效目标完成情况为指引，查找预算绩效管理中的不足之处，以问题为导向不断改进预算编制的科学性、合理性、规范性，有效促进了问题整改，提升了本部门财务编制质量，助推各项项目指标高效完成。</w:t>
      </w:r>
    </w:p>
    <w:p>
      <w:pPr>
        <w:widowControl/>
        <w:numPr>
          <w:ilvl w:val="0"/>
          <w:numId w:val="6"/>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0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0"/>
          <w:szCs w:val="30"/>
        </w:rPr>
        <w:t>本部门在202</w:t>
      </w:r>
      <w:r>
        <w:rPr>
          <w:rFonts w:hint="eastAsia" w:ascii="仿宋_GB2312" w:hAnsi="仿宋_GB2312" w:cs="仿宋_GB2312"/>
          <w:sz w:val="30"/>
          <w:szCs w:val="30"/>
          <w:lang w:val="en-US" w:eastAsia="zh-CN"/>
        </w:rPr>
        <w:t>2</w:t>
      </w:r>
      <w:r>
        <w:rPr>
          <w:rFonts w:hint="eastAsia" w:ascii="仿宋_GB2312" w:hAnsi="仿宋_GB2312" w:eastAsia="仿宋_GB2312" w:cs="仿宋_GB2312"/>
          <w:sz w:val="30"/>
          <w:szCs w:val="30"/>
        </w:rPr>
        <w:t>年度不断加强对财务管理能力的建设和提高财务管理水平</w:t>
      </w:r>
      <w:r>
        <w:rPr>
          <w:rFonts w:hint="eastAsia" w:ascii="仿宋_GB2312" w:hAnsi="仿宋_GB2312" w:eastAsia="仿宋_GB2312" w:cs="仿宋_GB2312"/>
          <w:sz w:val="30"/>
          <w:szCs w:val="30"/>
          <w:lang w:eastAsia="zh-CN"/>
        </w:rPr>
        <w:t>，有效保证了部门整体自评的准确情况，自评质量较好。</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zh-CN"/>
        </w:rPr>
      </w:pPr>
      <w:r>
        <w:rPr>
          <w:rFonts w:hint="eastAsia"/>
          <w:lang w:val="zh-CN"/>
        </w:rPr>
        <w:t>峨眉山市审计局2022年绩效目标编报合理，部门预算编制质量较好，资金使用合理合规，全年绩效目标完成较好。</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lang w:val="zh-CN"/>
        </w:rPr>
      </w:pPr>
      <w:r>
        <w:rPr>
          <w:rFonts w:hint="eastAsia"/>
          <w:lang w:val="zh-CN"/>
        </w:rPr>
        <w:t>无</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lang w:val="zh-CN"/>
        </w:rPr>
      </w:pPr>
      <w:r>
        <w:rPr>
          <w:rFonts w:hint="eastAsia"/>
          <w:lang w:val="zh-CN"/>
        </w:rPr>
        <w:t>无</w:t>
      </w:r>
    </w:p>
    <w:p>
      <w:pPr>
        <w:pStyle w:val="13"/>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13"/>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rPr>
        <w:t>（备注：按照绩效自评工作安排，各部门已在预算管理一体化系统绩效自评模块上传“部门预算项目支出绩效自评表（2022年度）”，该表格应作为附表予以公开。）</w:t>
      </w:r>
    </w:p>
    <w:tbl>
      <w:tblPr>
        <w:tblStyle w:val="14"/>
        <w:tblW w:w="5975" w:type="pct"/>
        <w:tblInd w:w="-7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914"/>
        <w:gridCol w:w="983"/>
        <w:gridCol w:w="1156"/>
        <w:gridCol w:w="398"/>
        <w:gridCol w:w="791"/>
        <w:gridCol w:w="396"/>
        <w:gridCol w:w="847"/>
        <w:gridCol w:w="577"/>
        <w:gridCol w:w="577"/>
        <w:gridCol w:w="2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1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51118121T000000060960-财务审计项目经费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审计局</w:t>
            </w:r>
          </w:p>
        </w:tc>
        <w:tc>
          <w:tcPr>
            <w:tcW w:w="41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8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委托中介配合完成审计项目、财务审计其他开支保障等</w:t>
            </w:r>
          </w:p>
        </w:tc>
        <w:tc>
          <w:tcPr>
            <w:tcW w:w="20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委托中介配合完成审计项目良好、财务审计其他开支得到保障、预算执行率100%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1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向配合完成审计项目的委托中介发放经费、财务审计其他开支保障支出等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18.12</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18.12</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聘请中介机构参与项目审计，弥补审计人员专业知识不足</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保质保量完成任务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聘请中介机构参与项目审计，弥补审计人员专业知识不足</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18.12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聘请中介机构参与项目审计，节约财政资金</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聘请中介机构参与项目审计，节约财政资金</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领导对审计质量满意度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审计人员被投诉率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3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委托中介配合完成审计项目良好、财务审计其他开支得到保障、预算执行率100%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3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3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项目负责人：刘校铎</w:t>
            </w:r>
          </w:p>
        </w:tc>
        <w:tc>
          <w:tcPr>
            <w:tcW w:w="26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财务负责人：刘校铎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13"/>
        <w:spacing w:line="560" w:lineRule="exact"/>
        <w:ind w:left="0" w:leftChars="0" w:firstLine="0" w:firstLineChars="0"/>
        <w:rPr>
          <w:sz w:val="32"/>
          <w:lang w:val="zh-CN"/>
        </w:rPr>
      </w:pPr>
    </w:p>
    <w:tbl>
      <w:tblPr>
        <w:tblStyle w:val="14"/>
        <w:tblW w:w="5975" w:type="pct"/>
        <w:tblInd w:w="-7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5"/>
        <w:gridCol w:w="961"/>
        <w:gridCol w:w="798"/>
        <w:gridCol w:w="1084"/>
        <w:gridCol w:w="399"/>
        <w:gridCol w:w="719"/>
        <w:gridCol w:w="756"/>
        <w:gridCol w:w="847"/>
        <w:gridCol w:w="576"/>
        <w:gridCol w:w="576"/>
        <w:gridCol w:w="2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shd w:val="clear"/>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51118122T000000390398-审计外勤经费2022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审计局</w:t>
            </w:r>
          </w:p>
        </w:tc>
        <w:tc>
          <w:tcPr>
            <w:tcW w:w="41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8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完成审计任务所需的审计人员经费</w:t>
            </w:r>
          </w:p>
        </w:tc>
        <w:tc>
          <w:tcPr>
            <w:tcW w:w="20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已完成目标任务，预算执行率100%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审计人员完成审计项目所需支出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25.36</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25.36</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0" w:type="pct"/>
            <w:vMerge w:val="continue"/>
            <w:tcBorders>
              <w:top w:val="single" w:color="000000" w:sz="4" w:space="0"/>
              <w:left w:val="single" w:color="000000" w:sz="4" w:space="0"/>
              <w:bottom w:val="single" w:color="000000" w:sz="4" w:space="0"/>
              <w:right w:val="single" w:color="000000" w:sz="4" w:space="0"/>
            </w:tcBorders>
            <w:shd w:val="clear" w:color="auto" w:fill="70AD47"/>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0" w:type="pct"/>
            <w:vMerge w:val="continue"/>
            <w:tcBorders>
              <w:top w:val="single" w:color="000000" w:sz="4" w:space="0"/>
              <w:left w:val="single" w:color="000000" w:sz="4" w:space="0"/>
              <w:bottom w:val="single" w:color="000000" w:sz="4" w:space="0"/>
              <w:right w:val="single" w:color="000000" w:sz="4" w:space="0"/>
            </w:tcBorders>
            <w:shd w:val="clear" w:color="auto" w:fill="70AD47"/>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当年完成审计计划项目20-25个</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保质保量完成当年审计计划项目</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当年内完成审计计划项目</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完成审计任务所需的审计人员经费</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节约财政资金，为国家经济发展保驾护航</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节约财政资金，为国家经济发展保驾护航</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领导对审理工作的满意率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审计人员被投诉率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6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36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已完成目标任务，预算执行率100%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36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36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项目负责人：刘校铎</w:t>
            </w:r>
          </w:p>
        </w:tc>
        <w:tc>
          <w:tcPr>
            <w:tcW w:w="27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财务负责人：刘校铎</w:t>
            </w:r>
          </w:p>
        </w:tc>
      </w:tr>
    </w:tbl>
    <w:p>
      <w:pPr>
        <w:pStyle w:val="13"/>
        <w:spacing w:line="560" w:lineRule="exact"/>
        <w:ind w:left="0" w:leftChars="0" w:firstLine="0" w:firstLineChars="0"/>
        <w:rPr>
          <w:sz w:val="32"/>
          <w:lang w:val="zh-CN"/>
        </w:rPr>
      </w:pPr>
    </w:p>
    <w:tbl>
      <w:tblPr>
        <w:tblStyle w:val="14"/>
        <w:tblW w:w="5976" w:type="pct"/>
        <w:tblInd w:w="-7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7"/>
        <w:gridCol w:w="1035"/>
        <w:gridCol w:w="868"/>
        <w:gridCol w:w="1161"/>
        <w:gridCol w:w="396"/>
        <w:gridCol w:w="796"/>
        <w:gridCol w:w="396"/>
        <w:gridCol w:w="846"/>
        <w:gridCol w:w="576"/>
        <w:gridCol w:w="576"/>
        <w:gridCol w:w="2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51118122T000004682119-中介机构专项审计经费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审计局</w:t>
            </w:r>
          </w:p>
        </w:tc>
        <w:tc>
          <w:tcPr>
            <w:tcW w:w="4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抽选中介机构对政府投资项目进行专项审计，按时保质完成审计项目</w:t>
            </w:r>
          </w:p>
        </w:tc>
        <w:tc>
          <w:tcPr>
            <w:tcW w:w="20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抽选中介机构对政府投资项目进行专项审计，按时保质完成审计项目，预算执行率100%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支付中介机构专项审计费用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完成项目数量</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保质保量完成审计任务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年内完成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挽回财政资金损失</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移送重大案件线索和事项数量</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领导对审理工作的满意率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审计人员被投诉率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3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抽选中介机构对政府投资项目进行专项审计，按时保质完成审计项目，预算执行率100%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3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3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项目负责人：刘校铎</w:t>
            </w:r>
          </w:p>
        </w:tc>
        <w:tc>
          <w:tcPr>
            <w:tcW w:w="26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财务负责人：刘校铎</w:t>
            </w:r>
          </w:p>
        </w:tc>
      </w:tr>
    </w:tbl>
    <w:p>
      <w:pPr>
        <w:pStyle w:val="13"/>
        <w:spacing w:line="560" w:lineRule="exact"/>
        <w:ind w:left="0" w:leftChars="0" w:firstLine="0" w:firstLineChars="0"/>
        <w:rPr>
          <w:sz w:val="32"/>
          <w:lang w:val="zh-CN"/>
        </w:rPr>
      </w:pPr>
    </w:p>
    <w:p>
      <w:pPr>
        <w:pStyle w:val="13"/>
        <w:spacing w:line="560" w:lineRule="exact"/>
        <w:ind w:left="0" w:leftChars="0" w:firstLine="0" w:firstLineChars="0"/>
        <w:rPr>
          <w:sz w:val="32"/>
          <w:lang w:val="zh-CN"/>
        </w:rPr>
      </w:pPr>
    </w:p>
    <w:tbl>
      <w:tblPr>
        <w:tblStyle w:val="14"/>
        <w:tblW w:w="5976" w:type="pct"/>
        <w:tblInd w:w="-7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7"/>
        <w:gridCol w:w="1035"/>
        <w:gridCol w:w="868"/>
        <w:gridCol w:w="1161"/>
        <w:gridCol w:w="396"/>
        <w:gridCol w:w="794"/>
        <w:gridCol w:w="396"/>
        <w:gridCol w:w="846"/>
        <w:gridCol w:w="576"/>
        <w:gridCol w:w="576"/>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51118122T000005176091-信息化建设资金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审计局</w:t>
            </w:r>
          </w:p>
        </w:tc>
        <w:tc>
          <w:tcPr>
            <w:tcW w:w="4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完成审计项目所需软硬件设施购置及网络日常维护等</w:t>
            </w:r>
          </w:p>
        </w:tc>
        <w:tc>
          <w:tcPr>
            <w:tcW w:w="20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完成审计项目所需软硬件设施购置及网络日常维护，目标完成情况良好，预算执行率100%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支付审计项目所需软硬件设施购置及网络日常维护所需费用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w:t>
            </w: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w:t>
            </w: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70AD47"/>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完成审计项目所需软硬件设施购置及网络日常维护 </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促进审计信息化建设保障审计工作开展 </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当年内完成率 </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完成审计项目所需软硬件设施购置及网络日常维护 </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促进审计信息化建设保障审计工作开展 </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完成审计项目所需软硬件设施购置及网络日常维护 </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审计人员被投诉率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领导对审理工作的满意率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3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完成审计项目所需软硬件设施购置及网络日常维护，目标完成情况良好，预算执行率100%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3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3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项目负责人：刘校铎</w:t>
            </w:r>
          </w:p>
        </w:tc>
        <w:tc>
          <w:tcPr>
            <w:tcW w:w="26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财务负责人：刘校铎</w:t>
            </w:r>
          </w:p>
        </w:tc>
      </w:tr>
    </w:tbl>
    <w:p>
      <w:pPr>
        <w:pStyle w:val="13"/>
        <w:spacing w:line="560" w:lineRule="exact"/>
        <w:ind w:left="0" w:leftChars="0" w:firstLine="0" w:firstLineChars="0"/>
        <w:rPr>
          <w:sz w:val="32"/>
          <w:lang w:val="zh-CN"/>
        </w:rPr>
      </w:pPr>
    </w:p>
    <w:p>
      <w:pPr>
        <w:pStyle w:val="13"/>
        <w:spacing w:line="560" w:lineRule="exact"/>
        <w:ind w:left="0" w:leftChars="0" w:firstLine="0" w:firstLineChars="0"/>
        <w:rPr>
          <w:sz w:val="32"/>
          <w:lang w:val="zh-CN"/>
        </w:rPr>
      </w:pPr>
    </w:p>
    <w:p>
      <w:pPr>
        <w:pStyle w:val="13"/>
        <w:spacing w:line="560" w:lineRule="exact"/>
        <w:ind w:left="0" w:leftChars="0" w:firstLine="0" w:firstLineChars="0"/>
        <w:rPr>
          <w:sz w:val="32"/>
          <w:lang w:val="zh-CN"/>
        </w:rPr>
      </w:pPr>
    </w:p>
    <w:p>
      <w:pPr>
        <w:pStyle w:val="13"/>
        <w:spacing w:line="560" w:lineRule="exact"/>
        <w:ind w:left="0" w:leftChars="0" w:firstLine="0" w:firstLineChars="0"/>
        <w:rPr>
          <w:sz w:val="32"/>
          <w:lang w:val="zh-CN"/>
        </w:rPr>
      </w:pPr>
    </w:p>
    <w:p>
      <w:pPr>
        <w:pStyle w:val="13"/>
        <w:spacing w:line="560" w:lineRule="exact"/>
        <w:ind w:left="0" w:leftChars="0" w:firstLine="0" w:firstLineChars="0"/>
        <w:rPr>
          <w:sz w:val="32"/>
          <w:lang w:val="zh-CN"/>
        </w:rPr>
      </w:pPr>
    </w:p>
    <w:p>
      <w:pPr>
        <w:pStyle w:val="13"/>
        <w:spacing w:line="560" w:lineRule="exact"/>
        <w:ind w:left="0" w:leftChars="0" w:firstLine="0" w:firstLineChars="0"/>
        <w:rPr>
          <w:sz w:val="32"/>
          <w:lang w:val="zh-CN"/>
        </w:rPr>
      </w:pPr>
    </w:p>
    <w:p>
      <w:pPr>
        <w:pStyle w:val="13"/>
        <w:spacing w:line="560" w:lineRule="exact"/>
        <w:ind w:left="0" w:leftChars="0" w:firstLine="0" w:firstLineChars="0"/>
        <w:rPr>
          <w:sz w:val="32"/>
          <w:lang w:val="zh-CN"/>
        </w:rPr>
      </w:pPr>
    </w:p>
    <w:p>
      <w:pPr>
        <w:spacing w:line="600" w:lineRule="exact"/>
        <w:jc w:val="center"/>
        <w:outlineLvl w:val="0"/>
        <w:rPr>
          <w:rFonts w:hint="eastAsia" w:ascii="黑体" w:hAnsi="黑体" w:eastAsia="黑体"/>
          <w:sz w:val="44"/>
          <w:szCs w:val="44"/>
        </w:rPr>
        <w:sectPr>
          <w:footerReference r:id="rId9" w:type="first"/>
          <w:footerReference r:id="rId8" w:type="default"/>
          <w:pgSz w:w="11906" w:h="16838"/>
          <w:pgMar w:top="1440" w:right="1800" w:bottom="1440" w:left="1800" w:header="851" w:footer="992" w:gutter="0"/>
          <w:pgNumType w:start="1"/>
          <w:cols w:space="425" w:num="1"/>
          <w:titlePg/>
          <w:docGrid w:type="lines" w:linePitch="312" w:charSpace="0"/>
        </w:sectPr>
      </w:pPr>
      <w:bookmarkStart w:id="53" w:name="_Toc15396618"/>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footerReference r:id="rId11" w:type="first"/>
      <w:footerReference r:id="rId10"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 w:hAnsi="仿宋" w:eastAsia="仿宋"/>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5610023"/>
                            <w:docPartObj>
                              <w:docPartGallery w:val="autotext"/>
                            </w:docPartObj>
                          </w:sdtPr>
                          <w:sdtEndPr>
                            <w:rPr>
                              <w:rFonts w:ascii="仿宋" w:hAnsi="仿宋" w:eastAsia="仿宋"/>
                              <w:sz w:val="32"/>
                              <w:szCs w:val="32"/>
                            </w:rPr>
                          </w:sdtEndPr>
                          <w:sdtContent>
                            <w:p>
                              <w:pPr>
                                <w:pStyle w:val="9"/>
                                <w:jc w:val="center"/>
                                <w:rPr>
                                  <w:rFonts w:ascii="仿宋" w:hAnsi="仿宋" w:eastAsia="仿宋"/>
                                  <w:sz w:val="32"/>
                                  <w:szCs w:val="32"/>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18</w:t>
                              </w:r>
                              <w:r>
                                <w:rPr>
                                  <w:rFonts w:hint="eastAsia" w:ascii="宋体" w:hAnsi="宋体" w:eastAsia="宋体" w:cs="宋体"/>
                                  <w:sz w:val="21"/>
                                  <w:szCs w:val="21"/>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515610023"/>
                      <w:docPartObj>
                        <w:docPartGallery w:val="autotext"/>
                      </w:docPartObj>
                    </w:sdtPr>
                    <w:sdtEndPr>
                      <w:rPr>
                        <w:rFonts w:ascii="仿宋" w:hAnsi="仿宋" w:eastAsia="仿宋"/>
                        <w:sz w:val="32"/>
                        <w:szCs w:val="32"/>
                      </w:rPr>
                    </w:sdtEndPr>
                    <w:sdtContent>
                      <w:p>
                        <w:pPr>
                          <w:pStyle w:val="9"/>
                          <w:jc w:val="center"/>
                          <w:rPr>
                            <w:rFonts w:ascii="仿宋" w:hAnsi="仿宋" w:eastAsia="仿宋"/>
                            <w:sz w:val="32"/>
                            <w:szCs w:val="32"/>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18</w:t>
                        </w:r>
                        <w:r>
                          <w:rPr>
                            <w:rFonts w:hint="eastAsia" w:ascii="宋体" w:hAnsi="宋体" w:eastAsia="宋体" w:cs="宋体"/>
                            <w:sz w:val="21"/>
                            <w:szCs w:val="21"/>
                          </w:rPr>
                          <w:fldChar w:fldCharType="end"/>
                        </w:r>
                      </w:p>
                    </w:sdtContent>
                  </w:sdt>
                  <w:p>
                    <w:pPr>
                      <w:pStyle w:val="2"/>
                    </w:pPr>
                  </w:p>
                </w:txbxContent>
              </v:textbox>
            </v:shape>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仿宋" w:hAnsi="仿宋" w:eastAsia="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9707712"/>
                            <w:docPartObj>
                              <w:docPartGallery w:val="autotext"/>
                            </w:docPartObj>
                          </w:sdtPr>
                          <w:sdtEndPr>
                            <w:rPr>
                              <w:rFonts w:ascii="仿宋" w:hAnsi="仿宋" w:eastAsia="仿宋"/>
                              <w:sz w:val="32"/>
                              <w:szCs w:val="32"/>
                            </w:rPr>
                          </w:sdtEndPr>
                          <w:sdtContent>
                            <w:p>
                              <w:pPr>
                                <w:pStyle w:val="9"/>
                                <w:jc w:val="center"/>
                                <w:rPr>
                                  <w:rFonts w:ascii="仿宋" w:hAnsi="仿宋" w:eastAsia="仿宋"/>
                                  <w:sz w:val="32"/>
                                  <w:szCs w:val="32"/>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w:t>
                              </w:r>
                              <w:r>
                                <w:rPr>
                                  <w:rFonts w:hint="eastAsia" w:ascii="宋体" w:hAnsi="宋体" w:eastAsia="宋体" w:cs="宋体"/>
                                  <w:sz w:val="21"/>
                                  <w:szCs w:val="21"/>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sdt>
                    <w:sdtPr>
                      <w:id w:val="609707712"/>
                      <w:docPartObj>
                        <w:docPartGallery w:val="autotext"/>
                      </w:docPartObj>
                    </w:sdtPr>
                    <w:sdtEndPr>
                      <w:rPr>
                        <w:rFonts w:ascii="仿宋" w:hAnsi="仿宋" w:eastAsia="仿宋"/>
                        <w:sz w:val="32"/>
                        <w:szCs w:val="32"/>
                      </w:rPr>
                    </w:sdtEndPr>
                    <w:sdtContent>
                      <w:p>
                        <w:pPr>
                          <w:pStyle w:val="9"/>
                          <w:jc w:val="center"/>
                          <w:rPr>
                            <w:rFonts w:ascii="仿宋" w:hAnsi="仿宋" w:eastAsia="仿宋"/>
                            <w:sz w:val="32"/>
                            <w:szCs w:val="32"/>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w:t>
                        </w:r>
                        <w:r>
                          <w:rPr>
                            <w:rFonts w:hint="eastAsia" w:ascii="宋体" w:hAnsi="宋体" w:eastAsia="宋体" w:cs="宋体"/>
                            <w:sz w:val="21"/>
                            <w:szCs w:val="21"/>
                          </w:rPr>
                          <w:fldChar w:fldCharType="end"/>
                        </w:r>
                      </w:p>
                    </w:sdtContent>
                  </w:sdt>
                  <w:p>
                    <w:pPr>
                      <w:pStyle w:val="2"/>
                    </w:pPr>
                  </w:p>
                </w:txbxContent>
              </v:textbox>
            </v:shape>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 w:hAnsi="仿宋" w:eastAsia="仿宋"/>
        <w:sz w:val="32"/>
        <w:szCs w:val="32"/>
      </w:rPr>
    </w:pP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仿宋" w:hAnsi="仿宋" w:eastAsia="仿宋"/>
        <w:sz w:val="32"/>
        <w:szCs w:val="32"/>
      </w:rPr>
    </w:pP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8A51B21"/>
    <w:multiLevelType w:val="multilevel"/>
    <w:tmpl w:val="78A51B21"/>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jZiM2RjMDBiZGQ4ZDJhOGIxZDkxMTg4OWZkOGEifQ=="/>
  </w:docVars>
  <w:rsids>
    <w:rsidRoot w:val="00F1361C"/>
    <w:rsid w:val="000222C6"/>
    <w:rsid w:val="0002549F"/>
    <w:rsid w:val="00036F7B"/>
    <w:rsid w:val="000468DB"/>
    <w:rsid w:val="0006487A"/>
    <w:rsid w:val="00065F8F"/>
    <w:rsid w:val="00070A43"/>
    <w:rsid w:val="00074DEE"/>
    <w:rsid w:val="000768F2"/>
    <w:rsid w:val="0009184B"/>
    <w:rsid w:val="00094236"/>
    <w:rsid w:val="0009593C"/>
    <w:rsid w:val="00097322"/>
    <w:rsid w:val="000A6A92"/>
    <w:rsid w:val="000A7B33"/>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286D"/>
    <w:rsid w:val="001C0962"/>
    <w:rsid w:val="001D7531"/>
    <w:rsid w:val="001E737D"/>
    <w:rsid w:val="001F0592"/>
    <w:rsid w:val="001F7506"/>
    <w:rsid w:val="002006CD"/>
    <w:rsid w:val="00202B36"/>
    <w:rsid w:val="00204B7A"/>
    <w:rsid w:val="00204CDE"/>
    <w:rsid w:val="0021101A"/>
    <w:rsid w:val="00220536"/>
    <w:rsid w:val="00235629"/>
    <w:rsid w:val="00250209"/>
    <w:rsid w:val="00260C38"/>
    <w:rsid w:val="002616C0"/>
    <w:rsid w:val="00265372"/>
    <w:rsid w:val="002662AA"/>
    <w:rsid w:val="00280496"/>
    <w:rsid w:val="00294DC9"/>
    <w:rsid w:val="00294F58"/>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2E7C"/>
    <w:rsid w:val="003B688C"/>
    <w:rsid w:val="003C0291"/>
    <w:rsid w:val="003C39AE"/>
    <w:rsid w:val="003C7B60"/>
    <w:rsid w:val="003D0C0F"/>
    <w:rsid w:val="003D1FB2"/>
    <w:rsid w:val="003D66DA"/>
    <w:rsid w:val="003E1310"/>
    <w:rsid w:val="003E6F55"/>
    <w:rsid w:val="00406254"/>
    <w:rsid w:val="004223DE"/>
    <w:rsid w:val="004315C1"/>
    <w:rsid w:val="004331D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4A4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A4E"/>
    <w:rsid w:val="0066343B"/>
    <w:rsid w:val="00664777"/>
    <w:rsid w:val="006748A4"/>
    <w:rsid w:val="00681A31"/>
    <w:rsid w:val="00683E73"/>
    <w:rsid w:val="00686116"/>
    <w:rsid w:val="006A3141"/>
    <w:rsid w:val="006A5E34"/>
    <w:rsid w:val="006B2422"/>
    <w:rsid w:val="006B2B9A"/>
    <w:rsid w:val="006C1937"/>
    <w:rsid w:val="006C713C"/>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4B1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1FD3"/>
    <w:rsid w:val="00923564"/>
    <w:rsid w:val="0092392E"/>
    <w:rsid w:val="009315F9"/>
    <w:rsid w:val="00933499"/>
    <w:rsid w:val="00935C98"/>
    <w:rsid w:val="00946945"/>
    <w:rsid w:val="00951248"/>
    <w:rsid w:val="0095152F"/>
    <w:rsid w:val="00954C49"/>
    <w:rsid w:val="00955E37"/>
    <w:rsid w:val="00966CCE"/>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1C5"/>
    <w:rsid w:val="00A40A00"/>
    <w:rsid w:val="00A4142F"/>
    <w:rsid w:val="00A422EB"/>
    <w:rsid w:val="00A45BB7"/>
    <w:rsid w:val="00A56DF2"/>
    <w:rsid w:val="00A56E6E"/>
    <w:rsid w:val="00A67AB5"/>
    <w:rsid w:val="00A733B2"/>
    <w:rsid w:val="00A741C2"/>
    <w:rsid w:val="00A91760"/>
    <w:rsid w:val="00A93B00"/>
    <w:rsid w:val="00A93C21"/>
    <w:rsid w:val="00AB64C9"/>
    <w:rsid w:val="00AC0E47"/>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8AE"/>
    <w:rsid w:val="00B77EA6"/>
    <w:rsid w:val="00B81598"/>
    <w:rsid w:val="00B82AEA"/>
    <w:rsid w:val="00B841F1"/>
    <w:rsid w:val="00B944D6"/>
    <w:rsid w:val="00BB4DF0"/>
    <w:rsid w:val="00BC289F"/>
    <w:rsid w:val="00BC2D50"/>
    <w:rsid w:val="00BC5361"/>
    <w:rsid w:val="00BC5460"/>
    <w:rsid w:val="00BC6B50"/>
    <w:rsid w:val="00BD0E25"/>
    <w:rsid w:val="00BF5BD6"/>
    <w:rsid w:val="00C03E31"/>
    <w:rsid w:val="00C1765E"/>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717B"/>
    <w:rsid w:val="00D114F0"/>
    <w:rsid w:val="00D1266B"/>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147D"/>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5D830A9"/>
    <w:rsid w:val="066E0107"/>
    <w:rsid w:val="07996F6E"/>
    <w:rsid w:val="0A2032A3"/>
    <w:rsid w:val="0F98263C"/>
    <w:rsid w:val="101860EC"/>
    <w:rsid w:val="10C055FF"/>
    <w:rsid w:val="118107EC"/>
    <w:rsid w:val="13D50BC4"/>
    <w:rsid w:val="16BB723D"/>
    <w:rsid w:val="1BE8440E"/>
    <w:rsid w:val="1D155CEE"/>
    <w:rsid w:val="1FF35744"/>
    <w:rsid w:val="20E06302"/>
    <w:rsid w:val="23860B96"/>
    <w:rsid w:val="23C14D25"/>
    <w:rsid w:val="240371BF"/>
    <w:rsid w:val="291960BF"/>
    <w:rsid w:val="293D6BFB"/>
    <w:rsid w:val="29FD04D3"/>
    <w:rsid w:val="2C0B56C1"/>
    <w:rsid w:val="2C8A61B5"/>
    <w:rsid w:val="2DF04E50"/>
    <w:rsid w:val="2F040D46"/>
    <w:rsid w:val="319F7F4E"/>
    <w:rsid w:val="3304709D"/>
    <w:rsid w:val="36AA5135"/>
    <w:rsid w:val="376D39B2"/>
    <w:rsid w:val="37E16F03"/>
    <w:rsid w:val="38D469F0"/>
    <w:rsid w:val="3C1E4D32"/>
    <w:rsid w:val="3D98207C"/>
    <w:rsid w:val="3E78745D"/>
    <w:rsid w:val="41690977"/>
    <w:rsid w:val="44E268DA"/>
    <w:rsid w:val="47702237"/>
    <w:rsid w:val="4A627F82"/>
    <w:rsid w:val="4B0E749A"/>
    <w:rsid w:val="4B4F25DA"/>
    <w:rsid w:val="4BE068DB"/>
    <w:rsid w:val="4D577224"/>
    <w:rsid w:val="4EAB630A"/>
    <w:rsid w:val="4ECE2238"/>
    <w:rsid w:val="537E6D0A"/>
    <w:rsid w:val="55072635"/>
    <w:rsid w:val="55865FF4"/>
    <w:rsid w:val="56C754BE"/>
    <w:rsid w:val="5AF92295"/>
    <w:rsid w:val="5C6E4B98"/>
    <w:rsid w:val="5CD71FC4"/>
    <w:rsid w:val="5EE43F9E"/>
    <w:rsid w:val="619F4796"/>
    <w:rsid w:val="637F5999"/>
    <w:rsid w:val="6706036A"/>
    <w:rsid w:val="675A3B42"/>
    <w:rsid w:val="6B9854CA"/>
    <w:rsid w:val="6C4A05C8"/>
    <w:rsid w:val="6E7E3605"/>
    <w:rsid w:val="6FF5CC65"/>
    <w:rsid w:val="715C0E4B"/>
    <w:rsid w:val="72326C61"/>
    <w:rsid w:val="72734D90"/>
    <w:rsid w:val="73AD73D5"/>
    <w:rsid w:val="73B6EB34"/>
    <w:rsid w:val="744731E5"/>
    <w:rsid w:val="76E3355F"/>
    <w:rsid w:val="778769C8"/>
    <w:rsid w:val="79EE5BA4"/>
    <w:rsid w:val="7A894339"/>
    <w:rsid w:val="7B0C442F"/>
    <w:rsid w:val="7B6811BB"/>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1438</Words>
  <Characters>8203</Characters>
  <Lines>68</Lines>
  <Paragraphs>19</Paragraphs>
  <TotalTime>90</TotalTime>
  <ScaleCrop>false</ScaleCrop>
  <LinksUpToDate>false</LinksUpToDate>
  <CharactersWithSpaces>9622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cp:lastModifiedBy>
  <cp:lastPrinted>2023-11-30T06:27:00Z</cp:lastPrinted>
  <dcterms:modified xsi:type="dcterms:W3CDTF">2023-12-15T06:19:39Z</dcterms:modified>
  <dc:title>四川省***</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D4EEF6AC9A474A369DFD8B2C7035A3A6_12</vt:lpwstr>
  </property>
</Properties>
</file>