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7425"/>
      <w:bookmarkStart w:id="2" w:name="_Toc15396597"/>
      <w:bookmarkStart w:id="3" w:name="_Toc15378441"/>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6" w:name="_Toc15377194"/>
      <w:bookmarkStart w:id="7" w:name="_Toc15377426"/>
      <w:bookmarkStart w:id="8" w:name="_Toc15378442"/>
      <w:bookmarkStart w:id="9" w:name="_Toc15396598"/>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峨眉山市妇女联合会部门</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rPr>
        <w:t>决算</w:t>
      </w:r>
    </w:p>
    <w:p>
      <w:pPr>
        <w:pStyle w:val="2"/>
        <w:spacing w:before="93"/>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t>11</w:t>
      </w:r>
      <w:r>
        <w:rPr>
          <w:rFonts w:hint="eastAsia"/>
        </w:rPr>
        <w:t>月</w:t>
      </w:r>
      <w:r>
        <w:t>30</w:t>
      </w:r>
      <w:r>
        <w:rPr>
          <w:rFonts w:hint="eastAsia"/>
        </w:rPr>
        <w:t>日</w:t>
      </w:r>
    </w:p>
    <w:p/>
    <w:p>
      <w:pPr>
        <w:pStyle w:val="12"/>
        <w:adjustRightInd w:val="0"/>
        <w:snapToGrid w:val="0"/>
        <w:spacing w:before="0" w:line="440" w:lineRule="exact"/>
        <w:jc w:val="left"/>
        <w:rPr>
          <w:rFonts w:cstheme="minorBidi"/>
          <w:b/>
          <w:sz w:val="32"/>
          <w:szCs w:val="32"/>
        </w:rPr>
      </w:pPr>
      <w:r>
        <w:rPr>
          <w:rFonts w:hint="eastAsia"/>
          <w:b/>
          <w:sz w:val="32"/>
          <w:szCs w:val="32"/>
        </w:rPr>
        <w:t>第一部分</w:t>
      </w:r>
      <w:r>
        <w:rPr>
          <w:b/>
          <w:sz w:val="32"/>
          <w:szCs w:val="32"/>
        </w:rPr>
        <w:t xml:space="preserve"> </w:t>
      </w:r>
      <w:r>
        <w:rPr>
          <w:rFonts w:hint="eastAsia"/>
          <w:b/>
          <w:sz w:val="32"/>
          <w:szCs w:val="32"/>
        </w:rPr>
        <w:t>部门概况</w:t>
      </w:r>
      <w:r>
        <w:rPr>
          <w:b/>
          <w:sz w:val="32"/>
          <w:szCs w:val="32"/>
        </w:rPr>
        <w:tab/>
      </w:r>
      <w:r>
        <w:rPr>
          <w:b/>
          <w:sz w:val="32"/>
          <w:szCs w:val="32"/>
        </w:rPr>
        <w:t>1</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一、部门职责</w:t>
      </w:r>
      <w:r>
        <w:rPr>
          <w:rFonts w:ascii="仿宋" w:hAnsi="仿宋" w:eastAsia="仿宋"/>
          <w:sz w:val="32"/>
          <w:szCs w:val="32"/>
        </w:rPr>
        <w:tab/>
      </w:r>
      <w:r>
        <w:rPr>
          <w:rFonts w:ascii="仿宋" w:hAnsi="仿宋" w:eastAsia="仿宋"/>
          <w:sz w:val="32"/>
          <w:szCs w:val="32"/>
        </w:rPr>
        <w:t>1</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二、机构设置</w:t>
      </w:r>
      <w:r>
        <w:rPr>
          <w:rFonts w:ascii="仿宋" w:hAnsi="仿宋" w:eastAsia="仿宋"/>
          <w:sz w:val="32"/>
          <w:szCs w:val="32"/>
        </w:rPr>
        <w:tab/>
      </w:r>
      <w:r>
        <w:rPr>
          <w:rFonts w:ascii="仿宋" w:hAnsi="仿宋" w:eastAsia="仿宋"/>
          <w:sz w:val="32"/>
          <w:szCs w:val="32"/>
        </w:rPr>
        <w:t>1</w:t>
      </w:r>
    </w:p>
    <w:p>
      <w:pPr>
        <w:pStyle w:val="12"/>
        <w:adjustRightInd w:val="0"/>
        <w:snapToGrid w:val="0"/>
        <w:spacing w:before="0" w:line="440" w:lineRule="exact"/>
        <w:jc w:val="left"/>
        <w:rPr>
          <w:b/>
          <w:sz w:val="32"/>
          <w:szCs w:val="32"/>
        </w:rPr>
      </w:pPr>
      <w:r>
        <w:rPr>
          <w:rFonts w:hint="eastAsia"/>
          <w:b/>
          <w:sz w:val="32"/>
          <w:szCs w:val="32"/>
        </w:rPr>
        <w:t>第二部分 2022年度部门决算情况说明</w:t>
      </w:r>
      <w:r>
        <w:rPr>
          <w:b/>
          <w:sz w:val="32"/>
          <w:szCs w:val="32"/>
        </w:rPr>
        <w:tab/>
      </w:r>
      <w:r>
        <w:rPr>
          <w:b/>
          <w:sz w:val="32"/>
          <w:szCs w:val="32"/>
        </w:rPr>
        <w:t>3</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一、收入支出决算总体情况说明</w:t>
      </w:r>
      <w:r>
        <w:rPr>
          <w:rFonts w:ascii="仿宋" w:hAnsi="仿宋" w:eastAsia="仿宋"/>
          <w:sz w:val="32"/>
          <w:szCs w:val="32"/>
        </w:rPr>
        <w:tab/>
      </w:r>
      <w:r>
        <w:rPr>
          <w:rFonts w:ascii="仿宋" w:hAnsi="仿宋" w:eastAsia="仿宋"/>
          <w:sz w:val="32"/>
          <w:szCs w:val="32"/>
        </w:rPr>
        <w:t>3</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二、收入决算情况说明</w:t>
      </w:r>
      <w:r>
        <w:rPr>
          <w:rFonts w:ascii="仿宋" w:hAnsi="仿宋" w:eastAsia="仿宋"/>
          <w:sz w:val="32"/>
          <w:szCs w:val="32"/>
        </w:rPr>
        <w:tab/>
      </w:r>
      <w:r>
        <w:rPr>
          <w:rFonts w:ascii="仿宋" w:hAnsi="仿宋" w:eastAsia="仿宋"/>
          <w:sz w:val="32"/>
          <w:szCs w:val="32"/>
        </w:rPr>
        <w:t>3</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三、支出决算情况说明</w:t>
      </w:r>
      <w:r>
        <w:rPr>
          <w:rFonts w:ascii="仿宋" w:hAnsi="仿宋" w:eastAsia="仿宋"/>
          <w:sz w:val="32"/>
          <w:szCs w:val="32"/>
        </w:rPr>
        <w:tab/>
      </w:r>
      <w:r>
        <w:rPr>
          <w:rFonts w:ascii="仿宋" w:hAnsi="仿宋" w:eastAsia="仿宋"/>
          <w:sz w:val="32"/>
          <w:szCs w:val="32"/>
        </w:rPr>
        <w:t>4</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ascii="仿宋" w:hAnsi="仿宋" w:eastAsia="仿宋"/>
          <w:sz w:val="32"/>
          <w:szCs w:val="32"/>
        </w:rPr>
        <w:t>5</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ascii="仿宋" w:hAnsi="仿宋" w:eastAsia="仿宋"/>
          <w:sz w:val="32"/>
          <w:szCs w:val="32"/>
        </w:rPr>
        <w:t>6</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ascii="仿宋" w:hAnsi="仿宋" w:eastAsia="仿宋"/>
          <w:sz w:val="32"/>
          <w:szCs w:val="32"/>
        </w:rPr>
        <w:t>10</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七、财政拨款“三公”经费支出决算情况说明</w:t>
      </w:r>
      <w:r>
        <w:rPr>
          <w:rFonts w:ascii="仿宋" w:hAnsi="仿宋" w:eastAsia="仿宋"/>
          <w:sz w:val="32"/>
          <w:szCs w:val="32"/>
        </w:rPr>
        <w:tab/>
      </w:r>
      <w:r>
        <w:rPr>
          <w:rFonts w:ascii="仿宋" w:hAnsi="仿宋" w:eastAsia="仿宋"/>
          <w:sz w:val="32"/>
          <w:szCs w:val="32"/>
        </w:rPr>
        <w:t>11</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ascii="仿宋" w:hAnsi="仿宋" w:eastAsia="仿宋"/>
          <w:sz w:val="32"/>
          <w:szCs w:val="32"/>
        </w:rPr>
        <w:t>13</w:t>
      </w:r>
    </w:p>
    <w:p>
      <w:pPr>
        <w:pStyle w:val="13"/>
        <w:adjustRightInd w:val="0"/>
        <w:snapToGrid w:val="0"/>
        <w:spacing w:line="440" w:lineRule="exact"/>
        <w:ind w:leftChars="0"/>
        <w:jc w:val="left"/>
        <w:rPr>
          <w:rFonts w:ascii="仿宋" w:hAnsi="仿宋" w:eastAsia="仿宋" w:cstheme="minorEastAsia"/>
          <w:sz w:val="32"/>
          <w:szCs w:val="32"/>
        </w:rPr>
      </w:pPr>
      <w:r>
        <w:rPr>
          <w:rFonts w:hint="eastAsia" w:ascii="仿宋" w:hAnsi="仿宋" w:eastAsia="仿宋" w:cstheme="minorEastAsia"/>
          <w:sz w:val="32"/>
          <w:szCs w:val="32"/>
        </w:rPr>
        <w:t>九、国有资本经营预算支出决算情况说明</w:t>
      </w:r>
      <w:r>
        <w:rPr>
          <w:rFonts w:ascii="仿宋" w:hAnsi="仿宋" w:eastAsia="仿宋" w:cstheme="minorEastAsia"/>
          <w:sz w:val="32"/>
          <w:szCs w:val="32"/>
        </w:rPr>
        <w:tab/>
      </w:r>
      <w:r>
        <w:rPr>
          <w:rFonts w:ascii="仿宋" w:hAnsi="仿宋" w:eastAsia="仿宋" w:cstheme="minorEastAsia"/>
          <w:sz w:val="32"/>
          <w:szCs w:val="32"/>
        </w:rPr>
        <w:t>14</w:t>
      </w:r>
    </w:p>
    <w:p>
      <w:pPr>
        <w:pStyle w:val="13"/>
        <w:adjustRightInd w:val="0"/>
        <w:snapToGrid w:val="0"/>
        <w:spacing w:line="440" w:lineRule="exact"/>
        <w:ind w:leftChars="0"/>
        <w:jc w:val="left"/>
        <w:rPr>
          <w:rFonts w:ascii="仿宋" w:hAnsi="仿宋" w:eastAsia="仿宋" w:cstheme="minorEastAsia"/>
          <w:sz w:val="32"/>
          <w:szCs w:val="32"/>
        </w:rPr>
      </w:pPr>
      <w:r>
        <w:rPr>
          <w:rFonts w:hint="eastAsia"/>
        </w:rPr>
        <w:t>十、</w:t>
      </w:r>
      <w:r>
        <w:rPr>
          <w:rFonts w:hint="eastAsia" w:ascii="仿宋" w:hAnsi="仿宋" w:eastAsia="仿宋" w:cstheme="minorEastAsia"/>
          <w:sz w:val="32"/>
          <w:szCs w:val="32"/>
        </w:rPr>
        <w:t>其他重要事项的情况说明</w:t>
      </w:r>
      <w:r>
        <w:rPr>
          <w:rFonts w:hint="eastAsia" w:ascii="仿宋" w:hAnsi="仿宋" w:eastAsia="仿宋" w:cstheme="minorEastAsia"/>
          <w:sz w:val="32"/>
          <w:szCs w:val="32"/>
        </w:rPr>
        <w:tab/>
      </w:r>
      <w:r>
        <w:rPr>
          <w:rFonts w:ascii="仿宋" w:hAnsi="仿宋" w:eastAsia="仿宋" w:cstheme="minorEastAsia"/>
          <w:sz w:val="32"/>
          <w:szCs w:val="32"/>
        </w:rPr>
        <w:t>14</w:t>
      </w:r>
    </w:p>
    <w:p>
      <w:pPr>
        <w:pStyle w:val="12"/>
        <w:adjustRightInd w:val="0"/>
        <w:snapToGrid w:val="0"/>
        <w:spacing w:before="0" w:line="440" w:lineRule="exact"/>
        <w:jc w:val="left"/>
        <w:rPr>
          <w:rFonts w:cstheme="minorBidi"/>
          <w:b/>
          <w:sz w:val="32"/>
          <w:szCs w:val="32"/>
        </w:rPr>
      </w:pPr>
      <w:r>
        <w:rPr>
          <w:rFonts w:hint="eastAsia"/>
          <w:b/>
          <w:sz w:val="32"/>
          <w:szCs w:val="32"/>
        </w:rPr>
        <w:t>第三部分</w:t>
      </w:r>
      <w:r>
        <w:rPr>
          <w:b/>
          <w:sz w:val="32"/>
          <w:szCs w:val="32"/>
        </w:rPr>
        <w:t xml:space="preserve"> </w:t>
      </w:r>
      <w:r>
        <w:rPr>
          <w:rFonts w:hint="eastAsia"/>
          <w:b/>
          <w:sz w:val="32"/>
          <w:szCs w:val="32"/>
        </w:rPr>
        <w:t>名词解释</w:t>
      </w:r>
      <w:r>
        <w:rPr>
          <w:b/>
          <w:sz w:val="32"/>
          <w:szCs w:val="32"/>
        </w:rPr>
        <w:tab/>
      </w:r>
      <w:r>
        <w:rPr>
          <w:b/>
          <w:sz w:val="32"/>
          <w:szCs w:val="32"/>
        </w:rPr>
        <w:t>16</w:t>
      </w:r>
    </w:p>
    <w:p>
      <w:pPr>
        <w:pStyle w:val="12"/>
        <w:adjustRightInd w:val="0"/>
        <w:snapToGrid w:val="0"/>
        <w:spacing w:before="0" w:line="440" w:lineRule="exact"/>
        <w:jc w:val="left"/>
        <w:rPr>
          <w:rFonts w:cstheme="minorBidi"/>
          <w:b/>
          <w:sz w:val="32"/>
          <w:szCs w:val="32"/>
        </w:rPr>
      </w:pPr>
      <w:r>
        <w:rPr>
          <w:rFonts w:hint="eastAsia"/>
          <w:b/>
          <w:sz w:val="32"/>
          <w:szCs w:val="32"/>
        </w:rPr>
        <w:t>第四部分</w:t>
      </w:r>
      <w:r>
        <w:rPr>
          <w:b/>
          <w:sz w:val="32"/>
          <w:szCs w:val="32"/>
        </w:rPr>
        <w:t xml:space="preserve"> </w:t>
      </w:r>
      <w:r>
        <w:rPr>
          <w:rFonts w:hint="eastAsia"/>
          <w:b/>
          <w:sz w:val="32"/>
          <w:szCs w:val="32"/>
        </w:rPr>
        <w:t>附件</w:t>
      </w:r>
      <w:r>
        <w:rPr>
          <w:b/>
          <w:sz w:val="32"/>
          <w:szCs w:val="32"/>
        </w:rPr>
        <w:tab/>
      </w:r>
      <w:r>
        <w:rPr>
          <w:b/>
          <w:sz w:val="32"/>
          <w:szCs w:val="32"/>
        </w:rPr>
        <w:t>20</w:t>
      </w:r>
    </w:p>
    <w:p>
      <w:pPr>
        <w:pStyle w:val="12"/>
        <w:adjustRightInd w:val="0"/>
        <w:snapToGrid w:val="0"/>
        <w:spacing w:before="0" w:line="440" w:lineRule="exact"/>
        <w:jc w:val="left"/>
        <w:rPr>
          <w:rFonts w:cstheme="minorBidi"/>
          <w:b/>
          <w:sz w:val="32"/>
          <w:szCs w:val="32"/>
        </w:rPr>
      </w:pPr>
      <w:r>
        <w:rPr>
          <w:rFonts w:hint="eastAsia"/>
          <w:b/>
          <w:sz w:val="32"/>
          <w:szCs w:val="32"/>
        </w:rPr>
        <w:t>第五部分</w:t>
      </w:r>
      <w:r>
        <w:rPr>
          <w:b/>
          <w:sz w:val="32"/>
          <w:szCs w:val="32"/>
        </w:rPr>
        <w:t xml:space="preserve"> </w:t>
      </w:r>
      <w:r>
        <w:rPr>
          <w:rFonts w:hint="eastAsia"/>
          <w:b/>
          <w:sz w:val="32"/>
          <w:szCs w:val="32"/>
        </w:rPr>
        <w:t>附表</w:t>
      </w:r>
      <w:r>
        <w:rPr>
          <w:b/>
          <w:sz w:val="32"/>
          <w:szCs w:val="32"/>
        </w:rPr>
        <w:tab/>
      </w:r>
      <w:r>
        <w:rPr>
          <w:b/>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一、收入支出决算总表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二、收入决算表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三、支出决算表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四、财政拨款收入支出决算总表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五、财政拨款支出决算明细表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ascii="仿宋" w:hAnsi="仿宋" w:eastAsia="仿宋"/>
          <w:sz w:val="32"/>
          <w:szCs w:val="32"/>
        </w:rPr>
        <w:t>35</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sz w:val="32"/>
          <w:szCs w:val="32"/>
        </w:rPr>
        <w:t>十三、财政拨款“三公”经费支出决算表</w:t>
      </w:r>
      <w:r>
        <w:rPr>
          <w:rFonts w:ascii="仿宋" w:hAnsi="仿宋" w:eastAsia="仿宋"/>
          <w:sz w:val="32"/>
          <w:szCs w:val="32"/>
        </w:rPr>
        <w:tab/>
      </w:r>
      <w:r>
        <w:rPr>
          <w:rFonts w:ascii="仿宋" w:hAnsi="仿宋" w:eastAsia="仿宋"/>
          <w:sz w:val="32"/>
          <w:szCs w:val="32"/>
        </w:rPr>
        <w:t>35</w:t>
      </w:r>
    </w:p>
    <w:p>
      <w:pPr>
        <w:widowControl/>
        <w:adjustRightInd w:val="0"/>
        <w:snapToGrid w:val="0"/>
        <w:spacing w:line="440" w:lineRule="exact"/>
        <w:ind w:firstLine="1760" w:firstLineChars="550"/>
        <w:jc w:val="left"/>
        <w:rPr>
          <w:rFonts w:ascii="仿宋" w:hAnsi="仿宋" w:eastAsia="仿宋"/>
          <w:sz w:val="32"/>
          <w:szCs w:val="32"/>
        </w:rPr>
        <w:sectPr>
          <w:pgSz w:w="11906" w:h="16838"/>
          <w:pgMar w:top="1440" w:right="1800" w:bottom="1440" w:left="1800" w:header="851" w:footer="992" w:gutter="0"/>
          <w:pgNumType w:start="1"/>
          <w:cols w:space="425" w:num="1"/>
          <w:titlePg/>
          <w:docGrid w:type="lines" w:linePitch="312" w:charSpace="0"/>
        </w:sectPr>
      </w:pPr>
      <w:r>
        <w:rPr>
          <w:rFonts w:ascii="仿宋" w:hAnsi="仿宋" w:eastAsia="仿宋"/>
          <w:sz w:val="32"/>
          <w:szCs w:val="32"/>
        </w:rPr>
        <w:t>(注：</w:t>
      </w:r>
      <w:r>
        <w:rPr>
          <w:rFonts w:hint="eastAsia" w:ascii="仿宋" w:hAnsi="仿宋" w:eastAsia="仿宋"/>
          <w:sz w:val="32"/>
          <w:szCs w:val="32"/>
        </w:rPr>
        <w:t>请部门根据实际注明页码</w:t>
      </w:r>
      <w:r>
        <w:rPr>
          <w:rFonts w:ascii="仿宋" w:hAnsi="仿宋" w:eastAsia="仿宋"/>
          <w:sz w:val="32"/>
          <w:szCs w:val="32"/>
        </w:rPr>
        <w:t>)</w:t>
      </w:r>
    </w:p>
    <w:p>
      <w:pPr>
        <w:widowControl/>
        <w:spacing w:line="440" w:lineRule="exact"/>
        <w:jc w:val="left"/>
        <w:rPr>
          <w:rFonts w:ascii="仿宋" w:hAnsi="仿宋" w:eastAsia="仿宋"/>
          <w:bCs/>
          <w:kern w:val="44"/>
          <w:sz w:val="24"/>
        </w:rPr>
      </w:pPr>
      <w:bookmarkStart w:id="12" w:name="_Toc15377196"/>
      <w:bookmarkStart w:id="13" w:name="_Toc15396599"/>
    </w:p>
    <w:p>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ascii="黑体" w:hAnsi="黑体" w:eastAsia="黑体"/>
          <w:b w:val="0"/>
        </w:rPr>
      </w:pPr>
      <w:r>
        <w:rPr>
          <w:rFonts w:hint="eastAsia" w:ascii="黑体" w:hAnsi="黑体" w:eastAsia="黑体"/>
          <w:b w:val="0"/>
        </w:rPr>
        <w:t>部门职责</w:t>
      </w:r>
    </w:p>
    <w:p>
      <w:pPr>
        <w:ind w:firstLine="640" w:firstLineChars="200"/>
        <w:rPr>
          <w:rFonts w:ascii="仿宋" w:hAnsi="仿宋" w:eastAsia="仿宋"/>
        </w:rPr>
      </w:pPr>
      <w:r>
        <w:rPr>
          <w:rFonts w:hint="eastAsia" w:ascii="仿宋" w:hAnsi="仿宋" w:eastAsia="仿宋" w:cs="仿宋"/>
          <w:sz w:val="32"/>
          <w:szCs w:val="32"/>
        </w:rPr>
        <w:t>代表和维护妇女权益，促进男女平等。贯彻执行党的路线、方针、政策；推进全市妇女健康发展，对全市妇女组织进行业务指导。参与制定我市妇女儿童发展规划，促进“男女平等”基本国策的实施，推进妇女儿童培训及活动阵地建设。指导和推进全市农村妇女的“双学双比”活动和城镇妇女的“巾帼建功”活动，城乡妇女的“五好文明家庭”活动，组织和带领妇女在经济建设和精神文明建设中发挥“半边天”作用。承担市政府妇女儿童工作委员会日常工作，承办市委、市政府交办的其他事项。</w:t>
      </w:r>
    </w:p>
    <w:p>
      <w:pPr>
        <w:pStyle w:val="4"/>
        <w:rPr>
          <w:rStyle w:val="30"/>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4"/>
      <w:bookmarkEnd w:id="15"/>
    </w:p>
    <w:p>
      <w:pPr>
        <w:ind w:firstLine="800" w:firstLineChars="250"/>
        <w:rPr>
          <w:rFonts w:ascii="仿宋" w:hAnsi="仿宋" w:eastAsia="仿宋"/>
          <w:sz w:val="32"/>
          <w:szCs w:val="32"/>
        </w:rPr>
      </w:pPr>
      <w:r>
        <w:rPr>
          <w:rFonts w:hint="eastAsia" w:ascii="仿宋" w:hAnsi="仿宋" w:eastAsia="仿宋"/>
          <w:sz w:val="32"/>
          <w:szCs w:val="32"/>
        </w:rPr>
        <w:t>峨眉山市妇女联合会下属二级预算单位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pPr>
        <w:ind w:firstLine="800" w:firstLineChars="250"/>
        <w:rPr>
          <w:rFonts w:ascii="仿宋" w:hAnsi="仿宋" w:eastAsia="仿宋" w:cs="仿宋"/>
          <w:spacing w:val="-11"/>
          <w:sz w:val="32"/>
          <w:szCs w:val="32"/>
        </w:rPr>
      </w:pPr>
      <w:r>
        <w:rPr>
          <w:rFonts w:hint="eastAsia" w:ascii="仿宋" w:hAnsi="仿宋" w:eastAsia="仿宋" w:cs="仿宋"/>
          <w:sz w:val="32"/>
          <w:szCs w:val="32"/>
        </w:rPr>
        <w:t>机构情况，</w:t>
      </w:r>
      <w:r>
        <w:rPr>
          <w:rFonts w:hint="eastAsia" w:ascii="仿宋" w:hAnsi="仿宋" w:eastAsia="仿宋" w:cs="仿宋"/>
          <w:spacing w:val="-11"/>
          <w:sz w:val="32"/>
          <w:szCs w:val="32"/>
        </w:rPr>
        <w:t>峨眉山市妇联为参公事业单位，内设职能股室2个：办公室和权益股；下属事业单位1个：妇女儿童活动中心。</w:t>
      </w:r>
    </w:p>
    <w:p>
      <w:pPr>
        <w:pStyle w:val="2"/>
        <w:spacing w:before="93"/>
        <w:ind w:firstLine="600" w:firstLineChars="200"/>
      </w:pPr>
      <w:r>
        <w:rPr>
          <w:rFonts w:hint="eastAsia"/>
        </w:rPr>
        <w:t>人员情况，妇联参公编制6个，机关工勤编制1个。实有公务员6人，机关工勤1人。妇女儿童活动中心事业编制2个，实有事业人员1人。</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纳入峨眉山市妇女联合会2022年度部门决算编制范围的二级预算单位包括：</w:t>
      </w:r>
    </w:p>
    <w:p>
      <w:pPr>
        <w:pStyle w:val="2"/>
        <w:adjustRightInd w:val="0"/>
        <w:snapToGrid w:val="0"/>
        <w:spacing w:before="93" w:line="600" w:lineRule="exact"/>
        <w:ind w:firstLine="1120" w:firstLineChars="350"/>
        <w:rPr>
          <w:rFonts w:ascii="仿宋" w:hAnsi="仿宋" w:eastAsia="仿宋"/>
          <w:sz w:val="32"/>
          <w:szCs w:val="32"/>
        </w:rPr>
      </w:pPr>
      <w:r>
        <w:rPr>
          <w:rFonts w:ascii="仿宋" w:hAnsi="仿宋" w:eastAsia="仿宋"/>
          <w:sz w:val="32"/>
          <w:szCs w:val="32"/>
        </w:rPr>
        <w:t>无</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9"/>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9"/>
          <w:rFonts w:hint="eastAsia" w:ascii="黑体" w:hAnsi="黑体" w:eastAsia="黑体"/>
          <w:b w:val="0"/>
          <w:bCs/>
        </w:rPr>
        <w:t>部门决算情况说明</w:t>
      </w:r>
      <w:bookmarkEnd w:id="16"/>
      <w:bookmarkEnd w:id="17"/>
    </w:p>
    <w:p/>
    <w:p>
      <w:pPr>
        <w:pStyle w:val="28"/>
        <w:numPr>
          <w:ilvl w:val="0"/>
          <w:numId w:val="2"/>
        </w:numPr>
        <w:spacing w:line="600" w:lineRule="exact"/>
        <w:ind w:firstLineChars="0"/>
        <w:outlineLvl w:val="1"/>
        <w:rPr>
          <w:rStyle w:val="30"/>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pPr>
        <w:spacing w:line="60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2022年度收、支总计</w:t>
      </w:r>
      <w:r>
        <w:rPr>
          <w:rFonts w:ascii="仿宋" w:hAnsi="仿宋" w:eastAsia="仿宋"/>
          <w:sz w:val="32"/>
          <w:szCs w:val="32"/>
        </w:rPr>
        <w:t>185.86</w:t>
      </w:r>
      <w:r>
        <w:rPr>
          <w:rFonts w:hint="eastAsia" w:ascii="仿宋" w:hAnsi="仿宋" w:eastAsia="仿宋"/>
          <w:sz w:val="32"/>
          <w:szCs w:val="32"/>
        </w:rPr>
        <w:t>万元。与2021年相比，收、支总计各</w:t>
      </w:r>
      <w:r>
        <w:rPr>
          <w:rFonts w:hint="eastAsia" w:ascii="仿宋_GB2312" w:hAnsi="仿宋_GB2312" w:eastAsia="仿宋_GB2312" w:cs="仿宋_GB2312"/>
          <w:sz w:val="32"/>
          <w:szCs w:val="32"/>
        </w:rPr>
        <w:t>增加25.77万元，上升16%。主要变动原因是人员经费增加，机关运行经费增加。</w:t>
      </w:r>
    </w:p>
    <w:p>
      <w:pPr>
        <w:pStyle w:val="2"/>
        <w:spacing w:before="93"/>
      </w:pPr>
      <w:r>
        <w:drawing>
          <wp:inline distT="0" distB="0" distL="0" distR="0">
            <wp:extent cx="5451475" cy="4156710"/>
            <wp:effectExtent l="0" t="0" r="0" b="0"/>
            <wp:docPr id="2" name="图片 2" descr="C:\Users\Administrator\Desktop\定期要删除的临时资料\微信\WeChat Files\wxid_1y4uycj7qfjk21\FileStorage\Temp\1701316368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定期要删除的临时资料\微信\WeChat Files\wxid_1y4uycj7qfjk21\FileStorage\Temp\170131636817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55233" cy="4159255"/>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183.71</w:t>
      </w:r>
      <w:r>
        <w:rPr>
          <w:rFonts w:hint="eastAsia" w:ascii="仿宋" w:hAnsi="仿宋" w:eastAsia="仿宋"/>
          <w:sz w:val="32"/>
          <w:szCs w:val="32"/>
        </w:rPr>
        <w:t>万元，其中：一般公共预算财政拨款收入180.51万元，占98.26%；政府性基金预算财政拨款收入3.2万元，占1.74%；国有资本经营预算财政拨款收入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2"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pStyle w:val="2"/>
        <w:spacing w:before="93"/>
        <w:ind w:firstLine="300" w:firstLineChars="100"/>
      </w:pPr>
      <w:r>
        <w:drawing>
          <wp:inline distT="0" distB="0" distL="0" distR="0">
            <wp:extent cx="5274310" cy="404114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4310" cy="4041140"/>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183.71</w:t>
      </w:r>
      <w:r>
        <w:rPr>
          <w:rFonts w:hint="eastAsia" w:ascii="仿宋" w:hAnsi="仿宋" w:eastAsia="仿宋"/>
          <w:sz w:val="32"/>
          <w:szCs w:val="32"/>
        </w:rPr>
        <w:t>万元，其中：基本支出156.41万元，占85.14%；项目支出27.3万元，占14.86%；上缴上级支出0万元，占0%；经营支出0万元，占0%；对附属单位补助支出0万元，占0%。</w:t>
      </w:r>
    </w:p>
    <w:p>
      <w:pPr>
        <w:spacing w:line="600" w:lineRule="exact"/>
        <w:ind w:firstLine="642"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pStyle w:val="2"/>
        <w:spacing w:before="93"/>
      </w:pPr>
      <w:r>
        <w:drawing>
          <wp:inline distT="0" distB="0" distL="0" distR="0">
            <wp:extent cx="5457825" cy="4376420"/>
            <wp:effectExtent l="0" t="0" r="952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457825" cy="4376420"/>
                    </a:xfrm>
                    <a:prstGeom prst="rect">
                      <a:avLst/>
                    </a:prstGeom>
                  </pic:spPr>
                </pic:pic>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spacing w:line="600" w:lineRule="exact"/>
        <w:ind w:firstLine="640"/>
        <w:rPr>
          <w:rFonts w:ascii="仿宋_GB2312" w:hAnsi="仿宋_GB2312" w:eastAsia="仿宋_GB2312" w:cs="仿宋_GB2312"/>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183.93</w:t>
      </w:r>
      <w:r>
        <w:rPr>
          <w:rFonts w:hint="eastAsia" w:ascii="仿宋" w:hAnsi="仿宋" w:eastAsia="仿宋"/>
          <w:sz w:val="32"/>
          <w:szCs w:val="32"/>
        </w:rPr>
        <w:t>万元。</w:t>
      </w:r>
      <w:r>
        <w:rPr>
          <w:rFonts w:hint="eastAsia" w:ascii="仿宋_GB2312" w:hAnsi="仿宋_GB2312" w:eastAsia="仿宋_GB2312" w:cs="仿宋_GB2312"/>
          <w:sz w:val="32"/>
          <w:szCs w:val="32"/>
        </w:rPr>
        <w:t>与2021年相比，财政拨款收、支总计各增加</w:t>
      </w:r>
      <w:r>
        <w:rPr>
          <w:rFonts w:ascii="仿宋_GB2312" w:hAnsi="仿宋_GB2312" w:eastAsia="仿宋_GB2312" w:cs="仿宋_GB2312"/>
          <w:sz w:val="32"/>
          <w:szCs w:val="32"/>
        </w:rPr>
        <w:t>23.84</w:t>
      </w:r>
      <w:r>
        <w:rPr>
          <w:rFonts w:hint="eastAsia" w:ascii="仿宋_GB2312" w:hAnsi="仿宋_GB2312" w:eastAsia="仿宋_GB2312" w:cs="仿宋_GB2312"/>
          <w:sz w:val="32"/>
          <w:szCs w:val="32"/>
        </w:rPr>
        <w:t>万元，上升</w:t>
      </w:r>
      <w:r>
        <w:rPr>
          <w:rFonts w:ascii="仿宋_GB2312" w:hAnsi="仿宋_GB2312" w:eastAsia="仿宋_GB2312" w:cs="仿宋_GB2312"/>
          <w:sz w:val="32"/>
          <w:szCs w:val="32"/>
        </w:rPr>
        <w:t>12.96</w:t>
      </w:r>
      <w:r>
        <w:rPr>
          <w:rFonts w:hint="eastAsia" w:ascii="仿宋_GB2312" w:hAnsi="仿宋_GB2312" w:eastAsia="仿宋_GB2312" w:cs="仿宋_GB2312"/>
          <w:sz w:val="32"/>
          <w:szCs w:val="32"/>
        </w:rPr>
        <w:t>%。主要变动原因是人员经费增加，机关运行经费增加。</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p>
    <w:p>
      <w:pPr>
        <w:pStyle w:val="2"/>
        <w:spacing w:before="93"/>
      </w:pPr>
      <w:r>
        <w:drawing>
          <wp:inline distT="0" distB="0" distL="0" distR="0">
            <wp:extent cx="5562600" cy="4243705"/>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562600" cy="4243705"/>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_GB2312" w:hAnsi="仿宋_GB2312" w:eastAsia="仿宋_GB2312" w:cs="仿宋_GB2312"/>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180.51</w:t>
      </w:r>
      <w:r>
        <w:rPr>
          <w:rFonts w:hint="eastAsia" w:ascii="仿宋" w:hAnsi="仿宋" w:eastAsia="仿宋"/>
          <w:sz w:val="32"/>
          <w:szCs w:val="32"/>
        </w:rPr>
        <w:t>万元，占本年支出合计的</w:t>
      </w:r>
      <w:r>
        <w:rPr>
          <w:rFonts w:ascii="仿宋" w:hAnsi="仿宋" w:eastAsia="仿宋"/>
          <w:sz w:val="32"/>
          <w:szCs w:val="32"/>
        </w:rPr>
        <w:t>98.26%</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21年相比，一般公共预算财政拨款支出增加27.</w:t>
      </w:r>
      <w:r>
        <w:rPr>
          <w:rFonts w:ascii="仿宋" w:hAnsi="仿宋" w:eastAsia="仿宋"/>
          <w:sz w:val="32"/>
          <w:szCs w:val="32"/>
        </w:rPr>
        <w:t>36</w:t>
      </w:r>
      <w:r>
        <w:rPr>
          <w:rFonts w:hint="eastAsia" w:ascii="仿宋" w:hAnsi="仿宋" w:eastAsia="仿宋"/>
          <w:sz w:val="32"/>
          <w:szCs w:val="32"/>
        </w:rPr>
        <w:t>万元，上升</w:t>
      </w:r>
      <w:r>
        <w:rPr>
          <w:rFonts w:ascii="仿宋" w:hAnsi="仿宋" w:eastAsia="仿宋"/>
          <w:sz w:val="32"/>
          <w:szCs w:val="32"/>
        </w:rPr>
        <w:t>17.86%</w:t>
      </w:r>
      <w:r>
        <w:rPr>
          <w:rFonts w:hint="eastAsia" w:ascii="仿宋" w:hAnsi="仿宋" w:eastAsia="仿宋"/>
          <w:sz w:val="32"/>
          <w:szCs w:val="32"/>
        </w:rPr>
        <w:t>。</w:t>
      </w:r>
      <w:r>
        <w:rPr>
          <w:rFonts w:hint="eastAsia" w:ascii="仿宋_GB2312" w:hAnsi="仿宋_GB2312" w:eastAsia="仿宋_GB2312" w:cs="仿宋_GB2312"/>
          <w:sz w:val="32"/>
          <w:szCs w:val="32"/>
        </w:rPr>
        <w:t>主要变动原因是人员经费增加，机关运行经费增加。</w:t>
      </w:r>
    </w:p>
    <w:p>
      <w:pPr>
        <w:pStyle w:val="2"/>
        <w:spacing w:before="93"/>
      </w:pPr>
    </w:p>
    <w:p>
      <w:pPr>
        <w:pStyle w:val="2"/>
        <w:spacing w:before="93"/>
      </w:pPr>
    </w:p>
    <w:p>
      <w:pPr>
        <w:pStyle w:val="2"/>
        <w:spacing w:before="93"/>
      </w:pPr>
    </w:p>
    <w:p>
      <w:pPr>
        <w:pStyle w:val="2"/>
        <w:spacing w:before="93"/>
      </w:pPr>
      <w:r>
        <w:drawing>
          <wp:inline distT="0" distB="0" distL="0" distR="0">
            <wp:extent cx="5534025" cy="4375785"/>
            <wp:effectExtent l="0" t="0" r="9525"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534025" cy="4375785"/>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_GB2312" w:hAnsi="仿宋_GB2312" w:eastAsia="仿宋_GB2312" w:cs="仿宋_GB2312"/>
          <w:sz w:val="32"/>
          <w:szCs w:val="32"/>
        </w:rPr>
        <w:t>180.</w:t>
      </w:r>
      <w:r>
        <w:rPr>
          <w:rFonts w:ascii="仿宋_GB2312" w:hAnsi="仿宋_GB2312" w:eastAsia="仿宋_GB2312" w:cs="仿宋_GB2312"/>
          <w:sz w:val="32"/>
          <w:szCs w:val="32"/>
        </w:rPr>
        <w:t>51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一般公共服务</w:t>
      </w:r>
      <w:r>
        <w:rPr>
          <w:rFonts w:hint="eastAsia" w:ascii="仿宋" w:hAnsi="仿宋" w:eastAsia="仿宋"/>
          <w:bCs/>
          <w:sz w:val="32"/>
          <w:szCs w:val="32"/>
        </w:rPr>
        <w:t>支出</w:t>
      </w:r>
      <w:r>
        <w:rPr>
          <w:rFonts w:ascii="仿宋" w:hAnsi="仿宋" w:eastAsia="仿宋"/>
          <w:sz w:val="32"/>
          <w:szCs w:val="32"/>
        </w:rPr>
        <w:t>147.08</w:t>
      </w:r>
      <w:r>
        <w:rPr>
          <w:rFonts w:hint="eastAsia" w:ascii="仿宋" w:hAnsi="仿宋" w:eastAsia="仿宋"/>
          <w:sz w:val="32"/>
          <w:szCs w:val="32"/>
        </w:rPr>
        <w:t>万元，占</w:t>
      </w:r>
      <w:r>
        <w:rPr>
          <w:rFonts w:ascii="仿宋" w:hAnsi="仿宋" w:eastAsia="仿宋"/>
          <w:sz w:val="32"/>
          <w:szCs w:val="32"/>
        </w:rPr>
        <w:t>81.48%</w:t>
      </w:r>
      <w:r>
        <w:rPr>
          <w:rFonts w:hint="eastAsia" w:ascii="仿宋" w:hAnsi="仿宋" w:eastAsia="仿宋"/>
          <w:sz w:val="32"/>
          <w:szCs w:val="32"/>
        </w:rPr>
        <w:t>；教育支出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；科学技术</w:t>
      </w:r>
      <w:r>
        <w:rPr>
          <w:rFonts w:hint="eastAsia" w:ascii="仿宋" w:hAnsi="仿宋" w:eastAsia="仿宋"/>
          <w:bCs/>
          <w:sz w:val="32"/>
          <w:szCs w:val="32"/>
        </w:rPr>
        <w:t>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Cs/>
          <w:sz w:val="32"/>
          <w:szCs w:val="32"/>
        </w:rPr>
        <w:t>文化旅游体育与传媒支出</w:t>
      </w:r>
      <w:r>
        <w:rPr>
          <w:rFonts w:ascii="仿宋" w:hAnsi="仿宋" w:eastAsia="仿宋"/>
          <w:bCs/>
          <w:sz w:val="32"/>
          <w:szCs w:val="32"/>
        </w:rPr>
        <w:t>0</w:t>
      </w:r>
      <w:r>
        <w:rPr>
          <w:rFonts w:hint="eastAsia" w:ascii="仿宋" w:hAnsi="仿宋" w:eastAsia="仿宋"/>
          <w:bCs/>
          <w:sz w:val="32"/>
          <w:szCs w:val="32"/>
        </w:rPr>
        <w:t>万元，占</w:t>
      </w:r>
      <w:r>
        <w:rPr>
          <w:rFonts w:ascii="仿宋" w:hAnsi="仿宋" w:eastAsia="仿宋"/>
          <w:bCs/>
          <w:sz w:val="32"/>
          <w:szCs w:val="32"/>
        </w:rPr>
        <w:t>0%</w:t>
      </w:r>
      <w:r>
        <w:rPr>
          <w:rFonts w:hint="eastAsia" w:ascii="仿宋" w:hAnsi="仿宋" w:eastAsia="仿宋"/>
          <w:sz w:val="32"/>
          <w:szCs w:val="32"/>
        </w:rPr>
        <w:t>；社会保障和就业</w:t>
      </w:r>
      <w:r>
        <w:rPr>
          <w:rFonts w:hint="eastAsia" w:ascii="仿宋" w:hAnsi="仿宋" w:eastAsia="仿宋"/>
          <w:bCs/>
          <w:sz w:val="32"/>
          <w:szCs w:val="32"/>
        </w:rPr>
        <w:t>支出</w:t>
      </w:r>
      <w:r>
        <w:rPr>
          <w:rFonts w:ascii="仿宋" w:hAnsi="仿宋" w:eastAsia="仿宋"/>
          <w:sz w:val="32"/>
          <w:szCs w:val="32"/>
        </w:rPr>
        <w:t>15.46</w:t>
      </w:r>
      <w:r>
        <w:rPr>
          <w:rFonts w:hint="eastAsia" w:ascii="仿宋" w:hAnsi="仿宋" w:eastAsia="仿宋"/>
          <w:sz w:val="32"/>
          <w:szCs w:val="32"/>
        </w:rPr>
        <w:t>万元，占</w:t>
      </w:r>
      <w:r>
        <w:rPr>
          <w:rFonts w:ascii="仿宋" w:hAnsi="仿宋" w:eastAsia="仿宋"/>
          <w:sz w:val="32"/>
          <w:szCs w:val="32"/>
        </w:rPr>
        <w:t>8.56%</w:t>
      </w:r>
      <w:r>
        <w:rPr>
          <w:rFonts w:hint="eastAsia" w:ascii="仿宋" w:hAnsi="仿宋" w:eastAsia="仿宋"/>
          <w:sz w:val="32"/>
          <w:szCs w:val="32"/>
        </w:rPr>
        <w:t>；</w:t>
      </w:r>
      <w:r>
        <w:rPr>
          <w:rFonts w:hint="eastAsia" w:ascii="仿宋" w:hAnsi="仿宋" w:eastAsia="仿宋"/>
          <w:bCs/>
          <w:sz w:val="32"/>
          <w:szCs w:val="32"/>
        </w:rPr>
        <w:t>卫生健康支出</w:t>
      </w:r>
      <w:r>
        <w:rPr>
          <w:rFonts w:ascii="仿宋" w:hAnsi="仿宋" w:eastAsia="仿宋"/>
          <w:sz w:val="32"/>
          <w:szCs w:val="32"/>
        </w:rPr>
        <w:t>5.49</w:t>
      </w:r>
      <w:r>
        <w:rPr>
          <w:rFonts w:hint="eastAsia" w:ascii="仿宋" w:hAnsi="仿宋" w:eastAsia="仿宋"/>
          <w:sz w:val="32"/>
          <w:szCs w:val="32"/>
        </w:rPr>
        <w:t>万元，占</w:t>
      </w:r>
      <w:r>
        <w:rPr>
          <w:rFonts w:ascii="仿宋" w:hAnsi="仿宋" w:eastAsia="仿宋"/>
          <w:sz w:val="32"/>
          <w:szCs w:val="32"/>
        </w:rPr>
        <w:t>3.04%</w:t>
      </w:r>
      <w:r>
        <w:rPr>
          <w:rFonts w:hint="eastAsia" w:ascii="仿宋" w:hAnsi="仿宋" w:eastAsia="仿宋"/>
          <w:sz w:val="32"/>
          <w:szCs w:val="32"/>
        </w:rPr>
        <w:t>；</w:t>
      </w:r>
      <w:r>
        <w:rPr>
          <w:rFonts w:hint="eastAsia" w:ascii="仿宋" w:hAnsi="仿宋" w:eastAsia="仿宋"/>
          <w:bCs/>
          <w:sz w:val="32"/>
          <w:szCs w:val="32"/>
        </w:rPr>
        <w:t>住房保障支出</w:t>
      </w:r>
      <w:r>
        <w:rPr>
          <w:rFonts w:ascii="仿宋" w:hAnsi="仿宋" w:eastAsia="仿宋"/>
          <w:sz w:val="32"/>
          <w:szCs w:val="32"/>
        </w:rPr>
        <w:t>12.48</w:t>
      </w:r>
      <w:r>
        <w:rPr>
          <w:rFonts w:hint="eastAsia" w:ascii="仿宋" w:hAnsi="仿宋" w:eastAsia="仿宋"/>
          <w:sz w:val="32"/>
          <w:szCs w:val="32"/>
        </w:rPr>
        <w:t>万元，占</w:t>
      </w:r>
      <w:r>
        <w:rPr>
          <w:rFonts w:ascii="仿宋" w:hAnsi="仿宋" w:eastAsia="仿宋"/>
          <w:sz w:val="32"/>
          <w:szCs w:val="32"/>
        </w:rPr>
        <w:t>6.91%</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pStyle w:val="2"/>
        <w:spacing w:before="93"/>
      </w:pPr>
      <w:r>
        <w:drawing>
          <wp:inline distT="0" distB="0" distL="0" distR="0">
            <wp:extent cx="5581650" cy="42525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581650" cy="4252595"/>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0" w:firstLineChars="200"/>
        <w:outlineLvl w:val="2"/>
        <w:rPr>
          <w:rFonts w:ascii="仿宋" w:hAnsi="仿宋" w:eastAsia="仿宋"/>
          <w:b/>
          <w:sz w:val="32"/>
          <w:szCs w:val="32"/>
        </w:rPr>
      </w:pPr>
      <w:bookmarkStart w:id="31" w:name="_Toc15377444"/>
      <w:bookmarkStart w:id="32" w:name="_Toc15378460"/>
      <w:bookmarkStart w:id="33" w:name="_Toc15377213"/>
      <w:r>
        <w:rPr>
          <w:rFonts w:hint="eastAsia" w:ascii="仿宋" w:hAnsi="仿宋" w:eastAsia="仿宋"/>
          <w:sz w:val="32"/>
          <w:szCs w:val="32"/>
        </w:rPr>
        <w:t>2022年一般公共预算支出决算数为</w:t>
      </w:r>
      <w:r>
        <w:rPr>
          <w:rFonts w:ascii="仿宋" w:hAnsi="仿宋" w:eastAsia="仿宋"/>
          <w:sz w:val="32"/>
          <w:szCs w:val="32"/>
        </w:rPr>
        <w:t>180.51</w:t>
      </w:r>
      <w:r>
        <w:rPr>
          <w:rFonts w:hint="eastAsia" w:ascii="仿宋" w:hAnsi="仿宋" w:eastAsia="仿宋"/>
          <w:sz w:val="32"/>
          <w:szCs w:val="32"/>
        </w:rPr>
        <w:t>，</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。其中：</w:t>
      </w:r>
      <w:bookmarkEnd w:id="31"/>
      <w:bookmarkEnd w:id="32"/>
      <w:bookmarkEnd w:id="33"/>
    </w:p>
    <w:p>
      <w:pPr>
        <w:spacing w:line="600" w:lineRule="exact"/>
        <w:ind w:firstLine="640" w:firstLineChars="200"/>
        <w:rPr>
          <w:rStyle w:val="18"/>
          <w:rFonts w:ascii="仿宋" w:hAnsi="仿宋" w:eastAsia="仿宋"/>
          <w:b w:val="0"/>
          <w:bCs/>
          <w:sz w:val="32"/>
          <w:szCs w:val="32"/>
        </w:rPr>
      </w:pPr>
      <w:r>
        <w:rPr>
          <w:rStyle w:val="18"/>
          <w:rFonts w:ascii="仿宋" w:hAnsi="仿宋" w:eastAsia="仿宋"/>
          <w:b w:val="0"/>
          <w:bCs/>
          <w:sz w:val="32"/>
          <w:szCs w:val="32"/>
        </w:rPr>
        <w:t>1.</w:t>
      </w:r>
      <w:r>
        <w:rPr>
          <w:rFonts w:hint="eastAsia"/>
        </w:rPr>
        <w:t xml:space="preserve"> </w:t>
      </w:r>
      <w:r>
        <w:rPr>
          <w:rStyle w:val="18"/>
          <w:rFonts w:hint="eastAsia" w:ascii="仿宋" w:hAnsi="仿宋" w:eastAsia="仿宋"/>
          <w:b w:val="0"/>
          <w:bCs/>
          <w:sz w:val="32"/>
          <w:szCs w:val="32"/>
        </w:rPr>
        <w:t>一般公共服务（类）群众团体事务（款）行政运行（项）:支出决算数为113.77万元，完成预算100%，决算数与预算数持平。</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2.一般公共服务（类）群众团体事务（款）一般行政管理事务（项）:支出决算数为24.</w:t>
      </w:r>
      <w:r>
        <w:rPr>
          <w:rStyle w:val="18"/>
          <w:rFonts w:ascii="仿宋" w:hAnsi="仿宋" w:eastAsia="仿宋"/>
          <w:b w:val="0"/>
          <w:bCs/>
          <w:sz w:val="32"/>
          <w:szCs w:val="32"/>
        </w:rPr>
        <w:t>1</w:t>
      </w:r>
      <w:r>
        <w:rPr>
          <w:rStyle w:val="18"/>
          <w:rFonts w:hint="eastAsia" w:ascii="仿宋" w:hAnsi="仿宋" w:eastAsia="仿宋"/>
          <w:b w:val="0"/>
          <w:bCs/>
          <w:sz w:val="32"/>
          <w:szCs w:val="32"/>
        </w:rPr>
        <w:t>万元，完成预算100%，决算与预算数持平。</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3.一般公共服务（类）群众团体事务（款）事业运行（项）:支出决算数为9.21万元，完成预算100%，决算与预算数持平。</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4．教育（类）***（款）***（项）:本年无此项业务发生额。</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5．科学技术（类）***（款）***（项）:本年无此项业务发生。</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6．文化体育与传媒（类）***（款）***（项）:本年无此项业务发生。</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7．社会保障和就业（类）行政事业单位养老支出（款）机关事业单位基本养老保险缴费支出（项）:支出决算数为9.34万元，完成预算100%，决算数与预算数持平。</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8.社会保障和就业（类）行政事业单位养老支出（款）机关事业单位基本职业年金缴费支出（项）:支出决算数为4.4</w:t>
      </w:r>
      <w:r>
        <w:rPr>
          <w:rStyle w:val="18"/>
          <w:rFonts w:ascii="仿宋" w:hAnsi="仿宋" w:eastAsia="仿宋"/>
          <w:b w:val="0"/>
          <w:bCs/>
          <w:sz w:val="32"/>
          <w:szCs w:val="32"/>
        </w:rPr>
        <w:t>5</w:t>
      </w:r>
      <w:r>
        <w:rPr>
          <w:rStyle w:val="18"/>
          <w:rFonts w:hint="eastAsia" w:ascii="仿宋" w:hAnsi="仿宋" w:eastAsia="仿宋"/>
          <w:b w:val="0"/>
          <w:bCs/>
          <w:sz w:val="32"/>
          <w:szCs w:val="32"/>
        </w:rPr>
        <w:t>万元，完成预算100%，决算数与预算数持平。</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9.社会保障和就业（类）抚恤（款）其他优抚支出（项）:支出决算数为1.21万元，完成预算100%，决算数与预算数持平。</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10.社会保障和就业（类）其他社会保障和就业支出（款）其他社会保障和就业支出（项）:支出决算数为0.4</w:t>
      </w:r>
      <w:r>
        <w:rPr>
          <w:rStyle w:val="18"/>
          <w:rFonts w:ascii="仿宋" w:hAnsi="仿宋" w:eastAsia="仿宋"/>
          <w:b w:val="0"/>
          <w:bCs/>
          <w:sz w:val="32"/>
          <w:szCs w:val="32"/>
        </w:rPr>
        <w:t>6</w:t>
      </w:r>
      <w:r>
        <w:rPr>
          <w:rStyle w:val="18"/>
          <w:rFonts w:hint="eastAsia" w:ascii="仿宋" w:hAnsi="仿宋" w:eastAsia="仿宋"/>
          <w:b w:val="0"/>
          <w:bCs/>
          <w:sz w:val="32"/>
          <w:szCs w:val="32"/>
        </w:rPr>
        <w:t>万元，完成预算100%，决算数与预算数持平。</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11. 卫生健康（类）行政事业单位医疗（款）行政单位医疗（项）:支出决算数为3.2</w:t>
      </w:r>
      <w:r>
        <w:rPr>
          <w:rStyle w:val="18"/>
          <w:rFonts w:ascii="仿宋" w:hAnsi="仿宋" w:eastAsia="仿宋"/>
          <w:b w:val="0"/>
          <w:bCs/>
          <w:sz w:val="32"/>
          <w:szCs w:val="32"/>
        </w:rPr>
        <w:t>1</w:t>
      </w:r>
      <w:r>
        <w:rPr>
          <w:rStyle w:val="18"/>
          <w:rFonts w:hint="eastAsia" w:ascii="仿宋" w:hAnsi="仿宋" w:eastAsia="仿宋"/>
          <w:b w:val="0"/>
          <w:bCs/>
          <w:sz w:val="32"/>
          <w:szCs w:val="32"/>
        </w:rPr>
        <w:t>万元，完成预算100%，决算数与预算数持平。</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12.卫生健康（类）行政事业单位医疗（款）事业单位医疗（项）:支出决算数为0.33万元，完成预算100%，决算数与预算数持平。</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13.卫生健康（类）行政事业单位医疗（款）公务员医疗补助（项）:支出决算数为1.95万元，完成预算100%，决算数与预算数持平。</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14.住房保障支出（类）住房改革支出（款）住房公积金（项）:支出决算数为12.48万元, 完成预算100%，决算数与预算数持平。</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0"/>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156.41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131.59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24.82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30"/>
          <w:rFonts w:ascii="黑体" w:hAnsi="黑体" w:eastAsia="黑体"/>
          <w:b w:val="0"/>
        </w:rPr>
      </w:pPr>
      <w:bookmarkStart w:id="36" w:name="_Toc15396609"/>
      <w:bookmarkStart w:id="37"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_GB2312" w:hAnsi="仿宋_GB2312" w:eastAsia="仿宋_GB2312" w:cs="仿宋_GB2312"/>
          <w:sz w:val="32"/>
          <w:szCs w:val="32"/>
        </w:rPr>
        <w:t>2.97</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，较上年增加</w:t>
      </w:r>
      <w:r>
        <w:rPr>
          <w:rFonts w:ascii="仿宋" w:hAnsi="仿宋" w:eastAsia="仿宋"/>
          <w:sz w:val="32"/>
          <w:szCs w:val="32"/>
        </w:rPr>
        <w:t>0.11</w:t>
      </w:r>
      <w:r>
        <w:rPr>
          <w:rFonts w:hint="eastAsia" w:ascii="仿宋" w:hAnsi="仿宋" w:eastAsia="仿宋"/>
          <w:sz w:val="32"/>
          <w:szCs w:val="32"/>
        </w:rPr>
        <w:t>万元，增长</w:t>
      </w:r>
      <w:r>
        <w:rPr>
          <w:rFonts w:ascii="仿宋" w:hAnsi="仿宋" w:eastAsia="仿宋"/>
          <w:sz w:val="32"/>
          <w:szCs w:val="32"/>
        </w:rPr>
        <w:t>3.48</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2.97</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pPr>
        <w:pStyle w:val="2"/>
        <w:spacing w:before="93"/>
      </w:pPr>
      <w:r>
        <w:drawing>
          <wp:inline distT="0" distB="0" distL="0" distR="0">
            <wp:extent cx="5638800" cy="4373245"/>
            <wp:effectExtent l="0" t="0" r="0"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638800" cy="4373245"/>
                    </a:xfrm>
                    <a:prstGeom prst="rect">
                      <a:avLst/>
                    </a:prstGeom>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sz w:val="32"/>
          <w:szCs w:val="32"/>
        </w:rPr>
        <w:t>1.</w:t>
      </w:r>
      <w:r>
        <w:rPr>
          <w:rFonts w:hint="eastAsia" w:ascii="仿宋_GB2312" w:eastAsia="仿宋_GB2312"/>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人。本年无此项业务发生。</w:t>
      </w:r>
    </w:p>
    <w:p>
      <w:pPr>
        <w:spacing w:line="600" w:lineRule="exact"/>
        <w:ind w:firstLine="640"/>
        <w:rPr>
          <w:rFonts w:ascii="仿宋_GB2312" w:eastAsia="仿宋_GB2312"/>
          <w:b/>
          <w:sz w:val="32"/>
          <w:szCs w:val="32"/>
        </w:rPr>
      </w:pPr>
      <w:r>
        <w:rPr>
          <w:rFonts w:ascii="仿宋_GB2312" w:eastAsia="仿宋_GB2312"/>
          <w:sz w:val="32"/>
          <w:szCs w:val="32"/>
        </w:rPr>
        <w:t>2.</w:t>
      </w:r>
      <w:r>
        <w:rPr>
          <w:rFonts w:hint="eastAsia" w:ascii="仿宋_GB2312" w:eastAsia="仿宋_GB2312"/>
          <w:sz w:val="32"/>
          <w:szCs w:val="32"/>
        </w:rPr>
        <w:t>公务用车购置及运行维护费支出</w:t>
      </w:r>
      <w:r>
        <w:rPr>
          <w:rFonts w:ascii="仿宋_GB2312" w:eastAsia="仿宋_GB2312"/>
          <w:sz w:val="32"/>
          <w:szCs w:val="32"/>
        </w:rPr>
        <w:t>2.97</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0.11</w:t>
      </w:r>
      <w:r>
        <w:rPr>
          <w:rFonts w:hint="eastAsia" w:ascii="仿宋_GB2312" w:eastAsia="仿宋_GB2312"/>
          <w:sz w:val="32"/>
          <w:szCs w:val="32"/>
        </w:rPr>
        <w:t>万元，增长</w:t>
      </w:r>
      <w:r>
        <w:rPr>
          <w:rFonts w:ascii="仿宋_GB2312" w:eastAsia="仿宋_GB2312"/>
          <w:sz w:val="32"/>
          <w:szCs w:val="32"/>
        </w:rPr>
        <w:t>3.48%</w:t>
      </w:r>
      <w:r>
        <w:rPr>
          <w:rFonts w:hint="eastAsia" w:ascii="仿宋_GB2312" w:eastAsia="仿宋_GB2312"/>
          <w:sz w:val="32"/>
          <w:szCs w:val="32"/>
        </w:rPr>
        <w:t>。主要原因是燃油价格大幅度的增涨。</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1</w:t>
      </w:r>
      <w:r>
        <w:rPr>
          <w:rFonts w:hint="eastAsia" w:ascii="仿宋_GB2312" w:eastAsia="仿宋_GB2312"/>
          <w:sz w:val="32"/>
          <w:szCs w:val="32"/>
        </w:rPr>
        <w:t>辆，其中：轿车</w:t>
      </w:r>
      <w:r>
        <w:rPr>
          <w:rFonts w:ascii="仿宋_GB2312" w:eastAsia="仿宋_GB2312"/>
          <w:sz w:val="32"/>
          <w:szCs w:val="32"/>
        </w:rPr>
        <w:t>1</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 w:hAnsi="仿宋" w:eastAsia="仿宋"/>
          <w:sz w:val="32"/>
          <w:szCs w:val="32"/>
        </w:rPr>
        <w:t>公务用车运行维护费支出</w:t>
      </w:r>
      <w:r>
        <w:rPr>
          <w:rFonts w:ascii="仿宋" w:hAnsi="仿宋" w:eastAsia="仿宋"/>
          <w:sz w:val="32"/>
          <w:szCs w:val="32"/>
        </w:rPr>
        <w:t>2.97</w:t>
      </w:r>
      <w:r>
        <w:rPr>
          <w:rFonts w:hint="eastAsia" w:ascii="仿宋_GB2312" w:eastAsia="仿宋_GB2312"/>
          <w:sz w:val="32"/>
          <w:szCs w:val="32"/>
        </w:rPr>
        <w:t>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color w:val="000000"/>
          <w:sz w:val="32"/>
          <w:szCs w:val="32"/>
        </w:rPr>
        <w:t>妇女创业就业培训、妇儿工委、妇儿活动中心</w:t>
      </w:r>
      <w:r>
        <w:rPr>
          <w:rFonts w:hint="eastAsia" w:ascii="仿宋_GB2312" w:hAnsi="仿宋_GB2312" w:eastAsia="仿宋_GB2312" w:cs="仿宋_GB2312"/>
          <w:sz w:val="32"/>
          <w:szCs w:val="32"/>
        </w:rPr>
        <w:t>等所需的公务用车燃料费、维修费、过路过桥费、保险费等支出。</w:t>
      </w:r>
    </w:p>
    <w:p>
      <w:pPr>
        <w:spacing w:line="600" w:lineRule="exact"/>
        <w:ind w:firstLine="64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hAnsi="仿宋_GB2312" w:eastAsia="仿宋_GB2312" w:cs="仿宋_GB2312"/>
          <w:sz w:val="32"/>
          <w:szCs w:val="32"/>
        </w:rPr>
        <w:t>公务接待费支出决算比2021年减少0.14万元，下降100%</w:t>
      </w:r>
      <w:r>
        <w:rPr>
          <w:rFonts w:hint="eastAsia" w:ascii="仿宋_GB2312" w:eastAsia="仿宋_GB2312"/>
          <w:sz w:val="32"/>
          <w:szCs w:val="32"/>
        </w:rPr>
        <w:t>。</w:t>
      </w:r>
      <w:r>
        <w:rPr>
          <w:rFonts w:hint="eastAsia" w:ascii="仿宋_GB2312" w:eastAsia="仿宋_GB2312"/>
          <w:color w:val="000000" w:themeColor="text1"/>
          <w:sz w:val="32"/>
          <w:szCs w:val="32"/>
          <w:highlight w:val="none"/>
          <w14:textFill>
            <w14:solidFill>
              <w14:schemeClr w14:val="tx1"/>
            </w14:solidFill>
          </w14:textFill>
        </w:rPr>
        <w:t>主要原因是</w:t>
      </w:r>
      <w:r>
        <w:rPr>
          <w:rFonts w:hint="eastAsia" w:ascii="仿宋_GB2312" w:eastAsia="仿宋_GB2312"/>
          <w:color w:val="000000" w:themeColor="text1"/>
          <w:sz w:val="32"/>
          <w:szCs w:val="32"/>
          <w:highlight w:val="none"/>
          <w:lang w:val="en-US" w:eastAsia="zh-CN"/>
          <w14:textFill>
            <w14:solidFill>
              <w14:schemeClr w14:val="tx1"/>
            </w14:solidFill>
          </w14:textFill>
        </w:rPr>
        <w:t>2022年无公务接待</w:t>
      </w:r>
      <w:r>
        <w:rPr>
          <w:rFonts w:hint="eastAsia" w:ascii="仿宋_GB2312" w:eastAsia="仿宋_GB2312"/>
          <w:color w:val="000000" w:themeColor="text1"/>
          <w:sz w:val="32"/>
          <w:szCs w:val="32"/>
          <w:highlight w:val="none"/>
          <w14:textFill>
            <w14:solidFill>
              <w14:schemeClr w14:val="tx1"/>
            </w14:solidFill>
          </w14:textFill>
        </w:rPr>
        <w:t>。</w:t>
      </w:r>
    </w:p>
    <w:p>
      <w:pPr>
        <w:spacing w:line="600" w:lineRule="exact"/>
        <w:ind w:firstLine="640"/>
        <w:rPr>
          <w:rFonts w:ascii="仿宋_GB2312" w:eastAsia="仿宋_GB2312"/>
          <w:sz w:val="32"/>
          <w:szCs w:val="32"/>
        </w:rPr>
      </w:pPr>
      <w:r>
        <w:rPr>
          <w:rFonts w:hint="eastAsia" w:ascii="仿宋" w:hAnsi="仿宋" w:eastAsia="仿宋"/>
          <w:sz w:val="32"/>
          <w:szCs w:val="32"/>
        </w:rPr>
        <w:t>国内公务接待支出</w:t>
      </w:r>
      <w:r>
        <w:rPr>
          <w:rFonts w:ascii="仿宋" w:hAnsi="仿宋" w:eastAsia="仿宋"/>
          <w:sz w:val="32"/>
          <w:szCs w:val="32"/>
        </w:rPr>
        <w:t>0</w:t>
      </w:r>
      <w:r>
        <w:rPr>
          <w:rFonts w:hint="eastAsia" w:ascii="仿宋_GB2312" w:eastAsia="仿宋_GB2312"/>
          <w:sz w:val="32"/>
          <w:szCs w:val="32"/>
        </w:rPr>
        <w:t>万元。国内公务接待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人次（不包括陪同人员），共计支出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外事接待支出</w:t>
      </w:r>
      <w:r>
        <w:rPr>
          <w:rFonts w:ascii="仿宋" w:hAnsi="仿宋" w:eastAsia="仿宋"/>
          <w:sz w:val="32"/>
          <w:szCs w:val="32"/>
        </w:rPr>
        <w:t>0</w:t>
      </w:r>
      <w:r>
        <w:rPr>
          <w:rFonts w:hint="eastAsia" w:ascii="仿宋_GB2312" w:eastAsia="仿宋_GB2312"/>
          <w:sz w:val="32"/>
          <w:szCs w:val="32"/>
        </w:rPr>
        <w:t>万元。外事接待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人次（不包括陪同人员），共计支出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3.2</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30"/>
          <w:rFonts w:ascii="黑体" w:hAnsi="黑体" w:eastAsia="黑体"/>
          <w:b w:val="0"/>
        </w:rPr>
      </w:pPr>
      <w:bookmarkStart w:id="42" w:name="_Toc15377219"/>
      <w:bookmarkStart w:id="43" w:name="_Toc15396611"/>
      <w:r>
        <w:rPr>
          <w:rStyle w:val="30"/>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30"/>
          <w:rFonts w:ascii="黑体" w:hAnsi="黑体" w:eastAsia="黑体"/>
          <w:b w:val="0"/>
        </w:rPr>
      </w:pPr>
      <w:bookmarkStart w:id="44" w:name="_Toc15377221"/>
      <w:bookmarkStart w:id="45" w:name="_Toc15396612"/>
      <w:r>
        <w:rPr>
          <w:rStyle w:val="30"/>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22年，峨眉山市妇女联合会机关运行经费支出</w:t>
      </w:r>
      <w:r>
        <w:rPr>
          <w:rFonts w:hint="eastAsia" w:ascii="仿宋_GB2312" w:hAnsi="仿宋_GB2312" w:eastAsia="仿宋_GB2312" w:cs="仿宋_GB2312"/>
          <w:sz w:val="32"/>
          <w:szCs w:val="32"/>
        </w:rPr>
        <w:t>24.82万元，比2021年增加12.34万元，增长98.87%。主要原因是</w:t>
      </w:r>
      <w:r>
        <w:rPr>
          <w:rFonts w:hint="eastAsia" w:ascii="仿宋_GB2312" w:hAnsi="微软雅黑" w:eastAsia="仿宋_GB2312" w:cs="仿宋_GB2312"/>
          <w:color w:val="000000"/>
          <w:kern w:val="0"/>
          <w:sz w:val="32"/>
          <w:shd w:val="clear" w:color="auto" w:fill="FFFFFF"/>
          <w:lang w:eastAsia="zh-CN"/>
        </w:rPr>
        <w:t>工</w:t>
      </w:r>
      <w:r>
        <w:rPr>
          <w:rFonts w:hint="eastAsia" w:ascii="仿宋_GB2312" w:hAnsi="仿宋_GB2312" w:eastAsia="仿宋_GB2312" w:cs="仿宋_GB2312"/>
          <w:sz w:val="32"/>
          <w:szCs w:val="32"/>
        </w:rPr>
        <w:t>资</w:t>
      </w:r>
      <w:r>
        <w:rPr>
          <w:rFonts w:hint="eastAsia" w:ascii="仿宋_GB2312" w:hAnsi="仿宋_GB2312" w:eastAsia="仿宋_GB2312" w:cs="仿宋_GB2312"/>
          <w:sz w:val="32"/>
          <w:szCs w:val="32"/>
          <w:lang w:eastAsia="zh-CN"/>
        </w:rPr>
        <w:t>绩效调整和主要工作增加等</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22年，峨眉山市妇女联合会政府采购支出总额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 xml:space="preserve"> 0</w:t>
      </w:r>
      <w:bookmarkStart w:id="67" w:name="_GoBack"/>
      <w:bookmarkEnd w:id="67"/>
      <w:r>
        <w:rPr>
          <w:rFonts w:ascii="仿宋_GB2312" w:eastAsia="仿宋_GB2312"/>
          <w:sz w:val="32"/>
          <w:szCs w:val="32"/>
        </w:rPr>
        <w:t>%</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日，峨眉山市妇女联合会共有车辆</w:t>
      </w:r>
      <w:r>
        <w:rPr>
          <w:rFonts w:ascii="仿宋_GB2312" w:eastAsia="仿宋_GB2312"/>
          <w:sz w:val="32"/>
          <w:szCs w:val="32"/>
        </w:rPr>
        <w:t>1</w:t>
      </w:r>
      <w:r>
        <w:rPr>
          <w:rFonts w:hint="eastAsia" w:ascii="仿宋_GB2312" w:eastAsia="仿宋_GB2312"/>
          <w:sz w:val="32"/>
          <w:szCs w:val="32"/>
        </w:rPr>
        <w:t>辆，其中：主要领导干部用车0辆、机要通信用车0辆、应急保障用车0辆、其他用车1辆其他用车主要是用于日常机关正常运行。单价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 “妇女儿童活动中心经费”、“ 妇女代表大会经费”、“ 为建档立卡适龄贫困妇女购买女性安康保险”、“妇女儿童专项经费”等</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社会保险基金预算以及资本资产、债券资金等全面开展绩效自评，形成峨眉山市妇女联合会部门整体绩效自评报告。其中：峨眉山市妇女联合会部门整体（含部门预算项目）绩效自评得分为</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分，绩效自评综述：绩效管理情况为优秀，执行资金预算化管理，积极推进部门整体支出、项目支出绩效管理，通过资金预算编制、调整、执行、控制、绩效评价，增强财政资金投入、产出效能，达到了年初设定的各项绩效目标。绩效自评报告详见附件。</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9"/>
          <w:rFonts w:hint="eastAsia" w:ascii="黑体" w:hAnsi="黑体" w:eastAsia="黑体"/>
          <w:b w:val="0"/>
        </w:rPr>
        <w:t>词解释</w:t>
      </w:r>
      <w:bookmarkEnd w:id="49"/>
      <w:bookmarkEnd w:id="50"/>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rPr>
        <w:t xml:space="preserve"> </w:t>
      </w:r>
      <w:r>
        <w:rPr>
          <w:rFonts w:hint="eastAsia" w:ascii="仿宋_GB2312" w:eastAsia="仿宋_GB2312"/>
          <w:sz w:val="32"/>
          <w:szCs w:val="32"/>
        </w:rPr>
        <w:t>一般公共服务（类）群众团体事务（款）行政运行（项）：反映行政单位（包括实行公务员管理的事业单位）的基本支出。</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一般公共服务（类）群众团体事务（款）一般行政管理事务（项）：指反映行政单位（包括实行公务员管理的事业单位）未单独设置项级科目的其他项目支出。</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社会保障和就业（类）行政事业单位养老支出（款）机关事业单位基本养老保险缴费支出（项）：是指反映机关事业单位实施养老保险制度由单位缴纳的基本养老保险支出。</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社会保障和就业（类）行政事业单位养老支出（款）机关事业单位职业年金缴费支出（项）：是指反映机关事业单位实施养老保险制度由单位缴纳的职业年金支出。</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社会保障和就业（类）抚恤（款）其他优抚支出（项）：是指反映除列明的抚恤支出以外的其他用于优抚方面的支出。</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社会保障和就业（类）其他社会保障和就业支出（款）其他社会保障和就业支出（项）：反映除上述项目以外其他用于社会保障和就业方面的支出。</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卫生健康（类）行政事业单位医疗（款）行政单位医疗（项）:是指反映财政部门集中安排的行政单位（包括实行公务员管理的事业单位）基本医疗保险缴费经费，未参加医疗保险的行政单位的公费医疗经费，按国家规定享受离退休人员、红军老战士待遇人员的医疗经费。</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卫生健康（类）行政事业单位医疗（款）事业单位医疗（项）:是指反映财政部门安排的事业单位基本医疗保险缴费经费，按国家规定享受离退休人员待遇的医疗经费。</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7</w:t>
      </w:r>
      <w:r>
        <w:rPr>
          <w:rFonts w:hint="eastAsia" w:ascii="仿宋_GB2312" w:eastAsia="仿宋_GB2312"/>
          <w:sz w:val="32"/>
          <w:szCs w:val="32"/>
        </w:rPr>
        <w:t>.卫生健康（类）行政事业单位医疗（款）公务员医疗补助（项）:是指反映财政部门安排的公务员医疗补助经费。</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8.</w:t>
      </w:r>
      <w:r>
        <w:rPr>
          <w:rFonts w:hint="eastAsia" w:ascii="仿宋_GB2312" w:eastAsia="仿宋_GB2312"/>
          <w:sz w:val="32"/>
          <w:szCs w:val="32"/>
        </w:rPr>
        <w:t>住房保障支出（类）住房改革支出（款）住房公积金（项）:是指反映行政事业单位按人力资源和社会保障部、财政部规定的基本工资和津贴补贴以及规定比例为职工缴纳的住房公积金。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22.</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23.</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cs="黑体"/>
          <w:color w:val="auto"/>
          <w:sz w:val="32"/>
          <w:szCs w:val="32"/>
        </w:rPr>
      </w:pPr>
    </w:p>
    <w:p>
      <w:pPr>
        <w:ind w:firstLine="642"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center"/>
        <w:outlineLvl w:val="0"/>
        <w:rPr>
          <w:rStyle w:val="29"/>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29"/>
          <w:rFonts w:hint="eastAsia" w:ascii="黑体" w:hAnsi="黑体" w:eastAsia="黑体"/>
          <w:b w:val="0"/>
        </w:rPr>
        <w:t>四部分 附件</w:t>
      </w:r>
      <w:bookmarkEnd w:id="51"/>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附件1</w:t>
      </w:r>
    </w:p>
    <w:p>
      <w:pPr>
        <w:widowControl/>
        <w:spacing w:line="560" w:lineRule="exact"/>
        <w:contextualSpacing/>
        <w:jc w:val="center"/>
        <w:rPr>
          <w:rFonts w:ascii="仿宋_GB2312" w:hAnsi="仿宋_GB2312" w:eastAsia="仿宋_GB2312" w:cs="仿宋_GB2312"/>
          <w:sz w:val="44"/>
          <w:szCs w:val="44"/>
          <w:shd w:val="clear" w:color="auto" w:fill="FFFFFF"/>
        </w:rPr>
      </w:pPr>
      <w:r>
        <w:rPr>
          <w:rFonts w:hint="eastAsia" w:ascii="宋体" w:hAnsi="宋体"/>
          <w:b/>
          <w:sz w:val="44"/>
          <w:szCs w:val="44"/>
          <w:shd w:val="clear" w:color="auto" w:fill="FFFFFF"/>
        </w:rPr>
        <w:t>202年峨眉山市妇女联合会部门整体绩效评价报告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（一）机构组成。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Cs/>
          <w:kern w:val="0"/>
          <w:sz w:val="32"/>
          <w:szCs w:val="32"/>
          <w:shd w:val="clear" w:color="auto" w:fill="FFFFFF"/>
          <w:lang w:val="zh-CN"/>
        </w:rPr>
        <w:t>根据中共峨眉山市委办公室《关于印发&lt;峨眉山市妇女联合会机关机构编制方案&gt;的通知》(峨委办〔2001〕52号)，确定了峨眉山市妇女联合会的主要职责，内设机构，人员编制和领导职数。市妇联既是全国妇联的地方组织，也是市委领导下的全市各界妇女的社会群众团体，是党和政府联系妇女群众的桥梁和纽带。</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Cs/>
          <w:kern w:val="0"/>
          <w:sz w:val="32"/>
          <w:szCs w:val="32"/>
          <w:shd w:val="clear" w:color="auto" w:fill="FFFFFF"/>
          <w:lang w:val="zh-CN"/>
        </w:rPr>
      </w:pPr>
      <w:r>
        <w:rPr>
          <w:rFonts w:hint="eastAsia" w:ascii="仿宋_GB2312" w:hAnsi="仿宋_GB2312" w:eastAsia="仿宋_GB2312" w:cs="仿宋_GB2312"/>
          <w:bCs/>
          <w:kern w:val="0"/>
          <w:sz w:val="32"/>
          <w:szCs w:val="32"/>
          <w:shd w:val="clear" w:color="auto" w:fill="FFFFFF"/>
          <w:lang w:val="zh-CN"/>
        </w:rPr>
        <w:t>1、贯彻执行党的路线、方针、政策；根据《中华全国妇女联合会章程》，结合峨眉山市实际，推进全市妇女工作健康发展，联系团体会员，对全市妇女组织进行业务指导。</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Cs/>
          <w:kern w:val="0"/>
          <w:sz w:val="32"/>
          <w:szCs w:val="32"/>
          <w:shd w:val="clear" w:color="auto" w:fill="FFFFFF"/>
          <w:lang w:val="zh-CN"/>
        </w:rPr>
      </w:pPr>
      <w:r>
        <w:rPr>
          <w:rFonts w:hint="eastAsia" w:ascii="仿宋_GB2312" w:hAnsi="仿宋_GB2312" w:eastAsia="仿宋_GB2312" w:cs="仿宋_GB2312"/>
          <w:bCs/>
          <w:kern w:val="0"/>
          <w:sz w:val="32"/>
          <w:szCs w:val="32"/>
          <w:shd w:val="clear" w:color="auto" w:fill="FFFFFF"/>
          <w:lang w:val="zh-CN"/>
        </w:rPr>
        <w:t>2、参与制定我市妇女儿童发展规划，促进“男女平等”基本国策的实施，推进妇女儿童培训及活动阵地建设。</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Cs/>
          <w:kern w:val="0"/>
          <w:sz w:val="32"/>
          <w:szCs w:val="32"/>
          <w:shd w:val="clear" w:color="auto" w:fill="FFFFFF"/>
          <w:lang w:val="zh-CN"/>
        </w:rPr>
      </w:pPr>
      <w:r>
        <w:rPr>
          <w:rFonts w:hint="eastAsia" w:ascii="仿宋_GB2312" w:hAnsi="仿宋_GB2312" w:eastAsia="仿宋_GB2312" w:cs="仿宋_GB2312"/>
          <w:bCs/>
          <w:kern w:val="0"/>
          <w:sz w:val="32"/>
          <w:szCs w:val="32"/>
          <w:shd w:val="clear" w:color="auto" w:fill="FFFFFF"/>
          <w:lang w:val="zh-CN"/>
        </w:rPr>
        <w:t>3、按照法律和章程，组织和指导各级妇联履行妇联的参与、教育、代表、服务、联谊等社会职能，贯彻执行全国、省、市妇女代表大会的决议，推进全市妇女儿童事业的发展。</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Cs/>
          <w:kern w:val="0"/>
          <w:sz w:val="32"/>
          <w:szCs w:val="32"/>
          <w:shd w:val="clear" w:color="auto" w:fill="FFFFFF"/>
          <w:lang w:val="zh-CN"/>
        </w:rPr>
      </w:pPr>
      <w:r>
        <w:rPr>
          <w:rFonts w:hint="eastAsia" w:ascii="仿宋_GB2312" w:hAnsi="仿宋_GB2312" w:eastAsia="仿宋_GB2312" w:cs="仿宋_GB2312"/>
          <w:bCs/>
          <w:kern w:val="0"/>
          <w:sz w:val="32"/>
          <w:szCs w:val="32"/>
          <w:shd w:val="clear" w:color="auto" w:fill="FFFFFF"/>
          <w:lang w:val="zh-CN"/>
        </w:rPr>
        <w:t>4、代表妇女参与国家和社会事务的民主管理、民主监督，积极向党委推荐优秀妇女干部，促进妇女参政。</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Cs/>
          <w:kern w:val="0"/>
          <w:sz w:val="32"/>
          <w:szCs w:val="32"/>
          <w:shd w:val="clear" w:color="auto" w:fill="FFFFFF"/>
          <w:lang w:val="zh-CN"/>
        </w:rPr>
      </w:pPr>
      <w:r>
        <w:rPr>
          <w:rFonts w:hint="eastAsia" w:ascii="仿宋_GB2312" w:hAnsi="仿宋_GB2312" w:eastAsia="仿宋_GB2312" w:cs="仿宋_GB2312"/>
          <w:bCs/>
          <w:kern w:val="0"/>
          <w:sz w:val="32"/>
          <w:szCs w:val="32"/>
          <w:shd w:val="clear" w:color="auto" w:fill="FFFFFF"/>
          <w:lang w:val="zh-CN"/>
        </w:rPr>
        <w:t>5、调查研究我市妇女儿童的情况、问题，及时向市委、市政府反映，提出意见和建议。参与设计妇女儿童切身利益的有关法律、法规、政策、措施的制定和实施，维护妇女儿童的合法权益。</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Cs/>
          <w:kern w:val="0"/>
          <w:sz w:val="32"/>
          <w:szCs w:val="32"/>
          <w:shd w:val="clear" w:color="auto" w:fill="FFFFFF"/>
          <w:lang w:val="zh-CN"/>
        </w:rPr>
      </w:pPr>
      <w:r>
        <w:rPr>
          <w:rFonts w:hint="eastAsia" w:ascii="仿宋_GB2312" w:hAnsi="仿宋_GB2312" w:eastAsia="仿宋_GB2312" w:cs="仿宋_GB2312"/>
          <w:bCs/>
          <w:kern w:val="0"/>
          <w:sz w:val="32"/>
          <w:szCs w:val="32"/>
          <w:shd w:val="clear" w:color="auto" w:fill="FFFFFF"/>
          <w:lang w:val="zh-CN"/>
        </w:rPr>
        <w:t>6、指导和推进全市农村妇女的“双学双赛”活动、城镇妇女的“巾帼建功”活动和城乡妇女的“五好文明家庭”活动，组织和带领妇女在经济建设和精神文明建设中发挥“半边天”的作用。</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Cs/>
          <w:kern w:val="0"/>
          <w:sz w:val="32"/>
          <w:szCs w:val="32"/>
          <w:shd w:val="clear" w:color="auto" w:fill="FFFFFF"/>
          <w:lang w:val="zh-CN"/>
        </w:rPr>
      </w:pPr>
      <w:r>
        <w:rPr>
          <w:rFonts w:hint="eastAsia" w:ascii="仿宋_GB2312" w:hAnsi="仿宋_GB2312" w:eastAsia="仿宋_GB2312" w:cs="仿宋_GB2312"/>
          <w:bCs/>
          <w:kern w:val="0"/>
          <w:sz w:val="32"/>
          <w:szCs w:val="32"/>
          <w:shd w:val="clear" w:color="auto" w:fill="FFFFFF"/>
          <w:lang w:val="zh-CN"/>
        </w:rPr>
        <w:t>7、指导各级妇联的宣传舆论工作。教育引导妇女增强自尊、自信、自立、自强精神，表彰各行各业先进妇女，开展妇女职业技术培训和多层次的妇女干部培训，全面提高素质，促进妇女人才成长。</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Cs/>
          <w:kern w:val="0"/>
          <w:sz w:val="32"/>
          <w:szCs w:val="32"/>
          <w:shd w:val="clear" w:color="auto" w:fill="FFFFFF"/>
          <w:lang w:val="zh-CN"/>
        </w:rPr>
      </w:pPr>
      <w:r>
        <w:rPr>
          <w:rFonts w:hint="eastAsia" w:ascii="仿宋_GB2312" w:hAnsi="仿宋_GB2312" w:eastAsia="仿宋_GB2312" w:cs="仿宋_GB2312"/>
          <w:bCs/>
          <w:kern w:val="0"/>
          <w:sz w:val="32"/>
          <w:szCs w:val="32"/>
          <w:shd w:val="clear" w:color="auto" w:fill="FFFFFF"/>
          <w:lang w:val="zh-CN"/>
        </w:rPr>
        <w:t>8、为妇女儿童服务。加强与社会各界的联系，协调和推动社会各界为妇女儿童办实事、办好事。</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Cs/>
          <w:kern w:val="0"/>
          <w:sz w:val="32"/>
          <w:szCs w:val="32"/>
          <w:shd w:val="clear" w:color="auto" w:fill="FFFFFF"/>
          <w:lang w:val="zh-CN"/>
        </w:rPr>
      </w:pPr>
      <w:r>
        <w:rPr>
          <w:rFonts w:hint="eastAsia" w:ascii="仿宋_GB2312" w:hAnsi="仿宋_GB2312" w:eastAsia="仿宋_GB2312" w:cs="仿宋_GB2312"/>
          <w:bCs/>
          <w:kern w:val="0"/>
          <w:sz w:val="32"/>
          <w:szCs w:val="32"/>
          <w:shd w:val="clear" w:color="auto" w:fill="FFFFFF"/>
          <w:lang w:val="zh-CN"/>
        </w:rPr>
        <w:t>9、承担市政府妇女儿童工作委员会日常工作，承办市委、市政府交办的其他事项。</w:t>
      </w:r>
    </w:p>
    <w:p>
      <w:pPr>
        <w:widowControl/>
        <w:adjustRightInd w:val="0"/>
        <w:snapToGrid w:val="0"/>
        <w:spacing w:line="560" w:lineRule="exact"/>
        <w:ind w:firstLine="640" w:firstLineChars="200"/>
        <w:contextualSpacing/>
        <w:jc w:val="left"/>
        <w:rPr>
          <w:rFonts w:ascii="仿宋" w:hAnsi="仿宋" w:eastAsia="仿宋" w:cs="楷体_GB2312"/>
          <w:bCs/>
          <w:kern w:val="0"/>
          <w:sz w:val="32"/>
          <w:szCs w:val="32"/>
          <w:shd w:val="clear" w:color="auto" w:fill="FFFFFF"/>
          <w:lang w:val="zh-CN"/>
        </w:rPr>
      </w:pPr>
      <w:r>
        <w:rPr>
          <w:rFonts w:hint="eastAsia" w:ascii="仿宋" w:hAnsi="仿宋" w:eastAsia="仿宋" w:cs="楷体_GB2312"/>
          <w:bCs/>
          <w:kern w:val="0"/>
          <w:sz w:val="32"/>
          <w:szCs w:val="32"/>
          <w:shd w:val="clear" w:color="auto" w:fill="FFFFFF"/>
          <w:lang w:val="zh-CN"/>
        </w:rPr>
        <w:t>（三）人员概况。</w:t>
      </w:r>
    </w:p>
    <w:p>
      <w:pPr>
        <w:pStyle w:val="2"/>
        <w:spacing w:before="93"/>
        <w:ind w:firstLine="600" w:firstLineChars="200"/>
      </w:pPr>
      <w:r>
        <w:rPr>
          <w:rFonts w:hint="eastAsia"/>
        </w:rPr>
        <w:t>妇联参公编制6个，机关工勤编制1个。实有公务员6人，机关工勤1人。妇女儿童活动中心事业编制2个，实有事业人员1人。</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（三）年度主要工作任务。</w:t>
      </w:r>
    </w:p>
    <w:p>
      <w:pPr>
        <w:pStyle w:val="2"/>
        <w:spacing w:before="93"/>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市妇联以习近平新时代中国特色社会主义思想为指导，深入贯彻落实党的二十大精神和省委第十二次党代会、乐山市第八次党代会、峨眉山市第十五次党代会精神，在市委、市政府的坚强领导下，紧紧依靠全市妇女，锐意进取、奋楫笃行，用出色的工作和优异的成绩展现自身价值，贡献巾帼力量。现将有关情况报告如下。</w:t>
      </w:r>
    </w:p>
    <w:p>
      <w:pPr>
        <w:pStyle w:val="2"/>
        <w:spacing w:before="93"/>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实施巾帼引领行动。紧紧围绕“巾帼心向党•喜迎二十大”为主题，开展“百千万巾帼大宣讲”进村、社区、学校、企业、乡镇活动共计13场，覆盖500余位妇女。开展“三八红旗手”“最美家庭”“巾帼文明岗”等评选创建活动，线上线下宣传9次，激励全市广大家庭团结友爱，奋发有为。认真落实意识形态工作责任制。每半年进行一次专题研究，每季度根据信访情况和热点难点问题做好工作研判分析，完善妇女儿童舆情处置工作办法和台账。深化主题党日活动。组织召开主题党日活动11次，利用学习强国、“微峨眉”、“秀娥眉”APP等常态化开展党史教育、时政学习，不断提升妇女工作队伍政治站位。二、实施巾帼建功行动。创新推出“妈妈岗”，促成智业防护服饰有限公司启动“妈妈岗”试点工作，在九里镇、桂花桥镇、胜利街道建设分厂，推动200余位妇女通过“妈妈岗”实现上岗就业；开展“农村女能人”培训共6期，培训妇女300人次，共组织培训12期，培训妇女1000人次。三、实施幸福家庭行动。根据妇女需求和实际情况，在全市各乡镇（街道）创新开展健康知识讲座，邀请国家二级心理师、市妇幼保健院妇产科医师等专家，先后走进符溪、罗目、高桥等乡镇，举办了共计18场培训讲座，向800余位妇女科普了宫颈癌、乳腺癌等疾病的预防和救治，进行了负面情绪排解、家庭与职场的平衡等心理健康教育。四、做好妇女儿童工作。构筑“市-镇（乡）-村（社区）”三级维权网，成立妇女儿童维权工作站170个，婚姻家庭纠纷人民调解委员会1个，调解室15个，妇女维权渠道更加畅通；示范开展“暖冬行动”，慰问困境妇女儿童、留守妇女、农民工等300人；依托元旦、春节、六一等节日，积极开展困难儿童慰问活动，为峨眉三小、双福镇小等4所中小学校送去慰问金4万元，向150余名困境儿童捐赠价值2.5万元的生活学习用品；开展“春蕾计划”募捐，带动全市53个妇联组织、72个机关单位、10个企业的干部职工和社会各界爱心人士开展“春蕾计划”，筹集公益资金24万余元，全部用于我市在校困境女童；深入马边彝族自治县开展妇女儿童慰问帮扶活动，为20名困境妇女送去了慰问金6000元。</w:t>
      </w:r>
    </w:p>
    <w:p>
      <w:pPr>
        <w:pStyle w:val="2"/>
        <w:spacing w:before="93"/>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2022年度被乐山市妇联评为“妇联工作综合评价先进单位”。</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pPr>
        <w:pStyle w:val="2"/>
        <w:spacing w:before="93"/>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进一步加强项目支出执行前、中、后绩效情况，进一步强化绩效目标量化、细化填报工作，合理安排预算。</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1.部门总体收入情况</w:t>
      </w:r>
    </w:p>
    <w:p>
      <w:pPr>
        <w:pStyle w:val="2"/>
        <w:spacing w:before="93"/>
        <w:ind w:firstLine="640" w:firstLineChars="200"/>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2022年财政资金收入总额为183.71万元，全部为财政拨款收入。预算收入为122.91万元；决算收入与预算收入的差距主要为基本支出预算调增72.51万元，项目支出调减预算11.71万元。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2.部门总体支出情况</w:t>
      </w:r>
    </w:p>
    <w:p>
      <w:pPr>
        <w:pStyle w:val="2"/>
        <w:spacing w:before="93"/>
        <w:ind w:firstLine="640" w:firstLineChars="200"/>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2022年财政资金支出总额为183.71万元。其中：基本支出156.41万元，项目支出27.3万元。预算数为122.91万元，其中基本支出 83.91万元，项目支出39万元。基本支出较预算增加72.5万元，主要为人员经费增加年度目标奖。项目支出较预算减少11.7万元。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3.部门总体结转结余情况</w:t>
      </w:r>
    </w:p>
    <w:p>
      <w:pPr>
        <w:pStyle w:val="2"/>
        <w:spacing w:before="93"/>
        <w:ind w:firstLine="640" w:firstLineChars="200"/>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本年年末财政拨款结余结转2.16万元，其中基本支出结转1.93万元，项目支出结转0.23万元。</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1.绩效目标制定</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严格按照市财政部门预算编制通知和有关要求，制定了基本支出、项目支出和整体支出的绩效目标，对重点项目目标进行了量化，并严格按照绩效目标管理实施项目、使用资金，实现了部门整体绩效目标编制完整、合理，项目绩效目标编制明确、量化。</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2.绩效目标实现</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2022年我单位人员类经费支出共计131.59万元，主要包括：基本工资、津贴补贴、奖金、伙食补助费、绩效工资、机关事业单位基本养老保险缴费、职业年金缴费、其他社会保障缴费、其他工资福支出等，占总支出的71.63%。</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2022年我单位运转类经费支出共计24.82万元，主要包括：办公费、印刷费、咨询费、手续费、水费、电费、邮电费、物业管理费、差旅费、因公出国（境）费用、维修（护）费、租赁费、会议费、培训费、工会经费等，占总支出的13.51%。</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lang w:val="zh-CN" w:eastAsia="zh-CN" w:bidi="ar-SA"/>
        </w:rPr>
        <w:t xml:space="preserve"> 2022年我单位项目类经费支出共计27.3万元，包括妇女儿童活动中心经费、 妇女代表大会经费、 为建档立卡适龄贫困妇女购买女性安康保险、妇女儿童专项经费资金等，占总支出的14.86%。</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根据《峨眉山市财政局关于开展2023年部门、政策和项目支出绩效评价工作的通知》(峨财通〔2023〕13号)文件精神，我单位高度重视，按照2022年部门支出绩效评价指标体系认真组织了自查考评工作。我会将综合分析此次评价结果，建立评价结果在预算安排中的激励与约束机制，逐步发挥绩效评价工作的应有作用。</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峨眉山妇女联合会紧紧围绕中心大局，充分发挥职能作用，有力推动妇联各项决策部署和落实。全体干部敢担当、讲奉献、顾大局、善于克服各种困难矛盾，全力保证妇联高效运转。</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（一）评价结论。</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按照2022年部门支出绩效评价体系，我单位2022年得分90分。我单位预算支出具有明确的目标，并制定了科学的实施计划，严格按照有关项目管理和经费管理规定执行。各项预算支出严格按计划推进，并按计划圆满完成，有效促进了我市妇女儿童事业的发展。</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（二）存在问题。</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202</w:t>
      </w: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zh-CN" w:eastAsia="zh-CN" w:bidi="ar-SA"/>
        </w:rPr>
        <w:t>年我单位仍然存在对目标管理项目的前瞻性判断不强。</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（三）改进建议。</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加强资金协调对接工作，科学合理编制预算，厉行节约，对各类支出更加精细化管理，严控各项经费支出，提高资金使用效率。</w:t>
      </w:r>
    </w:p>
    <w:p>
      <w:pPr>
        <w:pStyle w:val="15"/>
        <w:spacing w:line="560" w:lineRule="exact"/>
        <w:ind w:left="0" w:leftChars="0" w:firstLine="0" w:firstLineChars="0"/>
        <w:rPr>
          <w:rFonts w:hint="eastAsia" w:ascii="仿宋_GB2312" w:hAnsi="仿宋_GB2312" w:eastAsia="仿宋_GB2312" w:cs="仿宋_GB2312"/>
          <w:kern w:val="0"/>
          <w:sz w:val="32"/>
          <w:szCs w:val="32"/>
          <w:lang w:val="zh-CN" w:eastAsia="zh-CN" w:bidi="ar-SA"/>
        </w:rPr>
      </w:pPr>
    </w:p>
    <w:p>
      <w:pPr>
        <w:pStyle w:val="15"/>
        <w:spacing w:line="560" w:lineRule="exact"/>
        <w:ind w:left="0" w:leftChars="0" w:firstLine="0" w:firstLineChars="0"/>
        <w:rPr>
          <w:rFonts w:hint="eastAsia" w:ascii="仿宋_GB2312" w:hAnsi="仿宋_GB2312" w:eastAsia="仿宋_GB2312" w:cs="仿宋_GB2312"/>
          <w:kern w:val="0"/>
          <w:sz w:val="32"/>
          <w:szCs w:val="32"/>
          <w:lang w:val="zh-CN" w:eastAsia="zh-CN" w:bidi="ar-SA"/>
        </w:rPr>
      </w:pPr>
    </w:p>
    <w:p>
      <w:pPr>
        <w:pStyle w:val="15"/>
        <w:spacing w:line="560" w:lineRule="exact"/>
        <w:ind w:left="0" w:leftChars="0" w:firstLine="0" w:firstLineChars="0"/>
        <w:rPr>
          <w:rFonts w:hint="eastAsia" w:ascii="仿宋_GB2312" w:hAnsi="仿宋_GB2312" w:eastAsia="仿宋_GB2312" w:cs="仿宋_GB2312"/>
          <w:kern w:val="0"/>
          <w:sz w:val="32"/>
          <w:szCs w:val="32"/>
          <w:lang w:val="zh-CN" w:eastAsia="zh-CN" w:bidi="ar-SA"/>
        </w:rPr>
      </w:pP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29"/>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pPr>
        <w:pStyle w:val="4"/>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pPr>
        <w:pStyle w:val="4"/>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pPr>
        <w:pStyle w:val="4"/>
        <w:rPr>
          <w:rFonts w:eastAsia="仿宋"/>
        </w:r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财政拨款“三公”经费支出决算表</w:t>
      </w:r>
    </w:p>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7690438"/>
      <w:docPartObj>
        <w:docPartGallery w:val="autotext"/>
      </w:docPartObj>
    </w:sdtPr>
    <w:sdtEndPr>
      <w:rPr>
        <w:rFonts w:ascii="宋体" w:hAnsi="宋体"/>
        <w:sz w:val="32"/>
        <w:szCs w:val="32"/>
      </w:rPr>
    </w:sdtEndPr>
    <w:sdtContent>
      <w:p>
        <w:pPr>
          <w:pStyle w:val="10"/>
          <w:jc w:val="center"/>
          <w:rPr>
            <w:rFonts w:ascii="宋体" w:hAnsi="宋体"/>
            <w:sz w:val="32"/>
            <w:szCs w:val="32"/>
          </w:rPr>
        </w:pPr>
        <w:r>
          <w:rPr>
            <w:rFonts w:ascii="宋体" w:hAnsi="宋体"/>
            <w:sz w:val="32"/>
            <w:szCs w:val="32"/>
          </w:rPr>
          <w:fldChar w:fldCharType="begin"/>
        </w:r>
        <w:r>
          <w:rPr>
            <w:rFonts w:ascii="宋体" w:hAnsi="宋体"/>
            <w:sz w:val="32"/>
            <w:szCs w:val="32"/>
          </w:rPr>
          <w:instrText xml:space="preserve">PAGE   \* MERGEFORMAT</w:instrText>
        </w:r>
        <w:r>
          <w:rPr>
            <w:rFonts w:ascii="宋体" w:hAnsi="宋体"/>
            <w:sz w:val="32"/>
            <w:szCs w:val="32"/>
          </w:rPr>
          <w:fldChar w:fldCharType="separate"/>
        </w:r>
        <w:r>
          <w:rPr>
            <w:rFonts w:ascii="宋体" w:hAnsi="宋体"/>
            <w:sz w:val="32"/>
            <w:szCs w:val="32"/>
            <w:lang w:val="zh-CN"/>
          </w:rPr>
          <w:t>32</w:t>
        </w:r>
        <w:r>
          <w:rPr>
            <w:rFonts w:ascii="宋体" w:hAnsi="宋体"/>
            <w:sz w:val="32"/>
            <w:szCs w:val="32"/>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仿宋" w:hAnsi="仿宋" w:eastAsia="仿宋"/>
        <w:sz w:val="32"/>
        <w:szCs w:val="32"/>
      </w:rPr>
    </w:sdtEndPr>
    <w:sdtContent>
      <w:p>
        <w:pPr>
          <w:pStyle w:val="10"/>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1</w:t>
        </w:r>
        <w:r>
          <w:rPr>
            <w:rFonts w:ascii="仿宋" w:hAnsi="仿宋" w:eastAsia="仿宋"/>
            <w:sz w:val="32"/>
            <w:szCs w:val="32"/>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9387A94"/>
    <w:multiLevelType w:val="multilevel"/>
    <w:tmpl w:val="29387A94"/>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NzhmYTdhM2M5OGYxNjk1N2ZjNjk1NTg0NTRlODAifQ=="/>
  </w:docVars>
  <w:rsids>
    <w:rsidRoot w:val="00F1361C"/>
    <w:rsid w:val="000222C6"/>
    <w:rsid w:val="0002549F"/>
    <w:rsid w:val="000429D8"/>
    <w:rsid w:val="000468DB"/>
    <w:rsid w:val="0006039F"/>
    <w:rsid w:val="0006487A"/>
    <w:rsid w:val="00065F8F"/>
    <w:rsid w:val="00070A43"/>
    <w:rsid w:val="000768F2"/>
    <w:rsid w:val="0009184B"/>
    <w:rsid w:val="00094236"/>
    <w:rsid w:val="0009593C"/>
    <w:rsid w:val="00097322"/>
    <w:rsid w:val="000A6A92"/>
    <w:rsid w:val="000A6D9C"/>
    <w:rsid w:val="000B047F"/>
    <w:rsid w:val="000B20DC"/>
    <w:rsid w:val="000B5923"/>
    <w:rsid w:val="000B5A48"/>
    <w:rsid w:val="000B6FF3"/>
    <w:rsid w:val="000C3467"/>
    <w:rsid w:val="000C3CA6"/>
    <w:rsid w:val="000D1267"/>
    <w:rsid w:val="000D1D50"/>
    <w:rsid w:val="000D5782"/>
    <w:rsid w:val="000E6613"/>
    <w:rsid w:val="000E7119"/>
    <w:rsid w:val="00114E9B"/>
    <w:rsid w:val="00142216"/>
    <w:rsid w:val="00144611"/>
    <w:rsid w:val="00144D6A"/>
    <w:rsid w:val="0014729F"/>
    <w:rsid w:val="001520FF"/>
    <w:rsid w:val="00157BAB"/>
    <w:rsid w:val="001654D1"/>
    <w:rsid w:val="001739D8"/>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0CD"/>
    <w:rsid w:val="00220536"/>
    <w:rsid w:val="00235629"/>
    <w:rsid w:val="00260C38"/>
    <w:rsid w:val="002616C0"/>
    <w:rsid w:val="00265372"/>
    <w:rsid w:val="002662AA"/>
    <w:rsid w:val="0027181C"/>
    <w:rsid w:val="00280496"/>
    <w:rsid w:val="00294DC9"/>
    <w:rsid w:val="00295495"/>
    <w:rsid w:val="002A31DE"/>
    <w:rsid w:val="002B2613"/>
    <w:rsid w:val="002B653E"/>
    <w:rsid w:val="002D6D05"/>
    <w:rsid w:val="002F1818"/>
    <w:rsid w:val="002F567B"/>
    <w:rsid w:val="003216A9"/>
    <w:rsid w:val="00335A74"/>
    <w:rsid w:val="003461E7"/>
    <w:rsid w:val="0036561B"/>
    <w:rsid w:val="0037013F"/>
    <w:rsid w:val="00371BAB"/>
    <w:rsid w:val="00380C92"/>
    <w:rsid w:val="003A3715"/>
    <w:rsid w:val="003A484F"/>
    <w:rsid w:val="003A4883"/>
    <w:rsid w:val="003B0BE0"/>
    <w:rsid w:val="003B0C1B"/>
    <w:rsid w:val="003B688C"/>
    <w:rsid w:val="003C0291"/>
    <w:rsid w:val="003C39AE"/>
    <w:rsid w:val="003C70C8"/>
    <w:rsid w:val="003C7B60"/>
    <w:rsid w:val="003D0C0F"/>
    <w:rsid w:val="003D1FB2"/>
    <w:rsid w:val="003D66DA"/>
    <w:rsid w:val="003E1310"/>
    <w:rsid w:val="003E6F55"/>
    <w:rsid w:val="00406254"/>
    <w:rsid w:val="004223DE"/>
    <w:rsid w:val="004247CD"/>
    <w:rsid w:val="00434489"/>
    <w:rsid w:val="00437085"/>
    <w:rsid w:val="00443880"/>
    <w:rsid w:val="004464F4"/>
    <w:rsid w:val="00471401"/>
    <w:rsid w:val="00473F31"/>
    <w:rsid w:val="0048263A"/>
    <w:rsid w:val="00487E5D"/>
    <w:rsid w:val="004A711F"/>
    <w:rsid w:val="004A756E"/>
    <w:rsid w:val="004B199D"/>
    <w:rsid w:val="004B4690"/>
    <w:rsid w:val="004B6385"/>
    <w:rsid w:val="004E0A2D"/>
    <w:rsid w:val="004E206B"/>
    <w:rsid w:val="004E6DF7"/>
    <w:rsid w:val="004F0FBD"/>
    <w:rsid w:val="004F51BE"/>
    <w:rsid w:val="00505A47"/>
    <w:rsid w:val="00512DEB"/>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1AD3"/>
    <w:rsid w:val="007127B7"/>
    <w:rsid w:val="00712E4A"/>
    <w:rsid w:val="0071798E"/>
    <w:rsid w:val="007416B6"/>
    <w:rsid w:val="00746F48"/>
    <w:rsid w:val="0075404D"/>
    <w:rsid w:val="0076182A"/>
    <w:rsid w:val="007679E8"/>
    <w:rsid w:val="00767B7E"/>
    <w:rsid w:val="007770C3"/>
    <w:rsid w:val="00784D24"/>
    <w:rsid w:val="00785FBA"/>
    <w:rsid w:val="00786E4A"/>
    <w:rsid w:val="007875EB"/>
    <w:rsid w:val="0079426B"/>
    <w:rsid w:val="007B4B25"/>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3116"/>
    <w:rsid w:val="009F7527"/>
    <w:rsid w:val="00A04EB0"/>
    <w:rsid w:val="00A070E2"/>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20B3"/>
    <w:rsid w:val="00B310B9"/>
    <w:rsid w:val="00B35F3F"/>
    <w:rsid w:val="00B36721"/>
    <w:rsid w:val="00B36CBB"/>
    <w:rsid w:val="00B3746B"/>
    <w:rsid w:val="00B425E0"/>
    <w:rsid w:val="00B440AA"/>
    <w:rsid w:val="00B44B70"/>
    <w:rsid w:val="00B4716A"/>
    <w:rsid w:val="00B53C56"/>
    <w:rsid w:val="00B57DAF"/>
    <w:rsid w:val="00B77EA6"/>
    <w:rsid w:val="00B81598"/>
    <w:rsid w:val="00B841F1"/>
    <w:rsid w:val="00B944D6"/>
    <w:rsid w:val="00BB4DF0"/>
    <w:rsid w:val="00BC27C4"/>
    <w:rsid w:val="00BC289F"/>
    <w:rsid w:val="00BC2D50"/>
    <w:rsid w:val="00BC5361"/>
    <w:rsid w:val="00BC5460"/>
    <w:rsid w:val="00BC6B50"/>
    <w:rsid w:val="00BC6CF9"/>
    <w:rsid w:val="00BD0E25"/>
    <w:rsid w:val="00BF5BD6"/>
    <w:rsid w:val="00C03E31"/>
    <w:rsid w:val="00C2369C"/>
    <w:rsid w:val="00C27C01"/>
    <w:rsid w:val="00C33E72"/>
    <w:rsid w:val="00C354B2"/>
    <w:rsid w:val="00C35554"/>
    <w:rsid w:val="00C42709"/>
    <w:rsid w:val="00C52C8D"/>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2C1"/>
    <w:rsid w:val="00D114F0"/>
    <w:rsid w:val="00D20620"/>
    <w:rsid w:val="00D254F7"/>
    <w:rsid w:val="00D26091"/>
    <w:rsid w:val="00D2685C"/>
    <w:rsid w:val="00D34E7C"/>
    <w:rsid w:val="00D35489"/>
    <w:rsid w:val="00D36AFE"/>
    <w:rsid w:val="00D51276"/>
    <w:rsid w:val="00D6694D"/>
    <w:rsid w:val="00D7035F"/>
    <w:rsid w:val="00D74518"/>
    <w:rsid w:val="00D862E2"/>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3A59"/>
    <w:rsid w:val="00E853CE"/>
    <w:rsid w:val="00E867B6"/>
    <w:rsid w:val="00EA010F"/>
    <w:rsid w:val="00EA693D"/>
    <w:rsid w:val="00ED1B63"/>
    <w:rsid w:val="00ED3C1F"/>
    <w:rsid w:val="00ED4085"/>
    <w:rsid w:val="00ED420E"/>
    <w:rsid w:val="00ED6FBE"/>
    <w:rsid w:val="00EE2F57"/>
    <w:rsid w:val="00EF4C34"/>
    <w:rsid w:val="00EF77C6"/>
    <w:rsid w:val="00F01D21"/>
    <w:rsid w:val="00F05438"/>
    <w:rsid w:val="00F1361C"/>
    <w:rsid w:val="00F156F0"/>
    <w:rsid w:val="00F160C7"/>
    <w:rsid w:val="00F2408F"/>
    <w:rsid w:val="00F240E9"/>
    <w:rsid w:val="00F36D8F"/>
    <w:rsid w:val="00F417B1"/>
    <w:rsid w:val="00F45853"/>
    <w:rsid w:val="00F602DF"/>
    <w:rsid w:val="00F67A7A"/>
    <w:rsid w:val="00F754A1"/>
    <w:rsid w:val="00F81FD9"/>
    <w:rsid w:val="00F841AA"/>
    <w:rsid w:val="00F84A94"/>
    <w:rsid w:val="00F87E96"/>
    <w:rsid w:val="00FA23E8"/>
    <w:rsid w:val="00FD3CC1"/>
    <w:rsid w:val="00FF1E02"/>
    <w:rsid w:val="00FF30B4"/>
    <w:rsid w:val="015975B8"/>
    <w:rsid w:val="02143E91"/>
    <w:rsid w:val="029E5BC8"/>
    <w:rsid w:val="066E0107"/>
    <w:rsid w:val="07996F6E"/>
    <w:rsid w:val="0A2032A3"/>
    <w:rsid w:val="0BA6652C"/>
    <w:rsid w:val="0F98263C"/>
    <w:rsid w:val="101860EC"/>
    <w:rsid w:val="10C055FF"/>
    <w:rsid w:val="118107EC"/>
    <w:rsid w:val="13D50BC4"/>
    <w:rsid w:val="161631F3"/>
    <w:rsid w:val="16996FF5"/>
    <w:rsid w:val="16BB723D"/>
    <w:rsid w:val="1BE8440E"/>
    <w:rsid w:val="1D155CEE"/>
    <w:rsid w:val="1FF35744"/>
    <w:rsid w:val="23860B96"/>
    <w:rsid w:val="240371BF"/>
    <w:rsid w:val="26E70EF9"/>
    <w:rsid w:val="29FD04D3"/>
    <w:rsid w:val="2C8A61B5"/>
    <w:rsid w:val="2DF04E50"/>
    <w:rsid w:val="2F040D46"/>
    <w:rsid w:val="319F7F4E"/>
    <w:rsid w:val="32747406"/>
    <w:rsid w:val="3304709D"/>
    <w:rsid w:val="36AA5135"/>
    <w:rsid w:val="376D39B2"/>
    <w:rsid w:val="37E16F03"/>
    <w:rsid w:val="38D469F0"/>
    <w:rsid w:val="3A5734FE"/>
    <w:rsid w:val="3D98207C"/>
    <w:rsid w:val="3E78745D"/>
    <w:rsid w:val="422D7420"/>
    <w:rsid w:val="44E268DA"/>
    <w:rsid w:val="49806BD6"/>
    <w:rsid w:val="4A627F82"/>
    <w:rsid w:val="4B0E749A"/>
    <w:rsid w:val="4B4F25DA"/>
    <w:rsid w:val="4BE068DB"/>
    <w:rsid w:val="4D577224"/>
    <w:rsid w:val="4EAB630A"/>
    <w:rsid w:val="4ECE2238"/>
    <w:rsid w:val="50C11611"/>
    <w:rsid w:val="525454D3"/>
    <w:rsid w:val="537E6D0A"/>
    <w:rsid w:val="551A6DFC"/>
    <w:rsid w:val="5AF92295"/>
    <w:rsid w:val="5BAC4EDA"/>
    <w:rsid w:val="5CD71FC4"/>
    <w:rsid w:val="681842D3"/>
    <w:rsid w:val="68A30131"/>
    <w:rsid w:val="6C4A05C8"/>
    <w:rsid w:val="6E7E3605"/>
    <w:rsid w:val="6FF5CC65"/>
    <w:rsid w:val="715C0E4B"/>
    <w:rsid w:val="72734D90"/>
    <w:rsid w:val="73AD73D5"/>
    <w:rsid w:val="73B6EB34"/>
    <w:rsid w:val="744731E5"/>
    <w:rsid w:val="76E3355F"/>
    <w:rsid w:val="778769C8"/>
    <w:rsid w:val="79EE5BA4"/>
    <w:rsid w:val="7A3E0572"/>
    <w:rsid w:val="7A5F2C9C"/>
    <w:rsid w:val="7A894339"/>
    <w:rsid w:val="7DFFC326"/>
    <w:rsid w:val="7EEF11D3"/>
    <w:rsid w:val="7FA30C79"/>
    <w:rsid w:val="7FB7269E"/>
    <w:rsid w:val="7FC96657"/>
    <w:rsid w:val="7FF4BF60"/>
    <w:rsid w:val="D8D6DB89"/>
    <w:rsid w:val="DB6F4CAB"/>
    <w:rsid w:val="DF6F9789"/>
    <w:rsid w:val="DFF381D2"/>
    <w:rsid w:val="FF93FC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36"/>
    <w:unhideWhenUsed/>
    <w:qFormat/>
    <w:uiPriority w:val="99"/>
    <w:rPr>
      <w:rFonts w:ascii="宋体" w:hAnsi="Courier New" w:cs="Courier New"/>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0"/>
    <w:pPr>
      <w:spacing w:before="100" w:beforeAutospacing="1" w:after="100" w:afterAutospacing="1"/>
      <w:jc w:val="left"/>
    </w:pPr>
    <w:rPr>
      <w:rFonts w:ascii="Calibri" w:hAnsi="Calibri"/>
      <w:kern w:val="0"/>
      <w:sz w:val="24"/>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22"/>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纯文本 Char"/>
    <w:basedOn w:val="17"/>
    <w:link w:val="8"/>
    <w:qFormat/>
    <w:uiPriority w:val="99"/>
    <w:rPr>
      <w:rFonts w:ascii="宋体" w:hAnsi="Courier New" w:eastAsia="宋体" w:cs="Courier New"/>
      <w:kern w:val="2"/>
      <w:sz w:val="21"/>
      <w:szCs w:val="21"/>
    </w:rPr>
  </w:style>
  <w:style w:type="paragraph" w:customStyle="1" w:styleId="37">
    <w:name w:val="无间隔1"/>
    <w:basedOn w:val="1"/>
    <w:qFormat/>
    <w:uiPriority w:val="0"/>
    <w:rPr>
      <w:rFonts w:ascii="Calibri" w:hAnsi="Calibri" w:cs="宋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39</Pages>
  <Words>2214</Words>
  <Characters>12620</Characters>
  <Lines>105</Lines>
  <Paragraphs>29</Paragraphs>
  <TotalTime>174</TotalTime>
  <ScaleCrop>false</ScaleCrop>
  <LinksUpToDate>false</LinksUpToDate>
  <CharactersWithSpaces>14805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QHTF</cp:lastModifiedBy>
  <cp:lastPrinted>2023-12-14T10:04:38Z</cp:lastPrinted>
  <dcterms:modified xsi:type="dcterms:W3CDTF">2023-12-14T10:44:38Z</dcterms:modified>
  <dc:title>四川省***</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5F967D2D412FCF65E9D17765F4DBC92C</vt:lpwstr>
  </property>
</Properties>
</file>