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96597"/>
      <w:bookmarkStart w:id="1" w:name="_Toc15378441"/>
      <w:bookmarkStart w:id="2" w:name="_Toc15377193"/>
      <w:bookmarkStart w:id="3" w:name="_Toc15377425"/>
      <w:bookmarkStart w:id="4" w:name="_Toc15396475"/>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9"/>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9"/>
        <w:rPr>
          <w:rFonts w:ascii="方正小标宋简体" w:hAnsi="方正小标宋简体" w:eastAsia="方正小标宋简体" w:cs="方正小标宋简体"/>
          <w:sz w:val="72"/>
          <w:szCs w:val="72"/>
        </w:rPr>
      </w:pPr>
      <w:bookmarkStart w:id="6" w:name="_Toc15377194"/>
      <w:bookmarkStart w:id="7" w:name="_Toc15396476"/>
      <w:bookmarkStart w:id="8" w:name="_Toc15377426"/>
      <w:bookmarkStart w:id="9" w:name="_Toc15378442"/>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eastAsia="zh-CN"/>
        </w:rPr>
        <w:t>峨眉山市黄湾镇人民政府</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rPr>
          <w:rFonts w:hint="eastAsia" w:eastAsia="仿宋"/>
          <w:lang w:val="en-US" w:eastAsia="zh-CN"/>
        </w:rPr>
      </w:pPr>
      <w:r>
        <w:rPr>
          <w:rFonts w:hint="eastAsia"/>
        </w:rPr>
        <w:t>公开时间：2023年</w:t>
      </w:r>
      <w:r>
        <w:rPr>
          <w:rFonts w:hint="eastAsia"/>
          <w:lang w:val="en-US" w:eastAsia="zh-CN"/>
        </w:rPr>
        <w:t>12</w:t>
      </w:r>
      <w:r>
        <w:rPr>
          <w:rFonts w:hint="eastAsia"/>
        </w:rPr>
        <w:t>月</w:t>
      </w:r>
      <w:r>
        <w:rPr>
          <w:rFonts w:hint="eastAsia"/>
          <w:lang w:val="en-US" w:eastAsia="zh-CN"/>
        </w:rPr>
        <w:t>15日</w:t>
      </w:r>
      <w:bookmarkStart w:id="103" w:name="_GoBack"/>
      <w:bookmarkEnd w:id="103"/>
    </w:p>
    <w:p/>
    <w:sdt>
      <w:sdtPr>
        <w:rPr>
          <w:rFonts w:ascii="宋体" w:hAnsi="宋体" w:eastAsia="宋体" w:cs="Times New Roman"/>
          <w:kern w:val="2"/>
          <w:sz w:val="21"/>
          <w:szCs w:val="24"/>
          <w:lang w:val="en-US" w:eastAsia="zh-CN" w:bidi="ar-SA"/>
        </w:rPr>
        <w:id w:val="147468178"/>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2" w:name="_Toc15377196"/>
          <w:bookmarkStart w:id="13" w:name="_Toc15396599"/>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fldChar w:fldCharType="begin"/>
          </w:r>
          <w:r>
            <w:instrText xml:space="preserve">TOC \o "1-2" \h \u </w:instrText>
          </w:r>
          <w: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_Toc29284 </w:instrText>
          </w:r>
          <w:r>
            <w:rPr>
              <w:rFonts w:hint="eastAsia" w:ascii="黑体" w:hAnsi="黑体" w:eastAsia="黑体" w:cs="黑体"/>
              <w:sz w:val="32"/>
              <w:szCs w:val="32"/>
            </w:rPr>
            <w:fldChar w:fldCharType="separate"/>
          </w:r>
          <w:r>
            <w:rPr>
              <w:rFonts w:hint="eastAsia" w:ascii="黑体" w:hAnsi="黑体" w:eastAsia="黑体" w:cs="黑体"/>
              <w:sz w:val="32"/>
              <w:szCs w:val="32"/>
            </w:rPr>
            <w:t xml:space="preserve">第一部分 </w:t>
          </w:r>
          <w:r>
            <w:rPr>
              <w:rFonts w:hint="eastAsia" w:ascii="黑体" w:hAnsi="黑体" w:eastAsia="黑体" w:cs="黑体"/>
              <w:bCs w:val="0"/>
              <w:sz w:val="32"/>
              <w:szCs w:val="32"/>
            </w:rPr>
            <w:t>部门概况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_Toc29284 \h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_Toc29314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一、 部门职责</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_Toc29314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_Toc4041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二、 机构设置</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_Toc4041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_Toc29697 </w:instrText>
          </w:r>
          <w:r>
            <w:rPr>
              <w:rFonts w:hint="eastAsia" w:ascii="黑体" w:hAnsi="黑体" w:eastAsia="黑体" w:cs="黑体"/>
              <w:sz w:val="32"/>
              <w:szCs w:val="32"/>
            </w:rPr>
            <w:fldChar w:fldCharType="separate"/>
          </w:r>
          <w:r>
            <w:rPr>
              <w:rFonts w:hint="eastAsia" w:ascii="黑体" w:hAnsi="黑体" w:eastAsia="黑体" w:cs="黑体"/>
              <w:sz w:val="32"/>
              <w:szCs w:val="32"/>
            </w:rPr>
            <w:t>第二部分 2022年度部门决算情况说明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_Toc29697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_Toc5215 </w:instrText>
          </w:r>
          <w:r>
            <w:rPr>
              <w:rFonts w:hint="eastAsia"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 xml:space="preserve">一、 </w:t>
          </w:r>
          <w:r>
            <w:rPr>
              <w:rFonts w:hint="eastAsia" w:ascii="楷体_GB2312" w:hAnsi="楷体_GB2312" w:eastAsia="楷体_GB2312" w:cs="楷体_GB2312"/>
              <w:sz w:val="32"/>
              <w:szCs w:val="32"/>
            </w:rPr>
            <w:t>收入支出决算总体情况说明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_Toc5215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_Toc2215 </w:instrText>
          </w:r>
          <w:r>
            <w:rPr>
              <w:rFonts w:hint="eastAsia"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 xml:space="preserve">二、 </w:t>
          </w:r>
          <w:r>
            <w:rPr>
              <w:rFonts w:hint="eastAsia" w:ascii="楷体_GB2312" w:hAnsi="楷体_GB2312" w:eastAsia="楷体_GB2312" w:cs="楷体_GB2312"/>
              <w:sz w:val="32"/>
              <w:szCs w:val="32"/>
            </w:rPr>
            <w:t>收入决算情况说明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_Toc2215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_Toc13910 </w:instrText>
          </w:r>
          <w:r>
            <w:rPr>
              <w:rFonts w:hint="eastAsia"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 xml:space="preserve">三、 </w:t>
          </w:r>
          <w:r>
            <w:rPr>
              <w:rFonts w:hint="eastAsia" w:ascii="楷体_GB2312" w:hAnsi="楷体_GB2312" w:eastAsia="楷体_GB2312" w:cs="楷体_GB2312"/>
              <w:sz w:val="32"/>
              <w:szCs w:val="32"/>
            </w:rPr>
            <w:t>支出决算情况说明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_Toc13910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_Toc11684 </w:instrText>
          </w:r>
          <w:r>
            <w:rPr>
              <w:rFonts w:hint="eastAsia"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 xml:space="preserve">四、 </w:t>
          </w:r>
          <w:r>
            <w:rPr>
              <w:rFonts w:hint="eastAsia" w:ascii="楷体_GB2312" w:hAnsi="楷体_GB2312" w:eastAsia="楷体_GB2312" w:cs="楷体_GB2312"/>
              <w:sz w:val="32"/>
              <w:szCs w:val="32"/>
            </w:rPr>
            <w:t>财政拨款收入支出决算总体情况说明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_Toc11684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_Toc9948 </w:instrText>
          </w:r>
          <w:r>
            <w:rPr>
              <w:rFonts w:hint="eastAsia"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 xml:space="preserve">五、 </w:t>
          </w:r>
          <w:r>
            <w:rPr>
              <w:rFonts w:hint="eastAsia" w:ascii="楷体_GB2312" w:hAnsi="楷体_GB2312" w:eastAsia="楷体_GB2312" w:cs="楷体_GB2312"/>
              <w:sz w:val="32"/>
              <w:szCs w:val="32"/>
            </w:rPr>
            <w:t>一般公共预算财政拨款支出决算情况说明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_Toc9948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_Toc15681 </w:instrText>
          </w:r>
          <w:r>
            <w:rPr>
              <w:rFonts w:hint="eastAsia"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 xml:space="preserve">六、 </w:t>
          </w:r>
          <w:r>
            <w:rPr>
              <w:rFonts w:hint="eastAsia" w:ascii="楷体_GB2312" w:hAnsi="楷体_GB2312" w:eastAsia="楷体_GB2312" w:cs="楷体_GB2312"/>
              <w:sz w:val="32"/>
              <w:szCs w:val="32"/>
            </w:rPr>
            <w:t>一般公共预算财政拨款基本支出决算情况说明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_Toc15681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_Toc21916 </w:instrText>
          </w:r>
          <w:r>
            <w:rPr>
              <w:rFonts w:hint="eastAsia"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 xml:space="preserve">七、 </w:t>
          </w:r>
          <w:r>
            <w:rPr>
              <w:rFonts w:hint="eastAsia" w:ascii="楷体_GB2312" w:hAnsi="楷体_GB2312" w:eastAsia="楷体_GB2312" w:cs="楷体_GB2312"/>
              <w:sz w:val="32"/>
              <w:szCs w:val="32"/>
            </w:rPr>
            <w:t>财政拨款“三公”经费支出决算情况说明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_Toc21916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_Toc5341 </w:instrText>
          </w:r>
          <w:r>
            <w:rPr>
              <w:rFonts w:hint="eastAsia"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 xml:space="preserve">八、 </w:t>
          </w:r>
          <w:r>
            <w:rPr>
              <w:rFonts w:hint="eastAsia" w:ascii="楷体_GB2312" w:hAnsi="楷体_GB2312" w:eastAsia="楷体_GB2312" w:cs="楷体_GB2312"/>
              <w:sz w:val="32"/>
              <w:szCs w:val="32"/>
            </w:rPr>
            <w:t>政府性基金预算支出决算情况说明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_Toc5341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_Toc11603 </w:instrText>
          </w:r>
          <w:r>
            <w:rPr>
              <w:rFonts w:hint="eastAsia"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 xml:space="preserve">九、 </w:t>
          </w:r>
          <w:r>
            <w:rPr>
              <w:rFonts w:hint="eastAsia" w:ascii="楷体_GB2312" w:hAnsi="楷体_GB2312" w:eastAsia="楷体_GB2312" w:cs="楷体_GB2312"/>
              <w:sz w:val="32"/>
              <w:szCs w:val="32"/>
            </w:rPr>
            <w:t>国有资本经营预算支出决算情况说明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_Toc11603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_Toc21426 </w:instrText>
          </w:r>
          <w:r>
            <w:rPr>
              <w:rFonts w:hint="eastAsia"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 xml:space="preserve">十、 </w:t>
          </w:r>
          <w:r>
            <w:rPr>
              <w:rFonts w:hint="eastAsia" w:ascii="楷体_GB2312" w:hAnsi="楷体_GB2312" w:eastAsia="楷体_GB2312" w:cs="楷体_GB2312"/>
              <w:sz w:val="32"/>
              <w:szCs w:val="32"/>
            </w:rPr>
            <w:t>其他重要事项的情况说明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_Toc21426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_Toc31229 </w:instrText>
          </w:r>
          <w:r>
            <w:rPr>
              <w:rFonts w:hint="eastAsia" w:ascii="黑体" w:hAnsi="黑体" w:eastAsia="黑体" w:cs="黑体"/>
              <w:sz w:val="32"/>
              <w:szCs w:val="32"/>
            </w:rPr>
            <w:fldChar w:fldCharType="separate"/>
          </w:r>
          <w:r>
            <w:rPr>
              <w:rFonts w:hint="eastAsia" w:ascii="黑体" w:hAnsi="黑体" w:eastAsia="黑体" w:cs="黑体"/>
              <w:sz w:val="32"/>
              <w:szCs w:val="32"/>
            </w:rPr>
            <w:t>第三部分 名词解释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_Toc31229 \h </w:instrText>
          </w:r>
          <w:r>
            <w:rPr>
              <w:rFonts w:hint="eastAsia" w:ascii="黑体" w:hAnsi="黑体" w:eastAsia="黑体" w:cs="黑体"/>
              <w:sz w:val="32"/>
              <w:szCs w:val="32"/>
            </w:rPr>
            <w:fldChar w:fldCharType="separate"/>
          </w:r>
          <w:r>
            <w:rPr>
              <w:rFonts w:hint="eastAsia" w:ascii="黑体" w:hAnsi="黑体" w:eastAsia="黑体" w:cs="黑体"/>
              <w:sz w:val="32"/>
              <w:szCs w:val="32"/>
            </w:rPr>
            <w:t>24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_Toc16595 </w:instrText>
          </w:r>
          <w:r>
            <w:rPr>
              <w:rFonts w:hint="eastAsia" w:ascii="黑体" w:hAnsi="黑体" w:eastAsia="黑体" w:cs="黑体"/>
              <w:sz w:val="32"/>
              <w:szCs w:val="32"/>
            </w:rPr>
            <w:fldChar w:fldCharType="separate"/>
          </w:r>
          <w:r>
            <w:rPr>
              <w:rFonts w:hint="eastAsia" w:ascii="黑体" w:hAnsi="黑体" w:eastAsia="黑体" w:cs="黑体"/>
              <w:sz w:val="32"/>
              <w:szCs w:val="32"/>
            </w:rPr>
            <w:t>第四部分 附件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_Toc16595 \h </w:instrText>
          </w:r>
          <w:r>
            <w:rPr>
              <w:rFonts w:hint="eastAsia" w:ascii="黑体" w:hAnsi="黑体" w:eastAsia="黑体" w:cs="黑体"/>
              <w:sz w:val="32"/>
              <w:szCs w:val="32"/>
            </w:rPr>
            <w:fldChar w:fldCharType="separate"/>
          </w:r>
          <w:r>
            <w:rPr>
              <w:rFonts w:hint="eastAsia" w:ascii="黑体" w:hAnsi="黑体" w:eastAsia="黑体" w:cs="黑体"/>
              <w:sz w:val="32"/>
              <w:szCs w:val="32"/>
            </w:rPr>
            <w:t>29</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_Toc27999 </w:instrText>
          </w:r>
          <w:r>
            <w:rPr>
              <w:rFonts w:hint="eastAsia" w:ascii="黑体" w:hAnsi="黑体" w:eastAsia="黑体" w:cs="黑体"/>
              <w:sz w:val="32"/>
              <w:szCs w:val="32"/>
            </w:rPr>
            <w:fldChar w:fldCharType="separate"/>
          </w:r>
          <w:r>
            <w:rPr>
              <w:rFonts w:hint="eastAsia" w:ascii="黑体" w:hAnsi="黑体" w:eastAsia="黑体" w:cs="黑体"/>
              <w:sz w:val="32"/>
              <w:szCs w:val="32"/>
            </w:rPr>
            <w:t>第五部分 附表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_Toc27999 \h </w:instrText>
          </w:r>
          <w:r>
            <w:rPr>
              <w:rFonts w:hint="eastAsia" w:ascii="黑体" w:hAnsi="黑体" w:eastAsia="黑体" w:cs="黑体"/>
              <w:sz w:val="32"/>
              <w:szCs w:val="32"/>
            </w:rPr>
            <w:fldChar w:fldCharType="separate"/>
          </w:r>
          <w:r>
            <w:rPr>
              <w:rFonts w:hint="eastAsia" w:ascii="黑体" w:hAnsi="黑体" w:eastAsia="黑体" w:cs="黑体"/>
              <w:sz w:val="32"/>
              <w:szCs w:val="32"/>
            </w:rPr>
            <w:t>74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_Toc6656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一、收入支出决算总表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_Toc6656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_Toc7423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二、收入决算表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_Toc7423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_Toc23112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三、支出决算表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_Toc23112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_Toc27853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四、财政拨款收入支出决算总表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_Toc27853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_Toc16017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五、财政拨款支出决算明细表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_Toc16017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_Toc13310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六、一般公共预算财政拨款支出决算表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_Toc13310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_Toc16249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七、一般公共预算财政拨款支出决算明细表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_Toc16249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_Toc5618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八、一般公共预算财政拨款基本支出决算表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_Toc5618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_Toc13107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九、一般公共预算财政拨款项目支出决算表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_Toc13107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_Toc5918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十、政府性基金预算财政拨款收入支出决算表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_Toc5918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_Toc8006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十一、国有资本经营预算财政拨款收入支出决算表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_Toc8006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_Toc30274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十二、国有资本经营预算财政拨款支出决算表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_Toc30274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_Toc16736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十三、财政拨款“三公”经费支出决算表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_Toc16736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600" w:lineRule="exact"/>
            <w:textAlignment w:val="auto"/>
          </w:pPr>
          <w: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outlineLvl w:val="0"/>
        <w:rPr>
          <w:rStyle w:val="29"/>
          <w:rFonts w:ascii="黑体" w:hAnsi="黑体" w:eastAsia="黑体"/>
          <w:b/>
          <w:bCs w:val="0"/>
        </w:rPr>
      </w:pPr>
      <w:bookmarkStart w:id="14" w:name="_Toc29284"/>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bookmarkEnd w:id="14"/>
    </w:p>
    <w:p>
      <w:pPr>
        <w:widowControl/>
        <w:jc w:val="left"/>
        <w:rPr>
          <w:rFonts w:ascii="黑体" w:eastAsia="黑体"/>
          <w:sz w:val="32"/>
          <w:szCs w:val="32"/>
        </w:rPr>
      </w:pP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600" w:lineRule="exact"/>
        <w:textAlignment w:val="auto"/>
        <w:outlineLvl w:val="1"/>
        <w:rPr>
          <w:rFonts w:hint="eastAsia" w:ascii="黑体" w:hAnsi="黑体" w:eastAsia="黑体"/>
          <w:b w:val="0"/>
          <w:sz w:val="32"/>
          <w:szCs w:val="32"/>
        </w:rPr>
      </w:pPr>
      <w:bookmarkStart w:id="15" w:name="_Toc29314"/>
      <w:r>
        <w:rPr>
          <w:rFonts w:hint="eastAsia" w:ascii="黑体" w:hAnsi="黑体" w:eastAsia="黑体"/>
          <w:b w:val="0"/>
          <w:sz w:val="32"/>
          <w:szCs w:val="32"/>
        </w:rPr>
        <w:t>部门职责</w:t>
      </w:r>
      <w:bookmarkEnd w:id="1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bookmarkStart w:id="16" w:name="_Toc15378445"/>
      <w:bookmarkStart w:id="17" w:name="_Toc15377198"/>
      <w:r>
        <w:rPr>
          <w:rFonts w:hint="eastAsia" w:ascii="楷体_GB2312" w:hAnsi="楷体_GB2312" w:eastAsia="楷体_GB2312" w:cs="楷体_GB2312"/>
          <w:sz w:val="32"/>
          <w:szCs w:val="32"/>
        </w:rPr>
        <w:t>（一）主要职能。</w:t>
      </w:r>
      <w:bookmarkEnd w:id="16"/>
      <w:bookmarkEnd w:id="17"/>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1.镇党委的主要职责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全面贯彻党的基本理论、基本路线、基本方略，宣传党的主张、落实党的决策部署，团结并组织党员、干部和群众，扎实做好改革发展稳定各项工作。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讨论决定加强党的建设、推进区域发展、促进乡村振兴、保护生态环境、组织公共服务、实施综合管理、指导基层自治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维护安全稳定、动员社会参与等方面的重大问题。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领导镇政府和工会、共青团、妇联等群团组织，支持和保证行政组织、经济组织、社会组织和其他自治组织依法依章程充分行使职权。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按照有关规定和干部管理权限，做好干部推荐、提名、任免和教育、管理、监督工作，研究决定党员干部纪律处分有关事项。落实党的人才政策，抓好优秀人才引进、培养、使用、服务工作。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坚持以党建为引领，加强基层治理体系建设，实现政府治理和社会调节、村（居）民自治良性互动，打造共建共治共享的基层治理格局。支持“两代表一委员"和统一战线成员在基层治理中积极发挥作用。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加强基层宣传思想文化工作，推进基层精神文明建设，培养和弘扬社会主义核心价值观，创造良好社会环境。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综合协调辖区内各类执法工作和城镇管理、人口管理、社会管理、安全管理、住宅小区管理、房屋管理等工作以及社会治安综合治理工作中的重大事项和难点问题。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统筹调度指挥派驻机构、市级部门设在本乡镇的机构力量。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完成市委交办的其他工作。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镇人民政府的主要职责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贯彻落实党的路线方针政策和国家法律法规以及上级的决定和命令，加强农村基层政权建设，巩固党在农村的执政基础。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组织编制本行政区域经济社会发展规划和镇国土空间规划、村（社区）规划等相关规划。组织农村基础设施和各项公益事业建设，实施乡村振兴战略，加快经济社会发展，改善群众生产生活环境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指导农村经济发展，推进农业经济结构调整，促进经济增长方式转变，促进农业增效、农民增收。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加强农村公共服务体系建设，抓好基础教育、统计、科技、文化、体育、卫生健康、食品安全等工作，做好民政事务、就业 培训、社会保障、劳动关系协调、民族宗教等工作，促进农村社会事业健康发展。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推进基层民主法制建设，加强普法依法治理，指导村（居）民委员会工作，维护群众合法权益。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承担辖区平安建设、社会治安综合治理、公共安全、安全 生产及应急管理等有关工作，处理群众来信来访，反映社情民意，化解矛盾纠纷，维护社会安全稳定。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做好国防教育和兵役等工作。</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做好生态环境保护、人居环境整治相关工作。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负责建立和完善权力清单、责任清单、公共服务清单动态调整和公示机制，推进政务公开，接受群众监督，增强政府公信力。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承担法律、法规、规章规定的其他职能，完成市委、市政府交办的其他工作。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年重点工作完成情况。</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val="en-US" w:eastAsia="zh-CN"/>
        </w:rPr>
        <w:t>1.镇域经济</w:t>
      </w:r>
      <w:r>
        <w:rPr>
          <w:rFonts w:hint="eastAsia" w:ascii="仿宋_GB2312" w:hAnsi="仿宋_GB2312" w:eastAsia="仿宋_GB2312" w:cs="仿宋_GB2312"/>
          <w:b w:val="0"/>
          <w:bCs w:val="0"/>
        </w:rPr>
        <w:t>实现新</w:t>
      </w:r>
      <w:r>
        <w:rPr>
          <w:rFonts w:hint="eastAsia" w:ascii="仿宋_GB2312" w:hAnsi="仿宋_GB2312" w:eastAsia="仿宋_GB2312" w:cs="仿宋_GB2312"/>
          <w:b w:val="0"/>
          <w:bCs w:val="0"/>
          <w:lang w:val="en-US" w:eastAsia="zh-CN"/>
        </w:rPr>
        <w:t>发展</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文旅产业推进有力。悦榕庄、红珠山国际旅游度假区、绥山镇顺河村至黄湾镇龙洞村新农村道路建设工程等项目顺利推进。结合“百日攻坚”行动，抓好“十大文旅”项目落地落实。打造康养民宿示范，规划建设“仙风徐来”“峨眉云境·云栖”等14处精品民宿集群和“浴乐”“岚域树屿”等17家精品民宿。协调万人登山等重大活动顺利举办。举全镇之力协调万年寺扩建和道路建设，已新修1.6公里,硬化路面2公里，拟拓宽道路6.6公里。稳妥推进报国寺扩建项目土地协调问题。</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2）集体体经济发展壮大。深化“7+2”抱团模式，完成惠众联洗涤中心扩容项目，推进“文旅+农旅”有机融合，各村社通过打造便民停车场，开发饮用天然水，发展高端特色民宿，引进研学露营基地等方式实现创收。2022年，黄湾镇集体经济预计收入156.86万元、同比增长15%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2.</w:t>
      </w:r>
      <w:r>
        <w:rPr>
          <w:rFonts w:hint="eastAsia" w:ascii="仿宋_GB2312" w:hAnsi="仿宋_GB2312" w:eastAsia="仿宋_GB2312" w:cs="仿宋_GB2312"/>
          <w:b w:val="0"/>
          <w:bCs w:val="0"/>
          <w:kern w:val="2"/>
          <w:sz w:val="32"/>
          <w:szCs w:val="24"/>
          <w:lang w:val="en-US" w:eastAsia="zh-Hans" w:bidi="ar-SA"/>
        </w:rPr>
        <w:t>镇村面貌实现</w:t>
      </w:r>
      <w:r>
        <w:rPr>
          <w:rFonts w:hint="eastAsia" w:ascii="仿宋_GB2312" w:hAnsi="仿宋_GB2312" w:eastAsia="仿宋_GB2312" w:cs="仿宋_GB2312"/>
          <w:b w:val="0"/>
          <w:bCs w:val="0"/>
          <w:kern w:val="2"/>
          <w:sz w:val="32"/>
          <w:szCs w:val="24"/>
          <w:lang w:val="en-US" w:eastAsia="zh-CN" w:bidi="ar-SA"/>
        </w:rPr>
        <w:t>新推进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24"/>
          <w:lang w:val="en-US" w:eastAsia="zh-Hans" w:bidi="ar-SA"/>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Hans"/>
        </w:rPr>
        <w:t>脱贫攻坚成果巩固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kern w:val="2"/>
          <w:sz w:val="32"/>
          <w:szCs w:val="24"/>
          <w:lang w:val="en-US" w:eastAsia="zh-Hans" w:bidi="ar-SA"/>
        </w:rPr>
        <w:t>持续开展防止返贫监测帮扶工作</w:t>
      </w:r>
      <w:r>
        <w:rPr>
          <w:rFonts w:hint="eastAsia" w:ascii="仿宋_GB2312" w:hAnsi="仿宋_GB2312" w:eastAsia="仿宋_GB2312" w:cs="仿宋_GB2312"/>
          <w:b w:val="0"/>
          <w:bCs w:val="0"/>
          <w:kern w:val="2"/>
          <w:sz w:val="32"/>
          <w:szCs w:val="24"/>
          <w:lang w:eastAsia="zh-Hans" w:bidi="ar-SA"/>
        </w:rPr>
        <w:t>，</w:t>
      </w:r>
      <w:r>
        <w:rPr>
          <w:rFonts w:hint="eastAsia" w:ascii="仿宋_GB2312" w:hAnsi="仿宋_GB2312" w:eastAsia="仿宋_GB2312" w:cs="仿宋_GB2312"/>
          <w:b w:val="0"/>
          <w:bCs w:val="0"/>
          <w:kern w:val="2"/>
          <w:sz w:val="32"/>
          <w:szCs w:val="24"/>
          <w:lang w:val="en-US" w:eastAsia="zh-Hans" w:bidi="ar-SA"/>
        </w:rPr>
        <w:t>开展集中排查工作，全镇共摸排农户总数2182户8018人，形成村级调查研判需入户名单57户147人，合同上级部门反馈风险线索名单农户98户325人，入户核查农户总数为142户430人，经排查研判无拟新增监测对象。联合镇纪委开展监督检查和指导共8次，发现资料、排查程序、农户信息等问题</w:t>
      </w:r>
      <w:r>
        <w:rPr>
          <w:rFonts w:hint="eastAsia" w:ascii="仿宋_GB2312" w:hAnsi="仿宋_GB2312" w:eastAsia="仿宋_GB2312" w:cs="仿宋_GB2312"/>
          <w:b w:val="0"/>
          <w:bCs w:val="0"/>
          <w:kern w:val="2"/>
          <w:sz w:val="32"/>
          <w:szCs w:val="24"/>
          <w:lang w:eastAsia="zh-Hans" w:bidi="ar-SA"/>
        </w:rPr>
        <w:t>12</w:t>
      </w:r>
      <w:r>
        <w:rPr>
          <w:rFonts w:hint="eastAsia" w:ascii="仿宋_GB2312" w:hAnsi="仿宋_GB2312" w:eastAsia="仿宋_GB2312" w:cs="仿宋_GB2312"/>
          <w:b w:val="0"/>
          <w:bCs w:val="0"/>
          <w:kern w:val="2"/>
          <w:sz w:val="32"/>
          <w:szCs w:val="24"/>
          <w:lang w:val="en-US" w:eastAsia="zh-Hans" w:bidi="ar-SA"/>
        </w:rPr>
        <w:t>个，均已反馈整改到位。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24"/>
          <w:lang w:eastAsia="zh-Hans" w:bidi="ar-SA"/>
        </w:rPr>
      </w:pPr>
      <w:r>
        <w:rPr>
          <w:rFonts w:hint="eastAsia" w:ascii="仿宋_GB2312" w:hAnsi="仿宋_GB2312" w:eastAsia="仿宋_GB2312" w:cs="仿宋_GB2312"/>
          <w:b w:val="0"/>
          <w:bCs w:val="0"/>
          <w:sz w:val="32"/>
          <w:szCs w:val="32"/>
          <w:lang w:val="en-US" w:eastAsia="zh-CN"/>
        </w:rPr>
        <w:t>（2）农</w:t>
      </w:r>
      <w:r>
        <w:rPr>
          <w:rFonts w:hint="eastAsia" w:ascii="仿宋_GB2312" w:hAnsi="仿宋_GB2312" w:eastAsia="仿宋_GB2312" w:cs="仿宋_GB2312"/>
          <w:b w:val="0"/>
          <w:bCs w:val="0"/>
          <w:sz w:val="32"/>
          <w:szCs w:val="32"/>
          <w:lang w:val="en-US" w:eastAsia="zh-Hans"/>
        </w:rPr>
        <w:t>村环境有效改善</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kern w:val="2"/>
          <w:sz w:val="32"/>
          <w:szCs w:val="24"/>
          <w:lang w:val="en-US" w:eastAsia="zh-Hans" w:bidi="ar-SA"/>
        </w:rPr>
        <w:t>大力开展“五清”行动</w:t>
      </w:r>
      <w:r>
        <w:rPr>
          <w:rFonts w:hint="eastAsia" w:ascii="仿宋_GB2312" w:hAnsi="仿宋_GB2312" w:eastAsia="仿宋_GB2312" w:cs="仿宋_GB2312"/>
          <w:b w:val="0"/>
          <w:bCs w:val="0"/>
          <w:kern w:val="2"/>
          <w:sz w:val="32"/>
          <w:szCs w:val="24"/>
          <w:lang w:val="en-US" w:eastAsia="zh-CN" w:bidi="ar-SA"/>
        </w:rPr>
        <w:t>，</w:t>
      </w:r>
      <w:r>
        <w:rPr>
          <w:rFonts w:hint="eastAsia" w:ascii="仿宋_GB2312" w:hAnsi="仿宋_GB2312" w:eastAsia="仿宋_GB2312" w:cs="仿宋_GB2312"/>
          <w:b w:val="0"/>
          <w:bCs w:val="0"/>
          <w:kern w:val="2"/>
          <w:sz w:val="32"/>
          <w:szCs w:val="24"/>
          <w:lang w:val="en-US" w:eastAsia="zh-Hans" w:bidi="ar-SA"/>
        </w:rPr>
        <w:t>发动党员干部共370余次2390余人，获得峨眉山市镇级“五清”流动红旗2次，村级流动红旗5次。开展生活污染源头治理</w:t>
      </w:r>
      <w:r>
        <w:rPr>
          <w:rFonts w:hint="eastAsia" w:ascii="仿宋_GB2312" w:hAnsi="仿宋_GB2312" w:eastAsia="仿宋_GB2312" w:cs="仿宋_GB2312"/>
          <w:b w:val="0"/>
          <w:bCs w:val="0"/>
          <w:kern w:val="2"/>
          <w:sz w:val="32"/>
          <w:szCs w:val="24"/>
          <w:lang w:val="en-US" w:eastAsia="zh-CN" w:bidi="ar-SA"/>
        </w:rPr>
        <w:t>，</w:t>
      </w:r>
      <w:r>
        <w:rPr>
          <w:rFonts w:hint="eastAsia" w:ascii="仿宋_GB2312" w:hAnsi="仿宋_GB2312" w:eastAsia="仿宋_GB2312" w:cs="仿宋_GB2312"/>
          <w:b w:val="0"/>
          <w:bCs w:val="0"/>
          <w:kern w:val="2"/>
          <w:sz w:val="32"/>
          <w:szCs w:val="24"/>
          <w:lang w:eastAsia="zh-Hans" w:bidi="ar-SA"/>
        </w:rPr>
        <w:t>深入推动“厕污共治”，</w:t>
      </w:r>
      <w:r>
        <w:rPr>
          <w:rFonts w:hint="eastAsia" w:ascii="仿宋_GB2312" w:hAnsi="仿宋_GB2312" w:eastAsia="仿宋_GB2312" w:cs="仿宋_GB2312"/>
          <w:b w:val="0"/>
          <w:bCs w:val="0"/>
          <w:kern w:val="2"/>
          <w:sz w:val="32"/>
          <w:szCs w:val="24"/>
          <w:lang w:eastAsia="zh-CN" w:bidi="ar-SA"/>
        </w:rPr>
        <w:t>我镇</w:t>
      </w:r>
      <w:r>
        <w:rPr>
          <w:rFonts w:hint="eastAsia" w:ascii="仿宋_GB2312" w:hAnsi="仿宋_GB2312" w:eastAsia="仿宋_GB2312" w:cs="仿宋_GB2312"/>
          <w:b w:val="0"/>
          <w:bCs w:val="0"/>
          <w:kern w:val="2"/>
          <w:sz w:val="32"/>
          <w:szCs w:val="24"/>
          <w:lang w:eastAsia="zh-Hans" w:bidi="ar-SA"/>
        </w:rPr>
        <w:t>创卫生单位和卫生乡镇</w:t>
      </w:r>
      <w:r>
        <w:rPr>
          <w:rFonts w:hint="eastAsia" w:ascii="仿宋_GB2312" w:hAnsi="仿宋_GB2312" w:eastAsia="仿宋_GB2312" w:cs="仿宋_GB2312"/>
          <w:b w:val="0"/>
          <w:bCs w:val="0"/>
          <w:kern w:val="2"/>
          <w:sz w:val="32"/>
          <w:szCs w:val="24"/>
          <w:lang w:eastAsia="zh-CN" w:bidi="ar-SA"/>
        </w:rPr>
        <w:t>、</w:t>
      </w:r>
      <w:r>
        <w:rPr>
          <w:rFonts w:hint="eastAsia" w:ascii="仿宋_GB2312" w:hAnsi="仿宋_GB2312" w:eastAsia="仿宋_GB2312" w:cs="仿宋_GB2312"/>
          <w:b w:val="0"/>
          <w:bCs w:val="0"/>
          <w:kern w:val="2"/>
          <w:sz w:val="32"/>
          <w:szCs w:val="24"/>
          <w:lang w:eastAsia="zh-Hans" w:bidi="ar-SA"/>
        </w:rPr>
        <w:t>万年村和仙山村创省级卫生村</w:t>
      </w:r>
      <w:r>
        <w:rPr>
          <w:rFonts w:hint="eastAsia" w:ascii="仿宋_GB2312" w:hAnsi="仿宋_GB2312" w:eastAsia="仿宋_GB2312" w:cs="仿宋_GB2312"/>
          <w:b w:val="0"/>
          <w:bCs w:val="0"/>
          <w:kern w:val="2"/>
          <w:sz w:val="32"/>
          <w:szCs w:val="24"/>
          <w:lang w:eastAsia="zh-CN" w:bidi="ar-SA"/>
        </w:rPr>
        <w:t>均</w:t>
      </w:r>
      <w:r>
        <w:rPr>
          <w:rFonts w:hint="eastAsia" w:ascii="仿宋_GB2312" w:hAnsi="仿宋_GB2312" w:eastAsia="仿宋_GB2312" w:cs="仿宋_GB2312"/>
          <w:b w:val="0"/>
          <w:bCs w:val="0"/>
          <w:kern w:val="2"/>
          <w:sz w:val="32"/>
          <w:szCs w:val="24"/>
          <w:lang w:eastAsia="zh-Hans" w:bidi="ar-SA"/>
        </w:rPr>
        <w:t>验收合格。</w:t>
      </w:r>
      <w:r>
        <w:rPr>
          <w:rFonts w:hint="eastAsia" w:ascii="仿宋_GB2312" w:hAnsi="仿宋_GB2312" w:eastAsia="仿宋_GB2312" w:cs="仿宋_GB2312"/>
          <w:b w:val="0"/>
          <w:bCs w:val="0"/>
          <w:kern w:val="2"/>
          <w:sz w:val="32"/>
          <w:szCs w:val="24"/>
          <w:lang w:val="en-US" w:eastAsia="zh-Hans" w:bidi="ar-SA"/>
        </w:rPr>
        <w:t>完成“十年禁捕”巡查工作</w:t>
      </w:r>
      <w:r>
        <w:rPr>
          <w:rFonts w:hint="eastAsia" w:ascii="仿宋_GB2312" w:hAnsi="仿宋_GB2312" w:eastAsia="仿宋_GB2312" w:cs="仿宋_GB2312"/>
          <w:b w:val="0"/>
          <w:bCs w:val="0"/>
          <w:kern w:val="2"/>
          <w:sz w:val="32"/>
          <w:szCs w:val="24"/>
          <w:lang w:eastAsia="zh-Hans" w:bidi="ar-SA"/>
        </w:rPr>
        <w:t>，联合综合执法黄湾中队、村（社区）进行开展巡查200人次，多次劝离垂钓人员，暂扣违规鱼竿网具等80余件，切实保护全镇范围自然水域生态环境。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乡风文明不断提升。顺利完成“双创”工作检查，参与乐山市乡村女能人评选活动，评选出1名魅力乡村女创客，1名川渝乡村女能人之“创意民宿女主人”；成立黄湾镇巾帼志愿队20人；评选出峨眉山市级优秀工作者2名，优秀集体1个，乐山市级最美家庭1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24"/>
          <w:lang w:val="en-US" w:eastAsia="zh-Hans" w:bidi="ar-SA"/>
        </w:rPr>
      </w:pPr>
      <w:r>
        <w:rPr>
          <w:rFonts w:hint="eastAsia" w:ascii="仿宋_GB2312" w:hAnsi="仿宋_GB2312" w:eastAsia="仿宋_GB2312" w:cs="仿宋_GB2312"/>
          <w:b w:val="0"/>
          <w:bCs w:val="0"/>
          <w:kern w:val="2"/>
          <w:sz w:val="32"/>
          <w:szCs w:val="24"/>
          <w:lang w:val="en-US" w:eastAsia="zh-CN" w:bidi="ar-SA"/>
        </w:rPr>
        <w:t>3.</w:t>
      </w:r>
      <w:r>
        <w:rPr>
          <w:rFonts w:hint="eastAsia" w:ascii="仿宋_GB2312" w:hAnsi="仿宋_GB2312" w:eastAsia="仿宋_GB2312" w:cs="仿宋_GB2312"/>
          <w:b w:val="0"/>
          <w:bCs w:val="0"/>
          <w:kern w:val="2"/>
          <w:sz w:val="32"/>
          <w:szCs w:val="24"/>
          <w:lang w:val="en-US" w:eastAsia="zh-Hans" w:bidi="ar-SA"/>
        </w:rPr>
        <w:t>社会事业取得新进步</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eastAsia="zh-CN"/>
        </w:rPr>
        <w:t>民生</w:t>
      </w:r>
      <w:r>
        <w:rPr>
          <w:rFonts w:hint="eastAsia" w:ascii="仿宋_GB2312" w:hAnsi="仿宋_GB2312" w:eastAsia="仿宋_GB2312" w:cs="仿宋_GB2312"/>
          <w:b w:val="0"/>
          <w:bCs w:val="0"/>
          <w:sz w:val="32"/>
          <w:szCs w:val="32"/>
          <w:highlight w:val="none"/>
          <w:lang w:val="en-US" w:eastAsia="zh-CN"/>
        </w:rPr>
        <w:t>福祉</w:t>
      </w:r>
      <w:r>
        <w:rPr>
          <w:rFonts w:hint="eastAsia" w:ascii="仿宋_GB2312" w:hAnsi="仿宋_GB2312" w:eastAsia="仿宋_GB2312" w:cs="仿宋_GB2312"/>
          <w:b w:val="0"/>
          <w:bCs w:val="0"/>
          <w:sz w:val="32"/>
          <w:szCs w:val="32"/>
          <w:highlight w:val="none"/>
          <w:lang w:eastAsia="zh-CN"/>
        </w:rPr>
        <w:t>不断改善。</w:t>
      </w:r>
      <w:r>
        <w:rPr>
          <w:rFonts w:hint="eastAsia" w:ascii="仿宋_GB2312" w:hAnsi="仿宋_GB2312" w:eastAsia="仿宋_GB2312" w:cs="仿宋_GB2312"/>
          <w:b w:val="0"/>
          <w:bCs w:val="0"/>
          <w:sz w:val="32"/>
          <w:szCs w:val="32"/>
          <w:highlight w:val="none"/>
          <w:lang w:val="en-US" w:eastAsia="zh-CN"/>
        </w:rPr>
        <w:t>全镇民生支出共606787元；积极开展2022年“活水计划公益日”捐款、“栋梁工程”解困助学公益活动，募集捐款近3万元；做好高龄补贴的审核上报工作，共申报高龄补贴6458人次497566.5元；景区3.5专项资金上半年发放9244000元，景区养老资金1—11月发放16526000元。做好退役优抚优待办理、发放工作。发放退役军人优抚金1373522.11元。抓好农技指导，积极落实惠农政策，全年共计补贴15484元。</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安全形势持续向好。全年共排查疫情风险人员1.5万人次，加强针接种10869人；组织3轮全员核酸检测，应对“7·15”洪雅七里坪疫情表现获得杨兴平副省长高度表扬。抓好多领域安全，全年排查问题49次、落实整改49次，三年行动整治期间黄湾镇安全生产无一起安全事故发生。全年开展4次房屋安全隐患排查录入工作，持续开展燃气安全专项整治行动，已完成116户报警器的安装；开展应急综合演练16次，开展防灾避险现场教学1次。加大全山违建整治力度，共清理、拆除龙洞村、净水村抢修抢建彩钢棚52处，面积约3000平方米。及时制止部分购房户回山居住，倒逼协议签订，有效维护全山稳定。</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Hans" w:bidi="ar-SA"/>
        </w:rPr>
        <w:t>信访维稳有序推进</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Hans" w:bidi="ar-SA"/>
        </w:rPr>
        <w:t>做好全国“两会”、党的“二十大”信访维稳工作</w:t>
      </w:r>
      <w:r>
        <w:rPr>
          <w:rFonts w:hint="eastAsia"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val="0"/>
          <w:bCs w:val="0"/>
          <w:kern w:val="2"/>
          <w:sz w:val="32"/>
          <w:szCs w:val="32"/>
          <w:lang w:val="en-US" w:eastAsia="zh-CN" w:bidi="ar-SA"/>
        </w:rPr>
        <w:t>无</w:t>
      </w:r>
      <w:r>
        <w:rPr>
          <w:rFonts w:hint="eastAsia" w:ascii="仿宋_GB2312" w:hAnsi="仿宋_GB2312" w:eastAsia="仿宋_GB2312" w:cs="仿宋_GB2312"/>
          <w:b w:val="0"/>
          <w:bCs w:val="0"/>
          <w:kern w:val="2"/>
          <w:sz w:val="32"/>
          <w:szCs w:val="32"/>
          <w:lang w:val="en-US" w:eastAsia="zh-Hans" w:bidi="ar-SA"/>
        </w:rPr>
        <w:t>越级进京到省上访事件</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Hans" w:bidi="ar-SA"/>
        </w:rPr>
        <w:t>做好信访案件办理</w:t>
      </w:r>
      <w:r>
        <w:rPr>
          <w:rFonts w:hint="eastAsia"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val="0"/>
          <w:bCs w:val="0"/>
          <w:kern w:val="2"/>
          <w:sz w:val="32"/>
          <w:szCs w:val="32"/>
          <w:lang w:val="en-US" w:eastAsia="zh-Hans" w:bidi="ar-SA"/>
        </w:rPr>
        <w:t>解决群众急难问题</w:t>
      </w:r>
      <w:r>
        <w:rPr>
          <w:rFonts w:hint="eastAsia"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val="0"/>
          <w:bCs w:val="0"/>
          <w:kern w:val="2"/>
          <w:sz w:val="32"/>
          <w:szCs w:val="32"/>
          <w:lang w:val="en-US" w:eastAsia="zh-Hans" w:bidi="ar-SA"/>
        </w:rPr>
        <w:t>全年共办理国家、省、乐山市、峨眉山市信访局转交办件78件</w:t>
      </w:r>
      <w:r>
        <w:rPr>
          <w:rFonts w:hint="eastAsia"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val="0"/>
          <w:bCs w:val="0"/>
          <w:kern w:val="2"/>
          <w:sz w:val="32"/>
          <w:szCs w:val="32"/>
          <w:lang w:val="en-US" w:eastAsia="zh-Hans" w:bidi="ar-SA"/>
        </w:rPr>
        <w:t>办理省“12345”热线、乐山市心连心服务热线交办件215件</w:t>
      </w:r>
      <w:r>
        <w:rPr>
          <w:rFonts w:hint="eastAsia"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val="0"/>
          <w:bCs w:val="0"/>
          <w:kern w:val="2"/>
          <w:sz w:val="32"/>
          <w:szCs w:val="32"/>
          <w:lang w:val="en-US" w:eastAsia="zh-Hans" w:bidi="ar-SA"/>
        </w:rPr>
        <w:t>完成国家信访局“治重化积”交办件1件。全年共接访群众67批（件）96人次。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4.</w:t>
      </w:r>
      <w:r>
        <w:rPr>
          <w:rFonts w:hint="eastAsia" w:ascii="仿宋_GB2312" w:hAnsi="仿宋_GB2312" w:eastAsia="仿宋_GB2312" w:cs="仿宋_GB2312"/>
          <w:b w:val="0"/>
          <w:bCs w:val="0"/>
          <w:kern w:val="2"/>
          <w:sz w:val="32"/>
          <w:szCs w:val="24"/>
          <w:lang w:val="en-US" w:eastAsia="zh-Hans" w:bidi="ar-SA"/>
        </w:rPr>
        <w:t>党的建设得到新加强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抓好基层党建工作。扎实开展“我为群众办实事”和“百日攻坚”等活动，解决困难问题68个，摸排清理农村小庙3座，排查整顿软弱涣散党组织1个，调整补充常职干部3名；开展农村家庭能人培训56期，培养农村家庭能人1560名；动态储备入党积极分子28名，发展对象5名；持续关心慰问困难党员、老党员、离任村干部82名。守好意识形态阵地。全年党委会研究意识形态工作4次，开展中心组理论学习12次，“学习强国”APP学习平台活跃度排在全市乡镇前列。持续开展“有困难请找我”“办事不求人”“人人都是文明使者”等实践活动。全镇200余名党员热忱服务八方</w:t>
      </w:r>
      <w:r>
        <w:rPr>
          <w:rFonts w:hint="eastAsia" w:ascii="仿宋_GB2312" w:hAnsi="仿宋_GB2312" w:eastAsia="仿宋_GB2312" w:cs="仿宋_GB2312"/>
          <w:b w:val="0"/>
          <w:bCs w:val="0"/>
          <w:sz w:val="32"/>
          <w:szCs w:val="32"/>
          <w:lang w:val="en-US" w:eastAsia="zh-Hans"/>
        </w:rPr>
        <w:t>游客和</w:t>
      </w:r>
      <w:r>
        <w:rPr>
          <w:rFonts w:hint="eastAsia" w:ascii="仿宋_GB2312" w:hAnsi="仿宋_GB2312" w:eastAsia="仿宋_GB2312" w:cs="仿宋_GB2312"/>
          <w:b w:val="0"/>
          <w:bCs w:val="0"/>
          <w:sz w:val="32"/>
          <w:szCs w:val="32"/>
          <w:lang w:val="en-US" w:eastAsia="zh-CN"/>
        </w:rPr>
        <w:t>群众，开展各类志愿服务50余次。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（2）提升党政管理效率，强化保密管理，共清理登记微信工作群36个；公开综合信息84条，共上报峨眉要情等政务信息23条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全镇积极推进无纸化办公模式，镇村乐政通办公软件基本实现全覆盖；积极推进软件正版化工作，实现软件正版率90%以上；实行分餐制度，及时更换食堂餐具70余套，食堂支出大幅度降低。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b w:val="0"/>
          <w:bCs w:val="0"/>
          <w:sz w:val="32"/>
          <w:szCs w:val="32"/>
          <w:lang w:val="en-US" w:eastAsia="zh-CN"/>
        </w:rPr>
        <w:t>（3）强化党风廉政建设，全镇执纪队伍稳定，共召开干部培训、学习会20次，完成三类谈话室建设，向党员群众代表问廉、问计、问情，收集问题50个，已解决31个，正在解决19个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开展监督检查131次，组织处理（责成检查）3人、党组织1个，发现问题71个，均已督促整改到位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收到上级纪委派单7件，办结7件，共派出167单，办结167单，发现并解决问题56个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强化廉政警示教育，组织镇村党员干部学习党纪党规2次，学习典型案例通报8次，开展节前警示教育7次，编发廉洁短信6条。</w:t>
      </w: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600" w:lineRule="exact"/>
        <w:textAlignment w:val="auto"/>
        <w:outlineLvl w:val="1"/>
        <w:rPr>
          <w:rFonts w:hint="eastAsia" w:ascii="黑体" w:hAnsi="黑体" w:eastAsia="黑体" w:cs="Times New Roman"/>
          <w:b w:val="0"/>
          <w:sz w:val="32"/>
          <w:szCs w:val="32"/>
        </w:rPr>
      </w:pPr>
      <w:bookmarkStart w:id="18" w:name="_Toc15396601"/>
      <w:bookmarkStart w:id="19" w:name="_Toc4041"/>
      <w:bookmarkStart w:id="20" w:name="_Toc15377200"/>
      <w:r>
        <w:rPr>
          <w:rFonts w:hint="eastAsia" w:ascii="黑体" w:hAnsi="黑体" w:eastAsia="黑体" w:cs="Times New Roman"/>
          <w:b w:val="0"/>
          <w:sz w:val="32"/>
          <w:szCs w:val="32"/>
        </w:rPr>
        <w:t>机构设置</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峨眉山市黄湾镇人民政府下属二级预算单位4个，其中行政单位0个，参照公务员法管理的事业单位0个，其他事业单位4个。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纳入峨眉山市黄湾镇人民政府2022年度部门决算编制范围的二级预算单位包括：</w:t>
      </w:r>
    </w:p>
    <w:p>
      <w:pPr>
        <w:pStyle w:val="6"/>
        <w:pageBreakBefore w:val="0"/>
        <w:numPr>
          <w:ilvl w:val="0"/>
          <w:numId w:val="2"/>
        </w:numPr>
        <w:kinsoku/>
        <w:wordWrap/>
        <w:overflowPunct/>
        <w:topLinePunct w:val="0"/>
        <w:bidi w:val="0"/>
        <w:adjustRightInd w:val="0"/>
        <w:snapToGrid w:val="0"/>
        <w:spacing w:before="93" w:line="600" w:lineRule="exact"/>
        <w:textAlignment w:val="auto"/>
        <w:outlineLvl w:val="2"/>
        <w:rPr>
          <w:rFonts w:hint="eastAsia" w:ascii="仿宋_GB2312" w:hAnsi="仿宋_GB2312" w:eastAsia="仿宋_GB2312" w:cs="仿宋_GB2312"/>
          <w:b w:val="0"/>
          <w:bCs w:val="0"/>
          <w:kern w:val="2"/>
          <w:sz w:val="32"/>
          <w:szCs w:val="32"/>
          <w:lang w:val="en-US" w:eastAsia="zh-CN" w:bidi="ar-SA"/>
        </w:rPr>
      </w:pPr>
      <w:bookmarkStart w:id="21" w:name="_Toc15377433"/>
      <w:bookmarkStart w:id="22" w:name="_Toc15306276"/>
      <w:bookmarkStart w:id="23" w:name="_Toc15377202"/>
      <w:bookmarkStart w:id="24" w:name="_Toc15378449"/>
      <w:r>
        <w:rPr>
          <w:rFonts w:hint="eastAsia" w:ascii="仿宋_GB2312" w:hAnsi="仿宋_GB2312" w:eastAsia="仿宋_GB2312" w:cs="仿宋_GB2312"/>
          <w:b w:val="0"/>
          <w:bCs w:val="0"/>
          <w:kern w:val="2"/>
          <w:sz w:val="32"/>
          <w:szCs w:val="32"/>
          <w:lang w:val="en-US" w:eastAsia="zh-CN" w:bidi="ar-SA"/>
        </w:rPr>
        <w:t>峨眉山市黄湾镇便民服务中心</w:t>
      </w:r>
      <w:bookmarkEnd w:id="21"/>
      <w:bookmarkEnd w:id="22"/>
      <w:bookmarkEnd w:id="23"/>
      <w:bookmarkEnd w:id="24"/>
    </w:p>
    <w:p>
      <w:pPr>
        <w:pStyle w:val="6"/>
        <w:pageBreakBefore w:val="0"/>
        <w:numPr>
          <w:ilvl w:val="0"/>
          <w:numId w:val="2"/>
        </w:numPr>
        <w:kinsoku/>
        <w:wordWrap/>
        <w:overflowPunct/>
        <w:topLinePunct w:val="0"/>
        <w:bidi w:val="0"/>
        <w:adjustRightInd w:val="0"/>
        <w:snapToGrid w:val="0"/>
        <w:spacing w:before="93" w:line="600" w:lineRule="exact"/>
        <w:textAlignment w:val="auto"/>
        <w:outlineLvl w:val="2"/>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峨眉山市黄湾镇农业综合服务中心</w:t>
      </w:r>
    </w:p>
    <w:p>
      <w:pPr>
        <w:pStyle w:val="6"/>
        <w:pageBreakBefore w:val="0"/>
        <w:numPr>
          <w:ilvl w:val="0"/>
          <w:numId w:val="2"/>
        </w:numPr>
        <w:kinsoku/>
        <w:wordWrap/>
        <w:overflowPunct/>
        <w:topLinePunct w:val="0"/>
        <w:bidi w:val="0"/>
        <w:adjustRightInd w:val="0"/>
        <w:snapToGrid w:val="0"/>
        <w:spacing w:before="93" w:line="600" w:lineRule="exact"/>
        <w:textAlignment w:val="auto"/>
        <w:outlineLvl w:val="2"/>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峨眉山市黄湾镇文化旅游服务中心</w:t>
      </w:r>
    </w:p>
    <w:p>
      <w:pPr>
        <w:pStyle w:val="6"/>
        <w:pageBreakBefore w:val="0"/>
        <w:numPr>
          <w:ilvl w:val="0"/>
          <w:numId w:val="2"/>
        </w:numPr>
        <w:kinsoku/>
        <w:wordWrap/>
        <w:overflowPunct/>
        <w:topLinePunct w:val="0"/>
        <w:bidi w:val="0"/>
        <w:adjustRightInd w:val="0"/>
        <w:snapToGrid w:val="0"/>
        <w:spacing w:before="93" w:line="600" w:lineRule="exact"/>
        <w:textAlignment w:val="auto"/>
        <w:outlineLvl w:val="2"/>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峨眉山市黄湾镇农民工服务中心</w:t>
      </w:r>
      <w:r>
        <w:rPr>
          <w:rFonts w:hint="eastAsia" w:ascii="仿宋_GB2312" w:hAnsi="仿宋_GB2312" w:eastAsia="仿宋_GB2312" w:cs="仿宋_GB2312"/>
          <w:b w:val="0"/>
          <w:bCs w:val="0"/>
          <w:kern w:val="2"/>
          <w:sz w:val="32"/>
          <w:szCs w:val="32"/>
          <w:lang w:val="en-US" w:eastAsia="zh-CN" w:bidi="ar-SA"/>
        </w:rPr>
        <w:br w:type="page"/>
      </w:r>
    </w:p>
    <w:p>
      <w:pPr>
        <w:pStyle w:val="3"/>
        <w:ind w:right="440"/>
        <w:jc w:val="center"/>
        <w:rPr>
          <w:rStyle w:val="29"/>
          <w:rFonts w:ascii="黑体" w:hAnsi="黑体" w:eastAsia="黑体"/>
          <w:b w:val="0"/>
          <w:bCs/>
        </w:rPr>
      </w:pPr>
      <w:bookmarkStart w:id="25" w:name="_Toc15377204"/>
      <w:bookmarkStart w:id="26" w:name="_Toc15396602"/>
      <w:bookmarkStart w:id="27" w:name="_Toc29697"/>
      <w:r>
        <w:rPr>
          <w:rFonts w:hint="eastAsia" w:ascii="黑体" w:hAnsi="黑体" w:eastAsia="黑体"/>
          <w:b w:val="0"/>
        </w:rPr>
        <w:t>第二部分 2022年度</w:t>
      </w:r>
      <w:r>
        <w:rPr>
          <w:rStyle w:val="29"/>
          <w:rFonts w:hint="eastAsia" w:ascii="黑体" w:hAnsi="黑体" w:eastAsia="黑体"/>
          <w:b w:val="0"/>
          <w:bCs/>
        </w:rPr>
        <w:t>部门决算情况说明</w:t>
      </w:r>
      <w:bookmarkEnd w:id="25"/>
      <w:bookmarkEnd w:id="26"/>
      <w:bookmarkEnd w:id="27"/>
    </w:p>
    <w:p/>
    <w:p>
      <w:pPr>
        <w:pStyle w:val="28"/>
        <w:numPr>
          <w:ilvl w:val="0"/>
          <w:numId w:val="3"/>
        </w:numPr>
        <w:spacing w:line="600" w:lineRule="exact"/>
        <w:ind w:firstLineChars="0"/>
        <w:outlineLvl w:val="1"/>
        <w:rPr>
          <w:rStyle w:val="30"/>
          <w:rFonts w:ascii="黑体" w:hAnsi="黑体" w:eastAsia="黑体"/>
          <w:b w:val="0"/>
        </w:rPr>
      </w:pPr>
      <w:bookmarkStart w:id="28" w:name="_Toc5215"/>
      <w:bookmarkStart w:id="29" w:name="_Toc15377205"/>
      <w:bookmarkStart w:id="30"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2022年度收、支总计2294.94万元。与2021年相比，收、支总计各减少1770.04万元，下降43.54%。主要变动原因是部分项目预算收入减少，支出相对减少。</w:t>
      </w:r>
    </w:p>
    <w:p>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345440</wp:posOffset>
            </wp:positionH>
            <wp:positionV relativeFrom="paragraph">
              <wp:posOffset>251460</wp:posOffset>
            </wp:positionV>
            <wp:extent cx="4584065" cy="2755265"/>
            <wp:effectExtent l="0" t="0" r="3175" b="3175"/>
            <wp:wrapNone/>
            <wp:docPr id="1" name="图片 1" descr="收、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支"/>
                    <pic:cNvPicPr>
                      <a:picLocks noChangeAspect="1"/>
                    </pic:cNvPicPr>
                  </pic:nvPicPr>
                  <pic:blipFill>
                    <a:blip r:embed="rId9"/>
                    <a:stretch>
                      <a:fillRect/>
                    </a:stretch>
                  </pic:blipFill>
                  <pic:spPr>
                    <a:xfrm>
                      <a:off x="0" y="0"/>
                      <a:ext cx="4584065" cy="2755265"/>
                    </a:xfrm>
                    <a:prstGeom prst="rect">
                      <a:avLst/>
                    </a:prstGeom>
                  </pic:spPr>
                </pic:pic>
              </a:graphicData>
            </a:graphic>
          </wp:anchor>
        </w:drawing>
      </w:r>
    </w:p>
    <w:p>
      <w:pPr>
        <w:spacing w:line="600" w:lineRule="exact"/>
        <w:ind w:firstLine="640" w:firstLineChars="200"/>
        <w:jc w:val="left"/>
        <w:rPr>
          <w:rFonts w:hint="eastAsia" w:ascii="仿宋_GB2312" w:eastAsia="仿宋_GB2312"/>
          <w:sz w:val="32"/>
          <w:szCs w:val="32"/>
          <w:lang w:eastAsia="zh-CN"/>
        </w:rPr>
      </w:pPr>
    </w:p>
    <w:p>
      <w:pPr>
        <w:spacing w:line="600" w:lineRule="exact"/>
        <w:ind w:firstLine="640" w:firstLineChars="200"/>
        <w:jc w:val="left"/>
        <w:rPr>
          <w:rFonts w:hint="eastAsia" w:ascii="仿宋_GB2312" w:eastAsia="仿宋_GB2312"/>
          <w:sz w:val="32"/>
          <w:szCs w:val="32"/>
          <w:lang w:eastAsia="zh-CN"/>
        </w:rPr>
      </w:pPr>
    </w:p>
    <w:p>
      <w:pPr>
        <w:spacing w:line="600" w:lineRule="exact"/>
        <w:ind w:firstLine="640" w:firstLineChars="200"/>
        <w:jc w:val="left"/>
        <w:rPr>
          <w:rFonts w:hint="eastAsia" w:ascii="仿宋_GB2312" w:eastAsia="仿宋_GB2312"/>
          <w:sz w:val="32"/>
          <w:szCs w:val="32"/>
          <w:lang w:eastAsia="zh-CN"/>
        </w:rPr>
      </w:pPr>
    </w:p>
    <w:p>
      <w:pPr>
        <w:spacing w:line="600" w:lineRule="exact"/>
        <w:ind w:firstLine="640" w:firstLineChars="200"/>
        <w:jc w:val="left"/>
        <w:rPr>
          <w:rFonts w:hint="eastAsia" w:ascii="仿宋_GB2312" w:eastAsia="仿宋_GB2312"/>
          <w:sz w:val="32"/>
          <w:szCs w:val="32"/>
          <w:lang w:eastAsia="zh-CN"/>
        </w:rPr>
      </w:pPr>
    </w:p>
    <w:p>
      <w:pPr>
        <w:spacing w:line="600" w:lineRule="exact"/>
        <w:ind w:firstLine="640" w:firstLineChars="200"/>
        <w:jc w:val="left"/>
        <w:rPr>
          <w:rFonts w:hint="eastAsia" w:ascii="仿宋_GB2312" w:eastAsia="仿宋_GB2312"/>
          <w:sz w:val="32"/>
          <w:szCs w:val="32"/>
          <w:lang w:eastAsia="zh-CN"/>
        </w:rPr>
      </w:pPr>
    </w:p>
    <w:p>
      <w:pPr>
        <w:spacing w:line="600" w:lineRule="exact"/>
        <w:ind w:firstLine="640" w:firstLineChars="200"/>
        <w:jc w:val="left"/>
        <w:rPr>
          <w:rFonts w:hint="eastAsia" w:ascii="仿宋_GB2312" w:eastAsia="仿宋_GB2312"/>
          <w:sz w:val="32"/>
          <w:szCs w:val="32"/>
          <w:lang w:eastAsia="zh-CN"/>
        </w:rPr>
      </w:pPr>
    </w:p>
    <w:p>
      <w:pPr>
        <w:spacing w:line="600" w:lineRule="exact"/>
        <w:jc w:val="left"/>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（图1：收、支决算总计变动情况图）（柱状图）</w:t>
      </w:r>
    </w:p>
    <w:p>
      <w:pPr>
        <w:pStyle w:val="28"/>
        <w:numPr>
          <w:ilvl w:val="0"/>
          <w:numId w:val="3"/>
        </w:numPr>
        <w:spacing w:line="600" w:lineRule="exact"/>
        <w:ind w:firstLineChars="0"/>
        <w:outlineLvl w:val="1"/>
        <w:rPr>
          <w:rStyle w:val="30"/>
          <w:rFonts w:ascii="黑体" w:hAnsi="黑体" w:eastAsia="黑体"/>
          <w:b w:val="0"/>
        </w:rPr>
      </w:pPr>
      <w:bookmarkStart w:id="31" w:name="_Toc2215"/>
      <w:bookmarkStart w:id="32" w:name="_Toc15396604"/>
      <w:bookmarkStart w:id="33" w:name="_Toc15377206"/>
      <w:r>
        <w:rPr>
          <w:rFonts w:hint="eastAsia" w:ascii="黑体" w:hAnsi="黑体" w:eastAsia="黑体"/>
          <w:sz w:val="32"/>
          <w:szCs w:val="32"/>
        </w:rPr>
        <w:t>收</w:t>
      </w:r>
      <w:r>
        <w:rPr>
          <w:rStyle w:val="30"/>
          <w:rFonts w:hint="eastAsia" w:ascii="黑体" w:hAnsi="黑体" w:eastAsia="黑体"/>
          <w:b w:val="0"/>
        </w:rPr>
        <w:t>入决算情况说明</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2022年本年收入合计1857.43万元，其中：一般公共预算财政拨款收入1726.72万元，占92.96%；政府性基金预算财政拨款收入122.61万元，占6.6%；其他收入8.1万元，占0.44%。</w:t>
      </w:r>
    </w:p>
    <w:p>
      <w:pPr>
        <w:spacing w:line="600" w:lineRule="exact"/>
        <w:ind w:firstLine="640" w:firstLineChars="200"/>
        <w:outlineLvl w:val="9"/>
        <w:rPr>
          <w:rFonts w:hint="eastAsia" w:ascii="仿宋" w:hAnsi="仿宋" w:eastAsia="仿宋"/>
          <w:sz w:val="32"/>
          <w:szCs w:val="32"/>
          <w:lang w:eastAsia="zh-CN"/>
        </w:rPr>
      </w:pPr>
    </w:p>
    <w:p>
      <w:pPr>
        <w:pStyle w:val="6"/>
        <w:rPr>
          <w:rFonts w:hint="eastAsia" w:ascii="仿宋" w:hAnsi="仿宋" w:eastAsia="仿宋"/>
          <w:sz w:val="32"/>
          <w:szCs w:val="32"/>
          <w:lang w:eastAsia="zh-CN"/>
        </w:rPr>
      </w:pPr>
    </w:p>
    <w:p>
      <w:pPr>
        <w:pStyle w:val="6"/>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1312" behindDoc="0" locked="0" layoutInCell="1" allowOverlap="1">
            <wp:simplePos x="0" y="0"/>
            <wp:positionH relativeFrom="column">
              <wp:posOffset>344805</wp:posOffset>
            </wp:positionH>
            <wp:positionV relativeFrom="paragraph">
              <wp:posOffset>185420</wp:posOffset>
            </wp:positionV>
            <wp:extent cx="4584065" cy="2755265"/>
            <wp:effectExtent l="0" t="0" r="3175" b="3175"/>
            <wp:wrapNone/>
            <wp:docPr id="2" name="图片 2" descr="收入分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收入分类"/>
                    <pic:cNvPicPr>
                      <a:picLocks noChangeAspect="1"/>
                    </pic:cNvPicPr>
                  </pic:nvPicPr>
                  <pic:blipFill>
                    <a:blip r:embed="rId10"/>
                    <a:stretch>
                      <a:fillRect/>
                    </a:stretch>
                  </pic:blipFill>
                  <pic:spPr>
                    <a:xfrm>
                      <a:off x="0" y="0"/>
                      <a:ext cx="4584065" cy="2755265"/>
                    </a:xfrm>
                    <a:prstGeom prst="rect">
                      <a:avLst/>
                    </a:prstGeom>
                  </pic:spPr>
                </pic:pic>
              </a:graphicData>
            </a:graphic>
          </wp:anchor>
        </w:drawing>
      </w:r>
    </w:p>
    <w:p>
      <w:pPr>
        <w:pStyle w:val="6"/>
        <w:rPr>
          <w:rFonts w:hint="eastAsia" w:ascii="仿宋" w:hAnsi="仿宋" w:eastAsia="仿宋"/>
          <w:sz w:val="32"/>
          <w:szCs w:val="32"/>
          <w:lang w:eastAsia="zh-CN"/>
        </w:rPr>
      </w:pPr>
    </w:p>
    <w:p>
      <w:pPr>
        <w:spacing w:line="600" w:lineRule="exact"/>
        <w:ind w:firstLine="640" w:firstLineChars="200"/>
        <w:outlineLvl w:val="9"/>
        <w:rPr>
          <w:rFonts w:hint="eastAsia" w:ascii="仿宋" w:hAnsi="仿宋" w:eastAsia="仿宋"/>
          <w:sz w:val="32"/>
          <w:szCs w:val="32"/>
          <w:lang w:eastAsia="zh-CN"/>
        </w:rPr>
      </w:pPr>
    </w:p>
    <w:p>
      <w:pPr>
        <w:spacing w:line="600" w:lineRule="exact"/>
        <w:ind w:firstLine="640" w:firstLineChars="200"/>
        <w:outlineLvl w:val="9"/>
        <w:rPr>
          <w:rFonts w:hint="eastAsia" w:ascii="仿宋" w:hAnsi="仿宋" w:eastAsia="仿宋"/>
          <w:sz w:val="32"/>
          <w:szCs w:val="32"/>
          <w:lang w:eastAsia="zh-CN"/>
        </w:rPr>
      </w:pPr>
    </w:p>
    <w:p>
      <w:pPr>
        <w:spacing w:line="600" w:lineRule="exact"/>
        <w:ind w:firstLine="640" w:firstLineChars="200"/>
        <w:outlineLvl w:val="9"/>
        <w:rPr>
          <w:rFonts w:hint="eastAsia" w:ascii="仿宋" w:hAnsi="仿宋" w:eastAsia="仿宋"/>
          <w:sz w:val="32"/>
          <w:szCs w:val="32"/>
          <w:lang w:eastAsia="zh-CN"/>
        </w:rPr>
      </w:pPr>
    </w:p>
    <w:p>
      <w:pPr>
        <w:spacing w:line="600" w:lineRule="exact"/>
        <w:ind w:firstLine="640" w:firstLineChars="200"/>
        <w:outlineLvl w:val="9"/>
        <w:rPr>
          <w:rFonts w:hint="eastAsia" w:ascii="仿宋" w:hAnsi="仿宋" w:eastAsia="仿宋"/>
          <w:sz w:val="32"/>
          <w:szCs w:val="32"/>
          <w:lang w:eastAsia="zh-CN"/>
        </w:rPr>
      </w:pPr>
    </w:p>
    <w:p>
      <w:pPr>
        <w:spacing w:line="600" w:lineRule="exact"/>
        <w:ind w:firstLine="640" w:firstLineChars="200"/>
        <w:outlineLvl w:val="9"/>
        <w:rPr>
          <w:rFonts w:hint="eastAsia" w:ascii="仿宋" w:hAnsi="仿宋" w:eastAsia="仿宋"/>
          <w:sz w:val="32"/>
          <w:szCs w:val="32"/>
          <w:lang w:eastAsia="zh-CN"/>
        </w:rPr>
      </w:pPr>
    </w:p>
    <w:p>
      <w:pPr>
        <w:spacing w:line="600" w:lineRule="exact"/>
        <w:ind w:firstLine="640" w:firstLineChars="200"/>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（图2：收入决算结构图）（饼状图）</w:t>
      </w:r>
    </w:p>
    <w:p>
      <w:pPr>
        <w:pStyle w:val="28"/>
        <w:numPr>
          <w:ilvl w:val="0"/>
          <w:numId w:val="3"/>
        </w:numPr>
        <w:spacing w:line="600" w:lineRule="exact"/>
        <w:ind w:firstLineChars="0"/>
        <w:outlineLvl w:val="1"/>
        <w:rPr>
          <w:rFonts w:hint="eastAsia" w:ascii="黑体" w:hAnsi="黑体" w:eastAsia="黑体" w:cs="Times New Roman"/>
          <w:sz w:val="32"/>
          <w:szCs w:val="32"/>
        </w:rPr>
      </w:pPr>
      <w:bookmarkStart w:id="34" w:name="_Toc15377207"/>
      <w:bookmarkStart w:id="35" w:name="_Toc13910"/>
      <w:bookmarkStart w:id="36" w:name="_Toc15396605"/>
      <w:r>
        <w:rPr>
          <w:rFonts w:hint="eastAsia" w:ascii="黑体" w:hAnsi="黑体" w:eastAsia="黑体" w:cs="Times New Roman"/>
          <w:sz w:val="32"/>
          <w:szCs w:val="32"/>
        </w:rPr>
        <w:t>支出决算情况说明</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2022年本年支出合计1888.74万元，其中：基本支出930.44万元，占49.26%；项目支出958.30万元，占50.74%。</w:t>
      </w: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default" w:ascii="仿宋" w:hAnsi="仿宋" w:eastAsia="仿宋"/>
          <w:sz w:val="32"/>
          <w:szCs w:val="32"/>
          <w:shd w:val="pct10" w:color="auto" w:fill="FFFFFF"/>
          <w:lang w:val="en-US" w:eastAsia="zh-CN"/>
        </w:rPr>
      </w:pPr>
      <w:r>
        <w:rPr>
          <w:rFonts w:hint="eastAsia" w:ascii="仿宋" w:hAnsi="仿宋" w:eastAsia="仿宋"/>
          <w:sz w:val="32"/>
          <w:szCs w:val="32"/>
          <w:shd w:val="pct10" w:color="auto" w:fill="FFFFFF"/>
          <w:lang w:val="en-US" w:eastAsia="zh-CN"/>
        </w:rPr>
        <w:t xml:space="preserve"> </w:t>
      </w: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r>
        <w:rPr>
          <w:rFonts w:hint="eastAsia" w:ascii="仿宋" w:hAnsi="仿宋" w:eastAsia="仿宋"/>
          <w:sz w:val="32"/>
          <w:szCs w:val="32"/>
          <w:shd w:val="pct10" w:color="auto" w:fill="FFFFFF"/>
          <w:lang w:eastAsia="zh-CN"/>
        </w:rPr>
        <w:drawing>
          <wp:anchor distT="0" distB="0" distL="114300" distR="114300" simplePos="0" relativeHeight="251662336" behindDoc="0" locked="0" layoutInCell="1" allowOverlap="1">
            <wp:simplePos x="0" y="0"/>
            <wp:positionH relativeFrom="column">
              <wp:posOffset>345440</wp:posOffset>
            </wp:positionH>
            <wp:positionV relativeFrom="paragraph">
              <wp:posOffset>-2453640</wp:posOffset>
            </wp:positionV>
            <wp:extent cx="4584065" cy="2755265"/>
            <wp:effectExtent l="0" t="0" r="3175" b="3175"/>
            <wp:wrapNone/>
            <wp:docPr id="3" name="图片 3" descr="支出分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支出分类"/>
                    <pic:cNvPicPr>
                      <a:picLocks noChangeAspect="1"/>
                    </pic:cNvPicPr>
                  </pic:nvPicPr>
                  <pic:blipFill>
                    <a:blip r:embed="rId11"/>
                    <a:stretch>
                      <a:fillRect/>
                    </a:stretch>
                  </pic:blipFill>
                  <pic:spPr>
                    <a:xfrm>
                      <a:off x="0" y="0"/>
                      <a:ext cx="4584065" cy="27552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（图3：支出决算结构图）（饼状图）</w:t>
      </w:r>
    </w:p>
    <w:p>
      <w:pPr>
        <w:pStyle w:val="28"/>
        <w:numPr>
          <w:ilvl w:val="0"/>
          <w:numId w:val="3"/>
        </w:numPr>
        <w:spacing w:line="600" w:lineRule="exact"/>
        <w:ind w:firstLineChars="0"/>
        <w:outlineLvl w:val="1"/>
        <w:rPr>
          <w:rFonts w:hint="eastAsia" w:ascii="黑体" w:hAnsi="黑体" w:eastAsia="黑体" w:cs="Times New Roman"/>
          <w:sz w:val="32"/>
          <w:szCs w:val="32"/>
        </w:rPr>
      </w:pPr>
      <w:bookmarkStart w:id="37" w:name="_Toc15377208"/>
      <w:bookmarkStart w:id="38" w:name="_Toc11684"/>
      <w:bookmarkStart w:id="39" w:name="_Toc15396606"/>
      <w:r>
        <w:rPr>
          <w:rFonts w:hint="eastAsia" w:ascii="黑体" w:hAnsi="黑体" w:eastAsia="黑体" w:cs="Times New Roman"/>
          <w:sz w:val="32"/>
          <w:szCs w:val="32"/>
        </w:rPr>
        <w:t>财政拨款收入支出决算总体情况说明</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2022年财政拨款收、支总计1886.15万元。与2021年相比，财政拨款收、支总计各减少3310.51万元，增长/下降63.7%。主要变动原因是部分项目预算收入减少，支出相对减少。</w:t>
      </w:r>
    </w:p>
    <w:p>
      <w:pPr>
        <w:spacing w:line="600" w:lineRule="exact"/>
        <w:rPr>
          <w:rFonts w:hint="eastAsia" w:ascii="仿宋" w:hAnsi="仿宋" w:eastAsia="仿宋"/>
          <w:sz w:val="32"/>
          <w:szCs w:val="32"/>
          <w:lang w:eastAsia="zh-CN"/>
        </w:rPr>
      </w:pPr>
    </w:p>
    <w:p>
      <w:pPr>
        <w:spacing w:line="600" w:lineRule="exact"/>
        <w:rPr>
          <w:rFonts w:hint="eastAsia" w:ascii="仿宋" w:hAnsi="仿宋" w:eastAsia="仿宋"/>
          <w:sz w:val="32"/>
          <w:szCs w:val="32"/>
          <w:lang w:eastAsia="zh-CN"/>
        </w:rPr>
      </w:pPr>
    </w:p>
    <w:p>
      <w:pPr>
        <w:spacing w:line="600" w:lineRule="exact"/>
        <w:rPr>
          <w:rFonts w:hint="eastAsia" w:ascii="仿宋" w:hAnsi="仿宋" w:eastAsia="仿宋"/>
          <w:sz w:val="32"/>
          <w:szCs w:val="32"/>
          <w:lang w:eastAsia="zh-CN"/>
        </w:rPr>
      </w:pPr>
    </w:p>
    <w:p>
      <w:pPr>
        <w:spacing w:line="600" w:lineRule="exact"/>
        <w:rPr>
          <w:rFonts w:hint="eastAsia" w:ascii="仿宋" w:hAnsi="仿宋" w:eastAsia="仿宋"/>
          <w:sz w:val="32"/>
          <w:szCs w:val="32"/>
          <w:lang w:eastAsia="zh-CN"/>
        </w:rPr>
      </w:pPr>
    </w:p>
    <w:p>
      <w:pPr>
        <w:spacing w:line="600" w:lineRule="exact"/>
        <w:rPr>
          <w:rFonts w:hint="eastAsia" w:ascii="仿宋" w:hAnsi="仿宋" w:eastAsia="仿宋"/>
          <w:sz w:val="32"/>
          <w:szCs w:val="32"/>
          <w:lang w:eastAsia="zh-CN"/>
        </w:rPr>
      </w:pPr>
    </w:p>
    <w:p>
      <w:pPr>
        <w:spacing w:line="600" w:lineRule="exact"/>
        <w:rPr>
          <w:rFonts w:hint="eastAsia" w:ascii="仿宋" w:hAnsi="仿宋" w:eastAsia="仿宋"/>
          <w:sz w:val="32"/>
          <w:szCs w:val="32"/>
          <w:lang w:eastAsia="zh-CN"/>
        </w:rPr>
      </w:pPr>
    </w:p>
    <w:p>
      <w:pPr>
        <w:spacing w:line="600" w:lineRule="exact"/>
        <w:rPr>
          <w:rFonts w:hint="eastAsia" w:ascii="仿宋" w:hAnsi="仿宋" w:eastAsia="仿宋"/>
          <w:sz w:val="32"/>
          <w:szCs w:val="32"/>
          <w:lang w:eastAsia="zh-CN"/>
        </w:rPr>
      </w:pPr>
    </w:p>
    <w:p>
      <w:pPr>
        <w:spacing w:line="600" w:lineRule="exact"/>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344805</wp:posOffset>
            </wp:positionH>
            <wp:positionV relativeFrom="paragraph">
              <wp:posOffset>-2453640</wp:posOffset>
            </wp:positionV>
            <wp:extent cx="4584065" cy="2755265"/>
            <wp:effectExtent l="0" t="0" r="3175" b="3175"/>
            <wp:wrapNone/>
            <wp:docPr id="4" name="图片 4" descr="财拨收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财拨收支"/>
                    <pic:cNvPicPr>
                      <a:picLocks noChangeAspect="1"/>
                    </pic:cNvPicPr>
                  </pic:nvPicPr>
                  <pic:blipFill>
                    <a:blip r:embed="rId12"/>
                    <a:stretch>
                      <a:fillRect/>
                    </a:stretch>
                  </pic:blipFill>
                  <pic:spPr>
                    <a:xfrm>
                      <a:off x="0" y="0"/>
                      <a:ext cx="4584065" cy="27552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（图4：财政拨款收、支决算总计变动情况）（柱状图）</w:t>
      </w:r>
    </w:p>
    <w:p>
      <w:pPr>
        <w:pStyle w:val="28"/>
        <w:numPr>
          <w:ilvl w:val="0"/>
          <w:numId w:val="3"/>
        </w:numPr>
        <w:spacing w:line="600" w:lineRule="exact"/>
        <w:ind w:firstLineChars="0"/>
        <w:outlineLvl w:val="1"/>
        <w:rPr>
          <w:rFonts w:hint="eastAsia" w:ascii="黑体" w:hAnsi="黑体" w:eastAsia="黑体" w:cs="Times New Roman"/>
          <w:sz w:val="32"/>
          <w:szCs w:val="32"/>
        </w:rPr>
      </w:pPr>
      <w:bookmarkStart w:id="40" w:name="_Toc15377209"/>
      <w:bookmarkStart w:id="41" w:name="_Toc15396607"/>
      <w:bookmarkStart w:id="42" w:name="_Toc9948"/>
      <w:r>
        <w:rPr>
          <w:rFonts w:hint="eastAsia" w:ascii="黑体" w:hAnsi="黑体" w:eastAsia="黑体" w:cs="Times New Roman"/>
          <w:sz w:val="32"/>
          <w:szCs w:val="32"/>
        </w:rPr>
        <w:t>一般公共预算财政拨款支出决算情况说明</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43" w:name="_Toc15377210"/>
      <w:r>
        <w:rPr>
          <w:rFonts w:hint="eastAsia" w:ascii="楷体_GB2312" w:hAnsi="楷体_GB2312" w:eastAsia="楷体_GB2312" w:cs="楷体_GB2312"/>
          <w:sz w:val="32"/>
          <w:szCs w:val="32"/>
        </w:rPr>
        <w:t>（一）一般公共预算财政拨款支出决算总体情况</w:t>
      </w:r>
      <w:bookmarkEnd w:id="4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2022年一般公共预算财政拨款支出1763.54万元，占本年支出合计的93.5%。与2021年相比，一般公共预算财政拨款支出减少43.31万元，下降2.4%。主要变动原因是部分项目预算收入减少，支出相对减少。</w:t>
      </w:r>
    </w:p>
    <w:p>
      <w:pPr>
        <w:pStyle w:val="6"/>
        <w:rPr>
          <w:rFonts w:hint="eastAsia" w:ascii="仿宋" w:hAnsi="仿宋" w:eastAsia="仿宋"/>
          <w:sz w:val="32"/>
          <w:szCs w:val="32"/>
          <w:lang w:eastAsia="zh-CN"/>
        </w:rPr>
      </w:pPr>
    </w:p>
    <w:p>
      <w:pPr>
        <w:pStyle w:val="6"/>
        <w:rPr>
          <w:rFonts w:hint="eastAsia" w:ascii="仿宋" w:hAnsi="仿宋" w:eastAsia="仿宋"/>
          <w:sz w:val="32"/>
          <w:szCs w:val="32"/>
          <w:lang w:eastAsia="zh-CN"/>
        </w:rPr>
      </w:pPr>
    </w:p>
    <w:p>
      <w:pPr>
        <w:pStyle w:val="6"/>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84065" cy="2755265"/>
            <wp:effectExtent l="0" t="0" r="3175" b="3175"/>
            <wp:docPr id="8" name="图片 8" descr="公共财拨支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共财拨支出"/>
                    <pic:cNvPicPr>
                      <a:picLocks noChangeAspect="1"/>
                    </pic:cNvPicPr>
                  </pic:nvPicPr>
                  <pic:blipFill>
                    <a:blip r:embed="rId13"/>
                    <a:stretch>
                      <a:fillRect/>
                    </a:stretch>
                  </pic:blipFill>
                  <pic:spPr>
                    <a:xfrm>
                      <a:off x="0" y="0"/>
                      <a:ext cx="4584065" cy="27552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44" w:name="_Toc15377211"/>
      <w:r>
        <w:rPr>
          <w:rFonts w:hint="eastAsia" w:ascii="楷体_GB2312" w:hAnsi="楷体_GB2312" w:eastAsia="楷体_GB2312" w:cs="楷体_GB2312"/>
          <w:sz w:val="32"/>
          <w:szCs w:val="32"/>
        </w:rPr>
        <w:t>（二）一般公共预算财政拨款支出决算结构情况</w:t>
      </w:r>
      <w:bookmarkEnd w:id="4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一般公共预算财政拨款支出1763.54万元，主要用于以下方面:一般公共服务支出598.35万元，占33.93%；社会保障和就业支出300.69万元，占17.05%；卫生健康支出26.49万元，占1.5%；城乡社区支出17.52万元，占0.99%；农林水支出759.16万元，占43.05%；住房保障支出61.33万元，占3.48%。</w:t>
      </w:r>
    </w:p>
    <w:p>
      <w:pPr>
        <w:spacing w:line="600" w:lineRule="exact"/>
        <w:ind w:firstLine="640"/>
        <w:rPr>
          <w:rFonts w:ascii="仿宋" w:hAnsi="仿宋" w:eastAsia="仿宋"/>
          <w:sz w:val="32"/>
          <w:szCs w:val="32"/>
        </w:rPr>
      </w:pPr>
    </w:p>
    <w:p>
      <w:pPr>
        <w:pStyle w:val="6"/>
        <w:rPr>
          <w:rFonts w:hint="eastAsia" w:ascii="仿宋" w:hAnsi="仿宋" w:eastAsia="仿宋"/>
          <w:sz w:val="32"/>
          <w:szCs w:val="32"/>
          <w:lang w:eastAsia="zh-CN"/>
        </w:rPr>
      </w:pPr>
    </w:p>
    <w:p>
      <w:pPr>
        <w:pStyle w:val="6"/>
        <w:rPr>
          <w:rFonts w:ascii="仿宋" w:hAnsi="仿宋" w:eastAsia="仿宋"/>
          <w:sz w:val="32"/>
          <w:szCs w:val="32"/>
        </w:rPr>
      </w:pPr>
    </w:p>
    <w:p>
      <w:pPr>
        <w:pStyle w:val="6"/>
        <w:rPr>
          <w:rFonts w:ascii="仿宋" w:hAnsi="仿宋" w:eastAsia="仿宋"/>
          <w:sz w:val="32"/>
          <w:szCs w:val="32"/>
        </w:rPr>
      </w:pPr>
    </w:p>
    <w:p>
      <w:pPr>
        <w:pStyle w:val="6"/>
        <w:rPr>
          <w:rFonts w:ascii="仿宋" w:hAnsi="仿宋" w:eastAsia="仿宋"/>
          <w:sz w:val="32"/>
          <w:szCs w:val="32"/>
        </w:rPr>
      </w:pPr>
    </w:p>
    <w:p>
      <w:pPr>
        <w:pStyle w:val="6"/>
        <w:rPr>
          <w:rFonts w:ascii="仿宋" w:hAnsi="仿宋" w:eastAsia="仿宋"/>
          <w:sz w:val="32"/>
          <w:szCs w:val="32"/>
        </w:rPr>
      </w:pPr>
    </w:p>
    <w:p>
      <w:pPr>
        <w:pStyle w:val="6"/>
        <w:rPr>
          <w:rFonts w:hint="eastAsia"/>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344805</wp:posOffset>
            </wp:positionH>
            <wp:positionV relativeFrom="paragraph">
              <wp:posOffset>68580</wp:posOffset>
            </wp:positionV>
            <wp:extent cx="4584065" cy="3218815"/>
            <wp:effectExtent l="0" t="0" r="3175" b="12065"/>
            <wp:wrapNone/>
            <wp:docPr id="9" name="图片 9" descr="一般财拨支出分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一般财拨支出分类"/>
                    <pic:cNvPicPr>
                      <a:picLocks noChangeAspect="1"/>
                    </pic:cNvPicPr>
                  </pic:nvPicPr>
                  <pic:blipFill>
                    <a:blip r:embed="rId14"/>
                    <a:stretch>
                      <a:fillRect/>
                    </a:stretch>
                  </pic:blipFill>
                  <pic:spPr>
                    <a:xfrm>
                      <a:off x="0" y="0"/>
                      <a:ext cx="4584065" cy="3218815"/>
                    </a:xfrm>
                    <a:prstGeom prst="rect">
                      <a:avLst/>
                    </a:prstGeom>
                  </pic:spPr>
                </pic:pic>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qianghuag</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45" w:name="_Toc15377212"/>
      <w:r>
        <w:rPr>
          <w:rFonts w:hint="eastAsia" w:ascii="楷体_GB2312" w:hAnsi="楷体_GB2312" w:eastAsia="楷体_GB2312" w:cs="楷体_GB2312"/>
          <w:sz w:val="32"/>
          <w:szCs w:val="32"/>
        </w:rPr>
        <w:t>（三）一般公共预算财政拨款支出决算具体情况</w:t>
      </w:r>
      <w:bookmarkEnd w:id="4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bookmarkStart w:id="46" w:name="_Toc15377213"/>
      <w:bookmarkStart w:id="47" w:name="_Toc15378460"/>
      <w:bookmarkStart w:id="48" w:name="_Toc15377444"/>
      <w:r>
        <w:rPr>
          <w:rFonts w:hint="eastAsia" w:ascii="仿宋_GB2312" w:hAnsi="仿宋_GB2312" w:eastAsia="仿宋_GB2312" w:cs="仿宋_GB2312"/>
          <w:b w:val="0"/>
          <w:bCs w:val="0"/>
          <w:sz w:val="32"/>
          <w:szCs w:val="32"/>
          <w:lang w:val="en-US" w:eastAsia="zh-CN"/>
        </w:rPr>
        <w:t>2022年一般公共预算支出决算数为1763.54万元，完成预算100%。其中：</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1.一般公共服务（类）政府办公厅（室）及相关机构事务（款）行政运行（项）:支出决算为503.74万元，完成预算100%，决算数等于预算数。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2.一般公共服务（类）政府办公厅（室）及相关机构事务（款）事业运行（项）:支出决算为6.64万元，完成预算100%，决算数等于预算数。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3.一般公共服务（类）政府办公厅（室）及相关机构事务（款）其他政府办公厅（室）及相关机构事务（项）:支出决算为87.97万元，完成预算100%，决算数等于预算数。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4.社会保障和就业（类）民政管理事务（款）基层政权建设和社区治理（项）:支出决算为162.24万元，完成预算100%，决算数等于预算数。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5.社会保障和就业（类）行政事业单位养老（款）机关事业单位基本养老保险缴费（项）:支出决算为43.87万元，完成预算100%，决算数等于预算数。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6.社会保障和就业（类）行政事业单位养老（款）机关事业单位职业年金缴费（项）:支出决算为21.98万元，完成预算100%，决算数等于预算数。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7.社会保障和就业（类）抚恤（款）死亡抚恤（项）:支出决算为62.7万元，完成预算100%，决算数等于预算数。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8.社会保障和就业（类）抚恤（款）其他优抚（项）:支出决算为1.2万元，完成预算100%，决算数等于预算数。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9.社会保障和就业（类）其他社会保障和就业（款）其他社会保障和就业（项）:支出决算为8.7万元，完成预算100%，决算数等于预算数。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10.卫生健康（类）行政事业单位医疗（款）行政单位医疗（项）:支出决算为19.59万元，完成预算100%，决算数等于预算数。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11.卫生健康（类）行政事业单位医疗（款）公务员医疗补助（项）:支出决算为6.9万元，完成预算100%，决算数等于预算数。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12.城乡社区（类）城乡社区环境卫生（款）城乡社区环境卫生（项）:支出决算为17.52万元，完成预算100%，决算数等于预算数。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13.农林水（类）农业农村（款）事业运行（项）:支出决算为256.49万元，完成预算100%，决算数等于预算数。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14.农林水（类）农业农村（款）其他农业农村（项）:支出决算为33.96万元，完成预算100%，决算数等于预算数。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15.农林水（类）巩固脱贫衔接乡村振兴（款）其他巩固脱贫衔接乡村振兴（项）:支出决算为100万元，完成预算100%，决算数等于预算数。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16.农林水（类）农村综合改革（款）对村民委员会和村党支部的补助（项）:支出决算为288.71万元，完成预算100%，决算数等于预算数。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17.农林水（类）农村综合改革（款）对村集体经济组织的补助（项）:支出决算为80万元，完成预算100%，决算数等于预算数.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18.住房保障（类）住房改革（款）住房公积金（项）:支出决算为61.33万元，完成预算100%，决算数等于预算数.</w:t>
      </w:r>
    </w:p>
    <w:p>
      <w:pPr>
        <w:pStyle w:val="28"/>
        <w:numPr>
          <w:ilvl w:val="0"/>
          <w:numId w:val="3"/>
        </w:numPr>
        <w:spacing w:line="600" w:lineRule="exact"/>
        <w:ind w:firstLineChars="0"/>
        <w:outlineLvl w:val="1"/>
        <w:rPr>
          <w:rFonts w:hint="eastAsia" w:ascii="黑体" w:hAnsi="黑体" w:eastAsia="黑体" w:cs="Times New Roman"/>
          <w:sz w:val="32"/>
          <w:szCs w:val="32"/>
        </w:rPr>
      </w:pPr>
      <w:bookmarkStart w:id="49" w:name="_Toc15681"/>
      <w:bookmarkStart w:id="50" w:name="_Toc15396608"/>
      <w:bookmarkStart w:id="51" w:name="_Toc15377214"/>
      <w:r>
        <w:rPr>
          <w:rFonts w:hint="eastAsia" w:ascii="黑体" w:hAnsi="黑体" w:eastAsia="黑体" w:cs="Times New Roman"/>
          <w:sz w:val="32"/>
          <w:szCs w:val="32"/>
        </w:rPr>
        <w:t>一般公共预算财政拨款基本支出决算情况说明</w:t>
      </w:r>
      <w:bookmarkEnd w:id="49"/>
      <w:bookmarkEnd w:id="50"/>
      <w:bookmarkEnd w:id="51"/>
      <w:r>
        <w:rPr>
          <w:rFonts w:hint="eastAsia" w:ascii="黑体" w:hAnsi="黑体" w:eastAsia="黑体" w:cs="Times New Roman"/>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2022年一般公共预算财政拨款基本支出</w:t>
      </w:r>
      <w:r>
        <w:rPr>
          <w:rFonts w:hint="eastAsia" w:ascii="仿宋_GB2312" w:hAnsi="仿宋_GB2312" w:eastAsia="仿宋_GB2312" w:cs="仿宋_GB2312"/>
          <w:sz w:val="32"/>
          <w:szCs w:val="32"/>
          <w:lang w:val="en-US" w:eastAsia="zh-CN"/>
        </w:rPr>
        <w:t>930.44</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748.48</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生活补助、医疗费补助、奖励金、住房公积金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181.96</w:t>
      </w:r>
      <w:r>
        <w:rPr>
          <w:rFonts w:hint="eastAsia" w:ascii="仿宋_GB2312" w:hAnsi="仿宋_GB2312" w:eastAsia="仿宋_GB2312" w:cs="仿宋_GB2312"/>
          <w:sz w:val="32"/>
          <w:szCs w:val="32"/>
        </w:rPr>
        <w:t>万元，主要包括：办公费、印刷费、咨询费、水费、电费、邮电费、差旅费、维修（护）费、培训费、劳务费、委托业务费、工会经费、公务用车运行维护费、其他交通费、其他商品和服务支出等。</w:t>
      </w:r>
    </w:p>
    <w:p>
      <w:pPr>
        <w:pStyle w:val="28"/>
        <w:numPr>
          <w:ilvl w:val="0"/>
          <w:numId w:val="3"/>
        </w:numPr>
        <w:spacing w:line="600" w:lineRule="exact"/>
        <w:ind w:firstLineChars="0"/>
        <w:outlineLvl w:val="1"/>
        <w:rPr>
          <w:rFonts w:hint="eastAsia" w:ascii="黑体" w:hAnsi="黑体" w:eastAsia="黑体" w:cs="Times New Roman"/>
          <w:sz w:val="32"/>
          <w:szCs w:val="32"/>
        </w:rPr>
      </w:pPr>
      <w:bookmarkStart w:id="52" w:name="_Toc21916"/>
      <w:bookmarkStart w:id="53" w:name="_Toc15396609"/>
      <w:bookmarkStart w:id="54" w:name="_Toc15377215"/>
      <w:r>
        <w:rPr>
          <w:rFonts w:hint="eastAsia" w:ascii="黑体" w:hAnsi="黑体" w:eastAsia="黑体" w:cs="Times New Roman"/>
          <w:sz w:val="32"/>
          <w:szCs w:val="32"/>
        </w:rPr>
        <w:t>财政拨款“三公”经费支出决算情况说明</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55" w:name="_Toc15377216"/>
      <w:r>
        <w:rPr>
          <w:rFonts w:hint="eastAsia" w:ascii="楷体_GB2312" w:hAnsi="楷体_GB2312" w:eastAsia="楷体_GB2312" w:cs="楷体_GB2312"/>
          <w:sz w:val="32"/>
          <w:szCs w:val="32"/>
        </w:rPr>
        <w:t>（一）“三公”经费财政拨款支出决算总体情况说明</w:t>
      </w:r>
      <w:bookmarkEnd w:id="5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2022年“三公”经费财政拨款支出决算为</w:t>
      </w:r>
      <w:r>
        <w:rPr>
          <w:rFonts w:hint="eastAsia" w:ascii="仿宋_GB2312" w:hAnsi="仿宋_GB2312" w:eastAsia="仿宋_GB2312" w:cs="仿宋_GB2312"/>
          <w:sz w:val="32"/>
          <w:szCs w:val="32"/>
          <w:lang w:val="en-US" w:eastAsia="zh-CN"/>
        </w:rPr>
        <w:t>8.29</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92.11</w:t>
      </w:r>
      <w:r>
        <w:rPr>
          <w:rFonts w:hint="eastAsia" w:ascii="仿宋_GB2312" w:hAnsi="仿宋_GB2312" w:eastAsia="仿宋_GB2312" w:cs="仿宋_GB2312"/>
          <w:sz w:val="32"/>
          <w:szCs w:val="32"/>
        </w:rPr>
        <w:t>%，较上年减少</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15.92</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压缩三公开支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56" w:name="_Toc15377217"/>
      <w:r>
        <w:rPr>
          <w:rFonts w:hint="eastAsia" w:ascii="楷体_GB2312" w:hAnsi="楷体_GB2312" w:eastAsia="楷体_GB2312" w:cs="楷体_GB2312"/>
          <w:sz w:val="32"/>
          <w:szCs w:val="32"/>
        </w:rPr>
        <w:t>（二）“三公”经费财政拨款支出决算具体情况说明</w:t>
      </w:r>
      <w:bookmarkEnd w:id="5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8.29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pStyle w:val="6"/>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5408" behindDoc="0" locked="0" layoutInCell="1" allowOverlap="1">
            <wp:simplePos x="0" y="0"/>
            <wp:positionH relativeFrom="column">
              <wp:posOffset>344805</wp:posOffset>
            </wp:positionH>
            <wp:positionV relativeFrom="paragraph">
              <wp:posOffset>67310</wp:posOffset>
            </wp:positionV>
            <wp:extent cx="4584065" cy="2755265"/>
            <wp:effectExtent l="0" t="0" r="3175" b="3175"/>
            <wp:wrapNone/>
            <wp:docPr id="10" name="图片 10" descr="三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三公"/>
                    <pic:cNvPicPr>
                      <a:picLocks noChangeAspect="1"/>
                    </pic:cNvPicPr>
                  </pic:nvPicPr>
                  <pic:blipFill>
                    <a:blip r:embed="rId15"/>
                    <a:stretch>
                      <a:fillRect/>
                    </a:stretch>
                  </pic:blipFill>
                  <pic:spPr>
                    <a:xfrm>
                      <a:off x="0" y="0"/>
                      <a:ext cx="4584065" cy="2755265"/>
                    </a:xfrm>
                    <a:prstGeom prst="rect">
                      <a:avLst/>
                    </a:prstGeom>
                  </pic:spPr>
                </pic:pic>
              </a:graphicData>
            </a:graphic>
          </wp:anchor>
        </w:drawing>
      </w:r>
    </w:p>
    <w:p>
      <w:pPr>
        <w:pStyle w:val="6"/>
        <w:rPr>
          <w:rFonts w:hint="eastAsia" w:ascii="仿宋" w:hAnsi="仿宋" w:eastAsia="仿宋"/>
          <w:sz w:val="32"/>
          <w:szCs w:val="32"/>
        </w:rPr>
      </w:pPr>
    </w:p>
    <w:p>
      <w:pPr>
        <w:pStyle w:val="6"/>
        <w:rPr>
          <w:rFonts w:hint="eastAsia" w:ascii="仿宋" w:hAnsi="仿宋" w:eastAsia="仿宋"/>
          <w:sz w:val="32"/>
          <w:szCs w:val="32"/>
        </w:rPr>
      </w:pPr>
    </w:p>
    <w:p>
      <w:pPr>
        <w:pStyle w:val="6"/>
        <w:rPr>
          <w:rFonts w:hint="eastAsia" w:ascii="仿宋" w:hAnsi="仿宋" w:eastAsia="仿宋"/>
          <w:sz w:val="32"/>
          <w:szCs w:val="32"/>
        </w:rPr>
      </w:pPr>
    </w:p>
    <w:p>
      <w:pPr>
        <w:pStyle w:val="6"/>
        <w:rPr>
          <w:rFonts w:hint="eastAsia" w:ascii="仿宋" w:hAnsi="仿宋" w:eastAsia="仿宋"/>
          <w:sz w:val="32"/>
          <w:szCs w:val="32"/>
        </w:rPr>
      </w:pPr>
    </w:p>
    <w:p>
      <w:pPr>
        <w:pStyle w:val="6"/>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人。因公出国（境）支出决算比2021年增加/减少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因公出国（境）经费支出决算与</w:t>
      </w:r>
      <w:r>
        <w:rPr>
          <w:rFonts w:hint="eastAsia" w:ascii="仿宋_GB2312" w:hAnsi="仿宋_GB2312" w:eastAsia="仿宋_GB2312" w:cs="仿宋_GB2312"/>
          <w:sz w:val="32"/>
          <w:szCs w:val="32"/>
          <w:lang w:val="en-US" w:eastAsia="zh-CN"/>
        </w:rPr>
        <w:t>2021年持平，均为0万元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w:t>
      </w:r>
      <w:r>
        <w:rPr>
          <w:rFonts w:hint="eastAsia" w:ascii="仿宋_GB2312" w:hAnsi="仿宋_GB2312" w:eastAsia="仿宋_GB2312" w:cs="仿宋_GB2312"/>
          <w:sz w:val="32"/>
          <w:szCs w:val="32"/>
          <w:lang w:val="en-US" w:eastAsia="zh-CN"/>
        </w:rPr>
        <w:t>8.29</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%。公务用车购置及运行维护费支出决算比2021年减少</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15.92</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压缩公车开支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万元。截至2022年12月底，单位共有公务用车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辆、越野车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辆、载客汽车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w:t>
      </w:r>
      <w:r>
        <w:rPr>
          <w:rFonts w:hint="eastAsia" w:ascii="仿宋_GB2312" w:hAnsi="仿宋_GB2312" w:eastAsia="仿宋_GB2312" w:cs="仿宋_GB2312"/>
          <w:sz w:val="32"/>
          <w:szCs w:val="32"/>
          <w:lang w:val="en-US" w:eastAsia="zh-CN"/>
        </w:rPr>
        <w:t>8.29</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政府日常工作、环境整治、征地拆迁、安全、社会治安综合治理、环保、防汛、农村基础设施建设</w:t>
      </w:r>
      <w:r>
        <w:rPr>
          <w:rFonts w:hint="eastAsia" w:ascii="仿宋_GB2312" w:hAnsi="仿宋_GB2312" w:eastAsia="仿宋_GB2312" w:cs="仿宋_GB2312"/>
          <w:sz w:val="32"/>
          <w:szCs w:val="32"/>
        </w:rPr>
        <w:t>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3.公务接待费支出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%。公务接待费支出决算比2021年增加/减少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公务接待经费支出决算与</w:t>
      </w:r>
      <w:r>
        <w:rPr>
          <w:rFonts w:hint="eastAsia" w:ascii="仿宋_GB2312" w:hAnsi="仿宋_GB2312" w:eastAsia="仿宋_GB2312" w:cs="仿宋_GB2312"/>
          <w:sz w:val="32"/>
          <w:szCs w:val="32"/>
          <w:lang w:val="en-US" w:eastAsia="zh-CN"/>
        </w:rPr>
        <w:t>2021年持平，均为0万元</w:t>
      </w:r>
      <w:r>
        <w:rPr>
          <w:rFonts w:hint="eastAsia" w:ascii="仿宋_GB2312" w:hAnsi="仿宋_GB2312" w:eastAsia="仿宋_GB2312" w:cs="仿宋_GB2312"/>
          <w:sz w:val="32"/>
          <w:szCs w:val="32"/>
        </w:rPr>
        <w:t>。其中：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无开支</w:t>
      </w:r>
      <w:r>
        <w:rPr>
          <w:rFonts w:hint="eastAsia" w:ascii="仿宋_GB2312" w:hAnsi="仿宋_GB2312" w:eastAsia="仿宋_GB2312" w:cs="仿宋_GB2312"/>
          <w:sz w:val="32"/>
          <w:szCs w:val="32"/>
        </w:rPr>
        <w:t>。国内公务接待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万元，具体内容包括：</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万元，主要用于接待</w:t>
      </w:r>
      <w:r>
        <w:rPr>
          <w:rFonts w:hint="eastAsia" w:ascii="仿宋_GB2312" w:hAnsi="仿宋_GB2312" w:eastAsia="仿宋_GB2312" w:cs="仿宋_GB2312"/>
          <w:sz w:val="32"/>
          <w:szCs w:val="32"/>
          <w:lang w:eastAsia="zh-CN"/>
        </w:rPr>
        <w:t>无接待</w:t>
      </w:r>
      <w:r>
        <w:rPr>
          <w:rFonts w:hint="eastAsia" w:ascii="仿宋_GB2312" w:hAnsi="仿宋_GB2312" w:eastAsia="仿宋_GB2312" w:cs="仿宋_GB2312"/>
          <w:sz w:val="32"/>
          <w:szCs w:val="32"/>
        </w:rPr>
        <w:t>。外事接待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bookmarkStart w:id="57" w:name="_Toc15396610"/>
      <w:bookmarkStart w:id="58" w:name="_Toc15377218"/>
    </w:p>
    <w:p>
      <w:pPr>
        <w:pStyle w:val="28"/>
        <w:numPr>
          <w:ilvl w:val="0"/>
          <w:numId w:val="3"/>
        </w:numPr>
        <w:spacing w:line="600" w:lineRule="exact"/>
        <w:ind w:firstLineChars="0"/>
        <w:outlineLvl w:val="1"/>
        <w:rPr>
          <w:rFonts w:hint="eastAsia" w:ascii="黑体" w:hAnsi="黑体" w:eastAsia="黑体" w:cs="Times New Roman"/>
          <w:sz w:val="32"/>
          <w:szCs w:val="32"/>
        </w:rPr>
      </w:pPr>
      <w:bookmarkStart w:id="59" w:name="_Toc5341"/>
      <w:r>
        <w:rPr>
          <w:rFonts w:hint="eastAsia" w:ascii="黑体" w:hAnsi="黑体" w:eastAsia="黑体" w:cs="Times New Roman"/>
          <w:sz w:val="32"/>
          <w:szCs w:val="32"/>
        </w:rPr>
        <w:t>政府性基金预算支出决算情况说明</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2022年政府性基金预算财政拨款支出</w:t>
      </w:r>
      <w:r>
        <w:rPr>
          <w:rFonts w:hint="eastAsia" w:ascii="仿宋_GB2312" w:hAnsi="仿宋_GB2312" w:eastAsia="仿宋_GB2312" w:cs="仿宋_GB2312"/>
          <w:sz w:val="32"/>
          <w:szCs w:val="32"/>
          <w:lang w:val="en-US" w:eastAsia="zh-CN"/>
        </w:rPr>
        <w:t>122.61</w:t>
      </w:r>
      <w:r>
        <w:rPr>
          <w:rFonts w:hint="eastAsia" w:ascii="仿宋_GB2312" w:hAnsi="仿宋_GB2312" w:eastAsia="仿宋_GB2312" w:cs="仿宋_GB2312"/>
          <w:sz w:val="32"/>
          <w:szCs w:val="32"/>
        </w:rPr>
        <w:t>万元。</w:t>
      </w:r>
    </w:p>
    <w:p>
      <w:pPr>
        <w:pStyle w:val="28"/>
        <w:numPr>
          <w:ilvl w:val="0"/>
          <w:numId w:val="3"/>
        </w:numPr>
        <w:spacing w:line="600" w:lineRule="exact"/>
        <w:ind w:firstLineChars="0"/>
        <w:outlineLvl w:val="1"/>
        <w:rPr>
          <w:rFonts w:hint="eastAsia" w:ascii="黑体" w:hAnsi="黑体" w:eastAsia="黑体" w:cs="Times New Roman"/>
          <w:sz w:val="32"/>
          <w:szCs w:val="32"/>
        </w:rPr>
      </w:pPr>
      <w:bookmarkStart w:id="60" w:name="_Toc15377219"/>
      <w:bookmarkStart w:id="61" w:name="_Toc11603"/>
      <w:bookmarkStart w:id="62" w:name="_Toc15396611"/>
      <w:r>
        <w:rPr>
          <w:rFonts w:hint="eastAsia" w:ascii="黑体" w:hAnsi="黑体" w:eastAsia="黑体" w:cs="Times New Roman"/>
          <w:sz w:val="32"/>
          <w:szCs w:val="32"/>
        </w:rPr>
        <w:t>国有资本经营预算支出决算情况说明</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pStyle w:val="28"/>
        <w:numPr>
          <w:ilvl w:val="0"/>
          <w:numId w:val="3"/>
        </w:numPr>
        <w:spacing w:line="600" w:lineRule="exact"/>
        <w:ind w:firstLineChars="0"/>
        <w:outlineLvl w:val="1"/>
        <w:rPr>
          <w:rFonts w:hint="eastAsia" w:ascii="黑体" w:hAnsi="黑体" w:eastAsia="黑体" w:cs="Times New Roman"/>
          <w:sz w:val="32"/>
          <w:szCs w:val="32"/>
        </w:rPr>
      </w:pPr>
      <w:bookmarkStart w:id="63" w:name="_Toc15396612"/>
      <w:bookmarkStart w:id="64" w:name="_Toc21426"/>
      <w:bookmarkStart w:id="65" w:name="_Toc15377221"/>
      <w:r>
        <w:rPr>
          <w:rFonts w:hint="eastAsia" w:ascii="黑体" w:hAnsi="黑体" w:eastAsia="黑体" w:cs="Times New Roman"/>
          <w:sz w:val="32"/>
          <w:szCs w:val="32"/>
        </w:rPr>
        <w:t>其他重要事项的情况说明</w:t>
      </w:r>
      <w:bookmarkEnd w:id="63"/>
      <w:bookmarkEnd w:id="64"/>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66" w:name="_Toc15377222"/>
      <w:r>
        <w:rPr>
          <w:rFonts w:hint="eastAsia" w:ascii="楷体_GB2312" w:hAnsi="楷体_GB2312" w:eastAsia="楷体_GB2312" w:cs="楷体_GB2312"/>
          <w:sz w:val="32"/>
          <w:szCs w:val="32"/>
        </w:rPr>
        <w:t>（一）机关运行经费支出情况</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峨眉山市黄湾镇人民政府</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181.96</w:t>
      </w:r>
      <w:r>
        <w:rPr>
          <w:rFonts w:hint="eastAsia" w:ascii="仿宋_GB2312" w:hAnsi="仿宋_GB2312" w:eastAsia="仿宋_GB2312" w:cs="仿宋_GB2312"/>
          <w:sz w:val="32"/>
          <w:szCs w:val="32"/>
        </w:rPr>
        <w:t>万元，比2021年增加</w:t>
      </w:r>
      <w:r>
        <w:rPr>
          <w:rFonts w:hint="eastAsia" w:ascii="仿宋_GB2312" w:hAnsi="仿宋_GB2312" w:eastAsia="仿宋_GB2312" w:cs="仿宋_GB2312"/>
          <w:sz w:val="32"/>
          <w:szCs w:val="32"/>
          <w:lang w:val="en-US" w:eastAsia="zh-CN"/>
        </w:rPr>
        <w:t>62.7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52.57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人员增加，机关运行经费也相应增加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67" w:name="_Toc15377223"/>
      <w:r>
        <w:rPr>
          <w:rFonts w:hint="eastAsia" w:ascii="楷体_GB2312" w:hAnsi="楷体_GB2312" w:eastAsia="楷体_GB2312" w:cs="楷体_GB2312"/>
          <w:sz w:val="32"/>
          <w:szCs w:val="32"/>
        </w:rPr>
        <w:t>（二）政府采购支出情况</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峨眉山市黄湾镇人民政府</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68" w:name="_Toc15377224"/>
      <w:r>
        <w:rPr>
          <w:rFonts w:hint="eastAsia" w:ascii="楷体_GB2312" w:hAnsi="楷体_GB2312" w:eastAsia="楷体_GB2312" w:cs="楷体_GB2312"/>
          <w:sz w:val="32"/>
          <w:szCs w:val="32"/>
        </w:rPr>
        <w:t>（三）国有资产占有使用情况</w:t>
      </w:r>
      <w:bookmarkEnd w:id="68"/>
    </w:p>
    <w:p>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w:t>
      </w:r>
      <w:r>
        <w:rPr>
          <w:rFonts w:hint="eastAsia" w:ascii="仿宋_GB2312" w:hAnsi="仿宋_GB2312" w:eastAsia="仿宋_GB2312" w:cs="仿宋_GB2312"/>
          <w:sz w:val="32"/>
          <w:szCs w:val="32"/>
          <w:lang w:eastAsia="zh-CN"/>
        </w:rPr>
        <w:t>峨眉山市黄湾镇人民政府</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辆，其他用车主要是用于</w:t>
      </w:r>
      <w:r>
        <w:rPr>
          <w:rFonts w:hint="eastAsia" w:ascii="仿宋_GB2312" w:hAnsi="仿宋_GB2312" w:eastAsia="仿宋_GB2312" w:cs="仿宋_GB2312"/>
          <w:sz w:val="32"/>
          <w:szCs w:val="32"/>
          <w:lang w:eastAsia="zh-CN"/>
        </w:rPr>
        <w:t>政府日常工作、环境整治、征地拆迁、安全、社会治安综合治理、环保、防汛、农村基础设施建设</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。单价100万元以上专用设备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根据预算绩效管理要求，本部门在2022年度预算编制阶段，组织对景区生态搬迁增发过渡费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社区干部报酬、城乡环保与环境综合整治专项经费、社区干部报酬、乡镇专项业务经费、村级办公费、武装工作经费项目等</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1个100万元及以上项目国有贫困林场项目，</w:t>
      </w:r>
      <w:r>
        <w:rPr>
          <w:rFonts w:hint="eastAsia" w:ascii="仿宋_GB2312" w:hAnsi="仿宋_GB2312" w:eastAsia="仿宋_GB2312" w:cs="仿宋_GB2312"/>
          <w:sz w:val="32"/>
          <w:szCs w:val="32"/>
        </w:rPr>
        <w:t>5个100万元以下项目</w:t>
      </w:r>
      <w:r>
        <w:rPr>
          <w:rFonts w:hint="eastAsia" w:ascii="仿宋_GB2312" w:hAnsi="仿宋_GB2312" w:eastAsia="仿宋_GB2312" w:cs="仿宋_GB2312"/>
          <w:sz w:val="32"/>
          <w:szCs w:val="32"/>
          <w:lang w:val="en-US" w:eastAsia="zh-CN"/>
        </w:rPr>
        <w:t>城乡环保、环境综合整治专项经费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基层武装业务经费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2022扶持村级集体经济发展资金、</w:t>
      </w:r>
      <w:r>
        <w:rPr>
          <w:rFonts w:hint="eastAsia" w:ascii="仿宋_GB2312" w:hAnsi="仿宋_GB2312" w:eastAsia="仿宋_GB2312" w:cs="仿宋_GB2312"/>
          <w:sz w:val="32"/>
          <w:szCs w:val="32"/>
          <w:lang w:val="en-US"/>
        </w:rPr>
        <w:t>交管办及村级劝导员经费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村级基层组织和公共运维费</w:t>
      </w:r>
      <w:r>
        <w:rPr>
          <w:rFonts w:hint="eastAsia" w:ascii="仿宋_GB2312" w:hAnsi="仿宋_GB2312" w:eastAsia="仿宋_GB2312" w:cs="仿宋_GB2312"/>
          <w:sz w:val="32"/>
          <w:szCs w:val="32"/>
        </w:rPr>
        <w:t>项目开展了绩效自评。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峨眉山市黄湾镇人民政府</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国有贫困林场</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eastAsia="zh-CN"/>
        </w:rPr>
        <w:t>峨眉山市黄湾镇人民政府</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综述：年初预算绩效目标的前提下，会计核算、现金管理、转账支付等均按财政规章制度执行，做到专款专用，资金支付依据齐全、开支标准合理合法、专项资金专项管理、专项使用，年初的绩效目标也基本完成。本部门还自行组织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个项目支出绩效</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rPr>
        <w:t>，从评价情况来看项目支出资金拨付到位、资金分配合理，项目资金的效能达到了预期效果。但还存在绩效监控制度不够完善、项目绩效评价流程不够完善等问题。绩效自评报告详见附件。</w:t>
      </w:r>
      <w:r>
        <w:rPr>
          <w:rFonts w:hint="eastAsia" w:ascii="仿宋_GB2312" w:hAnsi="仿宋_GB2312" w:eastAsia="仿宋_GB2312" w:cs="仿宋_GB2312"/>
          <w:sz w:val="32"/>
          <w:szCs w:val="32"/>
        </w:rPr>
        <w:br w:type="page"/>
      </w:r>
    </w:p>
    <w:p>
      <w:pPr>
        <w:numPr>
          <w:ilvl w:val="0"/>
          <w:numId w:val="4"/>
        </w:numPr>
        <w:spacing w:line="600" w:lineRule="exact"/>
        <w:ind w:firstLine="660" w:firstLineChars="150"/>
        <w:jc w:val="center"/>
        <w:outlineLvl w:val="0"/>
        <w:rPr>
          <w:rStyle w:val="29"/>
          <w:rFonts w:ascii="黑体" w:hAnsi="黑体" w:eastAsia="黑体"/>
          <w:b w:val="0"/>
        </w:rPr>
      </w:pPr>
      <w:bookmarkStart w:id="69" w:name="_Toc31229"/>
      <w:bookmarkStart w:id="70" w:name="_Toc15396613"/>
      <w:bookmarkStart w:id="71" w:name="_Toc15377225"/>
      <w:r>
        <w:rPr>
          <w:rFonts w:hint="eastAsia" w:ascii="黑体" w:hAnsi="黑体" w:eastAsia="黑体"/>
          <w:sz w:val="44"/>
          <w:szCs w:val="44"/>
        </w:rPr>
        <w:t>名</w:t>
      </w:r>
      <w:r>
        <w:rPr>
          <w:rStyle w:val="29"/>
          <w:rFonts w:hint="eastAsia" w:ascii="黑体" w:hAnsi="黑体" w:eastAsia="黑体"/>
          <w:b w:val="0"/>
        </w:rPr>
        <w:t>词解释</w:t>
      </w:r>
      <w:bookmarkEnd w:id="69"/>
      <w:bookmarkEnd w:id="70"/>
      <w:bookmarkEnd w:id="71"/>
    </w:p>
    <w:p>
      <w:pPr>
        <w:spacing w:line="600" w:lineRule="exact"/>
        <w:jc w:val="left"/>
        <w:rPr>
          <w:rFonts w:ascii="宋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4.其他收入：指单位取得的除上述收入以外的各项收入。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5.使用非财政拨款结余：指事业单位使用以前年度积累的非财政拨款结余弥补当年收支差额的金额。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9.一般公共服务支出（类）政府办公厅（室）及相关机关机构事务（款）行政运行（项）：指反映行政单位（包括实行公务员管理的事业单位）的基本支出。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10.一般公共服务支出（类）政府办公厅（室）及相关机关机构事务（款）</w:t>
      </w:r>
      <w:r>
        <w:rPr>
          <w:rFonts w:hint="eastAsia" w:ascii="仿宋_GB2312" w:hAnsi="仿宋_GB2312" w:eastAsia="仿宋_GB2312" w:cs="仿宋_GB2312"/>
          <w:sz w:val="32"/>
          <w:szCs w:val="32"/>
          <w:lang w:eastAsia="zh-CN"/>
        </w:rPr>
        <w:t>事业运行</w:t>
      </w:r>
      <w:r>
        <w:rPr>
          <w:rFonts w:hint="eastAsia" w:ascii="仿宋_GB2312" w:hAnsi="仿宋_GB2312" w:eastAsia="仿宋_GB2312" w:cs="仿宋_GB2312"/>
          <w:sz w:val="32"/>
          <w:szCs w:val="32"/>
        </w:rPr>
        <w:t>（项）：指反映</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的基本支出，不包括行政单位</w:t>
      </w:r>
      <w:r>
        <w:rPr>
          <w:rFonts w:hint="eastAsia" w:ascii="仿宋_GB2312" w:hAnsi="仿宋_GB2312" w:eastAsia="仿宋_GB2312" w:cs="仿宋_GB2312"/>
          <w:sz w:val="32"/>
          <w:szCs w:val="32"/>
        </w:rPr>
        <w:t>（包括实行公务员管理的事业单位）</w:t>
      </w:r>
      <w:r>
        <w:rPr>
          <w:rFonts w:hint="eastAsia" w:ascii="仿宋_GB2312" w:hAnsi="仿宋_GB2312" w:eastAsia="仿宋_GB2312" w:cs="仿宋_GB2312"/>
          <w:sz w:val="32"/>
          <w:szCs w:val="32"/>
          <w:lang w:eastAsia="zh-CN"/>
        </w:rPr>
        <w:t>后勤服务中心、医务室等附属事业单位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11.一般公共服务支出（类）政府办公厅（室）及相关机关机构事务（款）其他政府办公厅（室）及相关机关机构事务（项）：指反映除除上述项目以外的其他政府办公厅（室）及相关机关机构事务支出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12.社会保障和就业（类）民政管理事务（款）基层政权建设和社区治理（项）：指开展村民自治、村务公开等基层政权和社区建设工作的支出。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13.社会保障和就业（类）行政事业单位养老（款）机关事业单位基本养老保险缴费（项）：指</w:t>
      </w:r>
      <w:r>
        <w:rPr>
          <w:rFonts w:hint="eastAsia" w:ascii="仿宋_GB2312" w:hAnsi="仿宋_GB2312" w:eastAsia="仿宋_GB2312" w:cs="仿宋_GB2312"/>
          <w:sz w:val="32"/>
          <w:szCs w:val="32"/>
        </w:rPr>
        <w:t>机关事业单位实施养老保险制度由单位缴纳的养老保险费支出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14.社会保障和就业（类）行政事业单位养老（款）机关事业单位职业年金缴费（项）：指机关</w:t>
      </w:r>
      <w:r>
        <w:rPr>
          <w:rFonts w:hint="eastAsia" w:ascii="仿宋_GB2312" w:hAnsi="仿宋_GB2312" w:eastAsia="仿宋_GB2312" w:cs="仿宋_GB2312"/>
          <w:sz w:val="32"/>
          <w:szCs w:val="32"/>
        </w:rPr>
        <w:t>事业单位实施养老保险制度由单位实际缴纳的职业年金支出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15.社会保障和就业（类）抚恤（款）死亡抚恤（项）：指按规定用于烈士和牺牲、病故人员家属的一次性和定期抚恤金以及丧葬抚恤费的支出。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16.社会保障和就业（类）抚恤（款）其他优抚（项）：指</w:t>
      </w:r>
      <w:r>
        <w:rPr>
          <w:rFonts w:hint="eastAsia" w:ascii="仿宋_GB2312" w:hAnsi="仿宋_GB2312" w:eastAsia="仿宋_GB2312" w:cs="仿宋_GB2312"/>
          <w:sz w:val="32"/>
          <w:szCs w:val="32"/>
        </w:rPr>
        <w:t>死亡的行政事业单位工作人员遗属补助</w:t>
      </w:r>
      <w:r>
        <w:rPr>
          <w:rFonts w:hint="eastAsia" w:ascii="仿宋_GB2312" w:hAnsi="仿宋_GB2312" w:eastAsia="仿宋_GB2312" w:cs="仿宋_GB2312"/>
          <w:sz w:val="32"/>
          <w:szCs w:val="32"/>
          <w:lang w:eastAsia="zh-CN"/>
        </w:rPr>
        <w:t>的支出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17.社会保障和就业（类）其他社会保障和就业（款）其他社会保障和就业（项）：指</w:t>
      </w:r>
      <w:r>
        <w:rPr>
          <w:rFonts w:hint="eastAsia" w:ascii="仿宋_GB2312" w:hAnsi="仿宋_GB2312" w:eastAsia="仿宋_GB2312" w:cs="仿宋_GB2312"/>
          <w:sz w:val="32"/>
          <w:szCs w:val="32"/>
          <w:lang w:eastAsia="zh-CN"/>
        </w:rPr>
        <w:t>除上述项目以外其他用于社会保障和就业方面的支出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18.卫生健康（类）行政事业单位医疗（款）行政单位医疗（项）：指</w:t>
      </w:r>
      <w:r>
        <w:rPr>
          <w:rFonts w:hint="eastAsia" w:ascii="仿宋_GB2312" w:hAnsi="仿宋_GB2312" w:eastAsia="仿宋_GB2312" w:cs="仿宋_GB2312"/>
          <w:sz w:val="32"/>
          <w:szCs w:val="32"/>
          <w:lang w:eastAsia="zh-CN"/>
        </w:rPr>
        <w:t>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19.卫生健康（类）行政事业单位医疗（款）公务员医疗补助（项）：指</w:t>
      </w:r>
      <w:r>
        <w:rPr>
          <w:rFonts w:hint="eastAsia" w:ascii="仿宋_GB2312" w:hAnsi="仿宋_GB2312" w:eastAsia="仿宋_GB2312" w:cs="仿宋_GB2312"/>
          <w:sz w:val="32"/>
          <w:szCs w:val="32"/>
          <w:lang w:eastAsia="zh-CN"/>
        </w:rPr>
        <w:t>财政部门安排的公务员医疗补助经费</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20.城乡社区（类）城乡社区环境卫生（款）城乡社区环境卫生（项）：指</w:t>
      </w:r>
      <w:r>
        <w:rPr>
          <w:rFonts w:hint="eastAsia" w:ascii="仿宋_GB2312" w:hAnsi="仿宋_GB2312" w:eastAsia="仿宋_GB2312" w:cs="仿宋_GB2312"/>
          <w:sz w:val="32"/>
          <w:szCs w:val="32"/>
        </w:rPr>
        <w:t>城乡社区道路清扫、垃圾清运与处理、公布建设与维护、园林绿化等方面的支出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21.农林水（类）农业农村（款）事业运行（项）：指</w:t>
      </w:r>
      <w:r>
        <w:rPr>
          <w:rFonts w:hint="eastAsia" w:ascii="仿宋_GB2312" w:hAnsi="仿宋_GB2312" w:eastAsia="仿宋_GB2312" w:cs="仿宋_GB2312"/>
          <w:sz w:val="32"/>
          <w:szCs w:val="32"/>
        </w:rPr>
        <w:t>用于农业事业单位基本支出，事业单位设施、系统运行与资产维护等方面的支出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22.农林水（类）农业农村（款）其他农业农村（项）：指除上述项目以外其他用于农业方面的支出。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23.农林水（类）巩固脱贫衔接乡村振兴（款）其他巩固脱贫衔接乡村振兴（项）：指除上述项目以外其他用于巩固脱贫衔接乡村振兴方面的支出。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24.农林水（类）农村综合改革（款）对村民委员会和村党支部的补助（项）：指</w:t>
      </w:r>
      <w:r>
        <w:rPr>
          <w:rFonts w:hint="eastAsia" w:ascii="仿宋_GB2312" w:hAnsi="仿宋_GB2312" w:eastAsia="仿宋_GB2312" w:cs="仿宋_GB2312"/>
          <w:sz w:val="32"/>
          <w:szCs w:val="32"/>
        </w:rPr>
        <w:t>各级财政对村民委员会村党支部的补助支出，以及支持建设县级基本财力保障机制安排村级组织运转奖补资金</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25.农林水（类）农村综合改革（款）对村集体经济组织的补助（项）：指</w:t>
      </w:r>
      <w:r>
        <w:rPr>
          <w:rFonts w:hint="eastAsia" w:ascii="仿宋_GB2312" w:hAnsi="仿宋_GB2312" w:eastAsia="仿宋_GB2312" w:cs="仿宋_GB2312"/>
          <w:sz w:val="32"/>
          <w:szCs w:val="32"/>
        </w:rPr>
        <w:t>各级财政对农村改革示范试点、新型农业社会化服务体系建设等补助支出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26.住房保障（类）住房改革（款）住房公积金（项）：指</w:t>
      </w:r>
      <w:r>
        <w:rPr>
          <w:rFonts w:hint="eastAsia" w:ascii="仿宋_GB2312" w:hAnsi="仿宋_GB2312" w:eastAsia="仿宋_GB2312" w:cs="仿宋_GB2312"/>
          <w:sz w:val="32"/>
          <w:szCs w:val="32"/>
        </w:rPr>
        <w:t>行政事业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按人力资源和社会保障部、财政部规定的基本工资和津贴补贴以及规定比例为职工缴纳的住房公积金</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28.项目支出：指在基本支出之外为完成特定行政任务和事业发展目标所发生的支出。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ascii="黑体" w:hAnsi="黑体" w:eastAsia="黑体"/>
          <w:b w:val="0"/>
        </w:rPr>
      </w:pPr>
      <w:bookmarkStart w:id="72" w:name="_Toc15377226"/>
      <w:r>
        <w:rPr>
          <w:rFonts w:ascii="宋体"/>
          <w:b/>
          <w:sz w:val="44"/>
          <w:szCs w:val="44"/>
        </w:rPr>
        <w:br w:type="page"/>
      </w:r>
      <w:bookmarkStart w:id="73" w:name="_Toc15396614"/>
      <w:bookmarkStart w:id="74" w:name="_Toc16595"/>
      <w:r>
        <w:rPr>
          <w:rFonts w:hint="eastAsia" w:ascii="黑体" w:hAnsi="黑体" w:eastAsia="黑体"/>
          <w:sz w:val="44"/>
          <w:szCs w:val="44"/>
        </w:rPr>
        <w:t>第</w:t>
      </w:r>
      <w:r>
        <w:rPr>
          <w:rStyle w:val="29"/>
          <w:rFonts w:hint="eastAsia" w:ascii="黑体" w:hAnsi="黑体" w:eastAsia="黑体"/>
          <w:b w:val="0"/>
        </w:rPr>
        <w:t>四部分 附件</w:t>
      </w:r>
      <w:bookmarkEnd w:id="73"/>
      <w:bookmarkEnd w:id="74"/>
    </w:p>
    <w:p>
      <w:pPr>
        <w:spacing w:line="572" w:lineRule="exact"/>
        <w:jc w:val="left"/>
        <w:outlineLvl w:val="9"/>
        <w:rPr>
          <w:rFonts w:hint="eastAsia" w:ascii="黑体" w:hAnsi="黑体" w:eastAsia="黑体" w:cs="黑体"/>
          <w:sz w:val="32"/>
          <w:szCs w:val="32"/>
        </w:rPr>
      </w:pPr>
      <w:r>
        <w:rPr>
          <w:rFonts w:hint="eastAsia" w:ascii="黑体" w:hAnsi="黑体" w:eastAsia="黑体" w:cs="黑体"/>
          <w:sz w:val="32"/>
          <w:szCs w:val="32"/>
        </w:rPr>
        <w:t>附件</w:t>
      </w:r>
    </w:p>
    <w:p>
      <w:pPr>
        <w:pStyle w:val="2"/>
        <w:ind w:left="0" w:leftChars="0" w:firstLine="0" w:firstLineChars="0"/>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b/>
          <w:sz w:val="44"/>
          <w:szCs w:val="44"/>
          <w:shd w:val="clear" w:color="auto" w:fill="FFFFFF"/>
        </w:rPr>
        <w:t>202</w:t>
      </w:r>
      <w:r>
        <w:rPr>
          <w:rFonts w:hint="eastAsia" w:ascii="方正小标宋简体" w:hAnsi="方正小标宋简体" w:eastAsia="方正小标宋简体" w:cs="方正小标宋简体"/>
          <w:b/>
          <w:sz w:val="44"/>
          <w:szCs w:val="44"/>
          <w:shd w:val="clear" w:color="auto" w:fill="FFFFFF"/>
          <w:lang w:val="en-US" w:eastAsia="zh-CN"/>
        </w:rPr>
        <w:t>2</w:t>
      </w:r>
      <w:r>
        <w:rPr>
          <w:rFonts w:hint="eastAsia" w:ascii="方正小标宋简体" w:hAnsi="方正小标宋简体" w:eastAsia="方正小标宋简体" w:cs="方正小标宋简体"/>
          <w:b/>
          <w:sz w:val="44"/>
          <w:szCs w:val="44"/>
          <w:shd w:val="clear" w:color="auto" w:fill="FFFFFF"/>
        </w:rPr>
        <w:t>年</w:t>
      </w:r>
      <w:r>
        <w:rPr>
          <w:rFonts w:hint="eastAsia" w:ascii="方正小标宋简体" w:hAnsi="方正小标宋简体" w:eastAsia="方正小标宋简体" w:cs="方正小标宋简体"/>
          <w:b/>
          <w:sz w:val="44"/>
          <w:szCs w:val="44"/>
          <w:shd w:val="clear" w:color="auto" w:fill="FFFFFF"/>
          <w:lang w:eastAsia="zh-CN"/>
        </w:rPr>
        <w:t>峨眉山市黄湾镇人民政府</w:t>
      </w:r>
      <w:r>
        <w:rPr>
          <w:rFonts w:hint="eastAsia" w:ascii="方正小标宋简体" w:hAnsi="方正小标宋简体" w:eastAsia="方正小标宋简体" w:cs="方正小标宋简体"/>
          <w:b/>
          <w:sz w:val="44"/>
          <w:szCs w:val="44"/>
          <w:shd w:val="clear" w:color="auto" w:fill="FFFFFF"/>
        </w:rPr>
        <w:t>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numPr>
          <w:ilvl w:val="0"/>
          <w:numId w:val="6"/>
        </w:numPr>
        <w:adjustRightInd w:val="0"/>
        <w:snapToGrid w:val="0"/>
        <w:spacing w:line="560" w:lineRule="exact"/>
        <w:ind w:firstLine="640" w:firstLineChars="200"/>
        <w:contextualSpacing/>
        <w:jc w:val="left"/>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机构组成。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2022年度峨眉山市黄湾镇人民政府设行政单位1个，事业单位4个。主要包括：黄湾镇便民服务中心、黄湾镇农业综合服务中心、黄湾镇文化旅游服务中心、黄湾镇农民工服务中心。</w:t>
      </w:r>
    </w:p>
    <w:p>
      <w:pPr>
        <w:widowControl/>
        <w:numPr>
          <w:ilvl w:val="0"/>
          <w:numId w:val="6"/>
        </w:numPr>
        <w:adjustRightInd w:val="0"/>
        <w:snapToGrid w:val="0"/>
        <w:spacing w:line="560" w:lineRule="exact"/>
        <w:ind w:firstLine="640" w:firstLineChars="200"/>
        <w:contextualSpacing/>
        <w:jc w:val="left"/>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机构职能和人员概况。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镇党委的主要职能：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全面贯彻执党的基本理论、基本路线、基本方略，宣传党的主张、落实党的决策部署，团结并组织党员、干部和群众，扎实做好改革发展稳定各项工作。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讨论决定加强党的建设、推进区域发展、促进乡村振兴、保护生态环境、组织公共服务、实施综合管理、指导基层自治、维护安全稳定、动员社会参与等方面的重大问题。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领导镇政府和工会、共青团、妇联等群团组织，支持和保证行政组织、经济组织、社会组织和其他自治组织依法依章程充分行使职权。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按照有关规定和干部管理权限，做好干部推荐、提名、任免和教育、管理、监督工作，研究决定党员干部纪律处分有关事项。落实党的人才政策，抓好优秀人才引进、培养、使用、服务工作。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坚持以党建为引领，加强基层治理体系建设，实现政府治理和社会调节、村(居) 民自治良性互动，打造共建共治共享的基层治理格局。支持“两代表一委员”和统一战线成员在基层治理中积极发挥作用。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加强基层宣传思想文化工作，推进基层精神文明建设，培养和弘扬社会主义核心价值观，创造良好社会环境。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综合协调辖区内各类执法工作和城镇管理、人口管理、社会管理、安全管理、住宅小区管理、房屋管理等工作以及社会治安综合治理工作中的重大事项和难点问题。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统筹调度指挥派驻机构、市级部门设在本乡镇的机构力量。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完成市委交办的其他工作。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镇人民政府的主要职能：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贯彻落实党的路线方针政策和国家法律法规以及上级的决定和命令，加强农村基层政权建设，巩固党在农村的执政基础。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组织编制本行政区域经济社会发展规划和镇国土空间规划、村(社区) 规划等相关规划。组织农村基础设施和各项公益事业建设，实施乡村振兴战略，加快经济社会发展，改善群众生产生活环境。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指导农村经济发展，推进农业经济结构调整，促进经济增长方式转变，促进农业增效、农民增收。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加强农村公共服务体系建设，抓好基础教育、统计、科技、文化、体育、卫生健康、食品安全等工作，做好民政事务、就业培训、社会保障、劳动关系协调、民族宗教等工作，促进农村社会事业健康发展。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推进基层民主法制建设，加强普法依法治理，指导村(居)民委员会工作，维护群众合法权益。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承担辖区平安建设、社会治安综合治理、公共安全、安全生产及应急管理等有关工作，处理群众来信来访，反映社情民意，化解矛盾纠纷，维护社会安全稳定。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做好国防教育和兵役等工作。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做好生态环境保护、人居环境整治相关工作。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负责建立和完善权力清单、责任清单、公共服务清单动态调整和公示机制，推近政务公开，接受群众监督，增强政府公信力。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承担法律、法规、规章规定的其他职能，完成市委、市政府交办的其他工作。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截止</w:t>
      </w:r>
      <w:r>
        <w:rPr>
          <w:rFonts w:hint="eastAsia" w:ascii="仿宋_GB2312" w:hAnsi="仿宋_GB2312" w:eastAsia="仿宋_GB2312" w:cs="仿宋_GB2312"/>
          <w:sz w:val="32"/>
          <w:szCs w:val="32"/>
          <w:lang w:val="en-US" w:eastAsia="zh-CN"/>
        </w:rPr>
        <w:t>2022年底，我单位在编总人数48人，其中行政编制人数29人，事业编制人数19人（便民服务中心12人，农业综合服务中心2人，文化旅游服务中心3人，农民工服务中心2人）</w:t>
      </w:r>
    </w:p>
    <w:p>
      <w:pPr>
        <w:widowControl/>
        <w:numPr>
          <w:ilvl w:val="0"/>
          <w:numId w:val="6"/>
        </w:numPr>
        <w:adjustRightInd w:val="0"/>
        <w:snapToGrid w:val="0"/>
        <w:spacing w:line="560" w:lineRule="exact"/>
        <w:ind w:firstLine="640" w:firstLineChars="200"/>
        <w:contextualSpacing/>
        <w:jc w:val="left"/>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年度主要工作任务。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1.坚持</w:t>
      </w:r>
      <w:r>
        <w:rPr>
          <w:rFonts w:hint="eastAsia" w:ascii="仿宋_GB2312" w:hAnsi="仿宋_GB2312" w:eastAsia="仿宋_GB2312" w:cs="仿宋_GB2312"/>
          <w:sz w:val="32"/>
          <w:szCs w:val="32"/>
        </w:rPr>
        <w:t>文旅</w:t>
      </w:r>
      <w:r>
        <w:rPr>
          <w:rFonts w:hint="eastAsia" w:ascii="仿宋_GB2312" w:hAnsi="仿宋_GB2312" w:eastAsia="仿宋_GB2312" w:cs="仿宋_GB2312"/>
          <w:sz w:val="32"/>
          <w:szCs w:val="32"/>
          <w:lang w:val="en-US" w:eastAsia="zh-CN"/>
        </w:rPr>
        <w:t>融合，努力实现文旅产业提档升级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坚持把文旅作为最大的比较优势，努力为峨眉山建设</w:t>
      </w:r>
      <w:r>
        <w:rPr>
          <w:rFonts w:hint="eastAsia" w:ascii="仿宋_GB2312" w:hAnsi="仿宋_GB2312" w:eastAsia="仿宋_GB2312" w:cs="仿宋_GB2312"/>
          <w:sz w:val="32"/>
          <w:szCs w:val="32"/>
          <w:lang w:eastAsia="zh-CN"/>
        </w:rPr>
        <w:t>世界级景区</w:t>
      </w:r>
      <w:r>
        <w:rPr>
          <w:rFonts w:hint="eastAsia" w:ascii="仿宋_GB2312" w:hAnsi="仿宋_GB2312" w:eastAsia="仿宋_GB2312" w:cs="仿宋_GB2312"/>
          <w:sz w:val="32"/>
          <w:szCs w:val="32"/>
        </w:rPr>
        <w:t>作出黄湾贡献。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（1）旅游基础建设升级</w:t>
      </w:r>
      <w:r>
        <w:rPr>
          <w:rFonts w:hint="eastAsia" w:ascii="仿宋_GB2312" w:hAnsi="仿宋_GB2312" w:eastAsia="仿宋_GB2312" w:cs="仿宋_GB2312"/>
          <w:sz w:val="32"/>
          <w:szCs w:val="32"/>
        </w:rPr>
        <w:t>。统筹推进、优先实施黄湾镇镇、村两级国土空间规划编制和两项改革、景区违建整治“后半篇”文章</w:t>
      </w:r>
      <w:r>
        <w:rPr>
          <w:rFonts w:hint="eastAsia" w:ascii="仿宋_GB2312" w:hAnsi="仿宋_GB2312" w:eastAsia="仿宋_GB2312" w:cs="仿宋_GB2312"/>
          <w:sz w:val="32"/>
          <w:szCs w:val="32"/>
          <w:lang w:eastAsia="zh-CN"/>
        </w:rPr>
        <w:t>。打造内畅外联旅游交通线路，推动国省干道、县乡道、村道、步游道、游客中心环环相扣、紧密衔接、高效运转。</w:t>
      </w:r>
      <w:r>
        <w:rPr>
          <w:rFonts w:hint="eastAsia" w:ascii="仿宋_GB2312" w:hAnsi="仿宋_GB2312" w:eastAsia="仿宋_GB2312" w:cs="仿宋_GB2312"/>
          <w:sz w:val="32"/>
          <w:szCs w:val="32"/>
        </w:rPr>
        <w:t>修复提升全域步游道、观景亭、标识标牌、旅游厕所、森林防灭火设施、垃圾及污水处理设施等，完善基础生活设施，统筹实施安全饮水、污水管网、电力管线、通讯网络等提标改造工程，满足村民及游客日常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（2）“十大文旅项目”发展升级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不断深入贯彻峨眉山市委“1238”工作思路，围绕加快实现建设世界重要旅游目的地、全力争创世界级旅游景区、全国百强县的目标愿景，按照“十大文旅项目”工作部署，做强我镇民宿文旅经济品牌。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首先</w:t>
      </w:r>
      <w:r>
        <w:rPr>
          <w:rFonts w:hint="eastAsia" w:ascii="仿宋_GB2312" w:hAnsi="仿宋_GB2312" w:eastAsia="仿宋_GB2312" w:cs="仿宋_GB2312"/>
          <w:sz w:val="32"/>
          <w:szCs w:val="32"/>
        </w:rPr>
        <w:t>做大做强“娥眉山居”民宿品牌，</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lang w:val="en-US" w:eastAsia="zh-CN"/>
        </w:rPr>
        <w:t>娥眉山居·天景改造提升项目</w:t>
      </w:r>
      <w:r>
        <w:rPr>
          <w:rFonts w:hint="eastAsia" w:ascii="仿宋_GB2312" w:hAnsi="仿宋_GB2312" w:eastAsia="仿宋_GB2312" w:cs="仿宋_GB2312"/>
          <w:sz w:val="32"/>
          <w:szCs w:val="32"/>
          <w:lang w:eastAsia="zh-CN"/>
        </w:rPr>
        <w:t>”顺利实施。围绕</w:t>
      </w:r>
      <w:r>
        <w:rPr>
          <w:rFonts w:hint="eastAsia" w:ascii="仿宋_GB2312" w:hAnsi="仿宋_GB2312" w:eastAsia="仿宋_GB2312" w:cs="仿宋_GB2312"/>
          <w:sz w:val="32"/>
          <w:szCs w:val="32"/>
          <w:lang w:val="en-US" w:eastAsia="zh-CN"/>
        </w:rPr>
        <w:t>完善基础设施、丰富业态、规范秩序、扮靓环境、提升综合素养</w:t>
      </w:r>
      <w:r>
        <w:rPr>
          <w:rFonts w:hint="eastAsia" w:ascii="仿宋_GB2312" w:hAnsi="仿宋_GB2312" w:eastAsia="仿宋_GB2312" w:cs="仿宋_GB2312"/>
          <w:sz w:val="32"/>
          <w:szCs w:val="32"/>
          <w:lang w:eastAsia="zh-CN"/>
        </w:rPr>
        <w:t>等重点任务，力争规定时间内，把娥眉山居打造为集休闲、健身、禅修、寻武、彰文等功能于一体的景区形象窗口。</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对小镇1平方公里内所有污水管网进行改造</w:t>
      </w: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改造269栋房屋屋檐立面并增加文化元素。</w:t>
      </w:r>
      <w:r>
        <w:rPr>
          <w:rFonts w:hint="eastAsia" w:ascii="仿宋_GB2312" w:hAnsi="仿宋_GB2312" w:eastAsia="仿宋_GB2312" w:cs="仿宋_GB2312"/>
          <w:sz w:val="32"/>
          <w:szCs w:val="32"/>
          <w:lang w:val="en-US" w:eastAsia="zh-CN"/>
        </w:rPr>
        <w:t>三是</w:t>
      </w:r>
      <w:r>
        <w:rPr>
          <w:rFonts w:hint="default" w:ascii="仿宋_GB2312" w:hAnsi="仿宋_GB2312" w:eastAsia="仿宋_GB2312" w:cs="仿宋_GB2312"/>
          <w:sz w:val="32"/>
          <w:szCs w:val="32"/>
          <w:lang w:val="en-US" w:eastAsia="zh-CN"/>
        </w:rPr>
        <w:t>对步游道2公里沿河景观进行提档升级再打造，并在四门街砌堡坎，整治沿河环境</w:t>
      </w:r>
      <w:r>
        <w:rPr>
          <w:rFonts w:hint="eastAsia" w:ascii="仿宋_GB2312" w:hAnsi="仿宋_GB2312" w:eastAsia="仿宋_GB2312" w:cs="仿宋_GB2312"/>
          <w:sz w:val="32"/>
          <w:szCs w:val="32"/>
          <w:lang w:val="en-US" w:eastAsia="zh-CN"/>
        </w:rPr>
        <w:t>；四是</w:t>
      </w:r>
      <w:r>
        <w:rPr>
          <w:rFonts w:hint="default" w:ascii="仿宋_GB2312" w:hAnsi="仿宋_GB2312" w:eastAsia="仿宋_GB2312" w:cs="仿宋_GB2312"/>
          <w:sz w:val="32"/>
          <w:szCs w:val="32"/>
          <w:lang w:val="en-US" w:eastAsia="zh-CN"/>
        </w:rPr>
        <w:t>启用小镇内5个地下车库以及小镇内所有监控设施设备</w:t>
      </w:r>
      <w:r>
        <w:rPr>
          <w:rFonts w:hint="eastAsia" w:ascii="仿宋_GB2312" w:hAnsi="仿宋_GB2312" w:eastAsia="仿宋_GB2312" w:cs="仿宋_GB2312"/>
          <w:sz w:val="32"/>
          <w:szCs w:val="32"/>
          <w:lang w:val="en-US" w:eastAsia="zh-CN"/>
        </w:rPr>
        <w:t>；五是</w:t>
      </w:r>
      <w:r>
        <w:rPr>
          <w:rFonts w:hint="default" w:ascii="仿宋_GB2312" w:hAnsi="仿宋_GB2312" w:eastAsia="仿宋_GB2312" w:cs="仿宋_GB2312"/>
          <w:sz w:val="32"/>
          <w:szCs w:val="32"/>
          <w:lang w:val="en-US" w:eastAsia="zh-CN"/>
        </w:rPr>
        <w:t>提升小镇周边环境，增加绿化亮化并加强保洁环卫工作</w:t>
      </w:r>
      <w:r>
        <w:rPr>
          <w:rFonts w:hint="eastAsia" w:ascii="仿宋_GB2312" w:hAnsi="仿宋_GB2312" w:eastAsia="仿宋_GB2312" w:cs="仿宋_GB2312"/>
          <w:sz w:val="32"/>
          <w:szCs w:val="32"/>
          <w:lang w:val="en-US" w:eastAsia="zh-CN"/>
        </w:rPr>
        <w:t>；六是打造武术文化博物馆；七是沿峨眉河设置景观带，设置游河项目，丰富旅游业态；八是从青牛坊至会门坊打造一条融峨眉山特色文化的商业文旅主轴，沿线各坊布局各种涉旅业态，形成美食、禅修等各具特色的街区；九是鼓励夜市、酒吧、文艺表演等经营实体入驻特色街区，打造夜经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其次山区农房改康养民宿发展升级。在峨眉山景区中低山区免门票的大趋势下，借助峨眉山景区的丰富的景观、康养等自然禀赋，</w:t>
      </w:r>
      <w:r>
        <w:rPr>
          <w:rFonts w:hint="eastAsia" w:ascii="仿宋_GB2312" w:hAnsi="仿宋_GB2312" w:eastAsia="仿宋_GB2312" w:cs="仿宋_GB2312"/>
          <w:sz w:val="32"/>
          <w:szCs w:val="32"/>
          <w:lang w:eastAsia="zh-CN"/>
        </w:rPr>
        <w:t>加快提升中低山区免票区域环境提升、业态升级，</w:t>
      </w:r>
      <w:r>
        <w:rPr>
          <w:rFonts w:hint="eastAsia" w:ascii="仿宋_GB2312" w:hAnsi="仿宋_GB2312" w:eastAsia="仿宋_GB2312" w:cs="仿宋_GB2312"/>
          <w:sz w:val="32"/>
          <w:szCs w:val="32"/>
          <w:lang w:val="en-US" w:eastAsia="zh-CN"/>
        </w:rPr>
        <w:t>打造中低山区的康养民宿产业。目前，景区内保留下山村民房屋独栋81栋，建筑面积2.487万平方米，联栋64栋，建筑面积1.87万平方米。立足盘活这部分国有资产，将房屋翻新为民宿，打造中高端民宿，树立起民宿发展新标杆。坚持“改造提升，严控新建”的原则，围绕“生态康养、休闲度假、乡村民俗、主题文化”四大民宿主题，培育“娥眉山居+”品牌，适当引入高端民宿，以品牌引领打造“休闲康养带、祈福禅修带、原味山居带、亲子体验带”四大民宿产业带。力争到2025年，引导现有民宿完成改造提升，民宿产业形成规模，产业经济效益凸显，与峨眉山市民宿集群相得益彰，培育一批精品“娥眉山居”，融入“释茶武药”文化底蕴浓厚的特色发展路径和“政府引导、市场主导、多元投入、主客共享、多方共赢”的发展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（3）旅游</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val="en-US" w:eastAsia="zh-CN"/>
        </w:rPr>
        <w:t>质量升级</w:t>
      </w:r>
      <w:r>
        <w:rPr>
          <w:rFonts w:hint="eastAsia" w:ascii="仿宋_GB2312" w:hAnsi="仿宋_GB2312" w:eastAsia="仿宋_GB2312" w:cs="仿宋_GB2312"/>
          <w:sz w:val="32"/>
          <w:szCs w:val="32"/>
        </w:rPr>
        <w:t>。牢固树立以游客为中心理念，把“宠游客”放在更加突出位置，</w:t>
      </w:r>
      <w:r>
        <w:rPr>
          <w:rFonts w:hint="eastAsia" w:ascii="仿宋_GB2312" w:hAnsi="仿宋_GB2312" w:eastAsia="仿宋_GB2312" w:cs="仿宋_GB2312"/>
          <w:sz w:val="32"/>
          <w:szCs w:val="32"/>
          <w:lang w:val="en-US" w:eastAsia="zh-CN"/>
        </w:rPr>
        <w:t>打造“有困难，请找我”“办事不求人”“人人都是文明使者”三大党建平台，</w:t>
      </w:r>
      <w:r>
        <w:rPr>
          <w:rFonts w:hint="eastAsia" w:ascii="仿宋_GB2312" w:hAnsi="仿宋_GB2312" w:eastAsia="仿宋_GB2312" w:cs="仿宋_GB2312"/>
          <w:sz w:val="32"/>
          <w:szCs w:val="32"/>
        </w:rPr>
        <w:t>全方位提供周到温馨服务。</w:t>
      </w:r>
      <w:r>
        <w:rPr>
          <w:rFonts w:hint="eastAsia" w:ascii="仿宋_GB2312" w:hAnsi="仿宋_GB2312" w:eastAsia="仿宋_GB2312" w:cs="仿宋_GB2312"/>
          <w:sz w:val="32"/>
          <w:szCs w:val="32"/>
          <w:lang w:val="en-US" w:eastAsia="zh-CN"/>
        </w:rPr>
        <w:t>2022年将</w:t>
      </w:r>
      <w:r>
        <w:rPr>
          <w:rFonts w:hint="eastAsia" w:ascii="仿宋_GB2312" w:hAnsi="仿宋_GB2312" w:eastAsia="仿宋_GB2312" w:cs="仿宋_GB2312"/>
          <w:sz w:val="32"/>
          <w:szCs w:val="32"/>
        </w:rPr>
        <w:t>持续做好党员“红袖标”志愿服务，让广大党员成为中外游客如影随形的贴心人、暖心人。下定决心整治旅游市场乱象，疏堵结合、综合施策，根源治理沿街喊客拉客、黑车出租等扰乱景区旅游市场秩序的违法违规行为，让游客游得开心、舒心、放心。</w:t>
      </w:r>
      <w:r>
        <w:rPr>
          <w:rFonts w:hint="eastAsia" w:ascii="仿宋_GB2312" w:hAnsi="仿宋_GB2312" w:eastAsia="仿宋_GB2312" w:cs="仿宋_GB2312"/>
          <w:sz w:val="32"/>
          <w:szCs w:val="32"/>
          <w:lang w:val="en-US" w:eastAsia="zh-CN"/>
        </w:rPr>
        <w:t>2022年继续保持“零投诉”目标。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2.坚持生态优先</w:t>
      </w:r>
      <w:r>
        <w:rPr>
          <w:rFonts w:hint="eastAsia" w:ascii="仿宋_GB2312" w:hAnsi="仿宋_GB2312" w:eastAsia="仿宋_GB2312" w:cs="仿宋_GB2312"/>
          <w:sz w:val="32"/>
          <w:szCs w:val="32"/>
        </w:rPr>
        <w:t>，推动生态文明再上新阶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坚持绿水青山就是金山银山，为子孙后代守好世界“双遗产”这份大自然和老祖宗的馈赠。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（1）继续巩固违建整治的成果</w:t>
      </w:r>
      <w:r>
        <w:rPr>
          <w:rFonts w:hint="eastAsia" w:ascii="仿宋_GB2312" w:hAnsi="仿宋_GB2312" w:eastAsia="仿宋_GB2312" w:cs="仿宋_GB2312"/>
          <w:sz w:val="32"/>
          <w:szCs w:val="32"/>
        </w:rPr>
        <w:t>。坚定不移推进违建整治，依法稳妥、细化政策、把握节奏，注重维护广大村民合法权益，全力推动“存量归零”目标早日实现。立足长远，结合落实《峨眉山世界文化和自然遗产保护条例》，进一步建立健全土地管理长效监管机制，做到“动土必报、建设必批、开工必到、过程必管、违规必查”。</w:t>
      </w:r>
      <w:r>
        <w:rPr>
          <w:rFonts w:hint="eastAsia" w:ascii="仿宋_GB2312" w:hAnsi="仿宋_GB2312" w:eastAsia="仿宋_GB2312" w:cs="仿宋_GB2312"/>
          <w:sz w:val="32"/>
          <w:szCs w:val="32"/>
          <w:lang w:val="en-US" w:eastAsia="zh-CN"/>
        </w:rPr>
        <w:t>制定以峨眉山医（康）养为主要特色的民宿发展指导意见、导则，在不搞大拆大建前提下，积极引导村民有序进行改造提升，体现中国风格、峨眉气韵、乡土味道。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（2)继续强化生态保护的措施</w:t>
      </w:r>
      <w:r>
        <w:rPr>
          <w:rFonts w:hint="eastAsia" w:ascii="仿宋_GB2312" w:hAnsi="仿宋_GB2312" w:eastAsia="仿宋_GB2312" w:cs="仿宋_GB2312"/>
          <w:sz w:val="32"/>
          <w:szCs w:val="32"/>
        </w:rPr>
        <w:t>。扎实开展中央、省环保督察及“回头看”反馈问题整改，“台账式”管理、“清单式”销号，坚决防止死灰复燃、反弹回潮。</w:t>
      </w:r>
      <w:r>
        <w:rPr>
          <w:rFonts w:hint="eastAsia" w:ascii="仿宋_GB2312" w:hAnsi="仿宋_GB2312" w:eastAsia="仿宋_GB2312" w:cs="仿宋_GB2312"/>
          <w:sz w:val="32"/>
          <w:szCs w:val="32"/>
          <w:lang w:val="en-US" w:eastAsia="zh-CN"/>
        </w:rPr>
        <w:t>深化开展“五清行动”，教育引导村民、游客养成好习惯、形成好风气，从房前屋后扫干净、摆整齐做起，实现美化、绿化、净化、亮化，营造良好人居环境、旅游环境。</w:t>
      </w:r>
      <w:r>
        <w:rPr>
          <w:rFonts w:hint="eastAsia" w:ascii="仿宋_GB2312" w:hAnsi="仿宋_GB2312" w:eastAsia="仿宋_GB2312" w:cs="仿宋_GB2312"/>
          <w:sz w:val="32"/>
          <w:szCs w:val="32"/>
        </w:rPr>
        <w:t>抓好生态修复，及时植种草木，加速复原山林。</w:t>
      </w:r>
      <w:r>
        <w:rPr>
          <w:rFonts w:hint="eastAsia" w:ascii="仿宋_GB2312" w:hAnsi="仿宋_GB2312" w:eastAsia="仿宋_GB2312" w:cs="仿宋_GB2312"/>
          <w:sz w:val="32"/>
          <w:szCs w:val="32"/>
          <w:lang w:val="en-US" w:eastAsia="zh-CN"/>
        </w:rPr>
        <w:t>逐步引导景区小水电关停退出。</w:t>
      </w:r>
      <w:r>
        <w:rPr>
          <w:rFonts w:hint="eastAsia" w:ascii="仿宋_GB2312" w:hAnsi="仿宋_GB2312" w:eastAsia="仿宋_GB2312" w:cs="仿宋_GB2312"/>
          <w:sz w:val="32"/>
          <w:szCs w:val="32"/>
        </w:rPr>
        <w:t>全面压实各级河湖长责任，纵深开展“清河护岸净水保水”四项行动，严格实施长江“十年禁渔”，重现水清鱼跃美好画卷。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(3)提升综合管理水平</w:t>
      </w:r>
      <w:r>
        <w:rPr>
          <w:rFonts w:hint="eastAsia" w:ascii="仿宋_GB2312" w:hAnsi="仿宋_GB2312" w:eastAsia="仿宋_GB2312" w:cs="仿宋_GB2312"/>
          <w:sz w:val="32"/>
          <w:szCs w:val="32"/>
        </w:rPr>
        <w:t>。全面厘清景区管委会、黄湾镇及村社区、公司、协会及其他市场主体权责边界，详细制定权责清单，完善“横向到边、纵向到底”管理链条，推动协调互补、无缝覆盖。建立健全标准化管理服务体系，树牢“宠游客”理念，对标世界标准，展现峨眉特色。加强人才培养，针对管理岗、服务岗、技能岗等不同特点，开展“标准化+差异化”技能培训，打造一支制度化、标准化、规范化服务队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3.坚持民生为本，全面提升群众满意度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坚持既尽力而为、又量力而行，让改革发展成果更多更公平惠及广大群众，不断提升获得感、幸福感。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（1）坚持推动</w:t>
      </w:r>
      <w:r>
        <w:rPr>
          <w:rFonts w:hint="eastAsia" w:ascii="仿宋_GB2312" w:hAnsi="仿宋_GB2312" w:eastAsia="仿宋_GB2312" w:cs="仿宋_GB2312"/>
          <w:sz w:val="32"/>
          <w:szCs w:val="32"/>
        </w:rPr>
        <w:t>乡村振兴。在符合景区总体规划和生态环保要求前提下，按照“产业相近、地域相邻、人文相亲”原则，统筹编制村级规划，科学布局生产生活生态空间，形成以禅茶、武术、养生、美食等为主题各具特色、错位互补的村庄布局，打造“最美村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推动景区保护与乡村发展“双赢”。因地制宜发展乡村产业，教育引导村民转变“要发展必先建房”的固有思维，走好“盘活存量、</w:t>
      </w:r>
      <w:r>
        <w:rPr>
          <w:rFonts w:hint="eastAsia" w:ascii="仿宋_GB2312" w:hAnsi="仿宋_GB2312" w:eastAsia="仿宋_GB2312" w:cs="仿宋_GB2312"/>
          <w:sz w:val="32"/>
          <w:szCs w:val="32"/>
          <w:lang w:val="en-US" w:eastAsia="zh-CN"/>
        </w:rPr>
        <w:t>塑</w:t>
      </w:r>
      <w:r>
        <w:rPr>
          <w:rFonts w:hint="eastAsia" w:ascii="仿宋_GB2312" w:hAnsi="仿宋_GB2312" w:eastAsia="仿宋_GB2312" w:cs="仿宋_GB2312"/>
          <w:sz w:val="32"/>
          <w:szCs w:val="32"/>
        </w:rPr>
        <w:t>造品牌”转型之路。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（2）坚持发展壮大</w:t>
      </w:r>
      <w:r>
        <w:rPr>
          <w:rFonts w:hint="eastAsia" w:ascii="仿宋_GB2312" w:hAnsi="仿宋_GB2312" w:eastAsia="仿宋_GB2312" w:cs="仿宋_GB2312"/>
          <w:sz w:val="32"/>
          <w:szCs w:val="32"/>
        </w:rPr>
        <w:t>集体经济。善于用改革办法破解集体经济发展难题，紧紧抓住农村集体产权制度改革这个“牛鼻子”，激活农村各类要素潜力，充分调动农民积极性，让集体增收、村民得利。把发展集体经济作为促进共同富裕的关键一招。立足景区区位优势和资源禀赋，用活闲置阵地和闲置房屋，增强村级集体经济自身“造血”功能。</w:t>
      </w:r>
      <w:r>
        <w:rPr>
          <w:rFonts w:hint="eastAsia" w:ascii="仿宋_GB2312" w:hAnsi="仿宋_GB2312" w:eastAsia="仿宋_GB2312" w:cs="仿宋_GB2312"/>
          <w:sz w:val="32"/>
          <w:szCs w:val="32"/>
          <w:lang w:val="en-US" w:eastAsia="zh-CN"/>
        </w:rPr>
        <w:t>2021年创新发展</w:t>
      </w:r>
      <w:r>
        <w:rPr>
          <w:rFonts w:hint="eastAsia" w:ascii="仿宋_GB2312" w:hAnsi="仿宋_GB2312" w:eastAsia="仿宋_GB2312" w:cs="仿宋_GB2312"/>
          <w:sz w:val="32"/>
          <w:szCs w:val="32"/>
        </w:rPr>
        <w:t>“7+2”洗涤服务产业</w:t>
      </w:r>
      <w:r>
        <w:rPr>
          <w:rFonts w:hint="eastAsia" w:ascii="仿宋_GB2312" w:hAnsi="仿宋_GB2312" w:eastAsia="仿宋_GB2312" w:cs="仿宋_GB2312"/>
          <w:sz w:val="32"/>
          <w:szCs w:val="32"/>
          <w:lang w:eastAsia="zh-CN"/>
        </w:rPr>
        <w:t>——惠联众洗涤公司，努力扩大经营闺蜜，并向运输产业等方向拓展。</w:t>
      </w:r>
      <w:r>
        <w:rPr>
          <w:rFonts w:hint="eastAsia" w:ascii="仿宋_GB2312" w:hAnsi="仿宋_GB2312" w:eastAsia="仿宋_GB2312" w:cs="仿宋_GB2312"/>
          <w:sz w:val="32"/>
          <w:szCs w:val="32"/>
          <w:lang w:val="en-US" w:eastAsia="zh-CN"/>
        </w:rPr>
        <w:t>2022年在此</w:t>
      </w:r>
      <w:r>
        <w:rPr>
          <w:rFonts w:hint="eastAsia" w:ascii="仿宋_GB2312" w:hAnsi="仿宋_GB2312" w:eastAsia="仿宋_GB2312" w:cs="仿宋_GB2312"/>
          <w:sz w:val="32"/>
          <w:szCs w:val="32"/>
        </w:rPr>
        <w:t>基础上，支持各村各展所长，提升经营能力，发展资产盘活、物业经营、特色种植、生产服务、土地股份合作等多类型集体经济。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（3）坚持</w:t>
      </w:r>
      <w:r>
        <w:rPr>
          <w:rFonts w:hint="eastAsia" w:ascii="仿宋_GB2312" w:hAnsi="仿宋_GB2312" w:eastAsia="仿宋_GB2312" w:cs="仿宋_GB2312"/>
          <w:sz w:val="32"/>
          <w:szCs w:val="32"/>
        </w:rPr>
        <w:t>办好民生实事。始终保持同群众血肉联系，</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扎实开展“我为群众办实事”活动、“大走访、大服务”走进群众专项行动等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2022年将继续</w:t>
      </w:r>
      <w:r>
        <w:rPr>
          <w:rFonts w:hint="eastAsia" w:ascii="仿宋_GB2312" w:hAnsi="仿宋_GB2312" w:eastAsia="仿宋_GB2312" w:cs="仿宋_GB2312"/>
          <w:sz w:val="32"/>
          <w:szCs w:val="32"/>
        </w:rPr>
        <w:t>第一时间掌握群众需求，加大民生投入，用好用活纾难解困资金，解决好群众在教育、医疗、住房、就业等方面的操心事烦心事，拉长长板、补齐短板，切实做到群众有所呼、我必有所应。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4.坚持推进基层治理，全力提升治理能力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主动顺应和把握发展新变化新要求，全力推动基层治理体系和治理能力现代化。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管理体系，</w:t>
      </w:r>
      <w:r>
        <w:rPr>
          <w:rFonts w:hint="eastAsia" w:ascii="仿宋_GB2312" w:hAnsi="仿宋_GB2312" w:eastAsia="仿宋_GB2312" w:cs="仿宋_GB2312"/>
          <w:sz w:val="32"/>
          <w:szCs w:val="32"/>
        </w:rPr>
        <w:t>提高管理水平。扎实推进镇村两项改革“后半篇”文章，构建完善“1+9+68”基层治理体系，把党的领导直接贯穿到小组一级，确保镇党委各项决策部署落地落实。统筹研究“村转居”等基层治理难题，逐步厘清权责、理顺关系，提高管理水平、提升服务质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（2）完善法治建设，锻造法治良序</w:t>
      </w:r>
      <w:r>
        <w:rPr>
          <w:rFonts w:hint="eastAsia" w:ascii="仿宋_GB2312" w:hAnsi="仿宋_GB2312" w:eastAsia="仿宋_GB2312" w:cs="仿宋_GB2312"/>
          <w:sz w:val="32"/>
          <w:szCs w:val="32"/>
        </w:rPr>
        <w:t>。深入贯彻习近平法治思想，充分发挥法治固根本、稳预期、利长远的重要作用，深化拓展“法律七进”，广泛开展“八五普法”，善于引导群众运用法律手段解决问题，形成“办事依法、遇事找法、解决问题用法、化解矛盾靠法”的法治良序，让尊法、学法、守法、用法在黄湾镇蔚然成风。</w:t>
      </w:r>
      <w:r>
        <w:rPr>
          <w:rFonts w:hint="eastAsia" w:ascii="仿宋_GB2312" w:hAnsi="仿宋_GB2312" w:eastAsia="仿宋_GB2312" w:cs="仿宋_GB2312"/>
          <w:sz w:val="32"/>
          <w:szCs w:val="32"/>
          <w:lang w:val="en-US" w:eastAsia="zh-CN"/>
        </w:rPr>
        <w:t>深化旅游综合执法改革，建立“红黑榜”制度及退出机制，严厉打击拉客喊客、欺客宰客等破坏旅游市场秩序行为。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（3）完善社会治理机制，确保社会和谐稳定。</w:t>
      </w:r>
      <w:r>
        <w:rPr>
          <w:rFonts w:hint="eastAsia" w:ascii="仿宋_GB2312" w:hAnsi="仿宋_GB2312" w:eastAsia="仿宋_GB2312" w:cs="仿宋_GB2312"/>
          <w:sz w:val="32"/>
          <w:szCs w:val="32"/>
        </w:rPr>
        <w:t>坚持和发展新时代“枫桥经验”，落实重大决策社会稳定风险评估机制，紧盯违建整治、征地拆迁安置、房地产开发等方面的突出信访问题，穷尽一切办法、用尽一切政策，依法解决群众诉求，确保社会大局和谐稳定。统筹做好常态化疫情防控、森林防灭火、防汛减灾、安全生产等各项工作，切实保障群众生命财产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5.坚持党建引领，强化政治保障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毫不动摇推进新时代党的建设伟大工程，为黄湾各项事业繁荣发展提供坚强政治保证。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（1）坚持</w:t>
      </w:r>
      <w:r>
        <w:rPr>
          <w:rFonts w:hint="eastAsia" w:ascii="仿宋_GB2312" w:hAnsi="仿宋_GB2312" w:eastAsia="仿宋_GB2312" w:cs="仿宋_GB2312"/>
          <w:sz w:val="32"/>
          <w:szCs w:val="32"/>
        </w:rPr>
        <w:t>政治</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。坚持把党的政治建设摆在首位、贯穿始终，</w:t>
      </w:r>
      <w:r>
        <w:rPr>
          <w:rFonts w:hint="eastAsia" w:ascii="仿宋_GB2312" w:hAnsi="仿宋_GB2312" w:eastAsia="仿宋_GB2312" w:cs="仿宋_GB2312"/>
          <w:sz w:val="32"/>
          <w:szCs w:val="32"/>
          <w:lang w:eastAsia="zh-CN"/>
        </w:rPr>
        <w:t>巩固深化</w:t>
      </w:r>
      <w:r>
        <w:rPr>
          <w:rFonts w:hint="eastAsia" w:ascii="仿宋_GB2312" w:hAnsi="仿宋_GB2312" w:eastAsia="仿宋_GB2312" w:cs="仿宋_GB2312"/>
          <w:sz w:val="32"/>
          <w:szCs w:val="32"/>
        </w:rPr>
        <w:t>党史学习教育</w:t>
      </w:r>
      <w:r>
        <w:rPr>
          <w:rFonts w:hint="eastAsia" w:ascii="仿宋_GB2312" w:hAnsi="仿宋_GB2312" w:eastAsia="仿宋_GB2312" w:cs="仿宋_GB2312"/>
          <w:sz w:val="32"/>
          <w:szCs w:val="32"/>
          <w:lang w:eastAsia="zh-CN"/>
        </w:rPr>
        <w:t>成果</w:t>
      </w:r>
      <w:r>
        <w:rPr>
          <w:rFonts w:hint="eastAsia" w:ascii="仿宋_GB2312" w:hAnsi="仿宋_GB2312" w:eastAsia="仿宋_GB2312" w:cs="仿宋_GB2312"/>
          <w:sz w:val="32"/>
          <w:szCs w:val="32"/>
        </w:rPr>
        <w:t>，自觉用习近平新时代中国特色社会主义思想武装头脑、指导实践、推动工作，不断提高政治判断力、政治领悟力、政治执行力。牢牢掌握意识形态工作领导权，大力弘扬社会主义核心价值观，把广大群众更加紧密团结在党的周围。切实抓好巡视巡察反馈问题整改，以高质量整改成效推动一方发展、体现对党忠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（2）坚持组织建设。全面发挥党组织</w:t>
      </w:r>
      <w:r>
        <w:rPr>
          <w:rFonts w:hint="eastAsia" w:ascii="仿宋_GB2312" w:hAnsi="仿宋_GB2312" w:eastAsia="仿宋_GB2312" w:cs="仿宋_GB2312"/>
          <w:sz w:val="32"/>
          <w:szCs w:val="32"/>
        </w:rPr>
        <w:t>战斗堡垒</w:t>
      </w:r>
      <w:r>
        <w:rPr>
          <w:rFonts w:hint="eastAsia" w:ascii="仿宋_GB2312" w:hAnsi="仿宋_GB2312" w:eastAsia="仿宋_GB2312" w:cs="仿宋_GB2312"/>
          <w:sz w:val="32"/>
          <w:szCs w:val="32"/>
          <w:lang w:val="en-US" w:eastAsia="zh-CN"/>
        </w:rPr>
        <w:t>作用</w:t>
      </w:r>
      <w:r>
        <w:rPr>
          <w:rFonts w:hint="eastAsia" w:ascii="仿宋_GB2312" w:hAnsi="仿宋_GB2312" w:eastAsia="仿宋_GB2312" w:cs="仿宋_GB2312"/>
          <w:sz w:val="32"/>
          <w:szCs w:val="32"/>
        </w:rPr>
        <w:t>。鲜明一切工作到支部导向，以提升组织力为重点，加强基层党组织带头人和党员队伍建设，把政治建设从支部强起来、把基层党建从支部抓起来，把党员队伍从支部管起来，让每一名党员都成为一面鲜艳旗帜、让每一个支部都成为一个战斗堡垒。深入实施“农村家庭能人”培养计划，通过党员大会、村民代表大会、经营户大会等形式，宣传景城决策部署，统一认识，凝聚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（3）坚持从严治党。</w:t>
      </w:r>
      <w:r>
        <w:rPr>
          <w:rFonts w:hint="eastAsia" w:ascii="仿宋_GB2312" w:hAnsi="仿宋_GB2312" w:eastAsia="仿宋_GB2312" w:cs="仿宋_GB2312"/>
          <w:sz w:val="32"/>
          <w:szCs w:val="32"/>
        </w:rPr>
        <w:t>持续正风肃纪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严的主基调不动摇，推动党风廉政建设“两个责任”落到实处。强化作风建设，严格落实中央八项规定精神和省市十项规定及实施细则，毫不松懈纠治“四风”，力戒形式主义官僚主义。坚定不移推进反腐败斗争，一体推进“三不”，大力整治群众身边的不正之风和腐败问题，营造风清气正良好政治生态。</w:t>
      </w:r>
    </w:p>
    <w:p>
      <w:pPr>
        <w:widowControl/>
        <w:numPr>
          <w:ilvl w:val="0"/>
          <w:numId w:val="6"/>
        </w:numPr>
        <w:adjustRightInd w:val="0"/>
        <w:snapToGrid w:val="0"/>
        <w:spacing w:line="560" w:lineRule="exact"/>
        <w:ind w:firstLine="640" w:firstLineChars="200"/>
        <w:contextualSpacing/>
        <w:jc w:val="left"/>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部门整体支出绩效目标。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制定和组织实施经济、科技和社会发展计划，产业结构调整，村镇建设规划、公共设施完善，乡村振兴、生态环境保护和护林防火工作；负责民政、计生、文教、卫生等社会公益性事业的综合工作，维护群众的合法权益；抓好精神文明建设、丰富群众文化生活，树立社会主义新风尚。营造和谐社会环境、精神文明和物质文明双提升，人民安居乐业，吉祥安康。</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1.部门总体收入情况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2022年本单位总收入1857.43万元，其中财政拨款收入1849.33万元，其他收入8.1元；对企业的补助费用0元。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2.部门总体支出情况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2022年我单位总费用1888.74万元：工资和福利费用732.07万元；商品和服务支出470.78万元；对个人和家庭的补助支出508.72万元；资本性支出177.17万元。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3.部门总体结转结余情况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年初财政拨款结转和结余36.83万元，其中一般公共预算财政拨款36.83万元。</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1.部门财政拨款收入情况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2022年本单位财政拨款收入1849.33万元。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2.部门财政拨款支出情况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2022年本单位财政拨款支出1886.15万元。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3.部门财政拨款结转结余情况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年初财政拨款结转和结余36.83万元，其中一般公共预算财政拨款36.83万元。</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黄湾镇人民政府人员类项目13个，人员类绩效目标为科目调整次数、足额保障率、按时发放率、结余率。2022年度我镇所有人员科目调整次数均少于10次，且按时、足额发放，资金结余率为低于5%。未有违规情况发生。</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黄湾镇人民政府运转类项目9个，绩效指标为科目调整次数、预算编制准确率、“三公经费”控制率、运转保障率。我镇运转类项目科目调整次数低于10次，运转保障率达100%，严格控制“三公经费”。未有违规情况发生。</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黄湾镇人民政府特定目标类项目33个，按照峨眉山市财政局关于编制2022年部门预算的通知和有关要求，按时完成项目库报送工作，按时完成预算编制工作并提交部门预算草案。进一步强化绩效理念，健全管理制度，提高绩效评价工作质量，细化部门预算编制。</w:t>
      </w:r>
      <w:r>
        <w:rPr>
          <w:rFonts w:hint="eastAsia" w:ascii="仿宋_GB2312" w:hAnsi="仿宋_GB2312" w:eastAsia="仿宋_GB2312" w:cs="仿宋_GB2312"/>
          <w:kern w:val="0"/>
          <w:sz w:val="32"/>
          <w:szCs w:val="32"/>
          <w:shd w:val="clear" w:color="auto" w:fill="FFFFFF"/>
          <w:lang w:val="zh-CN" w:eastAsia="zh-CN"/>
        </w:rPr>
        <w:t>我镇在预算的执行过程中及时处置追加减指标，以保障资金及时拨付到位，预算执行按照进度推进、截止2022年12月底，我镇特定目标类绩效预算完成100%。资金结余率为0。</w:t>
      </w:r>
      <w:r>
        <w:rPr>
          <w:rFonts w:hint="eastAsia" w:ascii="仿宋_GB2312" w:hAnsi="仿宋_GB2312" w:eastAsia="仿宋_GB2312" w:cs="仿宋_GB2312"/>
          <w:kern w:val="0"/>
          <w:sz w:val="32"/>
          <w:szCs w:val="32"/>
          <w:shd w:val="clear" w:color="auto" w:fill="FFFFFF"/>
          <w:lang w:val="en-US" w:eastAsia="zh-CN"/>
        </w:rPr>
        <w:t>较好的完成了项目年度绩效目标。严格执行预算，提高了资金使用效率。未有违规情况发生。</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（二）部门整体履职绩效分析。</w:t>
      </w:r>
    </w:p>
    <w:p>
      <w:pPr>
        <w:keepNext w:val="0"/>
        <w:keepLines w:val="0"/>
        <w:pageBreakBefore w:val="0"/>
        <w:widowControl w:val="0"/>
        <w:numPr>
          <w:ilvl w:val="0"/>
          <w:numId w:val="7"/>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绩效评价：我单位规章制度建立健全，目前我单位</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建立财政所财务制度，会计核算、现金管理、转账支付、惠农资金发放等均按规章制度执行，严格做好内部控制，岗位职能划分严守财经纪律，相互监督和制约，防止腐败滋生。资金支出做到专款专用，依据齐全、开支标准合理合法。项目资金、专项资金专项管理、专项使用，按进度、按比例付款，无挤占挪用等。</w:t>
      </w:r>
    </w:p>
    <w:p>
      <w:pPr>
        <w:keepNext w:val="0"/>
        <w:keepLines w:val="0"/>
        <w:pageBreakBefore w:val="0"/>
        <w:widowControl w:val="0"/>
        <w:numPr>
          <w:ilvl w:val="0"/>
          <w:numId w:val="7"/>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决算审查、决算公开、结余注销：均按市局统一要求完成，及时公开。</w:t>
      </w:r>
    </w:p>
    <w:p>
      <w:pPr>
        <w:keepNext w:val="0"/>
        <w:keepLines w:val="0"/>
        <w:pageBreakBefore w:val="0"/>
        <w:widowControl w:val="0"/>
        <w:numPr>
          <w:ilvl w:val="0"/>
          <w:numId w:val="7"/>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绩效管理：根据年初市财政局、镇党委、政府制定的目标绩效认真开展工作，时间到任务完成，年中开展项目资金智能核算类别开展绩效监控分析，提高资金使用效率和执行率。本次项目支出绩效自评涉及2022年</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个项目，2022年度项目资金全覆盖。行政运转保障。2022年，财政预算基本支出</w:t>
      </w:r>
      <w:r>
        <w:rPr>
          <w:rFonts w:hint="eastAsia" w:ascii="仿宋_GB2312" w:hAnsi="仿宋_GB2312" w:eastAsia="仿宋_GB2312" w:cs="仿宋_GB2312"/>
          <w:sz w:val="32"/>
          <w:szCs w:val="32"/>
          <w:lang w:val="en-US" w:eastAsia="zh-CN"/>
        </w:rPr>
        <w:t>930.44</w:t>
      </w:r>
      <w:r>
        <w:rPr>
          <w:rFonts w:hint="eastAsia" w:ascii="仿宋_GB2312" w:hAnsi="仿宋_GB2312" w:eastAsia="仿宋_GB2312" w:cs="仿宋_GB2312"/>
          <w:sz w:val="32"/>
          <w:szCs w:val="32"/>
        </w:rPr>
        <w:t>万元，预算执行率100%，其中在职工资福利支出</w:t>
      </w:r>
      <w:r>
        <w:rPr>
          <w:rFonts w:hint="eastAsia" w:ascii="仿宋_GB2312" w:hAnsi="仿宋_GB2312" w:eastAsia="仿宋_GB2312" w:cs="仿宋_GB2312"/>
          <w:sz w:val="32"/>
          <w:szCs w:val="32"/>
          <w:lang w:val="en-US" w:eastAsia="zh-CN"/>
        </w:rPr>
        <w:t>748.48</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181.96</w:t>
      </w:r>
      <w:r>
        <w:rPr>
          <w:rFonts w:hint="eastAsia" w:ascii="仿宋_GB2312" w:hAnsi="仿宋_GB2312" w:eastAsia="仿宋_GB2312" w:cs="仿宋_GB2312"/>
          <w:sz w:val="32"/>
          <w:szCs w:val="32"/>
        </w:rPr>
        <w:t>万元，机关职工工资按时发放，能保障日常工作支出，政府各项工作能正常平稳运转。机关厉行节约。2022年，我镇严格执行中央八项规定，厉行节约。</w:t>
      </w:r>
    </w:p>
    <w:p>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财务管理情况。</w:t>
      </w:r>
    </w:p>
    <w:p>
      <w:pPr>
        <w:keepNext w:val="0"/>
        <w:keepLines w:val="0"/>
        <w:pageBreakBefore w:val="0"/>
        <w:widowControl/>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依法理财，严格按照财经纪律的要求，制定并严格执行财务管理制度。部分财经制度上墙公示，确保财务工作人员在工作中严于修身、严于律已、加强监督；建立并严格执行对账制度，每月及时真实、准确完整编报财务报表，做到帐表、账证一致。我镇按规定设立、使用银行账户，银行存款、现金支付授权审批手续完善，无越权审批、支付行为。规范财务管理，财政所分设会计和出纳岗位，由专人分别负责印鉴的管理和票据的管理，分工明确，相互牵制，根据实际发生的经济业务事项及时进行会计核算，严禁虚列、多列、少列或不列费用，严禁私设账外账、小金库、公款私存等；强化镇纪委对财政所工作的监督管理，不断改进完善财务管理工作，配合镇纪检部门进行村集体财务情况清查。</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（三）结果应用情况。</w:t>
      </w:r>
    </w:p>
    <w:p>
      <w:pPr>
        <w:keepNext w:val="0"/>
        <w:keepLines w:val="0"/>
        <w:pageBreakBefore w:val="0"/>
        <w:widowControl/>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在预算执行中对均衡计划按时支付，切实保障单位正常运转。项目资金按照管理要求按时支入，不延期支付，不挪用项目资金。严格按照年初预算执行。</w:t>
      </w:r>
    </w:p>
    <w:p>
      <w:pPr>
        <w:keepNext w:val="0"/>
        <w:keepLines w:val="0"/>
        <w:pageBreakBefore w:val="0"/>
        <w:widowControl/>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（四）自评质量。</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1.行政运转保障。2022年我单位各部门科室，在各自的</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职责范围内按照财政局下达的预算指标，严格按照预算内开支，保障了机关的正常运转。</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2.机关厉行节约。2022年我单位全年未安排出国出境；公务用车运行维护费为8.29万元，较上年减少1.57万元；按规定进行公务接待，</w:t>
      </w:r>
      <w:r>
        <w:rPr>
          <w:rFonts w:hint="eastAsia" w:ascii="仿宋_GB2312" w:hAnsi="仿宋_GB2312" w:eastAsia="仿宋_GB2312" w:cs="仿宋_GB2312"/>
          <w:b w:val="0"/>
          <w:bCs w:val="0"/>
          <w:color w:val="000000"/>
          <w:kern w:val="0"/>
          <w:sz w:val="32"/>
          <w:szCs w:val="32"/>
          <w:shd w:val="clear" w:color="auto" w:fill="FFFFFF"/>
          <w:lang w:val="zh-CN" w:eastAsia="zh-CN"/>
        </w:rPr>
        <w:t>无接待函一律不安排接待用餐，只在食堂安排工作餐。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3.机关节能降耗。2022年我单位整体工作量较上年有明显增加，但机关水费、电费支出低于上年；公务用车运行维护费支出与上年相比有所下降，主要原因为机关强化管理，厉行节约，严格执行公车管理制度。</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color w:val="000000"/>
          <w:kern w:val="0"/>
          <w:sz w:val="32"/>
          <w:szCs w:val="32"/>
          <w:shd w:val="clear" w:color="auto" w:fill="FFFFFF"/>
          <w:lang w:val="zh-CN" w:eastAsia="zh-CN"/>
        </w:rPr>
        <w:t>本单位财物管理未发现明显问题，财政资金收支预算符合相关规定，能够严格控制“三公”经费支出，内部控制制度健全完整，执行到位，单位未出现廉政风险。</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固定资产管理有待进一步规范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细化预算编制工作，认真做好预算的编制。进一步加强内部机构的预算管理意识，严格按照预算编制的相关制度和要求进行预算编制。</w:t>
      </w:r>
    </w:p>
    <w:p>
      <w:pPr>
        <w:pStyle w:val="6"/>
        <w:numPr>
          <w:ilvl w:val="0"/>
          <w:numId w:val="0"/>
        </w:numPr>
        <w:ind w:leftChars="200"/>
        <w:rPr>
          <w:lang w:val="zh-CN"/>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附表：黄湾镇部门预算项目支出绩效自评表（2022年度）</w:t>
      </w:r>
    </w:p>
    <w:p>
      <w:pPr>
        <w:pStyle w:val="15"/>
        <w:spacing w:line="560" w:lineRule="exact"/>
        <w:ind w:left="0" w:leftChars="0" w:firstLine="0" w:firstLineChars="0"/>
        <w:rPr>
          <w:sz w:val="32"/>
          <w:lang w:val="zh-CN"/>
        </w:rPr>
      </w:pPr>
    </w:p>
    <w:p>
      <w:pPr>
        <w:rPr>
          <w:rFonts w:hAnsi="宋体" w:cs="宋体"/>
          <w:sz w:val="32"/>
          <w:szCs w:val="32"/>
          <w:shd w:val="clear" w:color="auto" w:fill="FFFFFF"/>
          <w:lang w:val="zh-CN"/>
        </w:rPr>
      </w:pPr>
      <w:r>
        <w:rPr>
          <w:rFonts w:hAnsi="宋体" w:cs="宋体"/>
          <w:sz w:val="32"/>
          <w:szCs w:val="32"/>
          <w:shd w:val="clear" w:color="auto" w:fill="FFFFFF"/>
          <w:lang w:val="zh-CN"/>
        </w:rPr>
        <w:br w:type="page"/>
      </w:r>
    </w:p>
    <w:p>
      <w:pPr>
        <w:pStyle w:val="6"/>
        <w:spacing w:before="93"/>
        <w:rPr>
          <w:rFonts w:hAnsi="宋体" w:cs="宋体"/>
          <w:sz w:val="32"/>
          <w:szCs w:val="32"/>
          <w:shd w:val="clear" w:color="auto" w:fill="FFFFFF"/>
          <w:lang w:val="zh-CN"/>
        </w:rPr>
      </w:pPr>
    </w:p>
    <w:p>
      <w:pPr>
        <w:pStyle w:val="6"/>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rPr>
      </w:pPr>
      <w:r>
        <w:rPr>
          <w:rFonts w:hint="eastAsia" w:ascii="方正小标宋简体" w:hAnsi="方正小标宋简体" w:eastAsia="方正小标宋简体" w:cs="方正小标宋简体"/>
          <w:b/>
          <w:sz w:val="44"/>
          <w:szCs w:val="44"/>
          <w:shd w:val="clear" w:color="auto" w:fill="FFFFFF"/>
          <w:lang w:val="en-US"/>
        </w:rPr>
        <w:t>202</w:t>
      </w:r>
      <w:r>
        <w:rPr>
          <w:rFonts w:hint="eastAsia" w:ascii="方正小标宋简体" w:hAnsi="方正小标宋简体" w:eastAsia="方正小标宋简体" w:cs="方正小标宋简体"/>
          <w:b/>
          <w:sz w:val="44"/>
          <w:szCs w:val="44"/>
          <w:shd w:val="clear" w:color="auto" w:fill="FFFFFF"/>
          <w:lang w:val="en-US" w:eastAsia="zh-CN"/>
        </w:rPr>
        <w:t>2</w:t>
      </w:r>
      <w:r>
        <w:rPr>
          <w:rFonts w:hint="eastAsia" w:ascii="方正小标宋简体" w:hAnsi="方正小标宋简体" w:eastAsia="方正小标宋简体" w:cs="方正小标宋简体"/>
          <w:b/>
          <w:sz w:val="44"/>
          <w:szCs w:val="44"/>
          <w:shd w:val="clear" w:color="auto" w:fill="FFFFFF"/>
          <w:lang w:val="en-US"/>
        </w:rPr>
        <w:t>年专项资金预算项目绩效自评报告</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rPr>
      </w:pPr>
      <w:r>
        <w:rPr>
          <w:rFonts w:hint="eastAsia" w:ascii="方正小标宋简体" w:hAnsi="方正小标宋简体" w:eastAsia="方正小标宋简体" w:cs="方正小标宋简体"/>
          <w:b/>
          <w:sz w:val="44"/>
          <w:szCs w:val="44"/>
          <w:shd w:val="clear" w:color="auto" w:fill="FFFFFF"/>
          <w:lang w:val="en-US" w:eastAsia="zh-CN"/>
        </w:rPr>
        <w:t>（国有贫困林场项目）</w:t>
      </w: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（一）项目基本情况。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1</w:t>
      </w:r>
      <w:r>
        <w:rPr>
          <w:rFonts w:hint="eastAsia" w:ascii="仿宋_GB2312" w:hAnsi="仿宋_GB2312" w:eastAsia="仿宋_GB2312" w:cs="仿宋_GB2312"/>
          <w:b w:val="0"/>
          <w:bCs w:val="0"/>
          <w:color w:val="000000"/>
          <w:kern w:val="0"/>
          <w:sz w:val="32"/>
          <w:szCs w:val="32"/>
          <w:shd w:val="clear" w:color="auto" w:fill="FFFFFF"/>
          <w:lang w:val="en-US" w:eastAsia="zh-CN"/>
        </w:rPr>
        <w:t>.</w:t>
      </w:r>
      <w:r>
        <w:rPr>
          <w:rFonts w:hint="eastAsia" w:ascii="仿宋_GB2312" w:hAnsi="仿宋_GB2312" w:eastAsia="仿宋_GB2312" w:cs="仿宋_GB2312"/>
          <w:b w:val="0"/>
          <w:bCs w:val="0"/>
          <w:color w:val="000000"/>
          <w:kern w:val="0"/>
          <w:sz w:val="32"/>
          <w:szCs w:val="32"/>
          <w:shd w:val="clear" w:color="auto" w:fill="FFFFFF"/>
          <w:lang w:val="zh-CN" w:eastAsia="zh-CN"/>
        </w:rPr>
        <w:t>说明项目主管部门（单位）在该项目管理中的职能。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峨眉山市黄湾镇人民政府是国有贫困林场项目经费主管部门，主要职责包括：负责组织项目申报、科学合理编制预算、做好资金审核并及时拨付到位、确保资金专款专用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2</w:t>
      </w:r>
      <w:r>
        <w:rPr>
          <w:rFonts w:hint="eastAsia" w:ascii="仿宋_GB2312" w:hAnsi="仿宋_GB2312" w:eastAsia="仿宋_GB2312" w:cs="仿宋_GB2312"/>
          <w:b w:val="0"/>
          <w:bCs w:val="0"/>
          <w:color w:val="000000"/>
          <w:kern w:val="0"/>
          <w:sz w:val="32"/>
          <w:szCs w:val="32"/>
          <w:shd w:val="clear" w:color="auto" w:fill="FFFFFF"/>
          <w:lang w:val="en-US" w:eastAsia="zh-CN"/>
        </w:rPr>
        <w:t>.</w:t>
      </w:r>
      <w:r>
        <w:rPr>
          <w:rFonts w:hint="eastAsia" w:ascii="仿宋_GB2312" w:hAnsi="仿宋_GB2312" w:eastAsia="仿宋_GB2312" w:cs="仿宋_GB2312"/>
          <w:b w:val="0"/>
          <w:bCs w:val="0"/>
          <w:color w:val="000000"/>
          <w:kern w:val="0"/>
          <w:sz w:val="32"/>
          <w:szCs w:val="32"/>
          <w:shd w:val="clear" w:color="auto" w:fill="FFFFFF"/>
          <w:lang w:val="zh-CN" w:eastAsia="zh-CN"/>
        </w:rPr>
        <w:t>项目立项、资金申报的依据：</w:t>
      </w:r>
      <w:r>
        <w:rPr>
          <w:rFonts w:hint="eastAsia" w:ascii="仿宋_GB2312" w:hAnsi="仿宋_GB2312" w:eastAsia="仿宋_GB2312" w:cs="仿宋_GB2312"/>
          <w:b w:val="0"/>
          <w:bCs w:val="0"/>
          <w:color w:val="000000"/>
          <w:kern w:val="0"/>
          <w:sz w:val="32"/>
          <w:szCs w:val="32"/>
          <w:shd w:val="clear" w:color="auto" w:fill="FFFFFF"/>
          <w:lang w:val="en-US" w:eastAsia="zh-CN"/>
        </w:rPr>
        <w:t>《关于国有贫困林场项目资金划拨有关事宜的请示》(峨黄府〔2021〕85号）；峨眉山市财政局《关于国有贫困林场项目资金划拨有关事宜的请示》的回复意见</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3</w:t>
      </w:r>
      <w:r>
        <w:rPr>
          <w:rFonts w:hint="eastAsia" w:ascii="仿宋_GB2312" w:hAnsi="仿宋_GB2312" w:eastAsia="仿宋_GB2312" w:cs="仿宋_GB2312"/>
          <w:b w:val="0"/>
          <w:bCs w:val="0"/>
          <w:color w:val="000000"/>
          <w:kern w:val="0"/>
          <w:sz w:val="32"/>
          <w:szCs w:val="32"/>
          <w:shd w:val="clear" w:color="auto" w:fill="FFFFFF"/>
          <w:lang w:val="en-US" w:eastAsia="zh-CN"/>
        </w:rPr>
        <w:t>.</w:t>
      </w:r>
      <w:r>
        <w:rPr>
          <w:rFonts w:hint="eastAsia" w:ascii="仿宋_GB2312" w:hAnsi="仿宋_GB2312" w:eastAsia="仿宋_GB2312" w:cs="仿宋_GB2312"/>
          <w:b w:val="0"/>
          <w:bCs w:val="0"/>
          <w:color w:val="000000"/>
          <w:kern w:val="0"/>
          <w:sz w:val="32"/>
          <w:szCs w:val="32"/>
          <w:shd w:val="clear" w:color="auto" w:fill="FFFFFF"/>
          <w:lang w:val="zh-CN" w:eastAsia="zh-CN"/>
        </w:rPr>
        <w:t>资金或项目管理办法制定情况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我镇对该项目的组织申报、需求论证、项目入库、项目采购、项目资金支付实施监管，规范化管理。资金的使用范围为：国有贫困林场。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4.</w:t>
      </w:r>
      <w:r>
        <w:rPr>
          <w:rFonts w:hint="eastAsia" w:ascii="仿宋_GB2312" w:hAnsi="仿宋_GB2312" w:eastAsia="仿宋_GB2312" w:cs="仿宋_GB2312"/>
          <w:b w:val="0"/>
          <w:bCs w:val="0"/>
          <w:color w:val="000000"/>
          <w:kern w:val="0"/>
          <w:sz w:val="32"/>
          <w:szCs w:val="32"/>
          <w:shd w:val="clear" w:color="auto" w:fill="FFFFFF"/>
          <w:lang w:val="zh-CN" w:eastAsia="zh-CN"/>
        </w:rPr>
        <w:t>资金分配的原则及考虑因素。</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该项目资金为专项资金，专款专用，确保国有贫困林场的刚性支出，实施全过程预算绩效管理，坚持公平公正原则。</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（二）项目绩效目标。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1．项目主要内容。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完成雷洞坪管护站房和报国寺业务用房，相应值班办公设施的购置。扩建完善高山苗圃地设施，为培育本土珍惜苗木，提升森林质量，改造森林景观提供有利条件。</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2．项目应实现的具体绩效目标，</w:t>
      </w:r>
      <w:r>
        <w:rPr>
          <w:rFonts w:hint="eastAsia" w:ascii="仿宋_GB2312" w:hAnsi="仿宋_GB2312" w:eastAsia="仿宋_GB2312" w:cs="仿宋_GB2312"/>
          <w:b w:val="0"/>
          <w:bCs w:val="0"/>
          <w:color w:val="000000"/>
          <w:kern w:val="0"/>
          <w:sz w:val="32"/>
          <w:szCs w:val="32"/>
          <w:shd w:val="clear" w:color="auto" w:fill="FFFFFF"/>
          <w:lang w:val="en-US" w:eastAsia="zh-CN"/>
        </w:rPr>
        <w:t>包括但不限于：</w:t>
      </w:r>
      <w:r>
        <w:rPr>
          <w:rFonts w:hint="eastAsia" w:ascii="仿宋_GB2312" w:hAnsi="仿宋_GB2312" w:eastAsia="仿宋_GB2312" w:cs="仿宋_GB2312"/>
          <w:b w:val="0"/>
          <w:bCs w:val="0"/>
          <w:color w:val="000000"/>
          <w:kern w:val="0"/>
          <w:sz w:val="32"/>
          <w:szCs w:val="32"/>
          <w:shd w:val="clear" w:color="auto" w:fill="FFFFFF"/>
          <w:lang w:val="zh-CN" w:eastAsia="zh-CN"/>
        </w:rPr>
        <w:t>项目建成后带动周边农户共同致富、按照施工合同确保施工质量、群众满意度达到</w:t>
      </w:r>
      <w:r>
        <w:rPr>
          <w:rFonts w:hint="eastAsia" w:ascii="仿宋_GB2312" w:hAnsi="仿宋_GB2312" w:eastAsia="仿宋_GB2312" w:cs="仿宋_GB2312"/>
          <w:b w:val="0"/>
          <w:bCs w:val="0"/>
          <w:color w:val="000000"/>
          <w:kern w:val="0"/>
          <w:sz w:val="32"/>
          <w:szCs w:val="32"/>
          <w:shd w:val="clear" w:color="auto" w:fill="FFFFFF"/>
          <w:lang w:val="en-US" w:eastAsia="zh-CN"/>
        </w:rPr>
        <w:t>95%及以上</w:t>
      </w:r>
      <w:r>
        <w:rPr>
          <w:rFonts w:hint="eastAsia" w:ascii="仿宋_GB2312" w:hAnsi="仿宋_GB2312" w:eastAsia="仿宋_GB2312" w:cs="仿宋_GB2312"/>
          <w:b w:val="0"/>
          <w:bCs w:val="0"/>
          <w:color w:val="000000"/>
          <w:kern w:val="0"/>
          <w:sz w:val="32"/>
          <w:szCs w:val="32"/>
          <w:shd w:val="clear" w:color="auto" w:fill="FFFFFF"/>
          <w:lang w:val="zh-CN" w:eastAsia="zh-CN"/>
        </w:rPr>
        <w:t>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3．目标符合性</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该项目绩效目标是根据市委市政府对国有贫困林场建设的指导意见，结合群众实际要求进行制定，申报内容与实际相符，申报目标合理可行。</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（三）项目自评步骤及方法。</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eastAsia="zh-CN"/>
        </w:rPr>
        <w:t>自评工作采用定量和定性相结合的方法，对于可量化指标进行细化、量化，对于无法量化的指标根据客观依据评判。结合项目实施过程中的督导检查情况，综合自评。</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（一）项目资金申报及批复情况。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我镇根据</w:t>
      </w:r>
      <w:r>
        <w:rPr>
          <w:rFonts w:hint="eastAsia" w:ascii="仿宋_GB2312" w:hAnsi="仿宋_GB2312" w:eastAsia="仿宋_GB2312" w:cs="仿宋_GB2312"/>
          <w:b w:val="0"/>
          <w:bCs w:val="0"/>
          <w:color w:val="000000"/>
          <w:kern w:val="0"/>
          <w:sz w:val="32"/>
          <w:szCs w:val="32"/>
          <w:shd w:val="clear" w:color="auto" w:fill="FFFFFF"/>
          <w:lang w:val="en-US" w:eastAsia="zh-CN"/>
        </w:rPr>
        <w:t>《关于国有贫困林场项目资金划拨有关事宜的请示》(峨黄府〔2021〕85号）文件精神向市政府请示国有贫困林场项目经费，经市财政局市政府同意纳入我镇年度部门预算</w:t>
      </w:r>
      <w:r>
        <w:rPr>
          <w:rFonts w:hint="eastAsia" w:ascii="仿宋_GB2312" w:hAnsi="仿宋_GB2312" w:eastAsia="仿宋_GB2312" w:cs="仿宋_GB2312"/>
          <w:b w:val="0"/>
          <w:bCs w:val="0"/>
          <w:color w:val="000000"/>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（二）资金计划、到位及使用情况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1．资金计划。项目经费</w:t>
      </w:r>
      <w:r>
        <w:rPr>
          <w:rFonts w:hint="eastAsia" w:ascii="仿宋_GB2312" w:hAnsi="仿宋_GB2312" w:eastAsia="仿宋_GB2312" w:cs="仿宋_GB2312"/>
          <w:b w:val="0"/>
          <w:bCs w:val="0"/>
          <w:color w:val="000000"/>
          <w:kern w:val="0"/>
          <w:sz w:val="32"/>
          <w:szCs w:val="32"/>
          <w:shd w:val="clear" w:color="auto" w:fill="FFFFFF"/>
          <w:lang w:val="en-US" w:eastAsia="zh-CN"/>
        </w:rPr>
        <w:t>2022年预算100万元，属本级人民政府预算专项资金</w:t>
      </w:r>
      <w:r>
        <w:rPr>
          <w:rFonts w:hint="eastAsia" w:ascii="仿宋_GB2312" w:hAnsi="仿宋_GB2312" w:eastAsia="仿宋_GB2312" w:cs="仿宋_GB2312"/>
          <w:b w:val="0"/>
          <w:bCs w:val="0"/>
          <w:color w:val="000000"/>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2．资金到位。项目经费</w:t>
      </w:r>
      <w:r>
        <w:rPr>
          <w:rFonts w:hint="eastAsia" w:ascii="仿宋_GB2312" w:hAnsi="仿宋_GB2312" w:eastAsia="仿宋_GB2312" w:cs="仿宋_GB2312"/>
          <w:b w:val="0"/>
          <w:bCs w:val="0"/>
          <w:color w:val="000000"/>
          <w:kern w:val="0"/>
          <w:sz w:val="32"/>
          <w:szCs w:val="32"/>
          <w:shd w:val="clear" w:color="auto" w:fill="FFFFFF"/>
          <w:lang w:val="en-US" w:eastAsia="zh-CN"/>
        </w:rPr>
        <w:t>预算100万元，年末已全部到位，资金到位率100%</w:t>
      </w:r>
      <w:r>
        <w:rPr>
          <w:rFonts w:hint="eastAsia" w:ascii="仿宋_GB2312" w:hAnsi="仿宋_GB2312" w:eastAsia="仿宋_GB2312" w:cs="仿宋_GB2312"/>
          <w:b w:val="0"/>
          <w:bCs w:val="0"/>
          <w:color w:val="000000"/>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3．资金使用。项目</w:t>
      </w:r>
      <w:r>
        <w:rPr>
          <w:rFonts w:hint="eastAsia" w:ascii="仿宋_GB2312" w:hAnsi="仿宋_GB2312" w:eastAsia="仿宋_GB2312" w:cs="仿宋_GB2312"/>
          <w:b w:val="0"/>
          <w:bCs w:val="0"/>
          <w:color w:val="000000"/>
          <w:kern w:val="0"/>
          <w:sz w:val="32"/>
          <w:szCs w:val="32"/>
          <w:shd w:val="clear" w:color="auto" w:fill="FFFFFF"/>
          <w:lang w:val="en-US" w:eastAsia="zh-CN"/>
        </w:rPr>
        <w:t>实际支出100万元，已全部足额支付</w:t>
      </w:r>
      <w:r>
        <w:rPr>
          <w:rFonts w:hint="eastAsia" w:ascii="仿宋_GB2312" w:hAnsi="仿宋_GB2312" w:eastAsia="仿宋_GB2312" w:cs="仿宋_GB2312"/>
          <w:b w:val="0"/>
          <w:bCs w:val="0"/>
          <w:color w:val="000000"/>
          <w:kern w:val="0"/>
          <w:sz w:val="32"/>
          <w:szCs w:val="32"/>
          <w:shd w:val="clear" w:color="auto" w:fill="FFFFFF"/>
          <w:lang w:val="zh-CN" w:eastAsia="zh-CN"/>
        </w:rPr>
        <w:t>。资金支付与预算项目实施方案相符，支付范围、支付标准、支付依据合规合法。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（三）项目财务管理情况。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该项目资金实行专款专用，从日常监管情况来看，项目实施单位财务管理制度健全，严格执行财务管理制度，账务处理及时，会计核算规范。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（一）项目组织架构及实施流程。</w:t>
      </w:r>
    </w:p>
    <w:p>
      <w:pPr>
        <w:numPr>
          <w:ilvl w:val="0"/>
          <w:numId w:val="0"/>
        </w:numPr>
        <w:ind w:firstLine="640" w:firstLineChars="200"/>
        <w:rPr>
          <w:lang w:val="zh-CN"/>
        </w:rPr>
      </w:pPr>
      <w:r>
        <w:rPr>
          <w:rFonts w:hint="eastAsia" w:ascii="仿宋_GB2312" w:hAnsi="仿宋_GB2312" w:eastAsia="仿宋_GB2312" w:cs="仿宋_GB2312"/>
          <w:b w:val="0"/>
          <w:bCs w:val="0"/>
          <w:color w:val="000000"/>
          <w:kern w:val="0"/>
          <w:sz w:val="32"/>
          <w:szCs w:val="32"/>
          <w:shd w:val="clear" w:color="auto" w:fill="FFFFFF"/>
          <w:lang w:val="zh-CN" w:eastAsia="zh-CN"/>
        </w:rPr>
        <w:t>该项目管理由峨眉山市黄湾镇党委政府进行决策管理，工作部门根据绩效目标工作任务提出资金使用申报，党委政府研究决定，纪委监督，财政部门审核支付。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（二）项目管理情况。</w:t>
      </w:r>
    </w:p>
    <w:p>
      <w:pPr>
        <w:numPr>
          <w:ilvl w:val="0"/>
          <w:numId w:val="0"/>
        </w:numPr>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eastAsia="zh-CN"/>
        </w:rPr>
        <w:t>我镇严格执行相关法律法规、对国有贫困林场项目进行管理，严格按照招投标、政府采购、项目公示制相关规定选定符合标准的建筑工程公司，签订采购合同并制定了考核制度保证项目顺利实施达到预期效果，完成项目绩效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（三）项目监管情况。</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说明项目主管部门为加强项目管理所采取的监管手段、监管程序、监管工作开展情况及实现的效果等。</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国有贫困林场项目</w:t>
      </w:r>
      <w:r>
        <w:rPr>
          <w:rFonts w:hint="eastAsia" w:ascii="仿宋_GB2312" w:hAnsi="仿宋_GB2312" w:eastAsia="仿宋_GB2312" w:cs="仿宋_GB2312"/>
          <w:b w:val="0"/>
          <w:bCs w:val="0"/>
          <w:color w:val="000000"/>
          <w:kern w:val="0"/>
          <w:sz w:val="32"/>
          <w:szCs w:val="32"/>
          <w:shd w:val="clear" w:color="auto" w:fill="FFFFFF"/>
          <w:lang w:val="en-US" w:eastAsia="zh-CN"/>
        </w:rPr>
        <w:t>范围覆盖率100%；根据年末验收服务考核合格；施工质量达标；严格按照预算控制成本，未超预算；预算资金100万元及时支付到位，使用率100%,</w:t>
      </w:r>
      <w:r>
        <w:rPr>
          <w:rFonts w:hint="eastAsia" w:ascii="仿宋_GB2312" w:hAnsi="仿宋_GB2312" w:eastAsia="仿宋_GB2312" w:cs="仿宋_GB2312"/>
          <w:b w:val="0"/>
          <w:bCs w:val="0"/>
          <w:color w:val="000000"/>
          <w:kern w:val="0"/>
          <w:sz w:val="32"/>
          <w:szCs w:val="32"/>
          <w:shd w:val="clear" w:color="auto" w:fill="FFFFFF"/>
          <w:lang w:val="zh-CN" w:eastAsia="zh-CN"/>
        </w:rPr>
        <w:t>未有结余，无违规记录；达到了提升森林质量，提升群众幸福感，满意度的目标。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（二）项目效益情况。</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该项目实施以来，明显提升了森林质量，改造了森林景观，群众满意度大大提高。</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（一）评价结论。</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总体上看，该项目决策依据充分，绩效目标明确，管理制度健全，组织实施有序，资金使用规范。通过项目实施改善森林景观，得到群众认可取得了良好的社会效益，是应该长期实施的项目。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（二）存在的问题。</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项目绩效目标申报仍存在不完整、细化量化不够的问题。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（三）相关建议。</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仿宋_GB2312" w:eastAsia="仿宋_GB2312" w:cs="仿宋_GB2312"/>
          <w:b w:val="0"/>
          <w:bCs w:val="0"/>
          <w:color w:val="000000"/>
          <w:kern w:val="0"/>
          <w:sz w:val="32"/>
          <w:szCs w:val="32"/>
          <w:shd w:val="clear" w:color="auto" w:fill="FFFFFF"/>
          <w:lang w:val="zh-CN" w:eastAsia="zh-CN"/>
        </w:rPr>
        <w:t>绩效目标制定是预算绩效管理的基础，也是编制项目预算、实施绩效监控、开展绩效评价的重要基础和依据。下一步，采取更有力的措施，落实绩效管理主体责任，认真编制绩效目标。</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eastAsia="zh-CN"/>
        </w:rPr>
      </w:pPr>
      <w:r>
        <w:rPr>
          <w:rFonts w:hint="eastAsia" w:ascii="方正小标宋简体" w:hAnsi="方正小标宋简体" w:eastAsia="方正小标宋简体" w:cs="方正小标宋简体"/>
          <w:b/>
          <w:sz w:val="44"/>
          <w:szCs w:val="44"/>
          <w:shd w:val="clear" w:color="auto" w:fill="FFFFFF"/>
          <w:lang w:val="en-US" w:eastAsia="zh-CN"/>
        </w:rPr>
        <w:t>2022年专项资金预算项目绩效自评报告</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rPr>
      </w:pPr>
      <w:r>
        <w:rPr>
          <w:rFonts w:hint="eastAsia" w:ascii="方正小标宋简体" w:hAnsi="方正小标宋简体" w:eastAsia="方正小标宋简体" w:cs="方正小标宋简体"/>
          <w:b/>
          <w:sz w:val="44"/>
          <w:szCs w:val="44"/>
          <w:shd w:val="clear" w:color="auto" w:fill="FFFFFF"/>
        </w:rPr>
        <w:t>（</w:t>
      </w:r>
      <w:r>
        <w:rPr>
          <w:rFonts w:hint="eastAsia" w:ascii="方正小标宋简体" w:hAnsi="方正小标宋简体" w:eastAsia="方正小标宋简体" w:cs="方正小标宋简体"/>
          <w:b/>
          <w:sz w:val="44"/>
          <w:szCs w:val="44"/>
          <w:shd w:val="clear" w:color="auto" w:fill="FFFFFF"/>
          <w:lang w:val="zh-CN" w:eastAsia="zh-CN"/>
        </w:rPr>
        <w:t>城乡环保、环境综合整治专项经费（含环卫补助和农村保洁）</w:t>
      </w:r>
      <w:r>
        <w:rPr>
          <w:rFonts w:hint="eastAsia" w:ascii="方正小标宋简体" w:hAnsi="方正小标宋简体" w:eastAsia="方正小标宋简体" w:cs="方正小标宋简体"/>
          <w:b/>
          <w:sz w:val="44"/>
          <w:szCs w:val="44"/>
          <w:shd w:val="clear" w:color="auto" w:fill="FFFFFF"/>
          <w:lang w:val="en-US" w:eastAsia="zh-CN"/>
        </w:rPr>
        <w:t>）</w:t>
      </w: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（一）项目基本情况。</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1</w:t>
      </w:r>
      <w:r>
        <w:rPr>
          <w:rFonts w:hint="eastAsia" w:ascii="仿宋_GB2312" w:hAnsi="仿宋_GB2312" w:eastAsia="仿宋_GB2312" w:cs="仿宋_GB2312"/>
          <w:b w:val="0"/>
          <w:bCs w:val="0"/>
          <w:color w:val="000000"/>
          <w:kern w:val="0"/>
          <w:sz w:val="32"/>
          <w:szCs w:val="32"/>
          <w:shd w:val="clear" w:color="auto" w:fill="FFFFFF"/>
          <w:lang w:val="en-US" w:eastAsia="zh-CN"/>
        </w:rPr>
        <w:t>.</w:t>
      </w:r>
      <w:r>
        <w:rPr>
          <w:rFonts w:hint="eastAsia" w:ascii="仿宋_GB2312" w:hAnsi="仿宋_GB2312" w:eastAsia="仿宋_GB2312" w:cs="仿宋_GB2312"/>
          <w:b w:val="0"/>
          <w:bCs w:val="0"/>
          <w:color w:val="000000"/>
          <w:kern w:val="0"/>
          <w:sz w:val="32"/>
          <w:szCs w:val="32"/>
          <w:shd w:val="clear" w:color="auto" w:fill="FFFFFF"/>
          <w:lang w:val="zh-CN" w:eastAsia="zh-CN"/>
        </w:rPr>
        <w:t>项目主管部门（单位）在该项目管理中的职能。</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峨眉山市黄湾镇人民政府是城乡环保、环境综合整治专项经费（含环卫补助和农村保洁）主管部门，主要职责包括：负责组织项目申报、科学合理编制预算、做好资金审核并及时拨付到位、确保资金专款专用。</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w:t>
      </w:r>
      <w:r>
        <w:rPr>
          <w:rFonts w:hint="eastAsia" w:ascii="仿宋_GB2312" w:hAnsi="仿宋_GB2312" w:eastAsia="仿宋_GB2312" w:cs="仿宋_GB2312"/>
          <w:b w:val="0"/>
          <w:bCs w:val="0"/>
          <w:color w:val="000000"/>
          <w:kern w:val="0"/>
          <w:sz w:val="32"/>
          <w:szCs w:val="32"/>
          <w:shd w:val="clear" w:color="auto" w:fill="FFFFFF"/>
          <w:lang w:val="zh-CN" w:eastAsia="zh-CN"/>
        </w:rPr>
        <w:t>项目立项、资金申报的依据。</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住建局提供“镇（乡）农村保洁预算统计表”</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3.</w:t>
      </w:r>
      <w:r>
        <w:rPr>
          <w:rFonts w:hint="eastAsia" w:ascii="仿宋_GB2312" w:hAnsi="仿宋_GB2312" w:eastAsia="仿宋_GB2312" w:cs="仿宋_GB2312"/>
          <w:b w:val="0"/>
          <w:bCs w:val="0"/>
          <w:color w:val="000000"/>
          <w:kern w:val="0"/>
          <w:sz w:val="32"/>
          <w:szCs w:val="32"/>
          <w:shd w:val="clear" w:color="auto" w:fill="FFFFFF"/>
          <w:lang w:val="zh-CN" w:eastAsia="zh-CN"/>
        </w:rPr>
        <w:t>资金或项目管理情况。</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该项目资金主要使用范围包括：对集镇区域环境常态化清扫保洁、公厕保洁、垃圾清运、集镇秩序维护、绿化维护、水沟改造、污水管道清理、化粪池疏通等，确保镇容镇貌焕然一新，秩序井然，环保宣传方面的开支。项目申报内容与具体实施内容相符，申报目标合理可行。</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4.</w:t>
      </w:r>
      <w:r>
        <w:rPr>
          <w:rFonts w:hint="eastAsia" w:ascii="仿宋_GB2312" w:hAnsi="仿宋_GB2312" w:eastAsia="仿宋_GB2312" w:cs="仿宋_GB2312"/>
          <w:b w:val="0"/>
          <w:bCs w:val="0"/>
          <w:color w:val="000000"/>
          <w:kern w:val="0"/>
          <w:sz w:val="32"/>
          <w:szCs w:val="32"/>
          <w:shd w:val="clear" w:color="auto" w:fill="FFFFFF"/>
          <w:lang w:val="zh-CN" w:eastAsia="zh-CN"/>
        </w:rPr>
        <w:t>资金分配的原则及考虑因素。</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该项目资金分配遵循突出支持重点、确保刚性支出、实施全过程预算绩效管理、坚持公平公正。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（二）项目绩效目标。</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1</w:t>
      </w:r>
      <w:r>
        <w:rPr>
          <w:rFonts w:hint="eastAsia" w:ascii="仿宋_GB2312" w:hAnsi="仿宋_GB2312" w:eastAsia="仿宋_GB2312" w:cs="仿宋_GB2312"/>
          <w:b w:val="0"/>
          <w:bCs w:val="0"/>
          <w:color w:val="000000"/>
          <w:kern w:val="0"/>
          <w:sz w:val="32"/>
          <w:szCs w:val="32"/>
          <w:shd w:val="clear" w:color="auto" w:fill="FFFFFF"/>
          <w:lang w:val="en-US" w:eastAsia="zh-CN"/>
        </w:rPr>
        <w:t>.</w:t>
      </w:r>
      <w:r>
        <w:rPr>
          <w:rFonts w:hint="eastAsia" w:ascii="仿宋_GB2312" w:hAnsi="仿宋_GB2312" w:eastAsia="仿宋_GB2312" w:cs="仿宋_GB2312"/>
          <w:b w:val="0"/>
          <w:bCs w:val="0"/>
          <w:color w:val="000000"/>
          <w:kern w:val="0"/>
          <w:sz w:val="32"/>
          <w:szCs w:val="32"/>
          <w:shd w:val="clear" w:color="auto" w:fill="FFFFFF"/>
          <w:lang w:val="zh-CN" w:eastAsia="zh-CN"/>
        </w:rPr>
        <w:t>项目主要内容。</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开展辖区内城乡环境垃圾整治、加强秸秆禁烧监管、加强城乡环境综合整治等</w:t>
      </w:r>
      <w:r>
        <w:rPr>
          <w:rFonts w:hint="eastAsia" w:ascii="仿宋_GB2312" w:hAnsi="仿宋_GB2312" w:eastAsia="仿宋_GB2312" w:cs="仿宋_GB2312"/>
          <w:b w:val="0"/>
          <w:bCs w:val="0"/>
          <w:color w:val="000000"/>
          <w:kern w:val="0"/>
          <w:sz w:val="32"/>
          <w:szCs w:val="32"/>
          <w:shd w:val="clear" w:color="auto" w:fill="FFFFFF"/>
          <w:lang w:val="en-US" w:eastAsia="zh-CN"/>
        </w:rPr>
        <w:t>。开展五清行动，增加路面清扫频次、督促企业落实环保措施、联合部门开展执法，环境质量明显改善。制定垃圾清运方案与考核管理制度，完成各村垃圾清运模式改革工作，有效提高了各村垃圾清运能力，显著提升了垃圾清运效率。</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w:t>
      </w:r>
      <w:r>
        <w:rPr>
          <w:rFonts w:hint="eastAsia" w:ascii="仿宋_GB2312" w:hAnsi="仿宋_GB2312" w:eastAsia="仿宋_GB2312" w:cs="仿宋_GB2312"/>
          <w:b w:val="0"/>
          <w:bCs w:val="0"/>
          <w:color w:val="000000"/>
          <w:kern w:val="0"/>
          <w:sz w:val="32"/>
          <w:szCs w:val="32"/>
          <w:shd w:val="clear" w:color="auto" w:fill="FFFFFF"/>
          <w:lang w:val="zh-CN" w:eastAsia="zh-CN"/>
        </w:rPr>
        <w:t>项目应实现的具体绩效目标。</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该项目具体绩效目标包括但不限于：农村垃圾及时转运、环境问题处理及时率达到</w:t>
      </w:r>
      <w:r>
        <w:rPr>
          <w:rFonts w:hint="eastAsia" w:ascii="仿宋_GB2312" w:hAnsi="仿宋_GB2312" w:eastAsia="仿宋_GB2312" w:cs="仿宋_GB2312"/>
          <w:b w:val="0"/>
          <w:bCs w:val="0"/>
          <w:color w:val="000000"/>
          <w:kern w:val="0"/>
          <w:sz w:val="32"/>
          <w:szCs w:val="32"/>
          <w:shd w:val="clear" w:color="auto" w:fill="FFFFFF"/>
          <w:lang w:val="en-US" w:eastAsia="zh-CN"/>
        </w:rPr>
        <w:t>95%及以上</w:t>
      </w:r>
      <w:r>
        <w:rPr>
          <w:rFonts w:hint="eastAsia" w:ascii="仿宋_GB2312" w:hAnsi="仿宋_GB2312" w:eastAsia="仿宋_GB2312" w:cs="仿宋_GB2312"/>
          <w:b w:val="0"/>
          <w:bCs w:val="0"/>
          <w:color w:val="000000"/>
          <w:kern w:val="0"/>
          <w:sz w:val="32"/>
          <w:szCs w:val="32"/>
          <w:shd w:val="clear" w:color="auto" w:fill="FFFFFF"/>
          <w:lang w:val="zh-CN" w:eastAsia="zh-CN"/>
        </w:rPr>
        <w:t>，群众满意度达</w:t>
      </w:r>
      <w:r>
        <w:rPr>
          <w:rFonts w:hint="eastAsia" w:ascii="仿宋_GB2312" w:hAnsi="仿宋_GB2312" w:eastAsia="仿宋_GB2312" w:cs="仿宋_GB2312"/>
          <w:b w:val="0"/>
          <w:bCs w:val="0"/>
          <w:color w:val="000000"/>
          <w:kern w:val="0"/>
          <w:sz w:val="32"/>
          <w:szCs w:val="32"/>
          <w:shd w:val="clear" w:color="auto" w:fill="FFFFFF"/>
          <w:lang w:val="en-US" w:eastAsia="zh-CN"/>
        </w:rPr>
        <w:t>98%以上，环境整治工作全覆盖</w:t>
      </w:r>
      <w:r>
        <w:rPr>
          <w:rFonts w:hint="eastAsia" w:ascii="仿宋_GB2312" w:hAnsi="仿宋_GB2312" w:eastAsia="仿宋_GB2312" w:cs="仿宋_GB2312"/>
          <w:b w:val="0"/>
          <w:bCs w:val="0"/>
          <w:color w:val="000000"/>
          <w:kern w:val="0"/>
          <w:sz w:val="32"/>
          <w:szCs w:val="32"/>
          <w:shd w:val="clear" w:color="auto" w:fill="FFFFFF"/>
          <w:lang w:val="zh-CN" w:eastAsia="zh-CN"/>
        </w:rPr>
        <w:t>。</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3.</w:t>
      </w:r>
      <w:r>
        <w:rPr>
          <w:rFonts w:hint="eastAsia" w:ascii="仿宋_GB2312" w:hAnsi="仿宋_GB2312" w:eastAsia="仿宋_GB2312" w:cs="仿宋_GB2312"/>
          <w:b w:val="0"/>
          <w:bCs w:val="0"/>
          <w:color w:val="000000"/>
          <w:kern w:val="0"/>
          <w:sz w:val="32"/>
          <w:szCs w:val="32"/>
          <w:shd w:val="clear" w:color="auto" w:fill="FFFFFF"/>
          <w:lang w:val="zh-CN" w:eastAsia="zh-CN"/>
        </w:rPr>
        <w:t>目标相符性。</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该项目的绩效目标制定是根据峨眉山市市委市政府、黄湾镇全年城乡环境工作目标任务制定，申报内容与实际相符，申报目标合理可行。根据年中绩效监控及年末绩效自评，我镇已完成制定的绩效目标。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（三）项目自评步骤及方法。</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根据部门城乡环保、环境综合整治工作任务，量化为绩效相关指标，年末进行考核自评。</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（一）项目资金申报及批复情况。</w:t>
      </w:r>
    </w:p>
    <w:p>
      <w:pPr>
        <w:numPr>
          <w:ilvl w:val="0"/>
          <w:numId w:val="0"/>
        </w:numPr>
        <w:ind w:firstLine="640" w:firstLineChars="200"/>
        <w:rPr>
          <w:rFonts w:hint="default"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2022</w:t>
      </w:r>
      <w:r>
        <w:rPr>
          <w:rFonts w:hint="eastAsia" w:ascii="仿宋_GB2312" w:hAnsi="仿宋_GB2312" w:eastAsia="仿宋_GB2312" w:cs="仿宋_GB2312"/>
          <w:b w:val="0"/>
          <w:bCs w:val="0"/>
          <w:color w:val="000000"/>
          <w:kern w:val="0"/>
          <w:sz w:val="32"/>
          <w:szCs w:val="32"/>
          <w:shd w:val="clear" w:color="auto" w:fill="FFFFFF"/>
          <w:lang w:val="zh-CN" w:eastAsia="zh-CN"/>
        </w:rPr>
        <w:t>年初我镇严格按照预算编制要求，对城乡环保、环境综合整治专项经费（含环卫补助和农村保洁）进行预算编制，经市政府同意，报峨眉山市人民代表大会会议批准通过。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（二）资金计划、到位及使用情况</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1．资金计划。城乡环保、环境综合整治专项经费（含环卫补助和农村保洁）项目</w:t>
      </w:r>
      <w:r>
        <w:rPr>
          <w:rFonts w:hint="eastAsia" w:ascii="仿宋_GB2312" w:hAnsi="仿宋_GB2312" w:eastAsia="仿宋_GB2312" w:cs="仿宋_GB2312"/>
          <w:b w:val="0"/>
          <w:bCs w:val="0"/>
          <w:color w:val="000000"/>
          <w:kern w:val="0"/>
          <w:sz w:val="32"/>
          <w:szCs w:val="32"/>
          <w:shd w:val="clear" w:color="auto" w:fill="FFFFFF"/>
          <w:lang w:val="en-US" w:eastAsia="zh-CN"/>
        </w:rPr>
        <w:t>2022年预算17.52万元</w:t>
      </w:r>
      <w:r>
        <w:rPr>
          <w:rFonts w:hint="eastAsia" w:ascii="仿宋_GB2312" w:hAnsi="仿宋_GB2312" w:eastAsia="仿宋_GB2312" w:cs="仿宋_GB2312"/>
          <w:b w:val="0"/>
          <w:bCs w:val="0"/>
          <w:color w:val="000000"/>
          <w:kern w:val="0"/>
          <w:sz w:val="32"/>
          <w:szCs w:val="32"/>
          <w:shd w:val="clear" w:color="auto" w:fill="FFFFFF"/>
          <w:lang w:val="zh-CN" w:eastAsia="zh-CN"/>
        </w:rPr>
        <w:t>，属本级人民政府预算专项资金，经市人代会会议结束后到位。</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2．资金到位。黄湾镇城乡环保、环境综合整治专项经费到位</w:t>
      </w:r>
      <w:r>
        <w:rPr>
          <w:rFonts w:hint="eastAsia" w:ascii="仿宋_GB2312" w:hAnsi="仿宋_GB2312" w:eastAsia="仿宋_GB2312" w:cs="仿宋_GB2312"/>
          <w:b w:val="0"/>
          <w:bCs w:val="0"/>
          <w:color w:val="000000"/>
          <w:kern w:val="0"/>
          <w:sz w:val="32"/>
          <w:szCs w:val="32"/>
          <w:shd w:val="clear" w:color="auto" w:fill="FFFFFF"/>
          <w:lang w:val="en-US" w:eastAsia="zh-CN"/>
        </w:rPr>
        <w:t>17.52万</w:t>
      </w:r>
      <w:r>
        <w:rPr>
          <w:rFonts w:hint="eastAsia" w:ascii="仿宋_GB2312" w:hAnsi="仿宋_GB2312" w:eastAsia="仿宋_GB2312" w:cs="仿宋_GB2312"/>
          <w:b w:val="0"/>
          <w:bCs w:val="0"/>
          <w:color w:val="000000"/>
          <w:kern w:val="0"/>
          <w:sz w:val="32"/>
          <w:szCs w:val="32"/>
          <w:shd w:val="clear" w:color="auto" w:fill="FFFFFF"/>
          <w:lang w:val="zh-CN" w:eastAsia="zh-CN"/>
        </w:rPr>
        <w:t>元，资金到位率100%。</w:t>
      </w:r>
    </w:p>
    <w:p>
      <w:pPr>
        <w:numPr>
          <w:ilvl w:val="0"/>
          <w:numId w:val="0"/>
        </w:numPr>
        <w:ind w:firstLine="640" w:firstLineChars="200"/>
        <w:rPr>
          <w:rFonts w:hint="default"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3．资金使用。</w:t>
      </w:r>
      <w:r>
        <w:rPr>
          <w:rFonts w:hint="eastAsia" w:ascii="仿宋_GB2312" w:hAnsi="仿宋_GB2312" w:eastAsia="仿宋_GB2312" w:cs="仿宋_GB2312"/>
          <w:b w:val="0"/>
          <w:bCs w:val="0"/>
          <w:color w:val="000000"/>
          <w:kern w:val="0"/>
          <w:sz w:val="32"/>
          <w:szCs w:val="32"/>
          <w:shd w:val="clear" w:color="auto" w:fill="FFFFFF"/>
          <w:lang w:val="en-US" w:eastAsia="zh-CN"/>
        </w:rPr>
        <w:t>2022年度</w:t>
      </w:r>
      <w:r>
        <w:rPr>
          <w:rFonts w:hint="eastAsia" w:ascii="仿宋_GB2312" w:hAnsi="仿宋_GB2312" w:eastAsia="仿宋_GB2312" w:cs="仿宋_GB2312"/>
          <w:b w:val="0"/>
          <w:bCs w:val="0"/>
          <w:color w:val="000000"/>
          <w:kern w:val="0"/>
          <w:sz w:val="32"/>
          <w:szCs w:val="32"/>
          <w:shd w:val="clear" w:color="auto" w:fill="FFFFFF"/>
          <w:lang w:val="zh-CN" w:eastAsia="zh-CN"/>
        </w:rPr>
        <w:t>城乡环保、环境综合整治专项经费（含环卫补助和农村保洁）全部严格按照预算及时足额支付。资金使用安全、规范、有效。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（三）项目财务管理情况。</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该项目资金纳入单位整体财务核算。在财务处理上单独纳入“城乡环境”智能核算。项目严格执行财务管理制度，财务处理及时，会计核算规范。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我镇环境常态化清扫保洁、公厕保洁、集镇秩序维护（白天）实行劳务外包。对集镇垃圾清运、迎检大规模环境整治等；对集镇区域的绿化改造等。开展辖区内城乡环境垃圾整治、加强秸秆禁烧监管、加强城乡环境综合整治等</w:t>
      </w:r>
      <w:r>
        <w:rPr>
          <w:rFonts w:hint="eastAsia" w:ascii="仿宋_GB2312" w:hAnsi="仿宋_GB2312" w:eastAsia="仿宋_GB2312" w:cs="仿宋_GB2312"/>
          <w:b w:val="0"/>
          <w:bCs w:val="0"/>
          <w:color w:val="000000"/>
          <w:kern w:val="0"/>
          <w:sz w:val="32"/>
          <w:szCs w:val="32"/>
          <w:shd w:val="clear" w:color="auto" w:fill="FFFFFF"/>
          <w:lang w:val="en-US" w:eastAsia="zh-CN"/>
        </w:rPr>
        <w:t>。开展五清行动，增加路面清扫频次、督促企业落实环保措施、联合部门开展执法，环境质量明显改善。制定垃圾清运方案与考核管理制度，完成各村垃圾清运模式改革工作，有效提高了各村垃圾清运能力，显著提升了垃圾清运效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（一）项目组织架构及实施流程。</w:t>
      </w:r>
    </w:p>
    <w:p>
      <w:pPr>
        <w:numPr>
          <w:ilvl w:val="0"/>
          <w:numId w:val="0"/>
        </w:numPr>
        <w:ind w:firstLine="640" w:firstLineChars="200"/>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城乡环保、环境综合整治专项经费（含环卫补助和农村保洁）管理由峨眉山市黄湾镇党委政府决策管理，工作部门根据绩效目标工作任务提出资金使用申报，党委政府研究决定，纪委监督，财政部门审核支付。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我镇根据市委市政府工作要求，及时完成项目入库工作，建立相应的财务和内控制度，会计核算基本规范，财务处理基本及时，未发现挤占，截留和挪用情况。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该项目采用常态化监控</w:t>
      </w:r>
      <w:r>
        <w:rPr>
          <w:rFonts w:hint="eastAsia" w:ascii="仿宋_GB2312" w:hAnsi="仿宋_GB2312" w:eastAsia="仿宋_GB2312" w:cs="仿宋_GB2312"/>
          <w:b w:val="0"/>
          <w:bCs w:val="0"/>
          <w:color w:val="000000"/>
          <w:kern w:val="0"/>
          <w:sz w:val="32"/>
          <w:szCs w:val="32"/>
          <w:shd w:val="clear" w:color="auto" w:fill="FFFFFF"/>
          <w:lang w:val="en-US" w:eastAsia="zh-CN"/>
        </w:rPr>
        <w:t>+</w:t>
      </w:r>
      <w:r>
        <w:rPr>
          <w:rFonts w:hint="eastAsia" w:ascii="仿宋_GB2312" w:hAnsi="仿宋_GB2312" w:eastAsia="仿宋_GB2312" w:cs="仿宋_GB2312"/>
          <w:b w:val="0"/>
          <w:bCs w:val="0"/>
          <w:color w:val="000000"/>
          <w:kern w:val="0"/>
          <w:sz w:val="32"/>
          <w:szCs w:val="32"/>
          <w:shd w:val="clear" w:color="auto" w:fill="FFFFFF"/>
          <w:lang w:val="zh-CN" w:eastAsia="zh-CN"/>
        </w:rPr>
        <w:t>动态化监督检查</w:t>
      </w:r>
      <w:r>
        <w:rPr>
          <w:rFonts w:hint="eastAsia" w:ascii="仿宋_GB2312" w:hAnsi="仿宋_GB2312" w:eastAsia="仿宋_GB2312" w:cs="仿宋_GB2312"/>
          <w:b w:val="0"/>
          <w:bCs w:val="0"/>
          <w:color w:val="000000"/>
          <w:kern w:val="0"/>
          <w:sz w:val="32"/>
          <w:szCs w:val="32"/>
          <w:shd w:val="clear" w:color="auto" w:fill="FFFFFF"/>
          <w:lang w:val="en-US" w:eastAsia="zh-CN"/>
        </w:rPr>
        <w:t>+绩效评价监督的联动机制从严从实的对项目绩效监督管理。确保资金安全，转款专用。目前未发现有违规行为。</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截止评价时点，实际运行完成目标额为</w:t>
      </w:r>
      <w:r>
        <w:rPr>
          <w:rFonts w:hint="eastAsia" w:ascii="仿宋_GB2312" w:hAnsi="仿宋_GB2312" w:eastAsia="仿宋_GB2312" w:cs="仿宋_GB2312"/>
          <w:b w:val="0"/>
          <w:bCs w:val="0"/>
          <w:color w:val="000000"/>
          <w:kern w:val="0"/>
          <w:sz w:val="32"/>
          <w:szCs w:val="32"/>
          <w:shd w:val="clear" w:color="auto" w:fill="FFFFFF"/>
          <w:lang w:val="en-US" w:eastAsia="zh-CN"/>
        </w:rPr>
        <w:t>17.52</w:t>
      </w:r>
      <w:r>
        <w:rPr>
          <w:rFonts w:hint="eastAsia" w:ascii="仿宋_GB2312" w:hAnsi="仿宋_GB2312" w:eastAsia="仿宋_GB2312" w:cs="仿宋_GB2312"/>
          <w:b w:val="0"/>
          <w:bCs w:val="0"/>
          <w:color w:val="000000"/>
          <w:kern w:val="0"/>
          <w:sz w:val="32"/>
          <w:szCs w:val="32"/>
          <w:shd w:val="clear" w:color="auto" w:fill="FFFFFF"/>
          <w:lang w:val="zh-CN" w:eastAsia="zh-CN"/>
        </w:rPr>
        <w:t>万元，任务量完成情况为预算资金的100%。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目前，我镇牢固树立乡村振兴战略、绿色发展理念，镇容镇貌大幅提升，环境干净、整洁、舒适、清新，宜居宜养，群众环保理念有了新认识、新提高，全镇对外形象有了新提升。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我镇人居环境持续改善，老百姓的获得感、幸福感、安全感增强。</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bCs/>
          <w:sz w:val="32"/>
          <w:szCs w:val="32"/>
        </w:rPr>
      </w:pPr>
      <w:r>
        <w:rPr>
          <w:rFonts w:hint="eastAsia" w:ascii="仿宋_GB2312" w:hAnsi="仿宋_GB2312" w:eastAsia="仿宋_GB2312" w:cs="仿宋_GB2312"/>
          <w:b w:val="0"/>
          <w:bCs w:val="0"/>
          <w:color w:val="000000"/>
          <w:kern w:val="0"/>
          <w:sz w:val="32"/>
          <w:szCs w:val="32"/>
          <w:shd w:val="clear" w:color="auto" w:fill="FFFFFF"/>
          <w:lang w:val="zh-CN" w:eastAsia="zh-CN"/>
        </w:rPr>
        <w:t>总体上看，该项目决策依据充分，绩效目标明确，管理制度健全，组织实施有序，资金使用规范。通过项目实施，城镇和农村生活环境的改变，经济有所发展，大家有目共睹，</w:t>
      </w:r>
      <w:r>
        <w:rPr>
          <w:rFonts w:hint="eastAsia" w:ascii="仿宋_GB2312" w:hAnsi="仿宋_GB2312" w:eastAsia="仿宋_GB2312" w:cs="仿宋_GB2312"/>
          <w:sz w:val="32"/>
          <w:szCs w:val="32"/>
        </w:rPr>
        <w:t>群众的生活质量提高，身心素养的不自觉提升。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（二）存在的问题。</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rPr>
        <w:t>少数</w:t>
      </w:r>
      <w:r>
        <w:rPr>
          <w:rFonts w:hint="eastAsia" w:ascii="仿宋_GB2312" w:hAnsi="仿宋_GB2312" w:eastAsia="仿宋_GB2312" w:cs="仿宋_GB2312"/>
          <w:color w:val="000000"/>
          <w:kern w:val="0"/>
          <w:sz w:val="32"/>
          <w:szCs w:val="32"/>
          <w:lang w:eastAsia="zh-CN"/>
        </w:rPr>
        <w:t>群众</w:t>
      </w:r>
      <w:r>
        <w:rPr>
          <w:rFonts w:hint="eastAsia" w:ascii="仿宋_GB2312" w:hAnsi="仿宋_GB2312" w:eastAsia="仿宋_GB2312" w:cs="仿宋_GB2312"/>
          <w:color w:val="000000"/>
          <w:kern w:val="0"/>
          <w:sz w:val="32"/>
          <w:szCs w:val="32"/>
        </w:rPr>
        <w:t>的环卫意识不强，</w:t>
      </w:r>
      <w:r>
        <w:rPr>
          <w:rFonts w:hint="eastAsia" w:ascii="仿宋_GB2312" w:hAnsi="仿宋_GB2312" w:eastAsia="仿宋_GB2312" w:cs="仿宋_GB2312"/>
          <w:color w:val="000000"/>
          <w:kern w:val="0"/>
          <w:sz w:val="32"/>
          <w:szCs w:val="32"/>
          <w:lang w:eastAsia="zh-CN"/>
        </w:rPr>
        <w:t>仍然有</w:t>
      </w:r>
      <w:r>
        <w:rPr>
          <w:rFonts w:hint="eastAsia" w:ascii="仿宋_GB2312" w:hAnsi="仿宋_GB2312" w:eastAsia="仿宋_GB2312" w:cs="仿宋_GB2312"/>
          <w:color w:val="000000"/>
          <w:kern w:val="0"/>
          <w:sz w:val="32"/>
          <w:szCs w:val="32"/>
        </w:rPr>
        <w:t>白色垃圾随手扔的行为。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（三）相关建议。</w:t>
      </w:r>
    </w:p>
    <w:p>
      <w:pPr>
        <w:spacing w:line="600" w:lineRule="exact"/>
        <w:ind w:firstLine="640" w:firstLineChars="200"/>
        <w:jc w:val="left"/>
        <w:rPr>
          <w:rFonts w:hint="eastAsia" w:ascii="仿宋_GB2312" w:hAnsi="仿宋_GB2312" w:eastAsia="仿宋_GB2312" w:cs="仿宋_GB2312"/>
          <w:color w:val="000000"/>
          <w:kern w:val="0"/>
          <w:sz w:val="32"/>
          <w:szCs w:val="32"/>
        </w:rPr>
        <w:sectPr>
          <w:footerReference r:id="rId7" w:type="first"/>
          <w:footerReference r:id="rId6" w:type="default"/>
          <w:pgSz w:w="11906" w:h="16838"/>
          <w:pgMar w:top="1440" w:right="1800" w:bottom="1440" w:left="1800" w:header="851" w:footer="992" w:gutter="0"/>
          <w:pgNumType w:fmt="decimal" w:start="50"/>
          <w:cols w:space="425" w:num="1"/>
          <w:titlePg/>
          <w:docGrid w:type="lines" w:linePitch="312" w:charSpace="0"/>
        </w:sectPr>
      </w:pPr>
      <w:r>
        <w:rPr>
          <w:rFonts w:hint="eastAsia" w:ascii="仿宋_GB2312" w:hAnsi="仿宋_GB2312" w:eastAsia="仿宋_GB2312" w:cs="仿宋_GB2312"/>
          <w:color w:val="000000"/>
          <w:kern w:val="0"/>
          <w:sz w:val="32"/>
          <w:szCs w:val="32"/>
        </w:rPr>
        <w:t>加强环保宣传，规范群众文明行为，养成良好卫生习惯。</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rPr>
      </w:pPr>
      <w:r>
        <w:rPr>
          <w:rFonts w:hint="eastAsia" w:ascii="方正小标宋简体" w:hAnsi="方正小标宋简体" w:eastAsia="方正小标宋简体" w:cs="方正小标宋简体"/>
          <w:b/>
          <w:sz w:val="44"/>
          <w:szCs w:val="44"/>
          <w:shd w:val="clear" w:color="auto" w:fill="FFFFFF"/>
          <w:lang w:val="en-US"/>
        </w:rPr>
        <w:t>202</w:t>
      </w:r>
      <w:r>
        <w:rPr>
          <w:rFonts w:hint="eastAsia" w:ascii="方正小标宋简体" w:hAnsi="方正小标宋简体" w:eastAsia="方正小标宋简体" w:cs="方正小标宋简体"/>
          <w:b/>
          <w:sz w:val="44"/>
          <w:szCs w:val="44"/>
          <w:shd w:val="clear" w:color="auto" w:fill="FFFFFF"/>
          <w:lang w:val="en-US" w:eastAsia="zh-CN"/>
        </w:rPr>
        <w:t>2</w:t>
      </w:r>
      <w:r>
        <w:rPr>
          <w:rFonts w:hint="eastAsia" w:ascii="方正小标宋简体" w:hAnsi="方正小标宋简体" w:eastAsia="方正小标宋简体" w:cs="方正小标宋简体"/>
          <w:b/>
          <w:sz w:val="44"/>
          <w:szCs w:val="44"/>
          <w:shd w:val="clear" w:color="auto" w:fill="FFFFFF"/>
          <w:lang w:val="en-US"/>
        </w:rPr>
        <w:t>年专项资金预算项目绩效自评报告</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eastAsia="zh-CN"/>
        </w:rPr>
      </w:pPr>
      <w:r>
        <w:rPr>
          <w:rFonts w:hint="eastAsia" w:ascii="方正小标宋简体" w:hAnsi="方正小标宋简体" w:eastAsia="方正小标宋简体" w:cs="方正小标宋简体"/>
          <w:b/>
          <w:sz w:val="44"/>
          <w:szCs w:val="44"/>
          <w:shd w:val="clear" w:color="auto" w:fill="FFFFFF"/>
          <w:lang w:val="en-US" w:eastAsia="zh-CN"/>
        </w:rPr>
        <w:t>（基层武装业务经费）</w:t>
      </w:r>
    </w:p>
    <w:p>
      <w:pPr>
        <w:pStyle w:val="35"/>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（一）项目基本情况。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rPr>
        <w:t>项目主管部门（单位）在该项目管理中的职能。</w:t>
      </w:r>
    </w:p>
    <w:p>
      <w:pPr>
        <w:pStyle w:val="9"/>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kern w:val="0"/>
          <w:sz w:val="32"/>
          <w:szCs w:val="32"/>
          <w:shd w:val="clear" w:color="auto" w:fill="FFFFFF"/>
          <w:lang w:val="zh-CN"/>
        </w:rPr>
        <w:t>峨眉山市黄湾镇人民政府是</w:t>
      </w:r>
      <w:r>
        <w:rPr>
          <w:rFonts w:hint="eastAsia" w:ascii="仿宋_GB2312" w:hAnsi="仿宋_GB2312" w:eastAsia="仿宋_GB2312" w:cs="仿宋_GB2312"/>
          <w:kern w:val="0"/>
          <w:sz w:val="32"/>
          <w:szCs w:val="32"/>
          <w:shd w:val="clear" w:color="auto" w:fill="FFFFFF"/>
          <w:lang w:val="zh-CN" w:eastAsia="zh-CN"/>
        </w:rPr>
        <w:t>基层武装业务经费主管部门，主要职责包括：负责组织项目申报、科学合理编制预算、做好资金审核并及时拨付到位、确保资金专款专用。</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项目立项、资金申报的依据。</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eastAsia="zh-CN"/>
        </w:rPr>
        <w:t>该项目立项、资金申报的依据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val="zh-CN"/>
        </w:rPr>
        <w:t>年年初我镇按工作任务科学合理的对基层武装业务经费进行预算编制，经市政府同意，报峨眉山市人民代表大会会议批准通过</w:t>
      </w:r>
      <w:r>
        <w:rPr>
          <w:rFonts w:hint="eastAsia" w:ascii="仿宋_GB2312" w:hAnsi="仿宋_GB2312" w:eastAsia="仿宋_GB2312" w:cs="仿宋_GB2312"/>
          <w:kern w:val="0"/>
          <w:sz w:val="32"/>
          <w:szCs w:val="32"/>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管理情况</w:t>
      </w:r>
      <w:r>
        <w:rPr>
          <w:rFonts w:hint="eastAsia" w:ascii="仿宋_GB2312" w:hAnsi="仿宋_GB2312" w:eastAsia="仿宋_GB2312" w:cs="仿宋_GB2312"/>
          <w:kern w:val="0"/>
          <w:sz w:val="32"/>
          <w:szCs w:val="32"/>
          <w:shd w:val="clear" w:color="auto" w:fill="FFFFFF"/>
        </w:rPr>
        <w:t>。</w:t>
      </w:r>
    </w:p>
    <w:p>
      <w:pPr>
        <w:pStyle w:val="6"/>
        <w:keepNext w:val="0"/>
        <w:keepLines w:val="0"/>
        <w:pageBreakBefore w:val="0"/>
        <w:numPr>
          <w:ilvl w:val="0"/>
          <w:numId w:val="0"/>
        </w:numPr>
        <w:kinsoku/>
        <w:wordWrap/>
        <w:overflowPunct/>
        <w:topLinePunct w:val="0"/>
        <w:autoSpaceDE/>
        <w:autoSpaceDN/>
        <w:bidi w:val="0"/>
        <w:spacing w:beforeLines="0" w:line="600" w:lineRule="exact"/>
        <w:ind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我镇对该项目的组织申报、需求论证、项目入库、项目采购、项目资金支付实施监管，规范化管理。资金的使用范围为：用于基层武装工作，服务当地人民群众。</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rPr>
        <w:t>资金分配的原则及考虑因素。</w:t>
      </w:r>
    </w:p>
    <w:p>
      <w:pPr>
        <w:pStyle w:val="6"/>
        <w:keepNext w:val="0"/>
        <w:keepLines w:val="0"/>
        <w:pageBreakBefore w:val="0"/>
        <w:numPr>
          <w:ilvl w:val="0"/>
          <w:numId w:val="0"/>
        </w:numPr>
        <w:kinsoku/>
        <w:wordWrap/>
        <w:overflowPunct/>
        <w:topLinePunct w:val="0"/>
        <w:autoSpaceDE/>
        <w:autoSpaceDN/>
        <w:bidi w:val="0"/>
        <w:spacing w:beforeLines="0" w:line="600" w:lineRule="exact"/>
        <w:ind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该项目资金为专项资金，专款专用，确保基层武装工作有序开展，实施全过程预算绩效管理，坚持公平公正原则。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（二）项目绩效目标。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eastAsia="zh-CN"/>
        </w:rPr>
        <w:t>项目主要内容。</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切实履行党管武装职责，真正体现了党管武装原则，提高我镇群众的思想素质和政治觉悟，增强了广大民兵的国防观念和爱国热情。</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eastAsia="zh-CN"/>
        </w:rPr>
        <w:t>项目应实现的具体绩效目标。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该项目绩效目标包括但不限于：保证2022年基层武装工作圆满完成、按时完成民兵训练、提升民兵素质，增强国防意识、严格控制成本不超预算</w:t>
      </w:r>
      <w:r>
        <w:rPr>
          <w:rFonts w:hint="eastAsia" w:ascii="仿宋_GB2312" w:hAnsi="仿宋_GB2312" w:eastAsia="仿宋_GB2312" w:cs="仿宋_GB2312"/>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eastAsia="zh-CN"/>
        </w:rPr>
        <w:t>目标相符性。</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该项目绩效目标是根据市委市政府对基层武装工作要求，结合我镇工作实际进行制定，申报内容与实际相符，申报目标合理可行。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（三）项目自评步骤及方法。</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自评工作采用定量和定性相结合的方法，对于可量化指标进行细化、量化，对于无法量化的指标根据客观依据评判。结合项目实施过程中的督导检查情况，综合自评。</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（一）项目资金申报及批复情况。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20</w:t>
      </w:r>
      <w:r>
        <w:rPr>
          <w:rFonts w:hint="eastAsia" w:ascii="仿宋_GB2312" w:hAnsi="仿宋_GB2312" w:eastAsia="仿宋_GB2312" w:cs="仿宋_GB2312"/>
          <w:kern w:val="0"/>
          <w:sz w:val="32"/>
          <w:szCs w:val="32"/>
          <w:shd w:val="clear" w:color="auto" w:fill="FFFFFF"/>
          <w:lang w:val="en-US" w:eastAsia="zh-CN"/>
        </w:rPr>
        <w:t>22</w:t>
      </w:r>
      <w:r>
        <w:rPr>
          <w:rFonts w:hint="eastAsia" w:ascii="仿宋_GB2312" w:hAnsi="仿宋_GB2312" w:eastAsia="仿宋_GB2312" w:cs="仿宋_GB2312"/>
          <w:kern w:val="0"/>
          <w:sz w:val="32"/>
          <w:szCs w:val="32"/>
          <w:shd w:val="clear" w:color="auto" w:fill="FFFFFF"/>
          <w:lang w:val="zh-CN" w:eastAsia="zh-CN"/>
        </w:rPr>
        <w:t>年年初我镇按工作任务科学合理的对基层武装业务经费进行预算编制，经市政府同意，报峨眉山市人民代表大会会议批准通过。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（二）资金计划、到位及使用情况。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1．资金计划。基层武装业务经费</w:t>
      </w:r>
      <w:r>
        <w:rPr>
          <w:rFonts w:hint="eastAsia" w:ascii="仿宋_GB2312" w:hAnsi="仿宋_GB2312" w:eastAsia="仿宋_GB2312" w:cs="仿宋_GB2312"/>
          <w:kern w:val="0"/>
          <w:sz w:val="32"/>
          <w:szCs w:val="32"/>
          <w:shd w:val="clear" w:color="auto" w:fill="FFFFFF"/>
          <w:lang w:val="en-US" w:eastAsia="zh-CN"/>
        </w:rPr>
        <w:t>2022年预算0.54万元，属本级人民政府预算专项资金</w:t>
      </w:r>
      <w:r>
        <w:rPr>
          <w:rFonts w:hint="eastAsia" w:ascii="仿宋_GB2312" w:hAnsi="仿宋_GB2312" w:eastAsia="仿宋_GB2312" w:cs="仿宋_GB2312"/>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2．资金到位。</w:t>
      </w:r>
      <w:r>
        <w:rPr>
          <w:rFonts w:hint="eastAsia" w:ascii="仿宋_GB2312" w:hAnsi="仿宋_GB2312" w:eastAsia="仿宋_GB2312" w:cs="仿宋_GB2312"/>
          <w:kern w:val="0"/>
          <w:sz w:val="32"/>
          <w:szCs w:val="32"/>
          <w:shd w:val="clear" w:color="auto" w:fill="FFFFFF"/>
          <w:lang w:val="en-US" w:eastAsia="zh-CN"/>
        </w:rPr>
        <w:t>2022年基</w:t>
      </w:r>
      <w:r>
        <w:rPr>
          <w:rFonts w:hint="eastAsia" w:ascii="仿宋_GB2312" w:hAnsi="仿宋_GB2312" w:eastAsia="仿宋_GB2312" w:cs="仿宋_GB2312"/>
          <w:kern w:val="0"/>
          <w:sz w:val="32"/>
          <w:szCs w:val="32"/>
          <w:shd w:val="clear" w:color="auto" w:fill="FFFFFF"/>
          <w:lang w:val="zh-CN" w:eastAsia="zh-CN"/>
        </w:rPr>
        <w:t>层武装业务经费</w:t>
      </w:r>
      <w:r>
        <w:rPr>
          <w:rFonts w:hint="eastAsia" w:ascii="仿宋_GB2312" w:hAnsi="仿宋_GB2312" w:eastAsia="仿宋_GB2312" w:cs="仿宋_GB2312"/>
          <w:kern w:val="0"/>
          <w:sz w:val="32"/>
          <w:szCs w:val="32"/>
          <w:shd w:val="clear" w:color="auto" w:fill="FFFFFF"/>
          <w:lang w:val="en-US" w:eastAsia="zh-CN"/>
        </w:rPr>
        <w:t>2022年预算0.54万元，年末已全部到位，资金到位率100%</w:t>
      </w:r>
      <w:r>
        <w:rPr>
          <w:rFonts w:hint="eastAsia" w:ascii="仿宋_GB2312" w:hAnsi="仿宋_GB2312" w:eastAsia="仿宋_GB2312" w:cs="仿宋_GB2312"/>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3．资金使用。</w:t>
      </w:r>
      <w:r>
        <w:rPr>
          <w:rFonts w:hint="eastAsia" w:ascii="仿宋_GB2312" w:hAnsi="仿宋_GB2312" w:eastAsia="仿宋_GB2312" w:cs="仿宋_GB2312"/>
          <w:kern w:val="0"/>
          <w:sz w:val="32"/>
          <w:szCs w:val="32"/>
          <w:shd w:val="clear" w:color="auto" w:fill="FFFFFF"/>
          <w:lang w:val="en-US" w:eastAsia="zh-CN"/>
        </w:rPr>
        <w:t>基</w:t>
      </w:r>
      <w:r>
        <w:rPr>
          <w:rFonts w:hint="eastAsia" w:ascii="仿宋_GB2312" w:hAnsi="仿宋_GB2312" w:eastAsia="仿宋_GB2312" w:cs="仿宋_GB2312"/>
          <w:kern w:val="0"/>
          <w:sz w:val="32"/>
          <w:szCs w:val="32"/>
          <w:shd w:val="clear" w:color="auto" w:fill="FFFFFF"/>
          <w:lang w:val="zh-CN" w:eastAsia="zh-CN"/>
        </w:rPr>
        <w:t>层武装业务经费使用涉</w:t>
      </w:r>
      <w:r>
        <w:rPr>
          <w:rFonts w:hint="eastAsia" w:ascii="仿宋_GB2312" w:hAnsi="仿宋_GB2312" w:eastAsia="仿宋_GB2312" w:cs="仿宋_GB2312"/>
          <w:kern w:val="0"/>
          <w:sz w:val="32"/>
          <w:szCs w:val="32"/>
          <w:shd w:val="clear" w:color="auto" w:fill="FFFFFF"/>
          <w:lang w:val="en-US" w:eastAsia="zh-CN"/>
        </w:rPr>
        <w:t>，实际支出0.54万元，已全部足额支付</w:t>
      </w:r>
      <w:r>
        <w:rPr>
          <w:rFonts w:hint="eastAsia" w:ascii="仿宋_GB2312" w:hAnsi="仿宋_GB2312" w:eastAsia="仿宋_GB2312" w:cs="仿宋_GB2312"/>
          <w:kern w:val="0"/>
          <w:sz w:val="32"/>
          <w:szCs w:val="32"/>
          <w:shd w:val="clear" w:color="auto" w:fill="FFFFFF"/>
          <w:lang w:val="zh-CN" w:eastAsia="zh-CN"/>
        </w:rPr>
        <w:t>。资金支付与预算项目实施方案相符，支付范围、支付标准、支付依据合规合法。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（三）项目财务管理情况。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eastAsia="zh-CN"/>
        </w:rPr>
        <w:t>该项目资金实行专款专用，从日常监管情况来看，项目实施单位财务管理制度健全，严格执行财务管理制度，账务处理及时，会计核算规范。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（一）项目组织架构及实施流程。</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该项目管理由峨眉山市黄湾镇党委政府进行决策管理，工作部门根据绩效目标工作任务提出资金使用申报，党委政府研究决定，纪委监督，财政部门审核支付。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（二）项目管理情况。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我镇严格执行相关法律法规、对基层武装业务经费采取实报实销制度管理，账务处理及时，会计核算规范；</w:t>
      </w:r>
      <w:r>
        <w:rPr>
          <w:rFonts w:hint="eastAsia" w:ascii="仿宋_GB2312" w:hAnsi="仿宋_GB2312" w:eastAsia="仿宋_GB2312" w:cs="仿宋_GB2312"/>
          <w:kern w:val="0"/>
          <w:sz w:val="32"/>
          <w:szCs w:val="32"/>
          <w:shd w:val="clear" w:color="auto" w:fill="FFFFFF"/>
          <w:lang w:val="en-US" w:eastAsia="zh-CN"/>
        </w:rPr>
        <w:t>镇党委政府高度重视武装工作，将武装工作纳入重要会议议程。每季度召开党委会，研究部署我镇的武装工作，遇重大工作及时召开会议研究部署。镇党委书记亲自过问工作中的难点问题，研究解决办法，切实履行党管武装职责，真正体现了党管武装原则。各类保障到位；政治教导员、专武干部认真履职尽责，积极参加上级军事机关组织的活动，认真完成上级军事机关赋予的各项任务。</w:t>
      </w:r>
      <w:r>
        <w:rPr>
          <w:rFonts w:hint="eastAsia" w:ascii="仿宋_GB2312" w:hAnsi="仿宋_GB2312" w:eastAsia="仿宋_GB2312" w:cs="仿宋_GB2312"/>
          <w:kern w:val="0"/>
          <w:sz w:val="32"/>
          <w:szCs w:val="32"/>
          <w:shd w:val="clear" w:color="auto" w:fill="FFFFFF"/>
          <w:lang w:val="zh-CN" w:eastAsia="zh-CN"/>
        </w:rPr>
        <w:t>保证项目顺利实施达到预期效果，完成项目绩效目标。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（三）项目监管情况。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2022年，各村安全劝导员进行了1200余次安全劝导，发现无证驾驶15起，超载20起，摩托车未佩戴安全帽100起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（四）项目效益情况。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该项目实施以来，</w:t>
      </w:r>
      <w:r>
        <w:rPr>
          <w:rFonts w:hint="eastAsia" w:ascii="仿宋_GB2312" w:hAnsi="仿宋_GB2312" w:eastAsia="仿宋_GB2312" w:cs="仿宋_GB2312"/>
          <w:kern w:val="0"/>
          <w:sz w:val="32"/>
          <w:szCs w:val="32"/>
          <w:shd w:val="clear" w:color="auto" w:fill="FFFFFF"/>
          <w:lang w:val="zh-CN" w:eastAsia="zh-CN"/>
        </w:rPr>
        <w:t>切实履行党管武装职责，真正体现了党管武装原则，提高我镇群众的思想素质和政治觉悟，增强了广大民兵的国防观念和爱国热情。</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总体上看，该项目决策依据充分，绩效目标明确，管理制度健全，组织实施有序，资金使用规范结。通过项目实施提高我镇群众的思想素质和政治觉悟，增强了广大民兵的国防观念和爱国热情。得到居民认可取得了良好的社会效益，是应该长期实施的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（二）存在的问题。</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项目绩效目标申报仍存在不完整、细化量化不够的问题。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（三）相关建议。</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绩效目标制定是预算绩效管理的基础，也是编制项目预算、实施绩效监控、开展绩效评价的重要基础和依据。下一步，采取更有力的措施，落实绩效管理主体责任，认真编制绩效目标。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sectPr>
          <w:pgSz w:w="11906" w:h="16838"/>
          <w:pgMar w:top="1440" w:right="1800" w:bottom="1440" w:left="1800" w:header="851" w:footer="992" w:gutter="0"/>
          <w:pgNumType w:fmt="decimal"/>
          <w:cols w:space="425" w:num="1"/>
          <w:titlePg/>
          <w:docGrid w:type="lines" w:linePitch="312" w:charSpace="0"/>
        </w:sectPr>
      </w:pP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rPr>
      </w:pPr>
      <w:r>
        <w:rPr>
          <w:rFonts w:hint="eastAsia" w:ascii="方正小标宋简体" w:hAnsi="方正小标宋简体" w:eastAsia="方正小标宋简体" w:cs="方正小标宋简体"/>
          <w:b/>
          <w:sz w:val="44"/>
          <w:szCs w:val="44"/>
          <w:shd w:val="clear" w:color="auto" w:fill="FFFFFF"/>
          <w:lang w:val="en-US"/>
        </w:rPr>
        <w:t>202</w:t>
      </w:r>
      <w:r>
        <w:rPr>
          <w:rFonts w:hint="eastAsia" w:ascii="方正小标宋简体" w:hAnsi="方正小标宋简体" w:eastAsia="方正小标宋简体" w:cs="方正小标宋简体"/>
          <w:b/>
          <w:sz w:val="44"/>
          <w:szCs w:val="44"/>
          <w:shd w:val="clear" w:color="auto" w:fill="FFFFFF"/>
          <w:lang w:val="en-US" w:eastAsia="zh-CN"/>
        </w:rPr>
        <w:t>2</w:t>
      </w:r>
      <w:r>
        <w:rPr>
          <w:rFonts w:hint="eastAsia" w:ascii="方正小标宋简体" w:hAnsi="方正小标宋简体" w:eastAsia="方正小标宋简体" w:cs="方正小标宋简体"/>
          <w:b/>
          <w:sz w:val="44"/>
          <w:szCs w:val="44"/>
          <w:shd w:val="clear" w:color="auto" w:fill="FFFFFF"/>
          <w:lang w:val="en-US"/>
        </w:rPr>
        <w:t>年专项资金预算项目绩效自评报告</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eastAsia="zh-CN"/>
        </w:rPr>
      </w:pPr>
      <w:r>
        <w:rPr>
          <w:rFonts w:hint="eastAsia" w:ascii="方正小标宋简体" w:hAnsi="方正小标宋简体" w:eastAsia="方正小标宋简体" w:cs="方正小标宋简体"/>
          <w:b/>
          <w:sz w:val="44"/>
          <w:szCs w:val="44"/>
          <w:shd w:val="clear" w:color="auto" w:fill="FFFFFF"/>
          <w:lang w:val="en-US" w:eastAsia="zh-CN"/>
        </w:rPr>
        <w:t>（</w:t>
      </w:r>
      <w:r>
        <w:rPr>
          <w:rFonts w:hint="eastAsia" w:ascii="方正小标宋简体" w:hAnsi="方正小标宋简体" w:eastAsia="方正小标宋简体" w:cs="方正小标宋简体"/>
          <w:b/>
          <w:sz w:val="44"/>
          <w:szCs w:val="44"/>
          <w:shd w:val="clear" w:color="auto" w:fill="FFFFFF"/>
          <w:lang w:val="en-US"/>
        </w:rPr>
        <w:t>2022扶持村级集体经济发展资金</w:t>
      </w:r>
      <w:r>
        <w:rPr>
          <w:rFonts w:hint="eastAsia" w:ascii="方正小标宋简体" w:hAnsi="方正小标宋简体" w:eastAsia="方正小标宋简体" w:cs="方正小标宋简体"/>
          <w:b/>
          <w:sz w:val="44"/>
          <w:szCs w:val="44"/>
          <w:shd w:val="clear" w:color="auto" w:fill="FFFFFF"/>
          <w:lang w:val="en-US" w:eastAsia="zh-CN"/>
        </w:rPr>
        <w:t>项目）</w:t>
      </w:r>
    </w:p>
    <w:p>
      <w:pPr>
        <w:pStyle w:val="35"/>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（一）项目基本情况。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eastAsia="zh-CN"/>
        </w:rPr>
        <w:t>项目主管部门（单位）在该项目管理中的职能。</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峨眉山市黄湾镇人民政府是</w:t>
      </w:r>
      <w:r>
        <w:rPr>
          <w:rFonts w:hint="eastAsia" w:ascii="仿宋_GB2312" w:hAnsi="仿宋_GB2312" w:eastAsia="仿宋_GB2312" w:cs="仿宋_GB2312"/>
          <w:kern w:val="0"/>
          <w:sz w:val="32"/>
          <w:szCs w:val="32"/>
          <w:shd w:val="clear" w:color="auto" w:fill="FFFFFF"/>
          <w:lang w:val="en-US" w:eastAsia="zh-CN"/>
        </w:rPr>
        <w:t>2022扶持村级集体经济发展资金项目</w:t>
      </w:r>
      <w:r>
        <w:rPr>
          <w:rFonts w:hint="eastAsia" w:ascii="仿宋_GB2312" w:hAnsi="仿宋_GB2312" w:eastAsia="仿宋_GB2312" w:cs="仿宋_GB2312"/>
          <w:kern w:val="0"/>
          <w:sz w:val="32"/>
          <w:szCs w:val="32"/>
          <w:shd w:val="clear" w:color="auto" w:fill="FFFFFF"/>
          <w:lang w:val="zh-CN" w:eastAsia="zh-CN"/>
        </w:rPr>
        <w:t>主管部门，主要职责包括：负责组织项目申报、科学合理编制预算、做好资金审核并及时拨付到位、确保资金专款专用。</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eastAsia="zh-CN"/>
        </w:rPr>
        <w:t>项目立项、资金申报的依据。</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该项目立项、资金申报的依据包括但不限于：项目涉及的中省相关政策文件和规划、项目设立论证资料、资金安排相关文件等。</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eastAsia="zh-CN"/>
        </w:rPr>
        <w:t>资金</w:t>
      </w:r>
      <w:r>
        <w:rPr>
          <w:rFonts w:hint="eastAsia" w:ascii="仿宋_GB2312" w:hAnsi="仿宋_GB2312" w:eastAsia="仿宋_GB2312" w:cs="仿宋_GB2312"/>
          <w:kern w:val="0"/>
          <w:sz w:val="32"/>
          <w:szCs w:val="32"/>
          <w:shd w:val="clear" w:color="auto" w:fill="FFFFFF"/>
          <w:lang w:val="en-US" w:eastAsia="zh-CN"/>
        </w:rPr>
        <w:t>或项目</w:t>
      </w:r>
      <w:r>
        <w:rPr>
          <w:rFonts w:hint="eastAsia" w:ascii="仿宋_GB2312" w:hAnsi="仿宋_GB2312" w:eastAsia="仿宋_GB2312" w:cs="仿宋_GB2312"/>
          <w:kern w:val="0"/>
          <w:sz w:val="32"/>
          <w:szCs w:val="32"/>
          <w:shd w:val="clear" w:color="auto" w:fill="FFFFFF"/>
          <w:lang w:val="zh-CN" w:eastAsia="zh-CN"/>
        </w:rPr>
        <w:t>管理情况</w:t>
      </w:r>
      <w:r>
        <w:rPr>
          <w:rFonts w:hint="eastAsia" w:ascii="仿宋_GB2312" w:hAnsi="仿宋_GB2312" w:eastAsia="仿宋_GB2312" w:cs="仿宋_GB2312"/>
          <w:kern w:val="0"/>
          <w:sz w:val="32"/>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我镇对该项目的组织申报、需求论证、项目入库、项目采购、项目资金支付实施监管，规范化管理。资金的使用范围为：大惠众联洗涤中心修建库房、购买设备。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资金分配的原则及考虑因素。</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该项目资金为专项资金，专款专用，确保满足大惠众联洗涤中心正常需求的刚性支出，实施全过程预算绩效管理，坚持公平公正原则。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（二）项目绩效目标。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eastAsia="zh-CN"/>
        </w:rPr>
        <w:t>项目主要内容。</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该项目主要内容是完成大众惠联洗涤中心修建库房、购买设备。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eastAsia="zh-CN"/>
        </w:rPr>
        <w:t>项目应实现的具体绩效目标。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扶持村集体经济发展，有效落实乡村振兴。对涉及的峨秀村政策全覆盖，增加各村村集体经济发展路径，实行集体经济增收。</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eastAsia="zh-CN"/>
        </w:rPr>
        <w:t>目标相符性。</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该项目绩效目标是根据中央、省、市对集体经济发展建设要求，结合我镇实际工作情况进行制定，申报内容与实际相符，申报目标合理可行。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（三）项目自评步骤及方法。</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自评工作采用定量和定性相结合的方法，对于可量化指标进行细化、量化，对于无法量化的指标根据客观依据评判。结合项目实施过程中的督导检查情况，综合自评。</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（一）项目资金申报及批复情况。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2022年年初我镇按涉及村数量、省级、市级资金分配方案进行预算编制，经市政府同意，报峨眉山市人民代表大会会议批准通过。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（二）资金计划、到位及使用情况。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1．资金计划。</w:t>
      </w:r>
      <w:r>
        <w:rPr>
          <w:rFonts w:hint="eastAsia" w:ascii="仿宋_GB2312" w:hAnsi="仿宋_GB2312" w:eastAsia="仿宋_GB2312" w:cs="仿宋_GB2312"/>
          <w:kern w:val="0"/>
          <w:sz w:val="32"/>
          <w:szCs w:val="32"/>
          <w:shd w:val="clear" w:color="auto" w:fill="FFFFFF"/>
          <w:lang w:val="en-US" w:eastAsia="zh-CN"/>
        </w:rPr>
        <w:t>2022扶持村级集体经济发展资金项目2022年预算240万元</w:t>
      </w:r>
      <w:r>
        <w:rPr>
          <w:rFonts w:hint="eastAsia" w:ascii="仿宋_GB2312" w:hAnsi="仿宋_GB2312" w:eastAsia="仿宋_GB2312" w:cs="仿宋_GB2312"/>
          <w:kern w:val="0"/>
          <w:sz w:val="32"/>
          <w:szCs w:val="32"/>
          <w:shd w:val="clear" w:color="auto" w:fill="FFFFFF"/>
          <w:lang w:val="zh-CN" w:eastAsia="zh-CN"/>
        </w:rPr>
        <w:t>，属专项资金。</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2．资金到位。</w:t>
      </w:r>
      <w:r>
        <w:rPr>
          <w:rFonts w:hint="eastAsia" w:ascii="仿宋_GB2312" w:hAnsi="仿宋_GB2312" w:eastAsia="仿宋_GB2312" w:cs="仿宋_GB2312"/>
          <w:kern w:val="0"/>
          <w:sz w:val="32"/>
          <w:szCs w:val="32"/>
          <w:shd w:val="clear" w:color="auto" w:fill="FFFFFF"/>
          <w:lang w:val="en-US" w:eastAsia="zh-CN"/>
        </w:rPr>
        <w:t>2022年2022扶持村级集体经济发展资金项目预算80万元，年末已全部到位，资金到位率33.33%</w:t>
      </w:r>
      <w:r>
        <w:rPr>
          <w:rFonts w:hint="eastAsia" w:ascii="仿宋_GB2312" w:hAnsi="仿宋_GB2312" w:eastAsia="仿宋_GB2312" w:cs="仿宋_GB2312"/>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3．资金使用。</w:t>
      </w:r>
      <w:r>
        <w:rPr>
          <w:rFonts w:hint="eastAsia" w:ascii="仿宋_GB2312" w:hAnsi="仿宋_GB2312" w:eastAsia="仿宋_GB2312" w:cs="仿宋_GB2312"/>
          <w:kern w:val="0"/>
          <w:sz w:val="32"/>
          <w:szCs w:val="32"/>
          <w:shd w:val="clear" w:color="auto" w:fill="FFFFFF"/>
          <w:lang w:val="en-US" w:eastAsia="zh-CN"/>
        </w:rPr>
        <w:t>2022扶持村级集体经济发展资金项目</w:t>
      </w:r>
      <w:r>
        <w:rPr>
          <w:rFonts w:hint="eastAsia" w:ascii="仿宋_GB2312" w:hAnsi="仿宋_GB2312" w:eastAsia="仿宋_GB2312" w:cs="仿宋_GB2312"/>
          <w:kern w:val="0"/>
          <w:sz w:val="32"/>
          <w:szCs w:val="32"/>
          <w:shd w:val="clear" w:color="auto" w:fill="FFFFFF"/>
          <w:lang w:val="zh-CN" w:eastAsia="zh-CN"/>
        </w:rPr>
        <w:t>涉及</w:t>
      </w:r>
      <w:r>
        <w:rPr>
          <w:rFonts w:hint="eastAsia" w:ascii="仿宋_GB2312" w:hAnsi="仿宋_GB2312" w:eastAsia="仿宋_GB2312" w:cs="仿宋_GB2312"/>
          <w:kern w:val="0"/>
          <w:sz w:val="32"/>
          <w:szCs w:val="32"/>
          <w:shd w:val="clear" w:color="auto" w:fill="FFFFFF"/>
          <w:lang w:val="en-US" w:eastAsia="zh-CN"/>
        </w:rPr>
        <w:t>1个村级的集体经济发展项目的基础设施建设，实际支出80万元，已全部足额支付</w:t>
      </w:r>
      <w:r>
        <w:rPr>
          <w:rFonts w:hint="eastAsia" w:ascii="仿宋_GB2312" w:hAnsi="仿宋_GB2312" w:eastAsia="仿宋_GB2312" w:cs="仿宋_GB2312"/>
          <w:kern w:val="0"/>
          <w:sz w:val="32"/>
          <w:szCs w:val="32"/>
          <w:shd w:val="clear" w:color="auto" w:fill="FFFFFF"/>
          <w:lang w:val="zh-CN" w:eastAsia="zh-CN"/>
        </w:rPr>
        <w:t>。资金支付与预算项目实施方案相符，支付范围、支付标准、支付依据合规合法。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（三）项目财务管理情况。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eastAsia="zh-CN"/>
        </w:rPr>
        <w:t>该项目资金实行专款专用，从日常监管情况来看，项目实施单位财务管理制度健全，严格执行财务管理制度，账务处理及时，会计核算规范。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（一）项目组织架构及实施流程。</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管理由峨眉山市黄湾镇党委政府进行决策管理，工作部门根据上级资金使用范围、绩效目标工作任务，提出资金使用申报，党委政府研究决定，纪委监督，财政部门审核支付。基础设施建设项目涉及采购的部分严格按照财政采购政策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（二）项目管理情况。</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2022扶持村级集体经济发展资金项目涉及的峨秀村村集体经济基础设施建设项目，工程开始前进行预算评审，实施中确保工程进度按时完成及质量，工程完成后进行质量验收和财政结算评审</w:t>
      </w:r>
      <w:r>
        <w:rPr>
          <w:rFonts w:hint="eastAsia" w:ascii="仿宋_GB2312" w:hAnsi="仿宋_GB2312" w:eastAsia="仿宋_GB2312" w:cs="仿宋_GB2312"/>
          <w:kern w:val="0"/>
          <w:sz w:val="32"/>
          <w:szCs w:val="32"/>
          <w:shd w:val="clear" w:color="auto" w:fill="FFFFFF"/>
          <w:lang w:val="zh-CN" w:eastAsia="zh-CN"/>
        </w:rPr>
        <w:t>。保证项目顺利实施达到预期效果，完成项目绩效目标。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（三）项目监管情况。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该项目采用常态化监控</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eastAsia="zh-CN"/>
        </w:rPr>
        <w:t>动态化监督检查</w:t>
      </w:r>
      <w:r>
        <w:rPr>
          <w:rFonts w:hint="eastAsia" w:ascii="仿宋_GB2312" w:hAnsi="仿宋_GB2312" w:eastAsia="仿宋_GB2312" w:cs="仿宋_GB2312"/>
          <w:kern w:val="0"/>
          <w:sz w:val="32"/>
          <w:szCs w:val="32"/>
          <w:shd w:val="clear" w:color="auto" w:fill="FFFFFF"/>
          <w:lang w:val="en-US" w:eastAsia="zh-CN"/>
        </w:rPr>
        <w:t>+绩效评价监督的联动机制从严从实的对项目绩效监督管理。确保资金安全，转款专用。目前未发现有违规行为。</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（一）项目完成情况。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年末完成峨秀村集体经济基础设施建设；政策覆盖涉及村，覆盖率达100%；严格按照预算控制成本，未超预算；</w:t>
      </w:r>
      <w:r>
        <w:rPr>
          <w:rFonts w:hint="eastAsia" w:ascii="仿宋_GB2312" w:hAnsi="仿宋_GB2312" w:eastAsia="仿宋_GB2312" w:cs="仿宋_GB2312"/>
          <w:kern w:val="0"/>
          <w:sz w:val="32"/>
          <w:szCs w:val="32"/>
          <w:shd w:val="clear" w:color="auto" w:fill="FFFFFF"/>
          <w:lang w:val="zh-CN" w:eastAsia="zh-CN"/>
        </w:rPr>
        <w:t>预算资金</w:t>
      </w:r>
      <w:r>
        <w:rPr>
          <w:rFonts w:hint="eastAsia" w:ascii="仿宋_GB2312" w:hAnsi="仿宋_GB2312" w:eastAsia="仿宋_GB2312" w:cs="仿宋_GB2312"/>
          <w:kern w:val="0"/>
          <w:sz w:val="32"/>
          <w:szCs w:val="32"/>
          <w:shd w:val="clear" w:color="auto" w:fill="FFFFFF"/>
          <w:lang w:val="en-US" w:eastAsia="zh-CN"/>
        </w:rPr>
        <w:t>80万元全部及时支付到位</w:t>
      </w:r>
      <w:r>
        <w:rPr>
          <w:rFonts w:hint="eastAsia" w:ascii="仿宋_GB2312" w:hAnsi="仿宋_GB2312" w:eastAsia="仿宋_GB2312" w:cs="仿宋_GB2312"/>
          <w:kern w:val="0"/>
          <w:sz w:val="32"/>
          <w:szCs w:val="32"/>
          <w:shd w:val="clear" w:color="auto" w:fill="FFFFFF"/>
          <w:lang w:val="zh-CN" w:eastAsia="zh-CN"/>
        </w:rPr>
        <w:t>，无违规记录；达到了，提升群众幸福感，满意度的绩效目标。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（二）项目效益情况。</w:t>
      </w:r>
    </w:p>
    <w:p>
      <w:pPr>
        <w:pStyle w:val="6"/>
        <w:spacing w:before="93"/>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eastAsia="zh-CN" w:bidi="ar-SA"/>
        </w:rPr>
        <w:t>该项目实施以来，</w:t>
      </w:r>
      <w:r>
        <w:rPr>
          <w:rFonts w:hint="eastAsia" w:ascii="仿宋_GB2312" w:hAnsi="仿宋_GB2312" w:eastAsia="仿宋_GB2312" w:cs="仿宋_GB2312"/>
          <w:kern w:val="0"/>
          <w:sz w:val="32"/>
          <w:szCs w:val="32"/>
          <w:shd w:val="clear" w:color="auto" w:fill="FFFFFF"/>
          <w:lang w:val="en-US" w:eastAsia="zh-CN" w:bidi="ar-SA"/>
        </w:rPr>
        <w:t>完成峨秀村集体经济基础设施建设</w:t>
      </w:r>
      <w:r>
        <w:rPr>
          <w:rFonts w:hint="eastAsia" w:ascii="仿宋_GB2312" w:hAnsi="仿宋_GB2312" w:eastAsia="仿宋_GB2312" w:cs="仿宋_GB2312"/>
          <w:kern w:val="0"/>
          <w:sz w:val="32"/>
          <w:szCs w:val="32"/>
          <w:shd w:val="clear" w:color="auto" w:fill="FFFFFF"/>
          <w:lang w:val="zh-CN" w:eastAsia="zh-CN" w:bidi="ar-SA"/>
        </w:rPr>
        <w:t>，增加峨秀村的集体经济发展方向。得到群众认可，取得了良好的社会经济效益。</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总体上看，该项目决策依据充分，绩效目标明确，管理制度健全，组织实施有序，资金使用规范结。通过项目实施增加了峨秀村的集体经济发展方向。受到村民的赞许，群众满意率高。得到认可取得了良好的社会效益，是应该长期实施的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（二）存在的问题。</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项目绩效目标申报仍存在不完整、细化量化不够的问题。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（三）相关建议。</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绩效目标制定是预算绩效管理的基础，也是编制项目预算、实施绩效监控、开展绩效评价的重要基础和依据。下一步，采取更有力的措施，落实绩效管理主体责任，认真编制绩效目标。</w:t>
      </w:r>
    </w:p>
    <w:p>
      <w:pPr>
        <w:pStyle w:val="6"/>
      </w:pPr>
    </w:p>
    <w:p>
      <w:pPr>
        <w:rPr>
          <w:rStyle w:val="29"/>
          <w:rFonts w:ascii="黑体" w:hAnsi="黑体" w:eastAsia="黑体"/>
          <w:b w:val="0"/>
        </w:rPr>
      </w:pPr>
      <w:r>
        <w:rPr>
          <w:rStyle w:val="29"/>
          <w:rFonts w:ascii="黑体" w:hAnsi="黑体" w:eastAsia="黑体"/>
          <w:b w:val="0"/>
        </w:rPr>
        <w:br w:type="page"/>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rPr>
      </w:pPr>
      <w:r>
        <w:rPr>
          <w:rFonts w:hint="eastAsia" w:ascii="方正小标宋简体" w:hAnsi="方正小标宋简体" w:eastAsia="方正小标宋简体" w:cs="方正小标宋简体"/>
          <w:b/>
          <w:sz w:val="44"/>
          <w:szCs w:val="44"/>
          <w:shd w:val="clear" w:color="auto" w:fill="FFFFFF"/>
          <w:lang w:val="en-US"/>
        </w:rPr>
        <w:t>202</w:t>
      </w:r>
      <w:r>
        <w:rPr>
          <w:rFonts w:hint="eastAsia" w:ascii="方正小标宋简体" w:hAnsi="方正小标宋简体" w:eastAsia="方正小标宋简体" w:cs="方正小标宋简体"/>
          <w:b/>
          <w:sz w:val="44"/>
          <w:szCs w:val="44"/>
          <w:shd w:val="clear" w:color="auto" w:fill="FFFFFF"/>
          <w:lang w:val="en-US" w:eastAsia="zh-CN"/>
        </w:rPr>
        <w:t>2</w:t>
      </w:r>
      <w:r>
        <w:rPr>
          <w:rFonts w:hint="eastAsia" w:ascii="方正小标宋简体" w:hAnsi="方正小标宋简体" w:eastAsia="方正小标宋简体" w:cs="方正小标宋简体"/>
          <w:b/>
          <w:sz w:val="44"/>
          <w:szCs w:val="44"/>
          <w:shd w:val="clear" w:color="auto" w:fill="FFFFFF"/>
          <w:lang w:val="en-US"/>
        </w:rPr>
        <w:t>年专项资金预算项目绩效自评报告</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eastAsia="zh-CN"/>
        </w:rPr>
      </w:pPr>
      <w:r>
        <w:rPr>
          <w:rFonts w:hint="eastAsia" w:ascii="方正小标宋简体" w:hAnsi="方正小标宋简体" w:eastAsia="方正小标宋简体" w:cs="方正小标宋简体"/>
          <w:b/>
          <w:sz w:val="44"/>
          <w:szCs w:val="44"/>
          <w:shd w:val="clear" w:color="auto" w:fill="FFFFFF"/>
          <w:lang w:val="en-US" w:eastAsia="zh-CN"/>
        </w:rPr>
        <w:t>（</w:t>
      </w:r>
      <w:r>
        <w:rPr>
          <w:rFonts w:hint="eastAsia" w:ascii="方正小标宋简体" w:hAnsi="方正小标宋简体" w:eastAsia="方正小标宋简体" w:cs="方正小标宋简体"/>
          <w:b/>
          <w:sz w:val="44"/>
          <w:szCs w:val="44"/>
          <w:shd w:val="clear" w:color="auto" w:fill="FFFFFF"/>
          <w:lang w:val="en-US"/>
        </w:rPr>
        <w:t>交管办及村级劝导员经费项目</w:t>
      </w:r>
      <w:r>
        <w:rPr>
          <w:rFonts w:hint="eastAsia" w:ascii="方正小标宋简体" w:hAnsi="方正小标宋简体" w:eastAsia="方正小标宋简体" w:cs="方正小标宋简体"/>
          <w:b/>
          <w:sz w:val="44"/>
          <w:szCs w:val="44"/>
          <w:shd w:val="clear" w:color="auto" w:fill="FFFFFF"/>
          <w:lang w:val="en-US" w:eastAsia="zh-CN"/>
        </w:rPr>
        <w:t>）</w:t>
      </w:r>
    </w:p>
    <w:p>
      <w:pPr>
        <w:pStyle w:val="35"/>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（一）项目基本情况。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eastAsia="zh-CN"/>
        </w:rPr>
        <w:t>项目主管部门（单位）在该项目管理中的职能。</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峨眉山市黄湾镇人民政府是</w:t>
      </w:r>
      <w:r>
        <w:rPr>
          <w:rFonts w:hint="eastAsia" w:ascii="仿宋_GB2312" w:hAnsi="仿宋_GB2312" w:eastAsia="仿宋_GB2312" w:cs="仿宋_GB2312"/>
          <w:kern w:val="0"/>
          <w:sz w:val="32"/>
          <w:szCs w:val="32"/>
          <w:shd w:val="clear" w:color="auto" w:fill="FFFFFF"/>
          <w:lang w:val="en-US" w:eastAsia="zh-CN"/>
        </w:rPr>
        <w:t>交管办及村级劝导员经费项目</w:t>
      </w:r>
      <w:r>
        <w:rPr>
          <w:rFonts w:hint="eastAsia" w:ascii="仿宋_GB2312" w:hAnsi="仿宋_GB2312" w:eastAsia="仿宋_GB2312" w:cs="仿宋_GB2312"/>
          <w:kern w:val="0"/>
          <w:sz w:val="32"/>
          <w:szCs w:val="32"/>
          <w:shd w:val="clear" w:color="auto" w:fill="FFFFFF"/>
          <w:lang w:val="zh-CN" w:eastAsia="zh-CN"/>
        </w:rPr>
        <w:t>主管部门，主要职责包括：负责组织项目申报、科学合理编制预算、做好资金审核并及时拨付到位、确保资金专款专用。</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eastAsia="zh-CN"/>
        </w:rPr>
        <w:t>项目立项、资金申报的依据。</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该项目立项、资金申报的依据：《关于请求拨付乡镇（街道）交管办及村级安全劝导员专项经费的请示》（峨道安﹝</w:t>
      </w:r>
      <w:r>
        <w:rPr>
          <w:rFonts w:hint="eastAsia" w:ascii="仿宋_GB2312" w:hAnsi="仿宋_GB2312" w:eastAsia="仿宋_GB2312" w:cs="仿宋_GB2312"/>
          <w:kern w:val="0"/>
          <w:sz w:val="32"/>
          <w:szCs w:val="32"/>
          <w:shd w:val="clear" w:color="auto" w:fill="FFFFFF"/>
          <w:lang w:val="en-US" w:eastAsia="zh-CN"/>
        </w:rPr>
        <w:t>2020</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en-US" w:eastAsia="zh-CN"/>
        </w:rPr>
        <w:t>4号）</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eastAsia="zh-CN"/>
        </w:rPr>
        <w:t>资金或项目管理情况。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我镇对该项目的组织申报、需求论证、项目入库、项目采购、项目资金支付实施监管，规范化管理。资金的使用范围为：辖区内交通劝导员工资。</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资金分配的原则及考虑因素。</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该项目资金为专项资金，专款专用，确保辖区内道路安全秩序的刚性支出，实施全过程预算绩效管理，坚持公平公正原则。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（二）项目绩效目标。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eastAsia="zh-CN"/>
        </w:rPr>
        <w:t>项目主要内容。</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该项目主要内容是普及交通安全意识，法律法规，保障辖区交通秩序，降低交通事故发生率，死亡率。保障人民群众生命安全。</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eastAsia="zh-CN"/>
        </w:rPr>
        <w:t>项目应实现的具体绩效目标。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保障辖区交通秩序，降低交通事故发生率，死亡率。保障人民群众生命安全。</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eastAsia="zh-CN"/>
        </w:rPr>
        <w:t>目标相符性。</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该项目绩效目标是根据市委市政府对交管办及村级安全劝导员工作要求，结合我镇工作实际进行制定，申报内容与实际相符，申报目标合理可行。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（三）项目自评步骤及方法。</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自评工作采用定量和定性相结合的方法，对于可量化指标进行细化、量化，对于无法量化的指标根据客观依据评判。结合项目实施过程中的督导检查情况，综合自评。</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（一）项目资金申报及批复情况。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2022年年初我镇按涉及村数量、省级、市级资金分配方案进行预算编制，经市政府同意，报峨眉山市人民代表大会会议批准通过。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（二）资金计划、到位及使用情况。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1．资金计划。</w:t>
      </w:r>
      <w:r>
        <w:rPr>
          <w:rFonts w:hint="eastAsia" w:ascii="仿宋_GB2312" w:hAnsi="仿宋_GB2312" w:eastAsia="仿宋_GB2312" w:cs="仿宋_GB2312"/>
          <w:kern w:val="0"/>
          <w:sz w:val="32"/>
          <w:szCs w:val="32"/>
          <w:shd w:val="clear" w:color="auto" w:fill="FFFFFF"/>
          <w:lang w:val="en-US" w:eastAsia="zh-CN"/>
        </w:rPr>
        <w:t>交管办及村级劝导员经费项目2022年预算3.42万元</w:t>
      </w:r>
      <w:r>
        <w:rPr>
          <w:rFonts w:hint="eastAsia" w:ascii="仿宋_GB2312" w:hAnsi="仿宋_GB2312" w:eastAsia="仿宋_GB2312" w:cs="仿宋_GB2312"/>
          <w:kern w:val="0"/>
          <w:sz w:val="32"/>
          <w:szCs w:val="32"/>
          <w:shd w:val="clear" w:color="auto" w:fill="FFFFFF"/>
          <w:lang w:val="zh-CN" w:eastAsia="zh-CN"/>
        </w:rPr>
        <w:t>，属专项资金。</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2．资金到位。</w:t>
      </w:r>
      <w:r>
        <w:rPr>
          <w:rFonts w:hint="eastAsia" w:ascii="仿宋_GB2312" w:hAnsi="仿宋_GB2312" w:eastAsia="仿宋_GB2312" w:cs="仿宋_GB2312"/>
          <w:kern w:val="0"/>
          <w:sz w:val="32"/>
          <w:szCs w:val="32"/>
          <w:shd w:val="clear" w:color="auto" w:fill="FFFFFF"/>
          <w:lang w:val="en-US" w:eastAsia="zh-CN"/>
        </w:rPr>
        <w:t>交管办及村级劝导员经费项目预算3.42万元，年末已全部到位，资金到位率100%</w:t>
      </w:r>
      <w:r>
        <w:rPr>
          <w:rFonts w:hint="eastAsia" w:ascii="仿宋_GB2312" w:hAnsi="仿宋_GB2312" w:eastAsia="仿宋_GB2312" w:cs="仿宋_GB2312"/>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eastAsia="zh-CN"/>
        </w:rPr>
        <w:t>3．资金使用。</w:t>
      </w:r>
      <w:r>
        <w:rPr>
          <w:rFonts w:hint="eastAsia" w:ascii="仿宋_GB2312" w:hAnsi="仿宋_GB2312" w:eastAsia="仿宋_GB2312" w:cs="仿宋_GB2312"/>
          <w:kern w:val="0"/>
          <w:sz w:val="32"/>
          <w:szCs w:val="32"/>
          <w:shd w:val="clear" w:color="auto" w:fill="FFFFFF"/>
          <w:lang w:val="en-US" w:eastAsia="zh-CN"/>
        </w:rPr>
        <w:t>交管办及村级劝导员经费项目实际支出3.42万元，已全部足额支付</w:t>
      </w:r>
      <w:r>
        <w:rPr>
          <w:rFonts w:hint="eastAsia" w:ascii="仿宋_GB2312" w:hAnsi="仿宋_GB2312" w:eastAsia="仿宋_GB2312" w:cs="仿宋_GB2312"/>
          <w:kern w:val="0"/>
          <w:sz w:val="32"/>
          <w:szCs w:val="32"/>
          <w:shd w:val="clear" w:color="auto" w:fill="FFFFFF"/>
          <w:lang w:val="zh-CN" w:eastAsia="zh-CN"/>
        </w:rPr>
        <w:t>。资金支付与预算项目实施方案相符，支付范围、支付标准、支付依据合规合法。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（三）项目财务管理情况。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eastAsia="zh-CN"/>
        </w:rPr>
        <w:t>该项目资金实行专款专用，从日常监管情况来看，项目实施单位财务管理制度健全，严格执行财务管理制度，账务处理及时，会计核算规范。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（一）项目组织架构及实施流程。</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管理由峨眉山市黄湾镇党委政府进行决策管理，工作部门根据上级资金使用范围、绩效目标工作任务，提出资金使用申报，党委政府研究决定，纪委监督，财政部门审核支付。基础设施建设项目涉及采购的部分严格按照财政采购政策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（二）项目管理情况。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交管办及村级劝导员经费项目由乡镇交通劝导办负责，</w:t>
      </w:r>
      <w:r>
        <w:rPr>
          <w:rFonts w:hint="eastAsia" w:ascii="仿宋_GB2312" w:hAnsi="仿宋_GB2312" w:eastAsia="仿宋_GB2312" w:cs="仿宋_GB2312"/>
          <w:kern w:val="0"/>
          <w:sz w:val="32"/>
          <w:szCs w:val="32"/>
          <w:shd w:val="clear" w:color="auto" w:fill="FFFFFF"/>
          <w:lang w:val="zh-CN" w:eastAsia="zh-CN"/>
        </w:rPr>
        <w:t>保证项目顺利实施达到预期效果，完成项目绩效目标。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（三）项目监管情况。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该项目采用常态化监控</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eastAsia="zh-CN"/>
        </w:rPr>
        <w:t>动态化监督检查</w:t>
      </w:r>
      <w:r>
        <w:rPr>
          <w:rFonts w:hint="eastAsia" w:ascii="仿宋_GB2312" w:hAnsi="仿宋_GB2312" w:eastAsia="仿宋_GB2312" w:cs="仿宋_GB2312"/>
          <w:kern w:val="0"/>
          <w:sz w:val="32"/>
          <w:szCs w:val="32"/>
          <w:shd w:val="clear" w:color="auto" w:fill="FFFFFF"/>
          <w:lang w:val="en-US" w:eastAsia="zh-CN"/>
        </w:rPr>
        <w:t>+绩效评价监督的联动机制从严从实的对项目绩效监督管理。确保资金安全，转款专用。目前未发现有违规行为。</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规范了各村交通劝导场所，更好地开展交通劝导工作，提高群众安全。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（二）项目效益情况。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该项目实施以来，</w:t>
      </w:r>
      <w:r>
        <w:rPr>
          <w:rFonts w:hint="eastAsia" w:ascii="仿宋_GB2312" w:hAnsi="仿宋_GB2312" w:eastAsia="仿宋_GB2312" w:cs="仿宋_GB2312"/>
          <w:kern w:val="0"/>
          <w:sz w:val="32"/>
          <w:szCs w:val="32"/>
          <w:shd w:val="clear" w:color="auto" w:fill="FFFFFF"/>
          <w:lang w:val="en-US" w:eastAsia="zh-CN"/>
        </w:rPr>
        <w:t>完成各村交通劝导场所建设</w:t>
      </w:r>
      <w:r>
        <w:rPr>
          <w:rFonts w:hint="eastAsia" w:ascii="仿宋_GB2312" w:hAnsi="仿宋_GB2312" w:eastAsia="仿宋_GB2312" w:cs="仿宋_GB2312"/>
          <w:kern w:val="0"/>
          <w:sz w:val="32"/>
          <w:szCs w:val="32"/>
          <w:shd w:val="clear" w:color="auto" w:fill="FFFFFF"/>
          <w:lang w:val="zh-CN" w:eastAsia="zh-CN"/>
        </w:rPr>
        <w:t>，提升了村民交通安全意识，法律法规，保障辖区交通秩序，降低交通事故发生率，死亡率。得到群众认可，取得了良好的社会经济效益。</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总体上看，该项目决策依据充分，绩效目标明确，管理制度健全，组织实施有序，资金使用规范结。通过项目实施完善了交通劝导场所。受到村民的赞许，群众满意率高。得到认可取得了良好的社会效益，是应该长期实施的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（二）存在的问题。</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项目绩效目标申报仍存在不完整、细化量化不够的问题。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（三）相关建议。</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绩效目标制定是预算绩效管理的基础，也是编制项目预算、实施绩效监控、开展绩效评价的重要基础和依据。下一步，采取更有力的措施，落实绩效管理主体责任，认真编制绩效目标。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sectPr>
          <w:pgSz w:w="11906" w:h="16838"/>
          <w:pgMar w:top="1440" w:right="1800" w:bottom="1440" w:left="1800" w:header="851" w:footer="992" w:gutter="0"/>
          <w:pgNumType w:fmt="decimal"/>
          <w:cols w:space="425" w:num="1"/>
          <w:titlePg/>
          <w:docGrid w:type="lines" w:linePitch="312" w:charSpace="0"/>
        </w:sectPr>
      </w:pP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rPr>
      </w:pPr>
      <w:r>
        <w:rPr>
          <w:rFonts w:hint="eastAsia" w:ascii="方正小标宋简体" w:hAnsi="方正小标宋简体" w:eastAsia="方正小标宋简体" w:cs="方正小标宋简体"/>
          <w:b/>
          <w:sz w:val="44"/>
          <w:szCs w:val="44"/>
          <w:shd w:val="clear" w:color="auto" w:fill="FFFFFF"/>
          <w:lang w:val="en-US"/>
        </w:rPr>
        <w:t>202</w:t>
      </w:r>
      <w:r>
        <w:rPr>
          <w:rFonts w:hint="eastAsia" w:ascii="方正小标宋简体" w:hAnsi="方正小标宋简体" w:eastAsia="方正小标宋简体" w:cs="方正小标宋简体"/>
          <w:b/>
          <w:sz w:val="44"/>
          <w:szCs w:val="44"/>
          <w:shd w:val="clear" w:color="auto" w:fill="FFFFFF"/>
          <w:lang w:val="en-US" w:eastAsia="zh-CN"/>
        </w:rPr>
        <w:t>2</w:t>
      </w:r>
      <w:r>
        <w:rPr>
          <w:rFonts w:hint="eastAsia" w:ascii="方正小标宋简体" w:hAnsi="方正小标宋简体" w:eastAsia="方正小标宋简体" w:cs="方正小标宋简体"/>
          <w:b/>
          <w:sz w:val="44"/>
          <w:szCs w:val="44"/>
          <w:shd w:val="clear" w:color="auto" w:fill="FFFFFF"/>
          <w:lang w:val="en-US"/>
        </w:rPr>
        <w:t>年专项资金预算项目绩效自评报告</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eastAsia="zh-CN"/>
        </w:rPr>
      </w:pPr>
      <w:r>
        <w:rPr>
          <w:rFonts w:hint="eastAsia" w:ascii="方正小标宋简体" w:hAnsi="方正小标宋简体" w:eastAsia="方正小标宋简体" w:cs="方正小标宋简体"/>
          <w:b/>
          <w:sz w:val="44"/>
          <w:szCs w:val="44"/>
          <w:shd w:val="clear" w:color="auto" w:fill="FFFFFF"/>
          <w:lang w:val="en-US" w:eastAsia="zh-CN"/>
        </w:rPr>
        <w:t>（</w:t>
      </w:r>
      <w:r>
        <w:rPr>
          <w:rFonts w:hint="eastAsia" w:ascii="方正小标宋简体" w:hAnsi="方正小标宋简体" w:eastAsia="方正小标宋简体" w:cs="方正小标宋简体"/>
          <w:b/>
          <w:sz w:val="44"/>
          <w:szCs w:val="44"/>
          <w:shd w:val="clear" w:color="auto" w:fill="FFFFFF"/>
          <w:lang w:val="en-US"/>
        </w:rPr>
        <w:t>村级基层组织和公共运维费</w:t>
      </w:r>
      <w:r>
        <w:rPr>
          <w:rFonts w:hint="eastAsia" w:ascii="方正小标宋简体" w:hAnsi="方正小标宋简体" w:eastAsia="方正小标宋简体" w:cs="方正小标宋简体"/>
          <w:b/>
          <w:sz w:val="44"/>
          <w:szCs w:val="44"/>
          <w:shd w:val="clear" w:color="auto" w:fill="FFFFFF"/>
          <w:lang w:val="en-US" w:eastAsia="zh-CN"/>
        </w:rPr>
        <w:t>）</w:t>
      </w:r>
    </w:p>
    <w:p>
      <w:pPr>
        <w:pStyle w:val="35"/>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（一）项目基本情况。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eastAsia="zh-CN"/>
        </w:rPr>
        <w:t>项目主管部门（单位）在该项目管理中的职能。</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峨眉山市黄湾镇人民政府是</w:t>
      </w:r>
      <w:r>
        <w:rPr>
          <w:rFonts w:hint="eastAsia" w:ascii="仿宋_GB2312" w:hAnsi="仿宋_GB2312" w:eastAsia="仿宋_GB2312" w:cs="仿宋_GB2312"/>
          <w:kern w:val="0"/>
          <w:sz w:val="32"/>
          <w:szCs w:val="32"/>
          <w:shd w:val="clear" w:color="auto" w:fill="FFFFFF"/>
          <w:lang w:val="en-US" w:eastAsia="zh-CN"/>
        </w:rPr>
        <w:t>村级基层组织和公共运维费项目</w:t>
      </w:r>
      <w:r>
        <w:rPr>
          <w:rFonts w:hint="eastAsia" w:ascii="仿宋_GB2312" w:hAnsi="仿宋_GB2312" w:eastAsia="仿宋_GB2312" w:cs="仿宋_GB2312"/>
          <w:kern w:val="0"/>
          <w:sz w:val="32"/>
          <w:szCs w:val="32"/>
          <w:shd w:val="clear" w:color="auto" w:fill="FFFFFF"/>
          <w:lang w:val="zh-CN" w:eastAsia="zh-CN"/>
        </w:rPr>
        <w:t>主管部门，主要职责包括：负责组织项目申报、科学合理编制预算、做好资金审核并及时拨付到位、确保资金专款专用。</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eastAsia="zh-CN"/>
        </w:rPr>
        <w:t>项目立项、资金申报的依据。</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该项目立项、资金申报的依据包括但不限于：项目涉及的中省相关政策文件和规划、项目设立论证资料、资金安排相关文件等</w:t>
      </w:r>
      <w:r>
        <w:rPr>
          <w:rFonts w:hint="eastAsia" w:ascii="仿宋_GB2312" w:hAnsi="仿宋_GB2312" w:eastAsia="仿宋_GB2312" w:cs="仿宋_GB2312"/>
          <w:kern w:val="0"/>
          <w:sz w:val="32"/>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eastAsia="zh-CN"/>
        </w:rPr>
        <w:t>资金或项目管理情况。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我镇对该项目的组织申报、需求论证、项目入库、项目采购、项目资金支付实施监管，规范化管理。资金的使用范围为：黄湾镇</w:t>
      </w:r>
      <w:r>
        <w:rPr>
          <w:rFonts w:hint="eastAsia" w:ascii="仿宋_GB2312" w:hAnsi="仿宋_GB2312" w:eastAsia="仿宋_GB2312" w:cs="仿宋_GB2312"/>
          <w:kern w:val="0"/>
          <w:sz w:val="32"/>
          <w:szCs w:val="32"/>
          <w:shd w:val="clear" w:color="auto" w:fill="FFFFFF"/>
          <w:lang w:val="en-US" w:eastAsia="zh-CN"/>
        </w:rPr>
        <w:t>7个村的基层组织建设和公共运维</w:t>
      </w:r>
      <w:r>
        <w:rPr>
          <w:rFonts w:hint="eastAsia" w:ascii="仿宋_GB2312" w:hAnsi="仿宋_GB2312" w:eastAsia="仿宋_GB2312" w:cs="仿宋_GB2312"/>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资金分配的原则及考虑因素。</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该项目资金为专项资金，专款专用，一是突出支持重点，优先安排重点难点项目实施，二是确保黄湾镇各村基层组织和公共运维的刚性支出，三是实施全过程预算绩效管理，四是坚持公平公正原则。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（二）项目绩效目标。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eastAsia="zh-CN"/>
        </w:rPr>
        <w:t>项目主要内容。</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村内户外公路、水利、供水、供电、通讯、互联网等基础设施、农村垃圾、污水集中处理、农村治安保卫、环境卫生监督检查等。</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eastAsia="zh-CN"/>
        </w:rPr>
        <w:t>项目应实现的具体绩效目标。</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村容村貌大幅提升，环境干净、整洁、舒适、清新、宜居宜养，群众环保理念有了新认识、新提高，全镇对外形象有了新提升，老百姓的幸福感、获得感、安全感增强，乡村振兴落到实处。</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eastAsia="zh-CN"/>
        </w:rPr>
        <w:t>目标相符性。</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该项目绩效目标是根据市政府对村级基层组织建设要求，结合我镇实际工作情况进行制定，申报内容与实际相符，申报目标合理可行。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（三）项目自评步骤及方法。</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eastAsia="zh-CN"/>
        </w:rPr>
        <w:t>自评工作采用定量和定性相结合的方法，对于可量化指标进行细化、量化，对于无法量化的指标根据客观依据评判。结合项目实施过程中的督导检查情况，综合自评。</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（一）项目资金申报及批复情况。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2022年年初我镇按村级数量、省级资金分配方案进行预算编制，经市政府同意，报峨眉山市人民代表大会会议批准通过。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（二）资金计划、到位及使用情况。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1．资金计划。</w:t>
      </w:r>
      <w:r>
        <w:rPr>
          <w:rFonts w:hint="eastAsia" w:ascii="仿宋_GB2312" w:hAnsi="仿宋_GB2312" w:eastAsia="仿宋_GB2312" w:cs="仿宋_GB2312"/>
          <w:kern w:val="0"/>
          <w:sz w:val="32"/>
          <w:szCs w:val="32"/>
          <w:shd w:val="clear" w:color="auto" w:fill="FFFFFF"/>
          <w:lang w:val="en-US" w:eastAsia="zh-CN"/>
        </w:rPr>
        <w:t>村级基层组织和公共运维费2022年预算79.95万元</w:t>
      </w:r>
      <w:r>
        <w:rPr>
          <w:rFonts w:hint="eastAsia" w:ascii="仿宋_GB2312" w:hAnsi="仿宋_GB2312" w:eastAsia="仿宋_GB2312" w:cs="仿宋_GB2312"/>
          <w:kern w:val="0"/>
          <w:sz w:val="32"/>
          <w:szCs w:val="32"/>
          <w:shd w:val="clear" w:color="auto" w:fill="FFFFFF"/>
          <w:lang w:val="zh-CN" w:eastAsia="zh-CN"/>
        </w:rPr>
        <w:t>，属本级专项资金。</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2．资金到位。</w:t>
      </w:r>
      <w:r>
        <w:rPr>
          <w:rFonts w:hint="eastAsia" w:ascii="仿宋_GB2312" w:hAnsi="仿宋_GB2312" w:eastAsia="仿宋_GB2312" w:cs="仿宋_GB2312"/>
          <w:kern w:val="0"/>
          <w:sz w:val="32"/>
          <w:szCs w:val="32"/>
          <w:shd w:val="clear" w:color="auto" w:fill="FFFFFF"/>
          <w:lang w:val="en-US" w:eastAsia="zh-CN"/>
        </w:rPr>
        <w:t>2022年村级基层组织和公共运维费预算60.01万元，年末已全部到位，资金到位率75.07%</w:t>
      </w:r>
      <w:r>
        <w:rPr>
          <w:rFonts w:hint="eastAsia" w:ascii="仿宋_GB2312" w:hAnsi="仿宋_GB2312" w:eastAsia="仿宋_GB2312" w:cs="仿宋_GB2312"/>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3．资金使用。</w:t>
      </w:r>
      <w:r>
        <w:rPr>
          <w:rFonts w:hint="eastAsia" w:ascii="仿宋_GB2312" w:hAnsi="仿宋_GB2312" w:eastAsia="仿宋_GB2312" w:cs="仿宋_GB2312"/>
          <w:kern w:val="0"/>
          <w:sz w:val="32"/>
          <w:szCs w:val="32"/>
          <w:shd w:val="clear" w:color="auto" w:fill="FFFFFF"/>
          <w:lang w:val="en-US" w:eastAsia="zh-CN"/>
        </w:rPr>
        <w:t>村级基层组织和公共运维费</w:t>
      </w:r>
      <w:r>
        <w:rPr>
          <w:rFonts w:hint="eastAsia" w:ascii="仿宋_GB2312" w:hAnsi="仿宋_GB2312" w:eastAsia="仿宋_GB2312" w:cs="仿宋_GB2312"/>
          <w:kern w:val="0"/>
          <w:sz w:val="32"/>
          <w:szCs w:val="32"/>
          <w:shd w:val="clear" w:color="auto" w:fill="FFFFFF"/>
          <w:lang w:val="zh-CN" w:eastAsia="zh-CN"/>
        </w:rPr>
        <w:t>涉及</w:t>
      </w:r>
      <w:r>
        <w:rPr>
          <w:rFonts w:hint="eastAsia" w:ascii="仿宋_GB2312" w:hAnsi="仿宋_GB2312" w:eastAsia="仿宋_GB2312" w:cs="仿宋_GB2312"/>
          <w:kern w:val="0"/>
          <w:sz w:val="32"/>
          <w:szCs w:val="32"/>
          <w:shd w:val="clear" w:color="auto" w:fill="FFFFFF"/>
          <w:lang w:val="en-US" w:eastAsia="zh-CN"/>
        </w:rPr>
        <w:t>9个村级基层组织建设和运行维护，实际支出60.01万元，已全部足额支付</w:t>
      </w:r>
      <w:r>
        <w:rPr>
          <w:rFonts w:hint="eastAsia" w:ascii="仿宋_GB2312" w:hAnsi="仿宋_GB2312" w:eastAsia="仿宋_GB2312" w:cs="仿宋_GB2312"/>
          <w:kern w:val="0"/>
          <w:sz w:val="32"/>
          <w:szCs w:val="32"/>
          <w:shd w:val="clear" w:color="auto" w:fill="FFFFFF"/>
          <w:lang w:val="zh-CN" w:eastAsia="zh-CN"/>
        </w:rPr>
        <w:t>。资金支付与预算项目实施方案相符，支付范围、支付标准、支付依据合规合法。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（三）项目财务管理情况。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该项目资金实行专款专用，从日常监管情况来看，项目实施单位财务管理制度健全，严格执行财务管理制度，账务处理及时，会计核算规范。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（一）项目组织架构及实施流程。</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该项目管理由峨眉山市黄湾镇党委政府进行决策管理，工作部门根据上级资金使用范围、绩效目标工作任务，提出资金使用申报，党委政府研究决定，纪委监督，财政部门审核支付。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（二）项目管理情况。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我镇2022年村级基层组织和公共运维费主要用于各村垃圾转运员和保洁员工资、道路建设等工作。项目实施村财镇管。保证项目顺利实施达到预期效果，完成项目绩效目标。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（三）项目监管情况。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该项目采用常态化监控</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eastAsia="zh-CN"/>
        </w:rPr>
        <w:t>动态化监督检查</w:t>
      </w:r>
      <w:r>
        <w:rPr>
          <w:rFonts w:hint="eastAsia" w:ascii="仿宋_GB2312" w:hAnsi="仿宋_GB2312" w:eastAsia="仿宋_GB2312" w:cs="仿宋_GB2312"/>
          <w:kern w:val="0"/>
          <w:sz w:val="32"/>
          <w:szCs w:val="32"/>
          <w:shd w:val="clear" w:color="auto" w:fill="FFFFFF"/>
          <w:lang w:val="en-US" w:eastAsia="zh-CN"/>
        </w:rPr>
        <w:t>+绩效评价监督的联动机制从严从实的对项目绩效监督管理。确保资金安全，转款专用。目前未发现有违规行为。</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（一）项目完成情况。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对村内户外公路、水利、供水、供电、通讯、互联网等基础设施完成运行维护；农村垃圾、污水得到集中处理、对农村堤坝沟渠进行维修维护，确保了防汛工作开展，人民群众生命安全；修建村组道路，方便群众出行</w:t>
      </w:r>
      <w:r>
        <w:rPr>
          <w:rFonts w:hint="eastAsia" w:ascii="仿宋_GB2312" w:hAnsi="仿宋_GB2312" w:eastAsia="仿宋_GB2312" w:cs="仿宋_GB2312"/>
          <w:kern w:val="0"/>
          <w:sz w:val="32"/>
          <w:szCs w:val="32"/>
          <w:shd w:val="clear" w:color="auto" w:fill="FFFFFF"/>
          <w:lang w:val="en-US" w:eastAsia="zh-CN"/>
        </w:rPr>
        <w:t>；政策覆盖全镇所有村，覆盖率达100%；严格按照预算控制成本，未超预算；</w:t>
      </w:r>
      <w:r>
        <w:rPr>
          <w:rFonts w:hint="eastAsia" w:ascii="仿宋_GB2312" w:hAnsi="仿宋_GB2312" w:eastAsia="仿宋_GB2312" w:cs="仿宋_GB2312"/>
          <w:kern w:val="0"/>
          <w:sz w:val="32"/>
          <w:szCs w:val="32"/>
          <w:shd w:val="clear" w:color="auto" w:fill="FFFFFF"/>
          <w:lang w:val="zh-CN" w:eastAsia="zh-CN"/>
        </w:rPr>
        <w:t>预算资金</w:t>
      </w:r>
      <w:r>
        <w:rPr>
          <w:rFonts w:hint="eastAsia" w:ascii="仿宋_GB2312" w:hAnsi="仿宋_GB2312" w:eastAsia="仿宋_GB2312" w:cs="仿宋_GB2312"/>
          <w:kern w:val="0"/>
          <w:sz w:val="32"/>
          <w:szCs w:val="32"/>
          <w:shd w:val="clear" w:color="auto" w:fill="FFFFFF"/>
          <w:lang w:val="en-US" w:eastAsia="zh-CN"/>
        </w:rPr>
        <w:t>60.01万元全部及时支付到位，</w:t>
      </w:r>
      <w:r>
        <w:rPr>
          <w:rFonts w:hint="eastAsia" w:ascii="仿宋_GB2312" w:hAnsi="仿宋_GB2312" w:eastAsia="仿宋_GB2312" w:cs="仿宋_GB2312"/>
          <w:kern w:val="0"/>
          <w:sz w:val="32"/>
          <w:szCs w:val="32"/>
          <w:shd w:val="clear" w:color="auto" w:fill="FFFFFF"/>
          <w:lang w:val="zh-CN" w:eastAsia="zh-CN"/>
        </w:rPr>
        <w:t>未有结余，无违规记录；达到了，提升群众幸福感，满意度的绩效目标。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（二）项目效益情况。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该项目实施以来，村容村貌大幅提升，环境干净、整洁、舒适、清新、宜居宜养，群众环保理念有了新认识、新提高，村基础设施也得到改善。</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（一）评价结论。</w:t>
      </w:r>
    </w:p>
    <w:p>
      <w:pPr>
        <w:widowControl/>
        <w:adjustRightInd w:val="0"/>
        <w:snapToGrid w:val="0"/>
        <w:spacing w:line="578" w:lineRule="exact"/>
        <w:ind w:firstLine="640" w:firstLineChars="200"/>
        <w:contextualSpacing/>
        <w:jc w:val="left"/>
        <w:rPr>
          <w:rFonts w:hint="eastAsia" w:ascii="楷体_GB2312" w:hAnsi="宋体" w:eastAsia="楷体_GB2312"/>
          <w:b/>
          <w:sz w:val="32"/>
          <w:szCs w:val="32"/>
          <w:lang w:val="zh-CN"/>
        </w:rPr>
      </w:pPr>
      <w:r>
        <w:rPr>
          <w:rFonts w:hint="eastAsia" w:ascii="仿宋_GB2312" w:hAnsi="仿宋_GB2312" w:eastAsia="仿宋_GB2312" w:cs="仿宋_GB2312"/>
          <w:kern w:val="0"/>
          <w:sz w:val="32"/>
          <w:szCs w:val="32"/>
          <w:shd w:val="clear" w:color="auto" w:fill="FFFFFF"/>
          <w:lang w:val="zh-CN" w:eastAsia="zh-CN"/>
        </w:rPr>
        <w:t>总体上看，该项目决策依据充分，绩效目标明确，管理制度健全，组织实施有序，资金使用规范结。通过项目实施解决了村内最急需、群众最急盼、受益最直接的突出问题。受到村民的赞许，群众满意率高。得到认可取得了良好的社会效益，是应该长期实施的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（二）存在的问题。</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项目绩效目标申报仍存在不完整、细化量化不够的问题。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sz w:val="32"/>
          <w:szCs w:val="32"/>
          <w:lang w:val="zh-CN"/>
        </w:rPr>
      </w:pPr>
      <w:r>
        <w:rPr>
          <w:rFonts w:hint="eastAsia" w:ascii="楷体_GB2312" w:hAnsi="宋体" w:eastAsia="楷体_GB2312" w:cs="Times New Roman"/>
          <w:b w:val="0"/>
          <w:bCs/>
          <w:sz w:val="32"/>
          <w:szCs w:val="32"/>
          <w:lang w:val="zh-CN"/>
        </w:rPr>
        <w:t>（三）相关建议。</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绩效目标制定是预算绩效管理的基础，也是编制项目预算、实施绩效监控、开展绩效评价的重要基础和依据。下一步，采取更有力的措施，落实绩效管理主体责任，认真编制绩效目标。</w:t>
      </w:r>
    </w:p>
    <w:p>
      <w:pPr>
        <w:pStyle w:val="6"/>
        <w:sectPr>
          <w:pgSz w:w="11906" w:h="16838"/>
          <w:pgMar w:top="1440" w:right="1800" w:bottom="1440" w:left="1800" w:header="851" w:footer="992" w:gutter="0"/>
          <w:pgNumType w:fmt="decimal"/>
          <w:cols w:space="425" w:num="1"/>
          <w:titlePg/>
          <w:docGrid w:type="lines" w:linePitch="312" w:charSpace="0"/>
        </w:sectPr>
      </w:pPr>
    </w:p>
    <w:p>
      <w:pPr>
        <w:spacing w:line="600" w:lineRule="exact"/>
        <w:jc w:val="center"/>
        <w:outlineLvl w:val="0"/>
        <w:rPr>
          <w:rFonts w:ascii="仿宋" w:hAnsi="仿宋" w:eastAsia="仿宋"/>
        </w:rPr>
      </w:pPr>
      <w:bookmarkStart w:id="75" w:name="_Toc27999"/>
      <w:bookmarkStart w:id="76" w:name="_Toc15396618"/>
      <w:r>
        <w:rPr>
          <w:rFonts w:hint="eastAsia" w:ascii="黑体" w:hAnsi="黑体" w:eastAsia="黑体"/>
          <w:sz w:val="44"/>
          <w:szCs w:val="44"/>
        </w:rPr>
        <w:t>第</w:t>
      </w:r>
      <w:r>
        <w:rPr>
          <w:rStyle w:val="29"/>
          <w:rFonts w:hint="eastAsia" w:ascii="黑体" w:hAnsi="黑体" w:eastAsia="黑体"/>
          <w:b w:val="0"/>
        </w:rPr>
        <w:t>五部分 附表</w:t>
      </w:r>
      <w:bookmarkEnd w:id="72"/>
      <w:bookmarkEnd w:id="75"/>
      <w:bookmarkEnd w:id="76"/>
      <w:bookmarkStart w:id="77" w:name="_Toc15396619"/>
    </w:p>
    <w:p>
      <w:pPr>
        <w:pStyle w:val="4"/>
        <w:outlineLvl w:val="1"/>
        <w:rPr>
          <w:rFonts w:ascii="仿宋" w:hAnsi="仿宋" w:eastAsia="仿宋"/>
        </w:rPr>
      </w:pPr>
      <w:bookmarkStart w:id="78" w:name="_Toc6656"/>
      <w:r>
        <w:rPr>
          <w:rFonts w:hint="eastAsia" w:ascii="仿宋" w:hAnsi="仿宋" w:eastAsia="仿宋"/>
          <w:b w:val="0"/>
        </w:rPr>
        <w:t>一、收</w:t>
      </w:r>
      <w:r>
        <w:rPr>
          <w:rStyle w:val="30"/>
          <w:rFonts w:hint="eastAsia" w:ascii="仿宋" w:hAnsi="仿宋" w:eastAsia="仿宋"/>
          <w:b w:val="0"/>
          <w:bCs w:val="0"/>
        </w:rPr>
        <w:t>入支出决算总表</w:t>
      </w:r>
      <w:bookmarkEnd w:id="77"/>
      <w:bookmarkEnd w:id="78"/>
    </w:p>
    <w:p>
      <w:pPr>
        <w:pStyle w:val="4"/>
        <w:outlineLvl w:val="1"/>
        <w:rPr>
          <w:rFonts w:ascii="仿宋" w:hAnsi="仿宋" w:eastAsia="仿宋"/>
        </w:rPr>
      </w:pPr>
      <w:bookmarkStart w:id="79" w:name="_Toc15396620"/>
      <w:bookmarkStart w:id="80" w:name="_Toc7423"/>
      <w:r>
        <w:rPr>
          <w:rFonts w:hint="eastAsia" w:ascii="仿宋" w:hAnsi="仿宋" w:eastAsia="仿宋"/>
          <w:b w:val="0"/>
        </w:rPr>
        <w:t>二、收</w:t>
      </w:r>
      <w:r>
        <w:rPr>
          <w:rStyle w:val="30"/>
          <w:rFonts w:hint="eastAsia" w:ascii="仿宋" w:hAnsi="仿宋" w:eastAsia="仿宋"/>
          <w:b w:val="0"/>
          <w:bCs w:val="0"/>
        </w:rPr>
        <w:t>入决算表</w:t>
      </w:r>
      <w:bookmarkEnd w:id="79"/>
      <w:bookmarkEnd w:id="80"/>
    </w:p>
    <w:p>
      <w:pPr>
        <w:pStyle w:val="4"/>
        <w:outlineLvl w:val="1"/>
        <w:rPr>
          <w:rFonts w:ascii="仿宋" w:hAnsi="仿宋" w:eastAsia="仿宋"/>
        </w:rPr>
      </w:pPr>
      <w:bookmarkStart w:id="81" w:name="_Toc15396621"/>
      <w:bookmarkStart w:id="82" w:name="_Toc23112"/>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81"/>
      <w:bookmarkEnd w:id="82"/>
    </w:p>
    <w:p>
      <w:pPr>
        <w:pStyle w:val="4"/>
        <w:outlineLvl w:val="1"/>
        <w:rPr>
          <w:rFonts w:ascii="仿宋" w:hAnsi="仿宋" w:eastAsia="仿宋"/>
          <w:b w:val="0"/>
        </w:rPr>
      </w:pPr>
      <w:bookmarkStart w:id="83" w:name="_Toc27853"/>
      <w:bookmarkStart w:id="84"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83"/>
      <w:bookmarkEnd w:id="84"/>
    </w:p>
    <w:p>
      <w:pPr>
        <w:pStyle w:val="4"/>
        <w:outlineLvl w:val="1"/>
        <w:rPr>
          <w:rStyle w:val="30"/>
          <w:rFonts w:ascii="仿宋" w:hAnsi="仿宋" w:eastAsia="仿宋"/>
          <w:b w:val="0"/>
          <w:bCs w:val="0"/>
        </w:rPr>
      </w:pPr>
      <w:bookmarkStart w:id="85" w:name="_Toc15396623"/>
      <w:bookmarkStart w:id="86" w:name="_Toc16017"/>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85"/>
      <w:bookmarkEnd w:id="86"/>
      <w:bookmarkStart w:id="87" w:name="_Toc15396624"/>
    </w:p>
    <w:p>
      <w:pPr>
        <w:pStyle w:val="4"/>
        <w:outlineLvl w:val="1"/>
        <w:rPr>
          <w:rFonts w:ascii="仿宋" w:hAnsi="仿宋" w:eastAsia="仿宋"/>
        </w:rPr>
      </w:pPr>
      <w:bookmarkStart w:id="88" w:name="_Toc13310"/>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87"/>
      <w:bookmarkEnd w:id="88"/>
    </w:p>
    <w:p>
      <w:pPr>
        <w:pStyle w:val="4"/>
        <w:outlineLvl w:val="1"/>
        <w:rPr>
          <w:rFonts w:ascii="仿宋" w:hAnsi="仿宋" w:eastAsia="仿宋"/>
        </w:rPr>
      </w:pPr>
      <w:bookmarkStart w:id="89" w:name="_Toc15396625"/>
      <w:bookmarkStart w:id="90" w:name="_Toc16249"/>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89"/>
      <w:bookmarkEnd w:id="90"/>
    </w:p>
    <w:p>
      <w:pPr>
        <w:pStyle w:val="4"/>
        <w:outlineLvl w:val="1"/>
        <w:rPr>
          <w:rFonts w:ascii="仿宋" w:hAnsi="仿宋" w:eastAsia="仿宋"/>
        </w:rPr>
      </w:pPr>
      <w:bookmarkStart w:id="91" w:name="_Toc15396626"/>
      <w:bookmarkStart w:id="92" w:name="_Toc5618"/>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91"/>
      <w:bookmarkEnd w:id="92"/>
    </w:p>
    <w:p>
      <w:pPr>
        <w:pStyle w:val="4"/>
        <w:outlineLvl w:val="1"/>
        <w:rPr>
          <w:rFonts w:ascii="仿宋" w:hAnsi="仿宋" w:eastAsia="仿宋"/>
        </w:rPr>
      </w:pPr>
      <w:bookmarkStart w:id="93" w:name="_Toc15396627"/>
      <w:bookmarkStart w:id="94" w:name="_Toc1310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93"/>
      <w:bookmarkEnd w:id="94"/>
    </w:p>
    <w:p>
      <w:pPr>
        <w:pStyle w:val="4"/>
        <w:outlineLvl w:val="1"/>
        <w:rPr>
          <w:rFonts w:ascii="仿宋" w:hAnsi="仿宋" w:eastAsia="仿宋"/>
        </w:rPr>
      </w:pPr>
      <w:bookmarkStart w:id="95" w:name="_Toc15396628"/>
      <w:bookmarkStart w:id="96" w:name="_Toc5918"/>
      <w:r>
        <w:rPr>
          <w:rStyle w:val="30"/>
          <w:rFonts w:hint="eastAsia" w:ascii="仿宋" w:hAnsi="仿宋" w:eastAsia="仿宋"/>
          <w:b w:val="0"/>
          <w:bCs w:val="0"/>
        </w:rPr>
        <w:t>十、</w:t>
      </w:r>
      <w:bookmarkEnd w:id="95"/>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96"/>
    </w:p>
    <w:p>
      <w:pPr>
        <w:pStyle w:val="4"/>
        <w:outlineLvl w:val="1"/>
        <w:rPr>
          <w:rFonts w:ascii="仿宋" w:hAnsi="仿宋" w:eastAsia="仿宋"/>
        </w:rPr>
      </w:pPr>
      <w:bookmarkStart w:id="97" w:name="_Toc15396629"/>
      <w:bookmarkStart w:id="98" w:name="_Toc8006"/>
      <w:r>
        <w:rPr>
          <w:rStyle w:val="30"/>
          <w:rFonts w:hint="eastAsia" w:ascii="仿宋" w:hAnsi="仿宋" w:eastAsia="仿宋"/>
          <w:b w:val="0"/>
          <w:bCs w:val="0"/>
        </w:rPr>
        <w:t>十一、</w:t>
      </w:r>
      <w:bookmarkEnd w:id="97"/>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98"/>
    </w:p>
    <w:p>
      <w:pPr>
        <w:pStyle w:val="4"/>
        <w:outlineLvl w:val="1"/>
        <w:rPr>
          <w:rFonts w:ascii="仿宋" w:hAnsi="仿宋" w:eastAsia="仿宋"/>
        </w:rPr>
      </w:pPr>
      <w:bookmarkStart w:id="99" w:name="_Toc15396630"/>
      <w:bookmarkStart w:id="100" w:name="_Toc30274"/>
      <w:r>
        <w:rPr>
          <w:rStyle w:val="30"/>
          <w:rFonts w:hint="eastAsia" w:ascii="仿宋" w:hAnsi="仿宋" w:eastAsia="仿宋"/>
          <w:b w:val="0"/>
          <w:bCs w:val="0"/>
        </w:rPr>
        <w:t>十二、</w:t>
      </w:r>
      <w:bookmarkEnd w:id="99"/>
      <w:r>
        <w:rPr>
          <w:rStyle w:val="30"/>
          <w:rFonts w:hint="eastAsia" w:ascii="仿宋" w:hAnsi="仿宋" w:eastAsia="仿宋"/>
          <w:b w:val="0"/>
          <w:bCs w:val="0"/>
        </w:rPr>
        <w:t>国有资本经营预算财政拨款支出决算表</w:t>
      </w:r>
      <w:bookmarkEnd w:id="100"/>
    </w:p>
    <w:p>
      <w:pPr>
        <w:pStyle w:val="4"/>
        <w:outlineLvl w:val="1"/>
        <w:rPr>
          <w:rFonts w:eastAsia="仿宋"/>
        </w:rPr>
      </w:pPr>
      <w:bookmarkStart w:id="101" w:name="_Toc15396631"/>
      <w:bookmarkStart w:id="102" w:name="_Toc16736"/>
      <w:r>
        <w:rPr>
          <w:rStyle w:val="30"/>
          <w:rFonts w:hint="eastAsia" w:ascii="仿宋" w:hAnsi="仿宋" w:eastAsia="仿宋"/>
          <w:b w:val="0"/>
          <w:bCs w:val="0"/>
        </w:rPr>
        <w:t>十三、</w:t>
      </w:r>
      <w:bookmarkEnd w:id="101"/>
      <w:r>
        <w:rPr>
          <w:rStyle w:val="30"/>
          <w:rFonts w:hint="eastAsia" w:ascii="仿宋" w:hAnsi="仿宋" w:eastAsia="仿宋"/>
          <w:b w:val="0"/>
          <w:bCs w:val="0"/>
        </w:rPr>
        <w:t>财政拨款“三公”经费支出决算表</w:t>
      </w:r>
      <w:bookmarkEnd w:id="102"/>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2FA9B"/>
    <w:multiLevelType w:val="singleLevel"/>
    <w:tmpl w:val="9ED2FA9B"/>
    <w:lvl w:ilvl="0" w:tentative="0">
      <w:start w:val="1"/>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483F833"/>
    <w:multiLevelType w:val="singleLevel"/>
    <w:tmpl w:val="3483F833"/>
    <w:lvl w:ilvl="0" w:tentative="0">
      <w:start w:val="1"/>
      <w:numFmt w:val="decimal"/>
      <w:suff w:val="nothing"/>
      <w:lvlText w:val="%1、"/>
      <w:lvlJc w:val="left"/>
    </w:lvl>
  </w:abstractNum>
  <w:abstractNum w:abstractNumId="5">
    <w:nsid w:val="3B891C97"/>
    <w:multiLevelType w:val="singleLevel"/>
    <w:tmpl w:val="3B891C97"/>
    <w:lvl w:ilvl="0" w:tentative="0">
      <w:start w:val="1"/>
      <w:numFmt w:val="chineseCounting"/>
      <w:suff w:val="nothing"/>
      <w:lvlText w:val="%1、"/>
      <w:lvlJc w:val="left"/>
      <w:rPr>
        <w:rFonts w:hint="eastAsia"/>
      </w:r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DF057C9"/>
    <w:rsid w:val="0F98263C"/>
    <w:rsid w:val="101860EC"/>
    <w:rsid w:val="10C055FF"/>
    <w:rsid w:val="118107EC"/>
    <w:rsid w:val="13D50BC4"/>
    <w:rsid w:val="16BB723D"/>
    <w:rsid w:val="18607E0A"/>
    <w:rsid w:val="18752329"/>
    <w:rsid w:val="1BE8440E"/>
    <w:rsid w:val="1D155CEE"/>
    <w:rsid w:val="1D3B42F0"/>
    <w:rsid w:val="1EA57156"/>
    <w:rsid w:val="1FF35744"/>
    <w:rsid w:val="23860B96"/>
    <w:rsid w:val="240371BF"/>
    <w:rsid w:val="29FD04D3"/>
    <w:rsid w:val="2C8A61B5"/>
    <w:rsid w:val="2DF04E50"/>
    <w:rsid w:val="2F040D46"/>
    <w:rsid w:val="319F7F4E"/>
    <w:rsid w:val="3304709D"/>
    <w:rsid w:val="36AA5135"/>
    <w:rsid w:val="376D39B2"/>
    <w:rsid w:val="37E16F03"/>
    <w:rsid w:val="38D469F0"/>
    <w:rsid w:val="3A9E4D04"/>
    <w:rsid w:val="3D98207C"/>
    <w:rsid w:val="3E78745D"/>
    <w:rsid w:val="44E268DA"/>
    <w:rsid w:val="4A627F82"/>
    <w:rsid w:val="4B0E749A"/>
    <w:rsid w:val="4B4F25DA"/>
    <w:rsid w:val="4BE068DB"/>
    <w:rsid w:val="4BF256A7"/>
    <w:rsid w:val="4D577224"/>
    <w:rsid w:val="4EAB630A"/>
    <w:rsid w:val="4ECE2238"/>
    <w:rsid w:val="50267B2A"/>
    <w:rsid w:val="537E6D0A"/>
    <w:rsid w:val="58967CC8"/>
    <w:rsid w:val="5AF92295"/>
    <w:rsid w:val="5CD71FC4"/>
    <w:rsid w:val="5FFB17DC"/>
    <w:rsid w:val="683B3E0E"/>
    <w:rsid w:val="6C4A05C8"/>
    <w:rsid w:val="6E7E3605"/>
    <w:rsid w:val="6FF5CC65"/>
    <w:rsid w:val="715C0E4B"/>
    <w:rsid w:val="72734D90"/>
    <w:rsid w:val="73AD73D5"/>
    <w:rsid w:val="73B6EB34"/>
    <w:rsid w:val="744731E5"/>
    <w:rsid w:val="76E3355F"/>
    <w:rsid w:val="778769C8"/>
    <w:rsid w:val="795157B0"/>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cs="Courier New"/>
      <w:szCs w:val="21"/>
    </w:r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Style 14"/>
    <w:basedOn w:val="1"/>
    <w:qFormat/>
    <w:uiPriority w:val="0"/>
    <w:pPr>
      <w:widowControl w:val="0"/>
      <w:shd w:val="clear" w:color="auto" w:fill="auto"/>
      <w:spacing w:line="422" w:lineRule="auto"/>
      <w:ind w:firstLine="400"/>
    </w:pPr>
    <w:rPr>
      <w:rFonts w:ascii="宋体" w:hAnsi="宋体" w:eastAsia="宋体" w:cs="宋体"/>
      <w:sz w:val="26"/>
      <w:szCs w:val="26"/>
      <w:u w:val="none"/>
      <w:lang w:val="zh-CN" w:eastAsia="zh-CN" w:bidi="zh-CN"/>
    </w:rPr>
  </w:style>
  <w:style w:type="paragraph" w:customStyle="1" w:styleId="37">
    <w:name w:val="样式1"/>
    <w:basedOn w:val="1"/>
    <w:qFormat/>
    <w:uiPriority w:val="0"/>
    <w:pPr>
      <w:spacing w:line="580" w:lineRule="exact"/>
      <w:ind w:firstLine="200" w:firstLineChars="200"/>
    </w:pPr>
    <w:rPr>
      <w:rFonts w:eastAsia="仿宋_GB2312"/>
      <w:sz w:val="32"/>
    </w:rPr>
  </w:style>
  <w:style w:type="character" w:customStyle="1" w:styleId="38">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1239</Words>
  <Characters>7065</Characters>
  <Lines>58</Lines>
  <Paragraphs>16</Paragraphs>
  <TotalTime>5</TotalTime>
  <ScaleCrop>false</ScaleCrop>
  <LinksUpToDate>false</LinksUpToDate>
  <CharactersWithSpaces>8288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2023-12-11T09:27:00Z</cp:lastPrinted>
  <dcterms:modified xsi:type="dcterms:W3CDTF">2023-12-15T01:26:14Z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6B8A40E18E1A498180DC9CA15F5A0BFC</vt:lpwstr>
  </property>
</Properties>
</file>