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5396475"/>
      <w:bookmarkStart w:id="4" w:name="_Toc15377193"/>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426"/>
      <w:bookmarkStart w:id="8" w:name="_Toc15377194"/>
      <w:bookmarkStart w:id="9" w:name="_Toc15396598"/>
      <w:bookmarkStart w:id="10" w:name="_Toc1539647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乐山市峨眉山市粮食和物资储备中心单位决</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算</w:t>
      </w:r>
      <w:bookmarkEnd w:id="6"/>
      <w:bookmarkEnd w:id="7"/>
      <w:bookmarkEnd w:id="8"/>
      <w:bookmarkEnd w:id="9"/>
      <w:bookmarkEnd w:id="10"/>
      <w:bookmarkEnd w:id="11"/>
    </w:p>
    <w:p>
      <w:pPr>
        <w:widowControl/>
        <w:jc w:val="center"/>
        <w:rPr>
          <w:rFonts w:hint="eastAsia" w:ascii="黑体" w:hAnsi="黑体" w:eastAsia="黑体"/>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12</w:t>
      </w:r>
      <w:r>
        <w:rPr>
          <w:rFonts w:hint="eastAsia"/>
        </w:rPr>
        <w:t>月</w:t>
      </w:r>
      <w:r>
        <w:rPr>
          <w:rFonts w:hint="eastAsia"/>
          <w:lang w:val="en-US" w:eastAsia="zh-CN"/>
        </w:rPr>
        <w:t>14</w:t>
      </w:r>
      <w:r>
        <w:rPr>
          <w:rFonts w:hint="eastAsia"/>
        </w:rPr>
        <w:t>日</w:t>
      </w:r>
    </w:p>
    <w:p/>
    <w:p>
      <w:pPr>
        <w:pStyle w:val="10"/>
        <w:adjustRightInd w:val="0"/>
        <w:snapToGrid w:val="0"/>
        <w:spacing w:before="0" w:line="440" w:lineRule="exact"/>
        <w:jc w:val="left"/>
        <w:rPr>
          <w:rFonts w:hint="eastAsia" w:ascii="宋体" w:hAnsi="宋体" w:eastAsia="宋体" w:cs="宋体"/>
          <w:sz w:val="24"/>
          <w:szCs w:val="24"/>
        </w:rPr>
      </w:pPr>
      <w:r>
        <w:rPr>
          <w:rFonts w:hint="eastAsia"/>
          <w:sz w:val="24"/>
        </w:rPr>
        <w:t>第一部分 单位概况</w:t>
      </w:r>
      <w:r>
        <w:rPr>
          <w:rFonts w:hint="eastAsia"/>
          <w:sz w:val="24"/>
          <w:lang w:val="en-US" w:eastAsia="zh-CN"/>
        </w:rPr>
        <w:t xml:space="preserve"> </w:t>
      </w:r>
      <w:r>
        <w:rPr>
          <w:rFonts w:hint="eastAsia"/>
          <w:sz w:val="24"/>
          <w:lang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p>
    <w:p>
      <w:pPr>
        <w:pStyle w:val="11"/>
        <w:adjustRightInd w:val="0"/>
        <w:snapToGrid w:val="0"/>
        <w:spacing w:line="440" w:lineRule="exact"/>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一、主要职责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1                                              </w:t>
      </w:r>
    </w:p>
    <w:p>
      <w:pPr>
        <w:pStyle w:val="11"/>
        <w:adjustRightInd w:val="0"/>
        <w:snapToGrid w:val="0"/>
        <w:spacing w:line="440" w:lineRule="exact"/>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二、机构设置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p>
    <w:p>
      <w:pPr>
        <w:pStyle w:val="10"/>
        <w:adjustRightInd w:val="0"/>
        <w:snapToGrid w:val="0"/>
        <w:spacing w:before="0" w:line="440" w:lineRule="exact"/>
        <w:jc w:val="left"/>
        <w:rPr>
          <w:rFonts w:hint="eastAsia" w:ascii="宋体" w:hAnsi="宋体" w:eastAsia="宋体" w:cs="宋体"/>
          <w:sz w:val="24"/>
          <w:szCs w:val="24"/>
        </w:rPr>
      </w:pPr>
      <w:r>
        <w:rPr>
          <w:rFonts w:hint="eastAsia"/>
          <w:sz w:val="24"/>
        </w:rPr>
        <w:t>第二部分 2022年度单位决算情况说明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p>
    <w:p>
      <w:pPr>
        <w:pStyle w:val="11"/>
        <w:adjustRightInd w:val="0"/>
        <w:snapToGrid w:val="0"/>
        <w:spacing w:line="440" w:lineRule="exact"/>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一、收入支出决算总体情况说明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p>
    <w:p>
      <w:pPr>
        <w:pStyle w:val="11"/>
        <w:adjustRightInd w:val="0"/>
        <w:snapToGrid w:val="0"/>
        <w:spacing w:line="440" w:lineRule="exact"/>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二、收入决算情况说明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p>
    <w:p>
      <w:pPr>
        <w:pStyle w:val="11"/>
        <w:adjustRightInd w:val="0"/>
        <w:snapToGrid w:val="0"/>
        <w:spacing w:line="440" w:lineRule="exact"/>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三、支出决算情况说明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p>
    <w:p>
      <w:pPr>
        <w:pStyle w:val="11"/>
        <w:adjustRightInd w:val="0"/>
        <w:snapToGrid w:val="0"/>
        <w:spacing w:line="440" w:lineRule="exact"/>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四、财政拨款收入支出决算总体情况说明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p>
    <w:p>
      <w:pPr>
        <w:pStyle w:val="11"/>
        <w:adjustRightInd w:val="0"/>
        <w:snapToGrid w:val="0"/>
        <w:spacing w:line="440" w:lineRule="exact"/>
        <w:ind w:left="479" w:leftChars="228" w:firstLine="0" w:firstLineChars="0"/>
        <w:jc w:val="left"/>
        <w:rPr>
          <w:rFonts w:hint="eastAsia" w:asciiTheme="minorEastAsia" w:hAnsiTheme="minorEastAsia" w:eastAsiaTheme="minorEastAsia" w:cstheme="minorEastAsia"/>
          <w:sz w:val="24"/>
        </w:rPr>
      </w:pP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Theme="minorEastAsia" w:hAnsiTheme="minorEastAsia" w:eastAsiaTheme="minorEastAsia" w:cstheme="minorEastAsia"/>
          <w:sz w:val="24"/>
        </w:rPr>
        <w:t>六、一般公共预算财政拨款基本支出决算情况说明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8</w:t>
      </w:r>
    </w:p>
    <w:p>
      <w:pPr>
        <w:pStyle w:val="11"/>
        <w:adjustRightInd w:val="0"/>
        <w:snapToGrid w:val="0"/>
        <w:spacing w:line="440" w:lineRule="exact"/>
        <w:ind w:left="0" w:leftChars="0" w:firstLine="480" w:firstLineChars="200"/>
        <w:jc w:val="left"/>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七、财政拨款“三公”经费支出决算情况说明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8</w:t>
      </w:r>
    </w:p>
    <w:p>
      <w:pPr>
        <w:pStyle w:val="11"/>
        <w:adjustRightInd w:val="0"/>
        <w:snapToGrid w:val="0"/>
        <w:spacing w:line="440" w:lineRule="exact"/>
        <w:ind w:left="0" w:leftChars="0" w:firstLine="480" w:firstLineChars="200"/>
        <w:jc w:val="left"/>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八、政府性基金预算支出决算情况说明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10</w:t>
      </w:r>
    </w:p>
    <w:p>
      <w:pPr>
        <w:pStyle w:val="11"/>
        <w:adjustRightInd w:val="0"/>
        <w:snapToGrid w:val="0"/>
        <w:spacing w:line="440" w:lineRule="exact"/>
        <w:ind w:left="0" w:leftChars="0" w:firstLine="480" w:firstLineChars="200"/>
        <w:jc w:val="left"/>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九、国有资本经营预算支出决算情况说明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10</w:t>
      </w:r>
    </w:p>
    <w:p>
      <w:pPr>
        <w:pStyle w:val="11"/>
        <w:adjustRightInd w:val="0"/>
        <w:snapToGrid w:val="0"/>
        <w:spacing w:line="440" w:lineRule="exact"/>
        <w:ind w:left="0" w:leftChars="0" w:firstLine="480" w:firstLineChars="200"/>
        <w:jc w:val="left"/>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十、其他重要事项的情况说明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11</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asciiTheme="minorEastAsia" w:hAnsiTheme="minorEastAsia" w:eastAsiaTheme="minorEastAsia" w:cstheme="minorEastAsia"/>
          <w:sz w:val="24"/>
          <w:lang w:eastAsia="zh-CN"/>
        </w:rPr>
        <w:t>…………………………………………………………………</w:t>
      </w:r>
      <w:r>
        <w:rPr>
          <w:rFonts w:hint="eastAsia"/>
          <w:sz w:val="24"/>
          <w:lang w:val="en-US" w:eastAsia="zh-CN"/>
        </w:rPr>
        <w:t>13</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asciiTheme="minorEastAsia" w:hAnsiTheme="minorEastAsia" w:eastAsiaTheme="minorEastAsia" w:cstheme="minorEastAsia"/>
          <w:sz w:val="24"/>
          <w:lang w:eastAsia="zh-CN"/>
        </w:rPr>
        <w:t>………………………………………………………………………</w:t>
      </w:r>
      <w:r>
        <w:rPr>
          <w:rFonts w:hint="eastAsia"/>
          <w:sz w:val="24"/>
          <w:lang w:val="en-US" w:eastAsia="zh-CN"/>
        </w:rPr>
        <w:t>17</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asciiTheme="minorEastAsia" w:hAnsiTheme="minorEastAsia" w:eastAsiaTheme="minorEastAsia" w:cstheme="minorEastAsia"/>
          <w:sz w:val="24"/>
          <w:lang w:eastAsia="zh-CN"/>
        </w:rPr>
        <w:t>………………………………………………………………………</w:t>
      </w:r>
      <w:r>
        <w:rPr>
          <w:rFonts w:hint="eastAsia"/>
          <w:sz w:val="24"/>
          <w:lang w:val="en-US" w:eastAsia="zh-CN"/>
        </w:rPr>
        <w:t>26</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rFonts w:hint="eastAsia"/>
          <w:sz w:val="24"/>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w:t>
      </w:r>
      <w:bookmarkStart w:id="68" w:name="_GoBack"/>
      <w:bookmarkEnd w:id="68"/>
      <w:r>
        <w:rPr>
          <w:rFonts w:hint="eastAsia"/>
          <w:sz w:val="24"/>
        </w:rPr>
        <w:t>表</w:t>
      </w:r>
    </w:p>
    <w:p>
      <w:pPr>
        <w:pStyle w:val="3"/>
        <w:jc w:val="center"/>
        <w:rPr>
          <w:rFonts w:hint="eastAsia" w:ascii="黑体" w:hAnsi="黑体" w:eastAsia="黑体"/>
          <w:b w:val="0"/>
        </w:rPr>
        <w:sectPr>
          <w:footerReference r:id="rId7" w:type="default"/>
          <w:pgSz w:w="11906" w:h="16838"/>
          <w:pgMar w:top="1440" w:right="1800" w:bottom="1440" w:left="1800" w:header="851" w:footer="992" w:gutter="0"/>
          <w:pgNumType w:start="1"/>
          <w:cols w:space="425" w:num="1"/>
          <w:docGrid w:type="lines" w:linePitch="312" w:charSpace="0"/>
        </w:sectPr>
      </w:pPr>
      <w:bookmarkStart w:id="12" w:name="_Toc15377196"/>
      <w:bookmarkStart w:id="13" w:name="_Toc15396599"/>
      <w:bookmarkStart w:id="14" w:name="_Hlk146544157"/>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5" w:name="_Toc15396600"/>
      <w:bookmarkStart w:id="16" w:name="_Toc15377197"/>
      <w:r>
        <w:rPr>
          <w:rStyle w:val="25"/>
          <w:rFonts w:hint="eastAsia" w:ascii="黑体" w:hAnsi="黑体" w:eastAsia="黑体"/>
          <w:b w:val="0"/>
          <w:bCs w:val="0"/>
        </w:rPr>
        <w:t>主要职责</w:t>
      </w:r>
    </w:p>
    <w:p>
      <w:pPr>
        <w:pStyle w:val="2"/>
        <w:spacing w:before="93"/>
        <w:ind w:firstLine="640" w:firstLineChars="200"/>
      </w:pPr>
      <w:r>
        <w:rPr>
          <w:rFonts w:hint="eastAsia"/>
          <w:bCs/>
          <w:color w:val="000000"/>
          <w:sz w:val="32"/>
          <w:szCs w:val="32"/>
        </w:rPr>
        <w:t>认真贯彻执行国家粮油方针、政策和法律、法规，管理粮食市场和地方储备粮；完成地方储备粮的收购和管理，保证国家掌握必要的粮源；承担退耕还林（草）补贴粮食的计划调拨和供应工作；配合有关部门进行优质商品粮油的开发推广，促进粮食种植结构的调整；管理社会粮食流通，保障军队（武警）、移民、灾区、国家重点建设项目的粮食供应；负责国家和地方储备粮的管理；指导和协调粮食流通设施建设、商业网点建设；指导全市粮食财务管理工作；指导粮食流通市场的行业管理、体系建设；承担行业统计工作；会同有关部门加强粮食市场的监督管理；组织实施粮油流通的宏观管理和调控；保障粮油市场的稳定；指导本系统科技进步，推动行业的技术改造，新技术的应用推广；制定粮食储存的技术规范，并监督执行；负责局机关和离退休人员的管理；指导直属企业养老保险管理工作；做好粮食系统党建、党风廉政建设和纠正行业不正之风工作；推广订单农业，保护农民种粮积极性；承办市委市政府交办的其它事项。</w:t>
      </w:r>
    </w:p>
    <w:p>
      <w:pPr>
        <w:pStyle w:val="4"/>
        <w:rPr>
          <w:rFonts w:ascii="黑体" w:hAnsi="黑体" w:eastAsia="黑体"/>
          <w:b w:val="0"/>
        </w:rPr>
      </w:pPr>
      <w:r>
        <w:rPr>
          <w:rFonts w:hint="eastAsia" w:ascii="黑体" w:hAnsi="黑体" w:eastAsia="黑体"/>
          <w:b w:val="0"/>
        </w:rPr>
        <w:t>二、机构设置</w:t>
      </w:r>
    </w:p>
    <w:p>
      <w:pPr>
        <w:widowControl/>
        <w:ind w:firstLine="640" w:firstLineChars="200"/>
        <w:jc w:val="left"/>
        <w:rPr>
          <w:rFonts w:hint="eastAsia" w:ascii="仿宋_GB2312" w:eastAsia="仿宋_GB2312"/>
          <w:sz w:val="32"/>
          <w:szCs w:val="32"/>
          <w:lang w:eastAsia="zh-CN"/>
        </w:rPr>
      </w:pPr>
      <w:r>
        <w:rPr>
          <w:rFonts w:hint="eastAsia" w:ascii="仿宋" w:hAnsi="仿宋" w:eastAsia="仿宋"/>
          <w:sz w:val="32"/>
          <w:szCs w:val="32"/>
          <w:lang w:eastAsia="zh-CN"/>
        </w:rPr>
        <w:t>峨眉山市粮食和物资储备中心</w:t>
      </w:r>
      <w:r>
        <w:rPr>
          <w:rFonts w:hint="eastAsia" w:ascii="仿宋" w:hAnsi="仿宋" w:eastAsia="仿宋"/>
          <w:sz w:val="32"/>
          <w:szCs w:val="32"/>
        </w:rPr>
        <w:t>属于</w:t>
      </w:r>
      <w:r>
        <w:rPr>
          <w:rFonts w:hint="eastAsia" w:ascii="仿宋" w:hAnsi="仿宋" w:eastAsia="仿宋"/>
          <w:sz w:val="32"/>
          <w:szCs w:val="32"/>
          <w:lang w:eastAsia="zh-CN"/>
        </w:rPr>
        <w:t>峨眉山市发展和改革</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0</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w:t>
      </w:r>
      <w:bookmarkEnd w:id="14"/>
      <w:bookmarkEnd w:id="15"/>
      <w:bookmarkEnd w:id="16"/>
      <w:r>
        <w:rPr>
          <w:rFonts w:hint="eastAsia" w:ascii="仿宋" w:hAnsi="仿宋" w:eastAsia="仿宋"/>
          <w:sz w:val="32"/>
          <w:szCs w:val="32"/>
        </w:rPr>
        <w:t>业机构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单位内设</w:t>
      </w:r>
      <w:r>
        <w:rPr>
          <w:rFonts w:hint="eastAsia" w:ascii="仿宋" w:hAnsi="仿宋" w:eastAsia="仿宋"/>
          <w:sz w:val="32"/>
          <w:szCs w:val="32"/>
          <w:lang w:val="en-US" w:eastAsia="zh-CN"/>
        </w:rPr>
        <w:t>3个股室，有</w:t>
      </w:r>
      <w:r>
        <w:rPr>
          <w:rFonts w:hint="eastAsia" w:ascii="仿宋" w:hAnsi="仿宋" w:eastAsia="仿宋"/>
          <w:sz w:val="32"/>
          <w:szCs w:val="32"/>
          <w:lang w:eastAsia="zh-CN"/>
        </w:rPr>
        <w:t>参公</w:t>
      </w:r>
      <w:r>
        <w:rPr>
          <w:rFonts w:hint="eastAsia" w:ascii="仿宋" w:hAnsi="仿宋" w:eastAsia="仿宋"/>
          <w:sz w:val="32"/>
          <w:szCs w:val="32"/>
        </w:rPr>
        <w:t>编制 1</w:t>
      </w:r>
      <w:r>
        <w:rPr>
          <w:rFonts w:hint="eastAsia" w:ascii="仿宋" w:hAnsi="仿宋" w:eastAsia="仿宋"/>
          <w:sz w:val="32"/>
          <w:szCs w:val="32"/>
          <w:lang w:val="en-US" w:eastAsia="zh-CN"/>
        </w:rPr>
        <w:t>3</w:t>
      </w:r>
      <w:r>
        <w:rPr>
          <w:rFonts w:hint="eastAsia" w:ascii="仿宋" w:hAnsi="仿宋" w:eastAsia="仿宋"/>
          <w:sz w:val="32"/>
          <w:szCs w:val="32"/>
        </w:rPr>
        <w:t>人，年</w:t>
      </w:r>
      <w:r>
        <w:rPr>
          <w:rFonts w:hint="eastAsia" w:ascii="仿宋_GB2312" w:eastAsia="仿宋_GB2312"/>
          <w:sz w:val="32"/>
          <w:szCs w:val="32"/>
        </w:rPr>
        <w:t>末实有人数1</w:t>
      </w:r>
      <w:r>
        <w:rPr>
          <w:rFonts w:hint="eastAsia" w:ascii="仿宋_GB2312" w:eastAsia="仿宋_GB2312"/>
          <w:sz w:val="32"/>
          <w:szCs w:val="32"/>
          <w:lang w:val="en-US" w:eastAsia="zh-CN"/>
        </w:rPr>
        <w:t>3</w:t>
      </w:r>
      <w:r>
        <w:rPr>
          <w:rFonts w:hint="eastAsia" w:ascii="仿宋_GB2312" w:eastAsia="仿宋_GB2312"/>
          <w:sz w:val="32"/>
          <w:szCs w:val="32"/>
        </w:rPr>
        <w:t>人</w:t>
      </w:r>
      <w:r>
        <w:rPr>
          <w:rFonts w:hint="eastAsia" w:ascii="仿宋_GB2312" w:eastAsia="仿宋_GB2312"/>
          <w:sz w:val="32"/>
          <w:szCs w:val="32"/>
          <w:lang w:eastAsia="zh-CN"/>
        </w:rPr>
        <w:t>。</w:t>
      </w:r>
    </w:p>
    <w:p>
      <w:pPr>
        <w:pStyle w:val="2"/>
        <w:spacing w:before="93"/>
        <w:ind w:firstLine="707" w:firstLineChars="221"/>
        <w:rPr>
          <w:rFonts w:hint="eastAsia"/>
          <w:lang w:val="en-US" w:eastAsia="zh-CN"/>
        </w:rPr>
      </w:pPr>
      <w:r>
        <w:rPr>
          <w:rFonts w:hint="eastAsia" w:ascii="仿宋" w:hAnsi="仿宋" w:eastAsia="仿宋"/>
          <w:kern w:val="2"/>
          <w:sz w:val="32"/>
          <w:szCs w:val="32"/>
        </w:rPr>
        <w:t>纳入2</w:t>
      </w:r>
      <w:r>
        <w:rPr>
          <w:rFonts w:ascii="仿宋" w:hAnsi="仿宋" w:eastAsia="仿宋"/>
          <w:kern w:val="2"/>
          <w:sz w:val="32"/>
          <w:szCs w:val="32"/>
        </w:rPr>
        <w:t>022</w:t>
      </w:r>
      <w:r>
        <w:rPr>
          <w:rFonts w:hint="eastAsia" w:ascii="仿宋" w:hAnsi="仿宋" w:eastAsia="仿宋"/>
          <w:kern w:val="2"/>
          <w:sz w:val="32"/>
          <w:szCs w:val="32"/>
        </w:rPr>
        <w:t>年度单位决算编制范围的独立编制机构包括：</w:t>
      </w:r>
      <w:r>
        <w:rPr>
          <w:rFonts w:hint="eastAsia" w:ascii="仿宋" w:hAnsi="仿宋" w:eastAsia="仿宋"/>
          <w:kern w:val="2"/>
          <w:sz w:val="32"/>
          <w:szCs w:val="32"/>
          <w:lang w:eastAsia="zh-CN"/>
        </w:rPr>
        <w:t>峨眉山市粮食和物资储备中心。</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3"/>
        <w:ind w:right="440"/>
        <w:jc w:val="center"/>
        <w:rPr>
          <w:rStyle w:val="24"/>
          <w:rFonts w:ascii="黑体" w:hAnsi="黑体" w:eastAsia="黑体"/>
          <w:b w:val="0"/>
          <w:bCs/>
        </w:rPr>
      </w:pPr>
      <w:bookmarkStart w:id="17" w:name="_Toc15377204"/>
      <w:bookmarkStart w:id="18"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7"/>
      <w:bookmarkEnd w:id="18"/>
    </w:p>
    <w:p>
      <w:pPr>
        <w:pStyle w:val="23"/>
        <w:numPr>
          <w:ilvl w:val="0"/>
          <w:numId w:val="2"/>
        </w:numPr>
        <w:spacing w:line="600" w:lineRule="exact"/>
        <w:ind w:firstLineChars="0"/>
        <w:outlineLvl w:val="1"/>
        <w:rPr>
          <w:rStyle w:val="25"/>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9"/>
      <w:bookmarkEnd w:id="20"/>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anchor distT="0" distB="0" distL="114300" distR="114300" simplePos="0" relativeHeight="251661312" behindDoc="0" locked="0" layoutInCell="1" allowOverlap="1">
            <wp:simplePos x="0" y="0"/>
            <wp:positionH relativeFrom="column">
              <wp:posOffset>125095</wp:posOffset>
            </wp:positionH>
            <wp:positionV relativeFrom="paragraph">
              <wp:posOffset>1341120</wp:posOffset>
            </wp:positionV>
            <wp:extent cx="5350510" cy="2939415"/>
            <wp:effectExtent l="4445" t="4445" r="9525" b="1270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2022年度收、支总计</w:t>
      </w:r>
      <w:r>
        <w:rPr>
          <w:rFonts w:hint="eastAsia" w:ascii="仿宋" w:hAnsi="仿宋" w:eastAsia="仿宋"/>
          <w:sz w:val="32"/>
          <w:szCs w:val="32"/>
          <w:lang w:val="en-US" w:eastAsia="zh-CN"/>
        </w:rPr>
        <w:t>446.1</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45.19</w:t>
      </w:r>
      <w:r>
        <w:rPr>
          <w:rFonts w:hint="eastAsia" w:ascii="仿宋" w:hAnsi="仿宋" w:eastAsia="仿宋"/>
          <w:sz w:val="32"/>
          <w:szCs w:val="32"/>
        </w:rPr>
        <w:t>万元，增</w:t>
      </w:r>
      <w:r>
        <w:rPr>
          <w:rFonts w:hint="eastAsia" w:ascii="仿宋" w:hAnsi="仿宋" w:eastAsia="仿宋"/>
          <w:sz w:val="32"/>
          <w:szCs w:val="32"/>
          <w:lang w:val="en-US" w:eastAsia="zh-CN"/>
        </w:rPr>
        <w:t>11.27</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调入</w:t>
      </w:r>
      <w:r>
        <w:rPr>
          <w:rFonts w:hint="eastAsia" w:ascii="仿宋" w:hAnsi="仿宋" w:eastAsia="仿宋"/>
          <w:sz w:val="32"/>
          <w:szCs w:val="32"/>
          <w:lang w:val="en-US" w:eastAsia="zh-CN"/>
        </w:rPr>
        <w:t>2人，工程款增加</w:t>
      </w:r>
      <w:r>
        <w:rPr>
          <w:rFonts w:hint="eastAsia" w:ascii="仿宋" w:hAnsi="仿宋" w:eastAsia="仿宋"/>
          <w:sz w:val="32"/>
          <w:szCs w:val="32"/>
        </w:rPr>
        <w:t>。</w:t>
      </w:r>
    </w:p>
    <w:p>
      <w:pPr>
        <w:spacing w:line="600" w:lineRule="exact"/>
        <w:jc w:val="center"/>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3"/>
        <w:numPr>
          <w:ilvl w:val="0"/>
          <w:numId w:val="2"/>
        </w:numPr>
        <w:spacing w:line="600" w:lineRule="exact"/>
        <w:ind w:firstLineChars="0"/>
        <w:outlineLvl w:val="1"/>
        <w:rPr>
          <w:rStyle w:val="25"/>
          <w:rFonts w:ascii="黑体" w:hAnsi="黑体" w:eastAsia="黑体"/>
          <w:b w:val="0"/>
        </w:rPr>
      </w:pPr>
      <w:bookmarkStart w:id="21" w:name="_Toc15377206"/>
      <w:bookmarkStart w:id="22" w:name="_Toc15396604"/>
      <w:r>
        <w:rPr>
          <w:rFonts w:hint="eastAsia" w:ascii="黑体" w:hAnsi="黑体" w:eastAsia="黑体"/>
          <w:sz w:val="32"/>
          <w:szCs w:val="32"/>
        </w:rPr>
        <w:t>收</w:t>
      </w:r>
      <w:r>
        <w:rPr>
          <w:rStyle w:val="25"/>
          <w:rFonts w:hint="eastAsia" w:ascii="黑体" w:hAnsi="黑体" w:eastAsia="黑体"/>
          <w:b w:val="0"/>
        </w:rPr>
        <w:t>入决算情况说明</w:t>
      </w:r>
      <w:bookmarkEnd w:id="21"/>
      <w:bookmarkEnd w:id="22"/>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445.14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393.67</w:t>
      </w:r>
      <w:r>
        <w:rPr>
          <w:rFonts w:hint="eastAsia" w:ascii="仿宋" w:hAnsi="仿宋" w:eastAsia="仿宋"/>
          <w:sz w:val="32"/>
          <w:szCs w:val="32"/>
        </w:rPr>
        <w:t>万元，占</w:t>
      </w:r>
      <w:r>
        <w:rPr>
          <w:rFonts w:hint="eastAsia" w:ascii="仿宋" w:hAnsi="仿宋" w:eastAsia="仿宋"/>
          <w:sz w:val="32"/>
          <w:szCs w:val="32"/>
          <w:lang w:val="en-US" w:eastAsia="zh-CN"/>
        </w:rPr>
        <w:t>88.44</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51.47</w:t>
      </w:r>
      <w:r>
        <w:rPr>
          <w:rFonts w:hint="eastAsia" w:ascii="仿宋" w:hAnsi="仿宋" w:eastAsia="仿宋"/>
          <w:sz w:val="32"/>
          <w:szCs w:val="32"/>
        </w:rPr>
        <w:t>万元，占</w:t>
      </w:r>
      <w:r>
        <w:rPr>
          <w:rFonts w:hint="eastAsia" w:ascii="仿宋" w:hAnsi="仿宋" w:eastAsia="仿宋"/>
          <w:sz w:val="32"/>
          <w:szCs w:val="32"/>
          <w:lang w:val="en-US" w:eastAsia="zh-CN"/>
        </w:rPr>
        <w:t>11.56</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rPr>
          <w:rFonts w:hint="eastAsia" w:eastAsia="仿宋"/>
          <w:lang w:eastAsia="zh-CN"/>
        </w:rPr>
      </w:pPr>
      <w:r>
        <w:rPr>
          <w:rFonts w:hint="eastAsia" w:eastAsia="仿宋"/>
          <w:lang w:eastAsia="zh-CN"/>
        </w:rPr>
        <w:drawing>
          <wp:inline distT="0" distB="0" distL="114300" distR="114300">
            <wp:extent cx="5242560" cy="2934335"/>
            <wp:effectExtent l="4445" t="4445" r="10795" b="177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jc w:val="center"/>
        <w:rPr>
          <w:rFonts w:ascii="仿宋_GB2312" w:eastAsia="仿宋_GB2312"/>
          <w:sz w:val="32"/>
          <w:szCs w:val="32"/>
        </w:rPr>
      </w:pPr>
      <w:r>
        <w:rPr>
          <w:rFonts w:hint="eastAsia" w:ascii="仿宋" w:hAnsi="仿宋" w:eastAsia="仿宋"/>
          <w:sz w:val="32"/>
          <w:szCs w:val="32"/>
        </w:rPr>
        <w:t>（图2：收入决算结构图）</w:t>
      </w:r>
    </w:p>
    <w:p>
      <w:pPr>
        <w:pStyle w:val="23"/>
        <w:numPr>
          <w:ilvl w:val="0"/>
          <w:numId w:val="2"/>
        </w:numPr>
        <w:spacing w:line="600" w:lineRule="exact"/>
        <w:ind w:firstLineChars="0"/>
        <w:outlineLvl w:val="1"/>
        <w:rPr>
          <w:rStyle w:val="25"/>
          <w:rFonts w:ascii="黑体" w:hAnsi="黑体" w:eastAsia="黑体"/>
          <w:b w:val="0"/>
        </w:rPr>
      </w:pPr>
      <w:bookmarkStart w:id="23" w:name="_Toc15377207"/>
      <w:bookmarkStart w:id="24" w:name="_Toc15396605"/>
      <w:r>
        <w:rPr>
          <w:rFonts w:hint="eastAsia" w:ascii="黑体" w:hAnsi="黑体" w:eastAsia="黑体"/>
          <w:sz w:val="32"/>
          <w:szCs w:val="32"/>
        </w:rPr>
        <w:t>支</w:t>
      </w:r>
      <w:r>
        <w:rPr>
          <w:rStyle w:val="25"/>
          <w:rFonts w:hint="eastAsia" w:ascii="黑体" w:hAnsi="黑体" w:eastAsia="黑体"/>
          <w:b w:val="0"/>
        </w:rPr>
        <w:t>出决算情况说明</w:t>
      </w:r>
      <w:bookmarkEnd w:id="23"/>
      <w:bookmarkEnd w:id="24"/>
    </w:p>
    <w:p>
      <w:pPr>
        <w:spacing w:line="600" w:lineRule="exact"/>
        <w:ind w:firstLine="640" w:firstLineChars="200"/>
        <w:outlineLvl w:val="1"/>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446.09</w:t>
      </w:r>
      <w:r>
        <w:rPr>
          <w:rFonts w:hint="eastAsia" w:ascii="仿宋" w:hAnsi="仿宋" w:eastAsia="仿宋"/>
          <w:sz w:val="32"/>
          <w:szCs w:val="32"/>
        </w:rPr>
        <w:t>万元，其中：基本支出</w:t>
      </w:r>
      <w:r>
        <w:rPr>
          <w:rFonts w:hint="eastAsia" w:ascii="仿宋" w:hAnsi="仿宋" w:eastAsia="仿宋"/>
          <w:sz w:val="32"/>
          <w:szCs w:val="32"/>
          <w:lang w:val="en-US" w:eastAsia="zh-CN"/>
        </w:rPr>
        <w:t>329.77</w:t>
      </w:r>
      <w:r>
        <w:rPr>
          <w:rFonts w:hint="eastAsia" w:ascii="仿宋" w:hAnsi="仿宋" w:eastAsia="仿宋"/>
          <w:sz w:val="32"/>
          <w:szCs w:val="32"/>
        </w:rPr>
        <w:t>万元，占</w:t>
      </w:r>
      <w:r>
        <w:rPr>
          <w:rFonts w:hint="eastAsia" w:ascii="仿宋" w:hAnsi="仿宋" w:eastAsia="仿宋"/>
          <w:sz w:val="32"/>
          <w:szCs w:val="32"/>
          <w:lang w:val="en-US" w:eastAsia="zh-CN"/>
        </w:rPr>
        <w:t>73.92</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116.32</w:t>
      </w:r>
      <w:r>
        <w:rPr>
          <w:rFonts w:hint="eastAsia" w:ascii="仿宋" w:hAnsi="仿宋" w:eastAsia="仿宋"/>
          <w:sz w:val="32"/>
          <w:szCs w:val="32"/>
        </w:rPr>
        <w:t>万元，占</w:t>
      </w:r>
      <w:r>
        <w:rPr>
          <w:rFonts w:hint="eastAsia" w:ascii="仿宋" w:hAnsi="仿宋" w:eastAsia="仿宋"/>
          <w:sz w:val="32"/>
          <w:szCs w:val="32"/>
          <w:lang w:val="en-US" w:eastAsia="zh-CN"/>
        </w:rPr>
        <w:t>26.08</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p>
    <w:p>
      <w:pPr>
        <w:spacing w:line="600" w:lineRule="exact"/>
        <w:jc w:val="center"/>
        <w:rPr>
          <w:rFonts w:ascii="仿宋_GB2312" w:eastAsia="仿宋_GB2312"/>
          <w:sz w:val="32"/>
          <w:szCs w:val="32"/>
        </w:rPr>
      </w:pPr>
      <w:r>
        <w:rPr>
          <w:rFonts w:hint="eastAsia" w:ascii="仿宋" w:hAnsi="仿宋" w:eastAsia="仿宋"/>
          <w:sz w:val="32"/>
          <w:szCs w:val="32"/>
          <w:lang w:eastAsia="zh-CN"/>
        </w:rPr>
        <w:drawing>
          <wp:anchor distT="0" distB="0" distL="114300" distR="114300" simplePos="0" relativeHeight="251660288" behindDoc="0" locked="0" layoutInCell="1" allowOverlap="1">
            <wp:simplePos x="0" y="0"/>
            <wp:positionH relativeFrom="column">
              <wp:posOffset>15240</wp:posOffset>
            </wp:positionH>
            <wp:positionV relativeFrom="paragraph">
              <wp:posOffset>46355</wp:posOffset>
            </wp:positionV>
            <wp:extent cx="5274945" cy="3059430"/>
            <wp:effectExtent l="4445" t="4445" r="8890" b="1460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（图3：支出决算结构图）</w:t>
      </w:r>
    </w:p>
    <w:p>
      <w:pPr>
        <w:spacing w:line="600" w:lineRule="exact"/>
        <w:ind w:firstLine="640" w:firstLineChars="200"/>
        <w:outlineLvl w:val="1"/>
        <w:rPr>
          <w:rStyle w:val="25"/>
          <w:rFonts w:ascii="黑体" w:hAnsi="黑体" w:eastAsia="黑体"/>
          <w:b w:val="0"/>
        </w:rPr>
      </w:pPr>
      <w:bookmarkStart w:id="25" w:name="_Toc15377208"/>
      <w:bookmarkStart w:id="26"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5"/>
      <w:bookmarkEnd w:id="2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445.86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45.4</w:t>
      </w:r>
      <w:r>
        <w:rPr>
          <w:rFonts w:hint="eastAsia" w:ascii="仿宋" w:hAnsi="仿宋" w:eastAsia="仿宋"/>
          <w:sz w:val="32"/>
          <w:szCs w:val="32"/>
        </w:rPr>
        <w:t>万元，增长</w:t>
      </w:r>
      <w:r>
        <w:rPr>
          <w:rFonts w:hint="eastAsia" w:ascii="仿宋" w:hAnsi="仿宋" w:eastAsia="仿宋"/>
          <w:sz w:val="32"/>
          <w:szCs w:val="32"/>
          <w:lang w:val="en-US" w:eastAsia="zh-CN"/>
        </w:rPr>
        <w:t>11.34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调入</w:t>
      </w:r>
      <w:r>
        <w:rPr>
          <w:rFonts w:hint="eastAsia" w:ascii="仿宋" w:hAnsi="仿宋" w:eastAsia="仿宋"/>
          <w:sz w:val="32"/>
          <w:szCs w:val="32"/>
          <w:lang w:val="en-US" w:eastAsia="zh-CN"/>
        </w:rPr>
        <w:t>2人，工程款增加。</w:t>
      </w:r>
    </w:p>
    <w:p>
      <w:pPr>
        <w:pStyle w:val="2"/>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362575" cy="2833370"/>
            <wp:effectExtent l="4445" t="4445" r="12700" b="1206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5"/>
          <w:rFonts w:ascii="黑体" w:hAnsi="黑体" w:eastAsia="黑体"/>
          <w:b w:val="0"/>
        </w:rPr>
      </w:pPr>
      <w:bookmarkStart w:id="27" w:name="_Toc15396607"/>
      <w:bookmarkStart w:id="28"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394.38</w:t>
      </w:r>
      <w:r>
        <w:rPr>
          <w:rFonts w:hint="eastAsia" w:ascii="仿宋" w:hAnsi="仿宋" w:eastAsia="仿宋"/>
          <w:sz w:val="32"/>
          <w:szCs w:val="32"/>
        </w:rPr>
        <w:t>万元，占本年支出合计的</w:t>
      </w:r>
      <w:r>
        <w:rPr>
          <w:rFonts w:hint="eastAsia" w:ascii="仿宋" w:hAnsi="仿宋" w:eastAsia="仿宋"/>
          <w:sz w:val="32"/>
          <w:szCs w:val="32"/>
          <w:lang w:val="en-US" w:eastAsia="zh-CN"/>
        </w:rPr>
        <w:t>88.41</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13.42</w:t>
      </w:r>
      <w:r>
        <w:rPr>
          <w:rFonts w:hint="eastAsia" w:ascii="仿宋" w:hAnsi="仿宋" w:eastAsia="仿宋"/>
          <w:sz w:val="32"/>
          <w:szCs w:val="32"/>
        </w:rPr>
        <w:t>万元，增长</w:t>
      </w:r>
      <w:r>
        <w:rPr>
          <w:rFonts w:hint="eastAsia" w:ascii="仿宋" w:hAnsi="仿宋" w:eastAsia="仿宋"/>
          <w:sz w:val="32"/>
          <w:szCs w:val="32"/>
          <w:lang w:val="en-US" w:eastAsia="zh-CN"/>
        </w:rPr>
        <w:t>3.52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调入</w:t>
      </w:r>
      <w:r>
        <w:rPr>
          <w:rFonts w:hint="eastAsia" w:ascii="仿宋" w:hAnsi="仿宋" w:eastAsia="仿宋"/>
          <w:sz w:val="32"/>
          <w:szCs w:val="32"/>
          <w:lang w:val="en-US" w:eastAsia="zh-CN"/>
        </w:rPr>
        <w:t>2人。</w:t>
      </w:r>
    </w:p>
    <w:p>
      <w:pPr>
        <w:spacing w:line="600" w:lineRule="exact"/>
        <w:ind w:firstLine="640" w:firstLineChars="200"/>
      </w:pPr>
      <w:r>
        <w:rPr>
          <w:rFonts w:hint="eastAsia" w:ascii="仿宋" w:hAnsi="仿宋" w:eastAsia="仿宋"/>
          <w:sz w:val="32"/>
          <w:szCs w:val="32"/>
          <w:lang w:eastAsia="zh-CN"/>
        </w:rPr>
        <w:drawing>
          <wp:anchor distT="0" distB="0" distL="114300" distR="114300" simplePos="0" relativeHeight="251662336" behindDoc="0" locked="0" layoutInCell="1" allowOverlap="1">
            <wp:simplePos x="0" y="0"/>
            <wp:positionH relativeFrom="column">
              <wp:posOffset>171450</wp:posOffset>
            </wp:positionH>
            <wp:positionV relativeFrom="paragraph">
              <wp:posOffset>202565</wp:posOffset>
            </wp:positionV>
            <wp:extent cx="5384165" cy="2298700"/>
            <wp:effectExtent l="4445" t="4445" r="6350" b="1333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lang w:eastAsia="zh-CN"/>
        </w:rPr>
        <w:t>（</w:t>
      </w: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hint="eastAsia" w:ascii="仿宋_GB2312" w:hAnsi="仿宋_GB2312" w:eastAsia="仿宋_GB2312" w:cs="仿宋_GB2312"/>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394.38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65.06</w:t>
      </w:r>
      <w:r>
        <w:rPr>
          <w:rFonts w:hint="eastAsia" w:ascii="仿宋" w:hAnsi="仿宋" w:eastAsia="仿宋"/>
          <w:sz w:val="32"/>
          <w:szCs w:val="32"/>
        </w:rPr>
        <w:t>万元，占</w:t>
      </w:r>
      <w:r>
        <w:rPr>
          <w:rFonts w:hint="eastAsia" w:ascii="仿宋" w:hAnsi="仿宋" w:eastAsia="仿宋"/>
          <w:sz w:val="32"/>
          <w:szCs w:val="32"/>
          <w:lang w:val="en-US" w:eastAsia="zh-CN"/>
        </w:rPr>
        <w:t>16.5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12.39</w:t>
      </w:r>
      <w:r>
        <w:rPr>
          <w:rFonts w:hint="eastAsia" w:ascii="仿宋" w:hAnsi="仿宋" w:eastAsia="仿宋"/>
          <w:sz w:val="32"/>
          <w:szCs w:val="32"/>
        </w:rPr>
        <w:t>万元，占</w:t>
      </w:r>
      <w:r>
        <w:rPr>
          <w:rFonts w:hint="eastAsia" w:ascii="仿宋" w:hAnsi="仿宋" w:eastAsia="仿宋"/>
          <w:sz w:val="32"/>
          <w:szCs w:val="32"/>
          <w:lang w:val="en-US" w:eastAsia="zh-CN"/>
        </w:rPr>
        <w:t>3.14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21.11</w:t>
      </w:r>
      <w:r>
        <w:rPr>
          <w:rFonts w:hint="eastAsia" w:ascii="仿宋" w:hAnsi="仿宋" w:eastAsia="仿宋"/>
          <w:sz w:val="32"/>
          <w:szCs w:val="32"/>
        </w:rPr>
        <w:t>万元，占</w:t>
      </w:r>
      <w:r>
        <w:rPr>
          <w:rFonts w:hint="eastAsia" w:ascii="仿宋" w:hAnsi="仿宋" w:eastAsia="仿宋"/>
          <w:sz w:val="32"/>
          <w:szCs w:val="32"/>
          <w:lang w:val="en-US" w:eastAsia="zh-CN"/>
        </w:rPr>
        <w:t>5.35</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sz w:val="32"/>
          <w:szCs w:val="32"/>
        </w:rPr>
        <w:t>粮油物资储备支出</w:t>
      </w:r>
      <w:r>
        <w:rPr>
          <w:rFonts w:hint="eastAsia" w:ascii="仿宋_GB2312" w:hAnsi="仿宋_GB2312" w:eastAsia="仿宋_GB2312" w:cs="仿宋_GB2312"/>
          <w:sz w:val="32"/>
          <w:szCs w:val="32"/>
          <w:lang w:val="en-US" w:eastAsia="zh-CN"/>
        </w:rPr>
        <w:t>295.82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75.01</w:t>
      </w:r>
      <w:r>
        <w:rPr>
          <w:rFonts w:hint="eastAsia" w:ascii="仿宋_GB2312" w:hAnsi="仿宋_GB2312" w:eastAsia="仿宋_GB2312" w:cs="仿宋_GB2312"/>
          <w:sz w:val="32"/>
          <w:szCs w:val="32"/>
        </w:rPr>
        <w:t>%。</w:t>
      </w:r>
    </w:p>
    <w:p>
      <w:pPr>
        <w:pStyle w:val="2"/>
        <w:rPr>
          <w:rFonts w:ascii="仿宋" w:hAnsi="仿宋" w:eastAsia="仿宋"/>
          <w:sz w:val="32"/>
          <w:szCs w:val="32"/>
        </w:rPr>
      </w:pPr>
      <w:r>
        <w:rPr>
          <w:rFonts w:hint="eastAsia" w:ascii="仿宋" w:hAnsi="仿宋" w:eastAsia="仿宋"/>
          <w:sz w:val="32"/>
          <w:szCs w:val="32"/>
          <w:lang w:eastAsia="zh-CN"/>
        </w:rPr>
        <w:drawing>
          <wp:inline distT="0" distB="0" distL="114300" distR="114300">
            <wp:extent cx="5383530" cy="2239645"/>
            <wp:effectExtent l="4445" t="4445" r="6985" b="114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3" w:firstLineChars="200"/>
        <w:outlineLvl w:val="2"/>
        <w:rPr>
          <w:rFonts w:ascii="仿宋" w:hAnsi="仿宋" w:eastAsia="仿宋"/>
          <w:sz w:val="32"/>
          <w:szCs w:val="32"/>
        </w:rPr>
      </w:pPr>
      <w:bookmarkStart w:id="32" w:name="_Toc15377444"/>
      <w:bookmarkStart w:id="33" w:name="_Toc15378460"/>
      <w:bookmarkStart w:id="34"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394.38万元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hint="eastAsia" w:ascii="仿宋" w:hAnsi="仿宋" w:eastAsia="仿宋" w:cstheme="minorBidi"/>
          <w:bCs/>
          <w:sz w:val="32"/>
          <w:szCs w:val="32"/>
          <w:lang w:val="en-US" w:eastAsia="zh-CN"/>
        </w:rPr>
        <w:t>%</w:t>
      </w:r>
      <w:r>
        <w:rPr>
          <w:rStyle w:val="14"/>
          <w:rFonts w:hint="eastAsia" w:ascii="仿宋" w:hAnsi="仿宋" w:eastAsia="仿宋"/>
          <w:bCs/>
          <w:sz w:val="32"/>
          <w:szCs w:val="32"/>
        </w:rPr>
        <w:t>。其中：</w:t>
      </w:r>
      <w:bookmarkEnd w:id="32"/>
      <w:bookmarkEnd w:id="33"/>
      <w:bookmarkEnd w:id="34"/>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1.</w:t>
      </w:r>
      <w:r>
        <w:rPr>
          <w:rStyle w:val="14"/>
          <w:rFonts w:hint="eastAsia" w:ascii="仿宋" w:hAnsi="仿宋" w:eastAsia="仿宋"/>
          <w:bCs/>
          <w:sz w:val="32"/>
          <w:szCs w:val="32"/>
        </w:rPr>
        <w:t>社会保障和就业（类）行政事业单位养老支出（款）机关事业单位基本养老保险缴费支出（项）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15.21</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sz w:val="32"/>
          <w:szCs w:val="32"/>
        </w:rPr>
        <w:t>社会保障和就业（类）行政事业单位养老支出（款）机关事业单位职业年金缴费支出（项）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7.66</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3" w:firstLineChars="200"/>
        <w:rPr>
          <w:rStyle w:val="14"/>
          <w:rFonts w:ascii="仿宋_GB2312" w:hAnsi="仿宋_GB2312" w:eastAsia="仿宋_GB2312" w:cs="仿宋_GB2312"/>
          <w:b w:val="0"/>
          <w:bCs/>
          <w:sz w:val="32"/>
          <w:szCs w:val="32"/>
        </w:rPr>
      </w:pPr>
      <w:r>
        <w:rPr>
          <w:rStyle w:val="14"/>
          <w:rFonts w:hint="eastAsia" w:ascii="仿宋" w:hAnsi="仿宋" w:eastAsia="仿宋" w:cstheme="minorBidi"/>
          <w:bCs/>
          <w:sz w:val="32"/>
          <w:szCs w:val="32"/>
          <w:lang w:val="en-US" w:eastAsia="zh-CN"/>
        </w:rPr>
        <w:t>3.</w:t>
      </w:r>
      <w:r>
        <w:rPr>
          <w:rStyle w:val="14"/>
          <w:rFonts w:hint="eastAsia" w:ascii="仿宋" w:hAnsi="仿宋" w:eastAsia="仿宋" w:cstheme="minorBidi"/>
          <w:bCs/>
          <w:sz w:val="32"/>
          <w:szCs w:val="32"/>
        </w:rPr>
        <w:t>社会保障和就业（类）抚恤（款）死亡抚恤（项）:</w:t>
      </w:r>
      <w:r>
        <w:rPr>
          <w:rStyle w:val="14"/>
          <w:rFonts w:hint="eastAsia" w:ascii="仿宋_GB2312" w:hAnsi="仿宋_GB2312" w:eastAsia="仿宋_GB2312" w:cs="仿宋_GB2312"/>
          <w:b w:val="0"/>
          <w:bCs/>
          <w:sz w:val="32"/>
          <w:szCs w:val="32"/>
        </w:rPr>
        <w:t xml:space="preserve"> 支出决算为</w:t>
      </w:r>
      <w:r>
        <w:rPr>
          <w:rStyle w:val="14"/>
          <w:rFonts w:hint="eastAsia" w:ascii="仿宋_GB2312" w:hAnsi="仿宋_GB2312" w:eastAsia="仿宋_GB2312" w:cs="仿宋_GB2312"/>
          <w:b w:val="0"/>
          <w:bCs/>
          <w:sz w:val="32"/>
          <w:szCs w:val="32"/>
          <w:lang w:val="en-US" w:eastAsia="zh-CN"/>
        </w:rPr>
        <w:t>40.91</w:t>
      </w:r>
      <w:r>
        <w:rPr>
          <w:rStyle w:val="14"/>
          <w:rFonts w:hint="eastAsia" w:ascii="仿宋_GB2312" w:hAnsi="仿宋_GB2312" w:eastAsia="仿宋_GB2312" w:cs="仿宋_GB2312"/>
          <w:b w:val="0"/>
          <w:bCs/>
          <w:sz w:val="32"/>
          <w:szCs w:val="32"/>
        </w:rPr>
        <w:t>万元，完成预算</w:t>
      </w:r>
      <w:r>
        <w:rPr>
          <w:rStyle w:val="14"/>
          <w:rFonts w:ascii="仿宋_GB2312" w:hAnsi="仿宋_GB2312" w:eastAsia="仿宋_GB2312" w:cs="仿宋_GB2312"/>
          <w:b w:val="0"/>
          <w:bCs/>
          <w:sz w:val="32"/>
          <w:szCs w:val="32"/>
        </w:rPr>
        <w:t>100</w:t>
      </w:r>
      <w:r>
        <w:rPr>
          <w:rStyle w:val="14"/>
          <w:rFonts w:hint="eastAsia" w:ascii="仿宋_GB2312" w:hAnsi="仿宋_GB2312" w:eastAsia="仿宋_GB2312" w:cs="仿宋_GB2312"/>
          <w:b w:val="0"/>
          <w:bCs/>
          <w:sz w:val="32"/>
          <w:szCs w:val="32"/>
        </w:rPr>
        <w:t>%。</w:t>
      </w:r>
    </w:p>
    <w:p>
      <w:pPr>
        <w:spacing w:line="600" w:lineRule="exact"/>
        <w:ind w:firstLine="643" w:firstLineChars="200"/>
        <w:rPr>
          <w:rStyle w:val="14"/>
          <w:rFonts w:ascii="仿宋_GB2312" w:hAnsi="仿宋_GB2312" w:eastAsia="仿宋_GB2312" w:cs="仿宋_GB2312"/>
          <w:b w:val="0"/>
          <w:bCs/>
          <w:sz w:val="32"/>
          <w:szCs w:val="32"/>
        </w:rPr>
      </w:pPr>
      <w:r>
        <w:rPr>
          <w:rStyle w:val="14"/>
          <w:rFonts w:hint="eastAsia" w:ascii="仿宋" w:hAnsi="仿宋" w:eastAsia="仿宋" w:cstheme="minorBidi"/>
          <w:bCs/>
          <w:sz w:val="32"/>
          <w:szCs w:val="32"/>
          <w:lang w:val="en-US" w:eastAsia="zh-CN"/>
        </w:rPr>
        <w:t>4．社</w:t>
      </w:r>
      <w:r>
        <w:rPr>
          <w:rStyle w:val="14"/>
          <w:rFonts w:hint="eastAsia" w:ascii="仿宋" w:hAnsi="仿宋" w:eastAsia="仿宋" w:cstheme="minorBidi"/>
          <w:bCs/>
          <w:sz w:val="32"/>
          <w:szCs w:val="32"/>
        </w:rPr>
        <w:t>会保障和就业（类）抚恤（款）其他优抚支出（项）:</w:t>
      </w:r>
      <w:r>
        <w:rPr>
          <w:rStyle w:val="14"/>
          <w:rFonts w:hint="eastAsia" w:ascii="仿宋_GB2312" w:hAnsi="仿宋_GB2312" w:eastAsia="仿宋_GB2312" w:cs="仿宋_GB2312"/>
          <w:b w:val="0"/>
          <w:bCs/>
          <w:sz w:val="32"/>
          <w:szCs w:val="32"/>
        </w:rPr>
        <w:t xml:space="preserve"> 支出决算为</w:t>
      </w:r>
      <w:r>
        <w:rPr>
          <w:rStyle w:val="14"/>
          <w:rFonts w:ascii="仿宋_GB2312" w:hAnsi="仿宋_GB2312" w:eastAsia="仿宋_GB2312" w:cs="仿宋_GB2312"/>
          <w:b w:val="0"/>
          <w:bCs/>
          <w:sz w:val="32"/>
          <w:szCs w:val="32"/>
        </w:rPr>
        <w:t>0.</w:t>
      </w:r>
      <w:r>
        <w:rPr>
          <w:rStyle w:val="14"/>
          <w:rFonts w:hint="eastAsia" w:ascii="仿宋_GB2312" w:hAnsi="仿宋_GB2312" w:eastAsia="仿宋_GB2312" w:cs="仿宋_GB2312"/>
          <w:b w:val="0"/>
          <w:bCs/>
          <w:sz w:val="32"/>
          <w:szCs w:val="32"/>
          <w:lang w:val="en-US" w:eastAsia="zh-CN"/>
        </w:rPr>
        <w:t>57</w:t>
      </w:r>
      <w:r>
        <w:rPr>
          <w:rStyle w:val="14"/>
          <w:rFonts w:hint="eastAsia" w:ascii="仿宋_GB2312" w:hAnsi="仿宋_GB2312" w:eastAsia="仿宋_GB2312" w:cs="仿宋_GB2312"/>
          <w:b w:val="0"/>
          <w:bCs/>
          <w:sz w:val="32"/>
          <w:szCs w:val="32"/>
        </w:rPr>
        <w:t>万元，完成预算</w:t>
      </w:r>
      <w:r>
        <w:rPr>
          <w:rStyle w:val="14"/>
          <w:rFonts w:ascii="仿宋_GB2312" w:hAnsi="仿宋_GB2312" w:eastAsia="仿宋_GB2312" w:cs="仿宋_GB2312"/>
          <w:b w:val="0"/>
          <w:bCs/>
          <w:sz w:val="32"/>
          <w:szCs w:val="32"/>
        </w:rPr>
        <w:t>100</w:t>
      </w:r>
      <w:r>
        <w:rPr>
          <w:rStyle w:val="14"/>
          <w:rFonts w:hint="eastAsia" w:ascii="仿宋_GB2312" w:hAnsi="仿宋_GB2312" w:eastAsia="仿宋_GB2312" w:cs="仿宋_GB2312"/>
          <w:b w:val="0"/>
          <w:bCs/>
          <w:sz w:val="32"/>
          <w:szCs w:val="32"/>
        </w:rPr>
        <w:t>%。</w:t>
      </w:r>
    </w:p>
    <w:p>
      <w:pPr>
        <w:spacing w:line="600" w:lineRule="exact"/>
        <w:ind w:firstLine="643" w:firstLineChars="200"/>
        <w:rPr>
          <w:rFonts w:ascii="仿宋_GB2312" w:hAnsi="仿宋_GB2312" w:eastAsia="仿宋_GB2312" w:cs="仿宋_GB2312"/>
          <w:bCs/>
          <w:sz w:val="32"/>
          <w:szCs w:val="32"/>
        </w:rPr>
      </w:pPr>
      <w:r>
        <w:rPr>
          <w:rStyle w:val="14"/>
          <w:rFonts w:hint="eastAsia" w:ascii="仿宋" w:hAnsi="仿宋" w:eastAsia="仿宋" w:cstheme="minorBidi"/>
          <w:bCs/>
          <w:sz w:val="32"/>
          <w:szCs w:val="32"/>
          <w:lang w:val="en-US" w:eastAsia="zh-CN"/>
        </w:rPr>
        <w:t>5．</w:t>
      </w:r>
      <w:r>
        <w:rPr>
          <w:rStyle w:val="14"/>
          <w:rFonts w:hint="eastAsia" w:ascii="仿宋" w:hAnsi="仿宋" w:eastAsia="仿宋" w:cstheme="minorBidi"/>
          <w:bCs/>
          <w:sz w:val="32"/>
          <w:szCs w:val="32"/>
        </w:rPr>
        <w:t>社会保障和就业（类）其他社会保障和就业支出（款）其他社会保障和就业支出（项）:</w:t>
      </w:r>
      <w:r>
        <w:rPr>
          <w:rStyle w:val="14"/>
          <w:rFonts w:hint="eastAsia" w:ascii="仿宋_GB2312" w:hAnsi="仿宋_GB2312" w:eastAsia="仿宋_GB2312" w:cs="仿宋_GB2312"/>
          <w:b w:val="0"/>
          <w:bCs/>
          <w:sz w:val="32"/>
          <w:szCs w:val="32"/>
        </w:rPr>
        <w:t xml:space="preserve"> 支出决算为</w:t>
      </w:r>
      <w:r>
        <w:rPr>
          <w:rStyle w:val="14"/>
          <w:rFonts w:hint="eastAsia" w:ascii="仿宋_GB2312" w:hAnsi="仿宋_GB2312" w:eastAsia="仿宋_GB2312" w:cs="仿宋_GB2312"/>
          <w:b w:val="0"/>
          <w:bCs/>
          <w:sz w:val="32"/>
          <w:szCs w:val="32"/>
          <w:lang w:val="en-US" w:eastAsia="zh-CN"/>
        </w:rPr>
        <w:t>0.72</w:t>
      </w:r>
      <w:r>
        <w:rPr>
          <w:rStyle w:val="14"/>
          <w:rFonts w:hint="eastAsia" w:ascii="仿宋_GB2312" w:hAnsi="仿宋_GB2312" w:eastAsia="仿宋_GB2312" w:cs="仿宋_GB2312"/>
          <w:b w:val="0"/>
          <w:bCs/>
          <w:sz w:val="32"/>
          <w:szCs w:val="32"/>
        </w:rPr>
        <w:t>万元，完成预算1</w:t>
      </w:r>
      <w:r>
        <w:rPr>
          <w:rStyle w:val="14"/>
          <w:rFonts w:ascii="仿宋_GB2312" w:hAnsi="仿宋_GB2312" w:eastAsia="仿宋_GB2312" w:cs="仿宋_GB2312"/>
          <w:b w:val="0"/>
          <w:bCs/>
          <w:sz w:val="32"/>
          <w:szCs w:val="32"/>
        </w:rPr>
        <w:t>00</w:t>
      </w:r>
      <w:r>
        <w:rPr>
          <w:rStyle w:val="14"/>
          <w:rFonts w:hint="eastAsia" w:ascii="仿宋_GB2312" w:hAnsi="仿宋_GB2312" w:eastAsia="仿宋_GB2312" w:cs="仿宋_GB2312"/>
          <w:b w:val="0"/>
          <w:bCs/>
          <w:sz w:val="32"/>
          <w:szCs w:val="32"/>
        </w:rPr>
        <w:t>%。</w:t>
      </w:r>
    </w:p>
    <w:p>
      <w:pPr>
        <w:spacing w:line="600" w:lineRule="exact"/>
        <w:ind w:firstLine="643" w:firstLineChars="200"/>
        <w:rPr>
          <w:rStyle w:val="14"/>
          <w:rFonts w:ascii="仿宋_GB2312" w:hAnsi="仿宋_GB2312" w:eastAsia="仿宋_GB2312" w:cs="仿宋_GB2312"/>
          <w:b w:val="0"/>
          <w:bCs/>
          <w:sz w:val="32"/>
          <w:szCs w:val="32"/>
        </w:rPr>
      </w:pPr>
      <w:r>
        <w:rPr>
          <w:rStyle w:val="14"/>
          <w:rFonts w:hint="eastAsia" w:ascii="仿宋" w:hAnsi="仿宋" w:eastAsia="仿宋" w:cstheme="minorBidi"/>
          <w:bCs/>
          <w:sz w:val="32"/>
          <w:szCs w:val="32"/>
        </w:rPr>
        <w:t>6．卫生健康（类）行政事业单位医疗（款）行政单位医疗（项）:</w:t>
      </w:r>
      <w:r>
        <w:rPr>
          <w:rStyle w:val="14"/>
          <w:rFonts w:hint="eastAsia" w:ascii="仿宋_GB2312" w:hAnsi="仿宋_GB2312" w:eastAsia="仿宋_GB2312" w:cs="仿宋_GB2312"/>
          <w:b w:val="0"/>
          <w:bCs/>
          <w:sz w:val="32"/>
          <w:szCs w:val="32"/>
        </w:rPr>
        <w:t>支出决算为</w:t>
      </w:r>
      <w:r>
        <w:rPr>
          <w:rStyle w:val="14"/>
          <w:rFonts w:ascii="仿宋_GB2312" w:hAnsi="仿宋_GB2312" w:eastAsia="仿宋_GB2312" w:cs="仿宋_GB2312"/>
          <w:b w:val="0"/>
          <w:bCs/>
          <w:sz w:val="32"/>
          <w:szCs w:val="32"/>
        </w:rPr>
        <w:t>5.</w:t>
      </w:r>
      <w:r>
        <w:rPr>
          <w:rStyle w:val="14"/>
          <w:rFonts w:hint="eastAsia" w:ascii="仿宋_GB2312" w:hAnsi="仿宋_GB2312" w:eastAsia="仿宋_GB2312" w:cs="仿宋_GB2312"/>
          <w:b w:val="0"/>
          <w:bCs/>
          <w:sz w:val="32"/>
          <w:szCs w:val="32"/>
          <w:lang w:val="en-US" w:eastAsia="zh-CN"/>
        </w:rPr>
        <w:t>94</w:t>
      </w:r>
      <w:r>
        <w:rPr>
          <w:rStyle w:val="14"/>
          <w:rFonts w:hint="eastAsia" w:ascii="仿宋_GB2312" w:hAnsi="仿宋_GB2312" w:eastAsia="仿宋_GB2312" w:cs="仿宋_GB2312"/>
          <w:b w:val="0"/>
          <w:bCs/>
          <w:sz w:val="32"/>
          <w:szCs w:val="32"/>
        </w:rPr>
        <w:t>万元，完成预算1</w:t>
      </w:r>
      <w:r>
        <w:rPr>
          <w:rStyle w:val="14"/>
          <w:rFonts w:ascii="仿宋_GB2312" w:hAnsi="仿宋_GB2312" w:eastAsia="仿宋_GB2312" w:cs="仿宋_GB2312"/>
          <w:b w:val="0"/>
          <w:bCs/>
          <w:sz w:val="32"/>
          <w:szCs w:val="32"/>
        </w:rPr>
        <w:t>00</w:t>
      </w:r>
      <w:r>
        <w:rPr>
          <w:rStyle w:val="14"/>
          <w:rFonts w:hint="eastAsia" w:ascii="仿宋_GB2312" w:hAnsi="仿宋_GB2312" w:eastAsia="仿宋_GB2312" w:cs="仿宋_GB2312"/>
          <w:b w:val="0"/>
          <w:bCs/>
          <w:sz w:val="32"/>
          <w:szCs w:val="32"/>
        </w:rPr>
        <w:t>%。</w:t>
      </w:r>
    </w:p>
    <w:p>
      <w:pPr>
        <w:spacing w:line="600" w:lineRule="exact"/>
        <w:ind w:firstLine="643" w:firstLineChars="200"/>
        <w:rPr>
          <w:rStyle w:val="14"/>
          <w:rFonts w:hint="eastAsia" w:ascii="仿宋_GB2312" w:hAnsi="仿宋_GB2312" w:eastAsia="仿宋_GB2312" w:cs="仿宋_GB2312"/>
          <w:b w:val="0"/>
          <w:bCs/>
          <w:sz w:val="32"/>
          <w:szCs w:val="32"/>
        </w:rPr>
      </w:pPr>
      <w:r>
        <w:rPr>
          <w:rStyle w:val="14"/>
          <w:rFonts w:hint="eastAsia" w:ascii="仿宋" w:hAnsi="仿宋" w:eastAsia="仿宋" w:cstheme="minorBidi"/>
          <w:bCs/>
          <w:sz w:val="32"/>
          <w:szCs w:val="32"/>
        </w:rPr>
        <w:t>7．卫生健康（类）行政事业单位医疗（款）</w:t>
      </w:r>
      <w:r>
        <w:rPr>
          <w:rStyle w:val="14"/>
          <w:rFonts w:hint="eastAsia" w:ascii="仿宋" w:hAnsi="仿宋" w:eastAsia="仿宋" w:cstheme="minorBidi"/>
          <w:bCs/>
          <w:sz w:val="32"/>
          <w:szCs w:val="32"/>
          <w:lang w:eastAsia="zh-CN"/>
        </w:rPr>
        <w:t>公务员医疗补助</w:t>
      </w:r>
      <w:r>
        <w:rPr>
          <w:rStyle w:val="14"/>
          <w:rFonts w:hint="eastAsia" w:ascii="仿宋" w:hAnsi="仿宋" w:eastAsia="仿宋" w:cstheme="minorBidi"/>
          <w:bCs/>
          <w:sz w:val="32"/>
          <w:szCs w:val="32"/>
        </w:rPr>
        <w:t>（项）: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6.45</w:t>
      </w:r>
      <w:r>
        <w:rPr>
          <w:rStyle w:val="14"/>
          <w:rFonts w:hint="eastAsia" w:ascii="仿宋_GB2312" w:hAnsi="仿宋_GB2312" w:eastAsia="仿宋_GB2312" w:cs="仿宋_GB2312"/>
          <w:b w:val="0"/>
          <w:bCs/>
          <w:sz w:val="32"/>
          <w:szCs w:val="32"/>
        </w:rPr>
        <w:t>万元，完成预算1</w:t>
      </w:r>
      <w:r>
        <w:rPr>
          <w:rStyle w:val="14"/>
          <w:rFonts w:ascii="仿宋_GB2312" w:hAnsi="仿宋_GB2312" w:eastAsia="仿宋_GB2312" w:cs="仿宋_GB2312"/>
          <w:b w:val="0"/>
          <w:bCs/>
          <w:sz w:val="32"/>
          <w:szCs w:val="32"/>
        </w:rPr>
        <w:t>00</w:t>
      </w:r>
      <w:r>
        <w:rPr>
          <w:rStyle w:val="14"/>
          <w:rFonts w:hint="eastAsia" w:ascii="仿宋_GB2312" w:hAnsi="仿宋_GB2312" w:eastAsia="仿宋_GB2312" w:cs="仿宋_GB2312"/>
          <w:b w:val="0"/>
          <w:bCs/>
          <w:sz w:val="32"/>
          <w:szCs w:val="32"/>
        </w:rPr>
        <w:t>%。</w:t>
      </w:r>
    </w:p>
    <w:p>
      <w:pPr>
        <w:spacing w:line="600" w:lineRule="exact"/>
        <w:ind w:firstLine="643" w:firstLineChars="200"/>
        <w:rPr>
          <w:rStyle w:val="14"/>
          <w:rFonts w:ascii="仿宋_GB2312" w:hAnsi="仿宋_GB2312" w:eastAsia="仿宋_GB2312" w:cs="仿宋_GB2312"/>
          <w:b w:val="0"/>
          <w:bCs/>
          <w:sz w:val="32"/>
          <w:szCs w:val="32"/>
        </w:rPr>
      </w:pPr>
      <w:r>
        <w:rPr>
          <w:rStyle w:val="14"/>
          <w:rFonts w:hint="eastAsia" w:ascii="仿宋" w:hAnsi="仿宋" w:eastAsia="仿宋" w:cstheme="minorBidi"/>
          <w:bCs/>
          <w:sz w:val="32"/>
          <w:szCs w:val="32"/>
          <w:lang w:val="en-US" w:eastAsia="zh-CN"/>
        </w:rPr>
        <w:t>8.</w:t>
      </w:r>
      <w:r>
        <w:rPr>
          <w:rStyle w:val="14"/>
          <w:rFonts w:hint="eastAsia" w:ascii="仿宋" w:hAnsi="仿宋" w:eastAsia="仿宋" w:cstheme="minorBidi"/>
          <w:bCs/>
          <w:sz w:val="32"/>
          <w:szCs w:val="32"/>
        </w:rPr>
        <w:t>住房保障支出（类）住房改革支出（款）住房公积金（项）:</w:t>
      </w:r>
      <w:r>
        <w:rPr>
          <w:rStyle w:val="14"/>
          <w:rFonts w:hint="eastAsia" w:ascii="仿宋_GB2312" w:hAnsi="仿宋_GB2312" w:eastAsia="仿宋_GB2312" w:cs="仿宋_GB2312"/>
          <w:b w:val="0"/>
          <w:bCs/>
          <w:sz w:val="32"/>
          <w:szCs w:val="32"/>
        </w:rPr>
        <w:t>支出决算为</w:t>
      </w:r>
      <w:r>
        <w:rPr>
          <w:rStyle w:val="14"/>
          <w:rFonts w:ascii="仿宋_GB2312" w:hAnsi="仿宋_GB2312" w:eastAsia="仿宋_GB2312" w:cs="仿宋_GB2312"/>
          <w:b w:val="0"/>
          <w:bCs/>
          <w:sz w:val="32"/>
          <w:szCs w:val="32"/>
        </w:rPr>
        <w:t>21.</w:t>
      </w:r>
      <w:r>
        <w:rPr>
          <w:rStyle w:val="14"/>
          <w:rFonts w:hint="eastAsia" w:ascii="仿宋_GB2312" w:hAnsi="仿宋_GB2312" w:eastAsia="仿宋_GB2312" w:cs="仿宋_GB2312"/>
          <w:b w:val="0"/>
          <w:bCs/>
          <w:sz w:val="32"/>
          <w:szCs w:val="32"/>
          <w:lang w:val="en-US" w:eastAsia="zh-CN"/>
        </w:rPr>
        <w:t>11</w:t>
      </w:r>
      <w:r>
        <w:rPr>
          <w:rStyle w:val="14"/>
          <w:rFonts w:hint="eastAsia" w:ascii="仿宋_GB2312" w:hAnsi="仿宋_GB2312" w:eastAsia="仿宋_GB2312" w:cs="仿宋_GB2312"/>
          <w:b w:val="0"/>
          <w:bCs/>
          <w:sz w:val="32"/>
          <w:szCs w:val="32"/>
        </w:rPr>
        <w:t>万元，完成预算1</w:t>
      </w:r>
      <w:r>
        <w:rPr>
          <w:rStyle w:val="14"/>
          <w:rFonts w:ascii="仿宋_GB2312" w:hAnsi="仿宋_GB2312" w:eastAsia="仿宋_GB2312" w:cs="仿宋_GB2312"/>
          <w:b w:val="0"/>
          <w:bCs/>
          <w:sz w:val="32"/>
          <w:szCs w:val="32"/>
        </w:rPr>
        <w:t>00</w:t>
      </w:r>
      <w:r>
        <w:rPr>
          <w:rStyle w:val="14"/>
          <w:rFonts w:hint="eastAsia" w:ascii="仿宋_GB2312" w:hAnsi="仿宋_GB2312" w:eastAsia="仿宋_GB2312" w:cs="仿宋_GB2312"/>
          <w:b w:val="0"/>
          <w:bCs/>
          <w:sz w:val="32"/>
          <w:szCs w:val="32"/>
        </w:rPr>
        <w:t>%。</w:t>
      </w:r>
    </w:p>
    <w:p>
      <w:pPr>
        <w:spacing w:line="600" w:lineRule="exact"/>
        <w:ind w:firstLine="643" w:firstLineChars="200"/>
        <w:rPr>
          <w:rStyle w:val="14"/>
          <w:rFonts w:ascii="仿宋_GB2312" w:hAnsi="仿宋_GB2312" w:eastAsia="仿宋_GB2312" w:cs="仿宋_GB2312"/>
          <w:b w:val="0"/>
          <w:bCs/>
          <w:sz w:val="32"/>
          <w:szCs w:val="32"/>
        </w:rPr>
      </w:pPr>
      <w:r>
        <w:rPr>
          <w:rStyle w:val="14"/>
          <w:rFonts w:hint="eastAsia" w:ascii="仿宋" w:hAnsi="仿宋" w:eastAsia="仿宋" w:cstheme="minorBidi"/>
          <w:bCs/>
          <w:sz w:val="32"/>
          <w:szCs w:val="32"/>
          <w:lang w:val="en-US" w:eastAsia="zh-CN"/>
        </w:rPr>
        <w:t>9．粮油物资储备支出（类）粮油物资事务（款）行政运行（项）: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230.97</w:t>
      </w:r>
      <w:r>
        <w:rPr>
          <w:rStyle w:val="14"/>
          <w:rFonts w:hint="eastAsia" w:ascii="仿宋_GB2312" w:hAnsi="仿宋_GB2312" w:eastAsia="仿宋_GB2312" w:cs="仿宋_GB2312"/>
          <w:b w:val="0"/>
          <w:bCs/>
          <w:sz w:val="32"/>
          <w:szCs w:val="32"/>
        </w:rPr>
        <w:t>万元，完成预算1</w:t>
      </w:r>
      <w:r>
        <w:rPr>
          <w:rStyle w:val="14"/>
          <w:rFonts w:ascii="仿宋_GB2312" w:hAnsi="仿宋_GB2312" w:eastAsia="仿宋_GB2312" w:cs="仿宋_GB2312"/>
          <w:b w:val="0"/>
          <w:bCs/>
          <w:sz w:val="32"/>
          <w:szCs w:val="32"/>
        </w:rPr>
        <w:t>00</w:t>
      </w:r>
      <w:r>
        <w:rPr>
          <w:rStyle w:val="14"/>
          <w:rFonts w:hint="eastAsia" w:ascii="仿宋_GB2312" w:hAnsi="仿宋_GB2312" w:eastAsia="仿宋_GB2312" w:cs="仿宋_GB2312"/>
          <w:b w:val="0"/>
          <w:bCs/>
          <w:sz w:val="32"/>
          <w:szCs w:val="32"/>
        </w:rPr>
        <w:t>%。</w:t>
      </w:r>
    </w:p>
    <w:p>
      <w:pPr>
        <w:spacing w:line="600" w:lineRule="exact"/>
        <w:ind w:firstLine="643" w:firstLineChars="200"/>
        <w:rPr>
          <w:rFonts w:ascii="仿宋_GB2312" w:hAnsi="仿宋_GB2312" w:eastAsia="仿宋_GB2312" w:cs="仿宋_GB2312"/>
          <w:bCs/>
          <w:sz w:val="32"/>
          <w:szCs w:val="32"/>
        </w:rPr>
      </w:pPr>
      <w:r>
        <w:rPr>
          <w:rStyle w:val="14"/>
          <w:rFonts w:hint="eastAsia" w:ascii="仿宋" w:hAnsi="仿宋" w:eastAsia="仿宋" w:cstheme="minorBidi"/>
          <w:bCs/>
          <w:sz w:val="32"/>
          <w:szCs w:val="32"/>
        </w:rPr>
        <w:t>10．粮油物资储备支出（类）粮油物资事务（款）粮食</w:t>
      </w:r>
      <w:r>
        <w:rPr>
          <w:rStyle w:val="14"/>
          <w:rFonts w:hint="eastAsia" w:ascii="仿宋" w:hAnsi="仿宋" w:eastAsia="仿宋" w:cstheme="minorBidi"/>
          <w:bCs/>
          <w:sz w:val="32"/>
          <w:szCs w:val="32"/>
          <w:lang w:eastAsia="zh-CN"/>
        </w:rPr>
        <w:t>风险基金</w:t>
      </w:r>
      <w:r>
        <w:rPr>
          <w:rStyle w:val="14"/>
          <w:rFonts w:hint="eastAsia" w:ascii="仿宋" w:hAnsi="仿宋" w:eastAsia="仿宋" w:cstheme="minorBidi"/>
          <w:bCs/>
          <w:sz w:val="32"/>
          <w:szCs w:val="32"/>
        </w:rPr>
        <w:t>（项）: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32.35</w:t>
      </w:r>
      <w:r>
        <w:rPr>
          <w:rStyle w:val="14"/>
          <w:rFonts w:hint="eastAsia" w:ascii="仿宋_GB2312" w:hAnsi="仿宋_GB2312" w:eastAsia="仿宋_GB2312" w:cs="仿宋_GB2312"/>
          <w:b w:val="0"/>
          <w:bCs/>
          <w:sz w:val="32"/>
          <w:szCs w:val="32"/>
        </w:rPr>
        <w:t>万元，完成预算1</w:t>
      </w:r>
      <w:r>
        <w:rPr>
          <w:rStyle w:val="14"/>
          <w:rFonts w:ascii="仿宋_GB2312" w:hAnsi="仿宋_GB2312" w:eastAsia="仿宋_GB2312" w:cs="仿宋_GB2312"/>
          <w:b w:val="0"/>
          <w:bCs/>
          <w:sz w:val="32"/>
          <w:szCs w:val="32"/>
        </w:rPr>
        <w:t>00</w:t>
      </w:r>
      <w:r>
        <w:rPr>
          <w:rStyle w:val="14"/>
          <w:rFonts w:hint="eastAsia" w:ascii="仿宋_GB2312" w:hAnsi="仿宋_GB2312" w:eastAsia="仿宋_GB2312" w:cs="仿宋_GB2312"/>
          <w:b w:val="0"/>
          <w:bCs/>
          <w:sz w:val="32"/>
          <w:szCs w:val="32"/>
        </w:rPr>
        <w:t>%。</w:t>
      </w:r>
    </w:p>
    <w:p>
      <w:pPr>
        <w:spacing w:line="600" w:lineRule="exact"/>
        <w:ind w:firstLine="643" w:firstLineChars="200"/>
        <w:rPr>
          <w:rFonts w:ascii="仿宋_GB2312" w:hAnsi="仿宋_GB2312" w:eastAsia="仿宋_GB2312" w:cs="仿宋_GB2312"/>
          <w:bCs/>
          <w:sz w:val="32"/>
          <w:szCs w:val="32"/>
        </w:rPr>
      </w:pPr>
      <w:r>
        <w:rPr>
          <w:rStyle w:val="14"/>
          <w:rFonts w:hint="eastAsia" w:ascii="仿宋" w:hAnsi="仿宋" w:eastAsia="仿宋" w:cstheme="minorBidi"/>
          <w:bCs/>
          <w:sz w:val="32"/>
          <w:szCs w:val="32"/>
        </w:rPr>
        <w:t>11．粮油物资储备支出（类）粮油物资事务（款）物资保管保养（项）: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11.48</w:t>
      </w:r>
      <w:r>
        <w:rPr>
          <w:rStyle w:val="14"/>
          <w:rFonts w:hint="eastAsia" w:ascii="仿宋_GB2312" w:hAnsi="仿宋_GB2312" w:eastAsia="仿宋_GB2312" w:cs="仿宋_GB2312"/>
          <w:b w:val="0"/>
          <w:bCs/>
          <w:sz w:val="32"/>
          <w:szCs w:val="32"/>
        </w:rPr>
        <w:t>万元，完成预算1</w:t>
      </w:r>
      <w:r>
        <w:rPr>
          <w:rStyle w:val="14"/>
          <w:rFonts w:ascii="仿宋_GB2312" w:hAnsi="仿宋_GB2312" w:eastAsia="仿宋_GB2312" w:cs="仿宋_GB2312"/>
          <w:b w:val="0"/>
          <w:bCs/>
          <w:sz w:val="32"/>
          <w:szCs w:val="32"/>
        </w:rPr>
        <w:t>00</w:t>
      </w:r>
      <w:r>
        <w:rPr>
          <w:rStyle w:val="14"/>
          <w:rFonts w:hint="eastAsia" w:ascii="仿宋_GB2312" w:hAnsi="仿宋_GB2312" w:eastAsia="仿宋_GB2312" w:cs="仿宋_GB2312"/>
          <w:b w:val="0"/>
          <w:bCs/>
          <w:sz w:val="32"/>
          <w:szCs w:val="32"/>
        </w:rPr>
        <w:t>%。</w:t>
      </w:r>
    </w:p>
    <w:p>
      <w:pPr>
        <w:spacing w:line="600" w:lineRule="exact"/>
        <w:ind w:firstLine="643" w:firstLineChars="200"/>
        <w:rPr>
          <w:rFonts w:ascii="仿宋" w:hAnsi="仿宋" w:eastAsia="仿宋"/>
          <w:b/>
          <w:sz w:val="32"/>
          <w:szCs w:val="32"/>
        </w:rPr>
      </w:pPr>
      <w:r>
        <w:rPr>
          <w:rStyle w:val="14"/>
          <w:rFonts w:hint="eastAsia" w:ascii="仿宋" w:hAnsi="仿宋" w:eastAsia="仿宋" w:cstheme="minorBidi"/>
          <w:bCs/>
          <w:sz w:val="32"/>
          <w:szCs w:val="32"/>
        </w:rPr>
        <w:t>12．粮油物资储备支出（类）粮油物资事务（款）其他粮油物资事务支出（项）:</w:t>
      </w:r>
      <w:r>
        <w:rPr>
          <w:rStyle w:val="14"/>
          <w:rFonts w:hint="eastAsia" w:ascii="仿宋_GB2312" w:hAnsi="仿宋_GB2312" w:eastAsia="仿宋_GB2312" w:cs="仿宋_GB2312"/>
          <w:b w:val="0"/>
          <w:bCs/>
          <w:sz w:val="32"/>
          <w:szCs w:val="32"/>
        </w:rPr>
        <w:t>支出决算为</w:t>
      </w:r>
      <w:r>
        <w:rPr>
          <w:rStyle w:val="14"/>
          <w:rFonts w:hint="eastAsia" w:ascii="仿宋_GB2312" w:hAnsi="仿宋_GB2312" w:eastAsia="仿宋_GB2312" w:cs="仿宋_GB2312"/>
          <w:b w:val="0"/>
          <w:bCs/>
          <w:sz w:val="32"/>
          <w:szCs w:val="32"/>
          <w:lang w:val="en-US" w:eastAsia="zh-CN"/>
        </w:rPr>
        <w:t>21.01</w:t>
      </w:r>
      <w:r>
        <w:rPr>
          <w:rStyle w:val="14"/>
          <w:rFonts w:hint="eastAsia" w:ascii="仿宋_GB2312" w:hAnsi="仿宋_GB2312" w:eastAsia="仿宋_GB2312" w:cs="仿宋_GB2312"/>
          <w:b w:val="0"/>
          <w:bCs/>
          <w:sz w:val="32"/>
          <w:szCs w:val="32"/>
        </w:rPr>
        <w:t>万元，完成预算1</w:t>
      </w:r>
      <w:r>
        <w:rPr>
          <w:rStyle w:val="14"/>
          <w:rFonts w:ascii="仿宋_GB2312" w:hAnsi="仿宋_GB2312" w:eastAsia="仿宋_GB2312" w:cs="仿宋_GB2312"/>
          <w:b w:val="0"/>
          <w:bCs/>
          <w:sz w:val="32"/>
          <w:szCs w:val="32"/>
        </w:rPr>
        <w:t>00</w:t>
      </w:r>
      <w:r>
        <w:rPr>
          <w:rStyle w:val="14"/>
          <w:rFonts w:hint="eastAsia" w:ascii="仿宋_GB2312" w:hAnsi="仿宋_GB2312" w:eastAsia="仿宋_GB2312" w:cs="仿宋_GB2312"/>
          <w:b w:val="0"/>
          <w:bCs/>
          <w:sz w:val="32"/>
          <w:szCs w:val="32"/>
        </w:rPr>
        <w:t>%。</w:t>
      </w:r>
    </w:p>
    <w:p>
      <w:pPr>
        <w:tabs>
          <w:tab w:val="right" w:pos="8306"/>
        </w:tabs>
        <w:spacing w:line="600" w:lineRule="exact"/>
        <w:ind w:firstLine="640"/>
        <w:outlineLvl w:val="1"/>
        <w:rPr>
          <w:rStyle w:val="25"/>
        </w:rPr>
      </w:pPr>
      <w:bookmarkStart w:id="35" w:name="_Toc15396608"/>
      <w:bookmarkStart w:id="36"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5"/>
      <w:bookmarkEnd w:id="36"/>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329.54</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291.66</w:t>
      </w:r>
      <w:r>
        <w:rPr>
          <w:rFonts w:hint="eastAsia" w:ascii="仿宋" w:hAnsi="仿宋" w:eastAsia="仿宋"/>
          <w:sz w:val="32"/>
          <w:szCs w:val="32"/>
        </w:rPr>
        <w:t>万元，主要包括：基本工资、津贴补贴、奖金、机关事业单位基本养老保险缴费、职业年金缴费、</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eastAsia="zh-CN"/>
        </w:rPr>
        <w:t>、公务员医疗补助、</w:t>
      </w:r>
      <w:r>
        <w:rPr>
          <w:rFonts w:hint="eastAsia" w:ascii="仿宋" w:hAnsi="仿宋" w:eastAsia="仿宋"/>
          <w:sz w:val="32"/>
          <w:szCs w:val="32"/>
        </w:rPr>
        <w:t>其他社会保障缴费、抚恤金、生活补助、住房公积金、其他对个人和家庭的补助支出等。</w:t>
      </w:r>
    </w:p>
    <w:p>
      <w:pPr>
        <w:spacing w:line="600" w:lineRule="exact"/>
        <w:ind w:firstLine="645"/>
        <w:rPr>
          <w:rFonts w:ascii="仿宋" w:hAnsi="仿宋" w:eastAsia="仿宋"/>
          <w:b/>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37.88</w:t>
      </w:r>
      <w:r>
        <w:rPr>
          <w:rFonts w:hint="eastAsia" w:ascii="仿宋" w:hAnsi="仿宋" w:eastAsia="仿宋"/>
          <w:sz w:val="32"/>
          <w:szCs w:val="32"/>
        </w:rPr>
        <w:t>万元，主要包括：办公费、水费、电费、邮电费、差旅费、维修（护）费、公务接待费、劳务费、工会经费、公务用车运行维护费、其他交通费、其他商品和服务支出等。</w:t>
      </w:r>
    </w:p>
    <w:p>
      <w:pPr>
        <w:spacing w:line="600" w:lineRule="exact"/>
        <w:ind w:firstLine="640"/>
        <w:outlineLvl w:val="1"/>
        <w:rPr>
          <w:rStyle w:val="25"/>
          <w:rFonts w:ascii="黑体" w:hAnsi="黑体" w:eastAsia="黑体"/>
          <w:b w:val="0"/>
        </w:rPr>
      </w:pPr>
      <w:bookmarkStart w:id="37" w:name="_Toc15377215"/>
      <w:bookmarkStart w:id="38"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2.23</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0.57</w:t>
      </w:r>
      <w:r>
        <w:rPr>
          <w:rFonts w:hint="eastAsia" w:ascii="仿宋" w:hAnsi="仿宋" w:eastAsia="仿宋"/>
          <w:sz w:val="32"/>
          <w:szCs w:val="32"/>
        </w:rPr>
        <w:t>万元，下降</w:t>
      </w:r>
      <w:r>
        <w:rPr>
          <w:rFonts w:hint="eastAsia" w:ascii="仿宋" w:hAnsi="仿宋" w:eastAsia="仿宋"/>
          <w:sz w:val="32"/>
          <w:szCs w:val="32"/>
          <w:lang w:val="en-US" w:eastAsia="zh-CN"/>
        </w:rPr>
        <w:t>20.36</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1.9</w:t>
      </w:r>
      <w:r>
        <w:rPr>
          <w:rFonts w:hint="eastAsia" w:ascii="仿宋" w:hAnsi="仿宋" w:eastAsia="仿宋"/>
          <w:sz w:val="32"/>
          <w:szCs w:val="32"/>
        </w:rPr>
        <w:t>万元，占</w:t>
      </w:r>
      <w:r>
        <w:rPr>
          <w:rFonts w:hint="eastAsia" w:ascii="仿宋" w:hAnsi="仿宋" w:eastAsia="仿宋"/>
          <w:sz w:val="32"/>
          <w:szCs w:val="32"/>
          <w:lang w:val="en-US" w:eastAsia="zh-CN"/>
        </w:rPr>
        <w:t>85.2</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0.33</w:t>
      </w:r>
      <w:r>
        <w:rPr>
          <w:rFonts w:hint="eastAsia" w:ascii="仿宋" w:hAnsi="仿宋" w:eastAsia="仿宋"/>
          <w:sz w:val="32"/>
          <w:szCs w:val="32"/>
        </w:rPr>
        <w:t>万元，占</w:t>
      </w:r>
      <w:r>
        <w:rPr>
          <w:rFonts w:hint="eastAsia" w:ascii="仿宋" w:hAnsi="仿宋" w:eastAsia="仿宋"/>
          <w:sz w:val="32"/>
          <w:szCs w:val="32"/>
          <w:lang w:val="en-US" w:eastAsia="zh-CN"/>
        </w:rPr>
        <w:t>14.8</w:t>
      </w:r>
      <w:r>
        <w:rPr>
          <w:rFonts w:ascii="仿宋" w:hAnsi="仿宋" w:eastAsia="仿宋"/>
          <w:sz w:val="32"/>
          <w:szCs w:val="32"/>
        </w:rPr>
        <w:t>%</w:t>
      </w:r>
      <w:r>
        <w:rPr>
          <w:rFonts w:hint="eastAsia" w:ascii="仿宋" w:hAnsi="仿宋" w:eastAsia="仿宋"/>
          <w:sz w:val="32"/>
          <w:szCs w:val="32"/>
        </w:rPr>
        <w:t>。具体情况如下：</w:t>
      </w:r>
    </w:p>
    <w:p>
      <w:pPr>
        <w:spacing w:line="600" w:lineRule="exact"/>
        <w:jc w:val="center"/>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59264" behindDoc="0" locked="0" layoutInCell="1" allowOverlap="1">
            <wp:simplePos x="0" y="0"/>
            <wp:positionH relativeFrom="column">
              <wp:posOffset>140970</wp:posOffset>
            </wp:positionH>
            <wp:positionV relativeFrom="paragraph">
              <wp:posOffset>73660</wp:posOffset>
            </wp:positionV>
            <wp:extent cx="5256530" cy="2988310"/>
            <wp:effectExtent l="5080" t="4445" r="11430" b="95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sz w:val="32"/>
          <w:szCs w:val="32"/>
          <w:lang w:val="en-US" w:eastAsia="zh-CN"/>
        </w:rPr>
        <w:t xml:space="preserve"> </w:t>
      </w:r>
      <w:r>
        <w:rPr>
          <w:rFonts w:hint="eastAsia" w:ascii="仿宋" w:hAnsi="仿宋" w:eastAsia="仿宋"/>
          <w:sz w:val="32"/>
          <w:szCs w:val="32"/>
        </w:rPr>
        <w:t>（图7：“三公”经费财政拨款支出结构）</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1.9</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0.71</w:t>
      </w:r>
      <w:r>
        <w:rPr>
          <w:rFonts w:hint="eastAsia" w:ascii="仿宋_GB2312" w:eastAsia="仿宋_GB2312"/>
          <w:sz w:val="32"/>
          <w:szCs w:val="32"/>
        </w:rPr>
        <w:t>万元，下降</w:t>
      </w:r>
      <w:r>
        <w:rPr>
          <w:rFonts w:hint="eastAsia" w:ascii="仿宋_GB2312" w:eastAsia="仿宋_GB2312"/>
          <w:sz w:val="32"/>
          <w:szCs w:val="32"/>
          <w:lang w:val="en-US" w:eastAsia="zh-CN"/>
        </w:rPr>
        <w:t>27.2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司机生病，公车开动较少，油费和维修费均减少</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1.9</w:t>
      </w:r>
      <w:r>
        <w:rPr>
          <w:rFonts w:hint="eastAsia" w:ascii="仿宋_GB2312" w:eastAsia="仿宋_GB2312"/>
          <w:sz w:val="32"/>
          <w:szCs w:val="32"/>
        </w:rPr>
        <w:t>万元。主要用于</w:t>
      </w:r>
      <w:r>
        <w:rPr>
          <w:rFonts w:hint="eastAsia" w:ascii="仿宋_GB2312" w:eastAsia="仿宋_GB2312"/>
          <w:color w:val="000000"/>
          <w:sz w:val="32"/>
          <w:szCs w:val="32"/>
        </w:rPr>
        <w:t>日常办公、</w:t>
      </w:r>
      <w:r>
        <w:rPr>
          <w:rFonts w:hint="eastAsia" w:ascii="仿宋_GB2312" w:eastAsia="仿宋_GB2312"/>
          <w:color w:val="000000"/>
          <w:sz w:val="32"/>
          <w:szCs w:val="32"/>
          <w:lang w:eastAsia="zh-CN"/>
        </w:rPr>
        <w:t>市场管理、</w:t>
      </w:r>
      <w:r>
        <w:rPr>
          <w:rFonts w:hint="eastAsia" w:ascii="仿宋_GB2312" w:eastAsia="仿宋_GB2312"/>
          <w:color w:val="000000"/>
          <w:sz w:val="32"/>
          <w:szCs w:val="32"/>
        </w:rPr>
        <w:t>精准扶贫、项目建设和市委市政府中心工作</w:t>
      </w:r>
      <w:r>
        <w:rPr>
          <w:rFonts w:hint="eastAsia" w:ascii="仿宋_GB2312" w:eastAsia="仿宋_GB2312"/>
          <w:sz w:val="32"/>
          <w:szCs w:val="32"/>
        </w:rPr>
        <w:t>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0.33</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0.14</w:t>
      </w:r>
      <w:r>
        <w:rPr>
          <w:rFonts w:hint="eastAsia" w:ascii="仿宋_GB2312" w:eastAsia="仿宋_GB2312"/>
          <w:sz w:val="32"/>
          <w:szCs w:val="32"/>
        </w:rPr>
        <w:t>万元，增长</w:t>
      </w:r>
      <w:r>
        <w:rPr>
          <w:rFonts w:hint="eastAsia" w:ascii="仿宋_GB2312" w:eastAsia="仿宋_GB2312"/>
          <w:sz w:val="32"/>
          <w:szCs w:val="32"/>
          <w:lang w:val="en-US" w:eastAsia="zh-CN"/>
        </w:rPr>
        <w:t>73.68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账务处理时在此科目错误列支慰问费</w:t>
      </w:r>
      <w:r>
        <w:rPr>
          <w:rFonts w:hint="eastAsia" w:ascii="仿宋_GB2312" w:eastAsia="仿宋_GB2312"/>
          <w:sz w:val="32"/>
          <w:szCs w:val="32"/>
          <w:lang w:val="en-US" w:eastAsia="zh-CN"/>
        </w:rPr>
        <w:t>0.08万元</w:t>
      </w:r>
      <w:r>
        <w:rPr>
          <w:rFonts w:hint="eastAsia" w:ascii="仿宋_GB2312" w:eastAsia="仿宋_GB2312"/>
          <w:sz w:val="32"/>
          <w:szCs w:val="32"/>
          <w:lang w:eastAsia="zh-CN"/>
        </w:rPr>
        <w:t>，以及接待人数增多</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0.33</w:t>
      </w:r>
      <w:r>
        <w:rPr>
          <w:rFonts w:hint="eastAsia" w:ascii="仿宋_GB2312" w:eastAsia="仿宋_GB2312"/>
          <w:sz w:val="32"/>
          <w:szCs w:val="32"/>
        </w:rPr>
        <w:t>万元，主要用于</w:t>
      </w:r>
      <w:r>
        <w:rPr>
          <w:rFonts w:hint="eastAsia" w:ascii="仿宋_GB2312" w:eastAsia="仿宋_GB2312"/>
          <w:sz w:val="32"/>
          <w:szCs w:val="32"/>
          <w:lang w:eastAsia="zh-CN"/>
        </w:rPr>
        <w:t>粮食系统</w:t>
      </w:r>
      <w:r>
        <w:rPr>
          <w:rFonts w:hint="eastAsia" w:ascii="仿宋_GB2312" w:eastAsia="仿宋_GB2312"/>
          <w:sz w:val="32"/>
          <w:szCs w:val="32"/>
        </w:rPr>
        <w:t>执行</w:t>
      </w:r>
      <w:r>
        <w:rPr>
          <w:rFonts w:hint="eastAsia" w:ascii="仿宋_GB2312" w:eastAsia="仿宋_GB2312"/>
          <w:sz w:val="32"/>
          <w:szCs w:val="32"/>
          <w:lang w:eastAsia="zh-CN"/>
        </w:rPr>
        <w:t>上级</w:t>
      </w:r>
      <w:r>
        <w:rPr>
          <w:rFonts w:hint="eastAsia" w:ascii="仿宋_GB2312" w:eastAsia="仿宋_GB2312"/>
          <w:sz w:val="32"/>
          <w:szCs w:val="32"/>
        </w:rPr>
        <w:t>公务、开展业务活动开支的用餐费等。国内公务接待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19</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0.33</w:t>
      </w:r>
      <w:r>
        <w:rPr>
          <w:rFonts w:hint="eastAsia" w:ascii="仿宋_GB2312" w:eastAsia="仿宋_GB2312"/>
          <w:sz w:val="32"/>
          <w:szCs w:val="32"/>
        </w:rPr>
        <w:t>万元，具体内容包括：</w:t>
      </w:r>
      <w:r>
        <w:rPr>
          <w:rFonts w:hint="eastAsia" w:ascii="仿宋_GB2312" w:eastAsia="仿宋_GB2312"/>
          <w:sz w:val="32"/>
          <w:szCs w:val="32"/>
          <w:lang w:val="en-US" w:eastAsia="zh-CN"/>
        </w:rPr>
        <w:t>1、错误列支春节贫困户、老干部慰问0.08万元；2、省局安全生产综合督查工作餐费0.12万元；3、省局安全生产大检查“回头看”检查工作餐费0.13万元</w:t>
      </w:r>
      <w:r>
        <w:rPr>
          <w:rFonts w:hint="eastAsia" w:ascii="仿宋_GB2312" w:eastAsia="仿宋_GB2312"/>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1" w:name="_Toc15377218"/>
      <w:bookmarkStart w:id="42"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51.47</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3" w:name="_Toc15396611"/>
      <w:bookmarkStart w:id="44" w:name="_Toc15377219"/>
      <w:r>
        <w:rPr>
          <w:rStyle w:val="25"/>
          <w:rFonts w:hint="eastAsia" w:ascii="黑体" w:hAnsi="黑体" w:eastAsia="黑体"/>
          <w:b w:val="0"/>
        </w:rPr>
        <w:t>国有资本经营预算支出决算情况说明</w:t>
      </w:r>
      <w:bookmarkEnd w:id="43"/>
      <w:bookmarkEnd w:id="44"/>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5" w:name="_Toc15377221"/>
      <w:bookmarkStart w:id="46" w:name="_Toc15396612"/>
      <w:r>
        <w:rPr>
          <w:rStyle w:val="25"/>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峨眉山市粮食和物资储备中心</w:t>
      </w:r>
      <w:r>
        <w:rPr>
          <w:rFonts w:hint="eastAsia" w:ascii="仿宋_GB2312" w:eastAsia="仿宋_GB2312"/>
          <w:sz w:val="32"/>
          <w:szCs w:val="32"/>
        </w:rPr>
        <w:t>机关运行经费支出</w:t>
      </w:r>
      <w:r>
        <w:rPr>
          <w:rFonts w:hint="eastAsia" w:ascii="仿宋_GB2312" w:eastAsia="仿宋_GB2312"/>
          <w:sz w:val="32"/>
          <w:szCs w:val="32"/>
          <w:lang w:val="en-US" w:eastAsia="zh-CN"/>
        </w:rPr>
        <w:t>37.88</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8.89</w:t>
      </w:r>
      <w:r>
        <w:rPr>
          <w:rFonts w:hint="eastAsia" w:ascii="仿宋_GB2312" w:eastAsia="仿宋_GB2312"/>
          <w:sz w:val="32"/>
          <w:szCs w:val="32"/>
        </w:rPr>
        <w:t>万元，增长</w:t>
      </w:r>
      <w:r>
        <w:rPr>
          <w:rFonts w:hint="eastAsia" w:ascii="仿宋_GB2312" w:eastAsia="仿宋_GB2312"/>
          <w:sz w:val="32"/>
          <w:szCs w:val="32"/>
          <w:lang w:val="en-US" w:eastAsia="zh-CN"/>
        </w:rPr>
        <w:t>31.07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调入</w:t>
      </w:r>
      <w:r>
        <w:rPr>
          <w:rFonts w:hint="eastAsia" w:ascii="仿宋_GB2312" w:eastAsia="仿宋_GB2312"/>
          <w:sz w:val="32"/>
          <w:szCs w:val="32"/>
          <w:lang w:val="en-US" w:eastAsia="zh-CN"/>
        </w:rPr>
        <w:t>2人，购销公司搬离后需自行承担的水电费、门卫费增加较多。</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峨眉山市粮食和物资储备中心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峨眉山市粮食和物资储备中心</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1</w:t>
      </w:r>
      <w:r>
        <w:rPr>
          <w:rFonts w:hint="eastAsia" w:ascii="仿宋_GB2312" w:eastAsia="仿宋_GB2312"/>
          <w:sz w:val="32"/>
          <w:szCs w:val="32"/>
        </w:rPr>
        <w:t>辆，其他用车主要是用于</w:t>
      </w:r>
      <w:r>
        <w:rPr>
          <w:rFonts w:hint="eastAsia" w:ascii="仿宋_GB2312" w:eastAsia="仿宋_GB2312"/>
          <w:color w:val="000000"/>
          <w:sz w:val="32"/>
          <w:szCs w:val="32"/>
        </w:rPr>
        <w:t>日常办公、</w:t>
      </w:r>
      <w:r>
        <w:rPr>
          <w:rFonts w:hint="eastAsia" w:ascii="仿宋_GB2312" w:eastAsia="仿宋_GB2312"/>
          <w:color w:val="000000"/>
          <w:sz w:val="32"/>
          <w:szCs w:val="32"/>
          <w:lang w:eastAsia="zh-CN"/>
        </w:rPr>
        <w:t>市场管理、</w:t>
      </w:r>
      <w:r>
        <w:rPr>
          <w:rFonts w:hint="eastAsia" w:ascii="仿宋_GB2312" w:eastAsia="仿宋_GB2312"/>
          <w:color w:val="000000"/>
          <w:sz w:val="32"/>
          <w:szCs w:val="32"/>
        </w:rPr>
        <w:t>精准扶贫、项目建设和市委市政府中心工作</w:t>
      </w:r>
      <w:r>
        <w:rPr>
          <w:rFonts w:hint="eastAsia" w:ascii="仿宋_GB2312" w:eastAsia="仿宋_GB2312"/>
          <w:sz w:val="32"/>
          <w:szCs w:val="32"/>
        </w:rPr>
        <w:t>等。单价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ascii="仿宋_GB2312" w:hAnsi="仿宋_GB2312" w:eastAsia="仿宋_GB2312" w:cs="仿宋_GB2312"/>
          <w:sz w:val="32"/>
          <w:szCs w:val="32"/>
        </w:rPr>
        <w:t>“成品粮油储备费用”</w:t>
      </w:r>
      <w:r>
        <w:rPr>
          <w:rFonts w:hint="eastAsia" w:hAnsi="仿宋_GB2312" w:cs="仿宋_GB2312"/>
          <w:sz w:val="32"/>
          <w:szCs w:val="32"/>
          <w:lang w:eastAsia="zh-CN"/>
        </w:rPr>
        <w:t>、“粮油购销公司补贴”、</w:t>
      </w:r>
      <w:r>
        <w:rPr>
          <w:rFonts w:hint="eastAsia" w:ascii="仿宋_GB2312" w:hAnsi="仿宋_GB2312" w:eastAsia="仿宋_GB2312" w:cs="仿宋_GB2312"/>
          <w:sz w:val="32"/>
          <w:szCs w:val="32"/>
        </w:rPr>
        <w:t>“救灾物资储备工作经费”</w:t>
      </w:r>
      <w:r>
        <w:rPr>
          <w:rFonts w:hint="eastAsia" w:hAnsi="仿宋_GB2312" w:cs="仿宋_GB2312"/>
          <w:sz w:val="32"/>
          <w:szCs w:val="32"/>
          <w:lang w:eastAsia="zh-CN"/>
        </w:rPr>
        <w:t>、</w:t>
      </w:r>
      <w:r>
        <w:rPr>
          <w:rFonts w:hint="eastAsia" w:ascii="仿宋_GB2312" w:hAnsi="仿宋_GB2312" w:eastAsia="仿宋_GB2312" w:cs="仿宋_GB2312"/>
          <w:sz w:val="32"/>
          <w:szCs w:val="32"/>
        </w:rPr>
        <w:t>“果蔬批发市场管理经费”</w:t>
      </w:r>
      <w:r>
        <w:rPr>
          <w:rFonts w:hint="eastAsia" w:hAnsi="仿宋_GB2312" w:cs="仿宋_GB2312"/>
          <w:sz w:val="32"/>
          <w:szCs w:val="32"/>
        </w:rPr>
        <w:t>等</w:t>
      </w:r>
      <w:r>
        <w:rPr>
          <w:rFonts w:hint="eastAsia" w:hAnsi="仿宋_GB2312" w:cs="仿宋_GB2312"/>
          <w:sz w:val="32"/>
          <w:szCs w:val="32"/>
          <w:lang w:val="en-US" w:eastAsia="zh-CN"/>
        </w:rPr>
        <w:t>7</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7</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7</w:t>
      </w:r>
      <w:r>
        <w:rPr>
          <w:rFonts w:hint="eastAsia" w:hAnsi="仿宋_GB2312" w:cs="仿宋_GB2312"/>
          <w:sz w:val="32"/>
          <w:szCs w:val="32"/>
        </w:rPr>
        <w:t>个项目开展绩效监控，组织对</w:t>
      </w:r>
      <w:r>
        <w:rPr>
          <w:rFonts w:hint="eastAsia" w:hAnsi="仿宋_GB2312" w:cs="仿宋_GB2312"/>
          <w:sz w:val="32"/>
          <w:szCs w:val="32"/>
          <w:lang w:val="en-US" w:eastAsia="zh-CN"/>
        </w:rPr>
        <w:t>5</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0" w:name="_Toc15396613"/>
      <w:bookmarkStart w:id="51" w:name="_Toc15377225"/>
      <w:r>
        <w:rPr>
          <w:rFonts w:hint="eastAsia" w:ascii="黑体" w:hAnsi="黑体" w:eastAsia="黑体"/>
          <w:sz w:val="44"/>
          <w:szCs w:val="44"/>
        </w:rPr>
        <w:t>名</w:t>
      </w:r>
      <w:r>
        <w:rPr>
          <w:rStyle w:val="24"/>
          <w:rFonts w:hint="eastAsia" w:ascii="黑体" w:hAnsi="黑体" w:eastAsia="黑体"/>
          <w:b w:val="0"/>
        </w:rPr>
        <w:t>词解释</w:t>
      </w:r>
      <w:bookmarkEnd w:id="50"/>
      <w:bookmarkEnd w:id="51"/>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9.</w:t>
      </w:r>
      <w:r>
        <w:rPr>
          <w:rStyle w:val="14"/>
          <w:rFonts w:hint="eastAsia" w:ascii="仿宋_GB2312" w:hAnsi="仿宋_GB2312" w:eastAsia="仿宋_GB2312" w:cs="仿宋_GB2312"/>
          <w:b w:val="0"/>
          <w:bCs/>
          <w:sz w:val="32"/>
          <w:szCs w:val="32"/>
        </w:rPr>
        <w:t>社会保障和就业（类）行政事业单位养老支出（款）机关事业单位基本养老保险缴费支出（项）: 反映机关事业单位实施养老保险制度由单位缴纳的基本养老保险费支出。</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10.</w:t>
      </w:r>
      <w:r>
        <w:rPr>
          <w:rStyle w:val="14"/>
          <w:rFonts w:hint="eastAsia" w:ascii="仿宋_GB2312" w:hAnsi="仿宋_GB2312" w:eastAsia="仿宋_GB2312" w:cs="仿宋_GB2312"/>
          <w:b w:val="0"/>
          <w:bCs/>
          <w:sz w:val="32"/>
          <w:szCs w:val="32"/>
        </w:rPr>
        <w:t xml:space="preserve">社会保障和就业（类）行政事业单位养老支出（款）机关事业单位职业年金缴费支出（项）:反映机关事业单位实施养老保险制度由单位实际缴纳的职业年金支出。 </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11.</w:t>
      </w:r>
      <w:r>
        <w:rPr>
          <w:rStyle w:val="14"/>
          <w:rFonts w:hint="eastAsia" w:ascii="仿宋_GB2312" w:hAnsi="仿宋_GB2312" w:eastAsia="仿宋_GB2312" w:cs="仿宋_GB2312"/>
          <w:b w:val="0"/>
          <w:bCs/>
          <w:sz w:val="32"/>
          <w:szCs w:val="32"/>
        </w:rPr>
        <w:t>社会保障和就业（类）抚恤（款）死亡抚恤（项）: 反映按规定用于烈士和牺牲、病故人员家属的一次性和定期抚恤金以及丧葬补助费。</w:t>
      </w:r>
    </w:p>
    <w:p>
      <w:pPr>
        <w:spacing w:line="600" w:lineRule="exact"/>
        <w:ind w:firstLine="640" w:firstLineChars="200"/>
        <w:rPr>
          <w:rStyle w:val="14"/>
          <w:rFonts w:hint="eastAsia" w:ascii="仿宋_GB2312" w:hAnsi="仿宋_GB2312" w:eastAsia="仿宋_GB2312" w:cs="仿宋_GB2312"/>
          <w:b w:val="0"/>
          <w:bCs/>
          <w:sz w:val="32"/>
          <w:szCs w:val="32"/>
          <w:lang w:eastAsia="zh-CN"/>
        </w:rPr>
      </w:pPr>
      <w:r>
        <w:rPr>
          <w:rStyle w:val="14"/>
          <w:rFonts w:hint="eastAsia" w:ascii="仿宋_GB2312" w:hAnsi="仿宋_GB2312" w:eastAsia="仿宋_GB2312" w:cs="仿宋_GB2312"/>
          <w:b w:val="0"/>
          <w:bCs/>
          <w:sz w:val="32"/>
          <w:szCs w:val="32"/>
          <w:lang w:val="en-US" w:eastAsia="zh-CN"/>
        </w:rPr>
        <w:t>12.</w:t>
      </w:r>
      <w:r>
        <w:rPr>
          <w:rStyle w:val="14"/>
          <w:rFonts w:hint="eastAsia" w:ascii="仿宋_GB2312" w:hAnsi="仿宋_GB2312" w:eastAsia="仿宋_GB2312" w:cs="仿宋_GB2312"/>
          <w:b w:val="0"/>
          <w:bCs/>
          <w:sz w:val="32"/>
          <w:szCs w:val="32"/>
        </w:rPr>
        <w:t>社会保障和就业（类）抚恤（款）其他优抚支出（项）:</w:t>
      </w:r>
      <w:r>
        <w:rPr>
          <w:rStyle w:val="14"/>
          <w:rFonts w:ascii="仿宋_GB2312" w:hAnsi="仿宋_GB2312" w:eastAsia="仿宋_GB2312" w:cs="仿宋_GB2312"/>
          <w:b w:val="0"/>
          <w:bCs/>
          <w:sz w:val="32"/>
          <w:szCs w:val="32"/>
        </w:rPr>
        <w:t xml:space="preserve"> </w:t>
      </w:r>
      <w:r>
        <w:rPr>
          <w:rStyle w:val="14"/>
          <w:rFonts w:hint="eastAsia" w:ascii="仿宋_GB2312" w:hAnsi="仿宋_GB2312" w:eastAsia="仿宋_GB2312" w:cs="仿宋_GB2312"/>
          <w:b w:val="0"/>
          <w:bCs/>
          <w:sz w:val="32"/>
          <w:szCs w:val="32"/>
        </w:rPr>
        <w:t>反映除上述项目以外其他用于优抚方面的支出，包括向优抚对象发放的价格临时补贴等支出。</w:t>
      </w:r>
      <w:r>
        <w:rPr>
          <w:rStyle w:val="14"/>
          <w:rFonts w:hint="eastAsia" w:ascii="仿宋_GB2312" w:hAnsi="仿宋_GB2312" w:eastAsia="仿宋_GB2312" w:cs="仿宋_GB2312"/>
          <w:b w:val="0"/>
          <w:bCs/>
          <w:sz w:val="32"/>
          <w:szCs w:val="32"/>
          <w:lang w:eastAsia="zh-CN"/>
        </w:rPr>
        <w:t>主要是遗属补助。</w:t>
      </w:r>
    </w:p>
    <w:p>
      <w:pPr>
        <w:spacing w:line="600" w:lineRule="exact"/>
        <w:ind w:firstLine="640" w:firstLineChars="200"/>
        <w:rPr>
          <w:rFonts w:hint="eastAsia" w:ascii="仿宋_GB2312" w:hAnsi="仿宋_GB2312" w:eastAsia="仿宋_GB2312" w:cs="仿宋_GB2312"/>
          <w:bCs/>
          <w:sz w:val="32"/>
          <w:szCs w:val="32"/>
          <w:lang w:eastAsia="zh-CN"/>
        </w:rPr>
      </w:pPr>
      <w:r>
        <w:rPr>
          <w:rStyle w:val="14"/>
          <w:rFonts w:hint="eastAsia" w:ascii="仿宋_GB2312" w:hAnsi="仿宋_GB2312" w:eastAsia="仿宋_GB2312" w:cs="仿宋_GB2312"/>
          <w:b w:val="0"/>
          <w:bCs/>
          <w:sz w:val="32"/>
          <w:szCs w:val="32"/>
          <w:lang w:val="en-US" w:eastAsia="zh-CN"/>
        </w:rPr>
        <w:t>13.</w:t>
      </w:r>
      <w:r>
        <w:rPr>
          <w:rStyle w:val="14"/>
          <w:rFonts w:hint="eastAsia" w:ascii="仿宋_GB2312" w:hAnsi="仿宋_GB2312" w:eastAsia="仿宋_GB2312" w:cs="仿宋_GB2312"/>
          <w:b w:val="0"/>
          <w:bCs/>
          <w:sz w:val="32"/>
          <w:szCs w:val="32"/>
        </w:rPr>
        <w:t>社会保障和就业（类）其他社会保障和就业支出（款）其他社会保障和就业支出（项）: 反映除上述项目以外其他用于社会保障和就业方面的支出。</w:t>
      </w:r>
      <w:r>
        <w:rPr>
          <w:rStyle w:val="14"/>
          <w:rFonts w:hint="eastAsia" w:ascii="仿宋_GB2312" w:hAnsi="仿宋_GB2312" w:eastAsia="仿宋_GB2312" w:cs="仿宋_GB2312"/>
          <w:b w:val="0"/>
          <w:bCs/>
          <w:sz w:val="32"/>
          <w:szCs w:val="32"/>
          <w:lang w:eastAsia="zh-CN"/>
        </w:rPr>
        <w:t>主要是工伤保险费支出。</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14.</w:t>
      </w:r>
      <w:r>
        <w:rPr>
          <w:rFonts w:hint="eastAsia" w:ascii="仿宋_GB2312" w:hAnsi="仿宋_GB2312" w:eastAsia="仿宋_GB2312" w:cs="仿宋_GB2312"/>
          <w:bCs/>
          <w:sz w:val="32"/>
          <w:szCs w:val="32"/>
        </w:rPr>
        <w:t>卫生健康</w:t>
      </w:r>
      <w:r>
        <w:rPr>
          <w:rStyle w:val="14"/>
          <w:rFonts w:hint="eastAsia" w:ascii="仿宋_GB2312" w:hAnsi="仿宋_GB2312" w:eastAsia="仿宋_GB2312" w:cs="仿宋_GB2312"/>
          <w:b w:val="0"/>
          <w:bCs/>
          <w:sz w:val="32"/>
          <w:szCs w:val="32"/>
        </w:rPr>
        <w:t>（类）行政事业单位医疗（款）行政单位医疗（项）:</w:t>
      </w:r>
      <w:r>
        <w:rPr>
          <w:rStyle w:val="14"/>
          <w:rFonts w:ascii="仿宋_GB2312" w:hAnsi="仿宋_GB2312" w:eastAsia="仿宋_GB2312" w:cs="仿宋_GB2312"/>
          <w:b w:val="0"/>
          <w:bCs/>
          <w:sz w:val="32"/>
          <w:szCs w:val="32"/>
        </w:rPr>
        <w:t xml:space="preserve"> </w:t>
      </w:r>
      <w:r>
        <w:rPr>
          <w:rStyle w:val="14"/>
          <w:rFonts w:hint="eastAsia" w:ascii="仿宋_GB2312" w:hAnsi="仿宋_GB2312" w:eastAsia="仿宋_GB2312" w:cs="仿宋_GB2312"/>
          <w:b w:val="0"/>
          <w:bCs/>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Style w:val="14"/>
          <w:rFonts w:hint="eastAsia" w:ascii="仿宋_GB2312" w:hAnsi="仿宋_GB2312" w:eastAsia="仿宋_GB2312" w:cs="仿宋_GB2312"/>
          <w:b w:val="0"/>
          <w:bCs/>
          <w:sz w:val="32"/>
          <w:szCs w:val="32"/>
          <w:lang w:val="en-US" w:eastAsia="zh-CN"/>
        </w:rPr>
      </w:pPr>
      <w:r>
        <w:rPr>
          <w:rStyle w:val="14"/>
          <w:rFonts w:hint="eastAsia" w:ascii="仿宋_GB2312" w:hAnsi="仿宋_GB2312" w:eastAsia="仿宋_GB2312" w:cs="仿宋_GB2312"/>
          <w:b w:val="0"/>
          <w:bCs/>
          <w:sz w:val="32"/>
          <w:szCs w:val="32"/>
          <w:lang w:val="en-US" w:eastAsia="zh-CN"/>
        </w:rPr>
        <w:t>15.</w:t>
      </w:r>
      <w:r>
        <w:rPr>
          <w:rFonts w:hint="eastAsia" w:ascii="仿宋_GB2312" w:hAnsi="仿宋_GB2312" w:eastAsia="仿宋_GB2312" w:cs="仿宋_GB2312"/>
          <w:bCs/>
          <w:sz w:val="32"/>
          <w:szCs w:val="32"/>
        </w:rPr>
        <w:t>卫生健康</w:t>
      </w:r>
      <w:r>
        <w:rPr>
          <w:rStyle w:val="14"/>
          <w:rFonts w:hint="eastAsia" w:ascii="仿宋_GB2312" w:hAnsi="仿宋_GB2312" w:eastAsia="仿宋_GB2312" w:cs="仿宋_GB2312"/>
          <w:b w:val="0"/>
          <w:bCs/>
          <w:sz w:val="32"/>
          <w:szCs w:val="32"/>
        </w:rPr>
        <w:t>（类）行政事业单位医疗（款）</w:t>
      </w:r>
      <w:r>
        <w:rPr>
          <w:rStyle w:val="14"/>
          <w:rFonts w:hint="eastAsia" w:ascii="仿宋_GB2312" w:hAnsi="仿宋_GB2312" w:eastAsia="仿宋_GB2312" w:cs="仿宋_GB2312"/>
          <w:b w:val="0"/>
          <w:bCs/>
          <w:sz w:val="32"/>
          <w:szCs w:val="32"/>
          <w:lang w:eastAsia="zh-CN"/>
        </w:rPr>
        <w:t>公务员医疗补助</w:t>
      </w:r>
      <w:r>
        <w:rPr>
          <w:rStyle w:val="14"/>
          <w:rFonts w:hint="eastAsia" w:ascii="仿宋_GB2312" w:hAnsi="仿宋_GB2312" w:eastAsia="仿宋_GB2312" w:cs="仿宋_GB2312"/>
          <w:b w:val="0"/>
          <w:bCs/>
          <w:sz w:val="32"/>
          <w:szCs w:val="32"/>
        </w:rPr>
        <w:t>（项）</w:t>
      </w:r>
      <w:r>
        <w:rPr>
          <w:rStyle w:val="14"/>
          <w:rFonts w:hint="eastAsia" w:ascii="仿宋_GB2312" w:hAnsi="仿宋_GB2312" w:eastAsia="仿宋_GB2312" w:cs="仿宋_GB2312"/>
          <w:b w:val="0"/>
          <w:bCs/>
          <w:sz w:val="32"/>
          <w:szCs w:val="32"/>
          <w:lang w:eastAsia="zh-CN"/>
        </w:rPr>
        <w:t>：反映财政部门安排的公务员医疗补助经费。</w:t>
      </w:r>
    </w:p>
    <w:p>
      <w:pPr>
        <w:spacing w:line="600" w:lineRule="exact"/>
        <w:ind w:firstLine="640" w:firstLineChars="200"/>
        <w:rPr>
          <w:rStyle w:val="14"/>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Cs/>
          <w:sz w:val="32"/>
          <w:szCs w:val="32"/>
          <w:lang w:val="en-US" w:eastAsia="zh-CN"/>
        </w:rPr>
        <w:t>16.</w:t>
      </w:r>
      <w:r>
        <w:rPr>
          <w:rFonts w:hint="eastAsia" w:ascii="仿宋_GB2312" w:hAnsi="仿宋_GB2312" w:eastAsia="仿宋_GB2312" w:cs="仿宋_GB2312"/>
          <w:bCs/>
          <w:sz w:val="32"/>
          <w:szCs w:val="32"/>
          <w:lang w:eastAsia="zh-CN"/>
        </w:rPr>
        <w:t>城乡社区支出</w:t>
      </w:r>
      <w:r>
        <w:rPr>
          <w:rStyle w:val="14"/>
          <w:rFonts w:hint="eastAsia" w:ascii="仿宋_GB2312" w:hAnsi="仿宋_GB2312" w:eastAsia="仿宋_GB2312" w:cs="仿宋_GB2312"/>
          <w:b w:val="0"/>
          <w:bCs/>
          <w:sz w:val="32"/>
          <w:szCs w:val="32"/>
        </w:rPr>
        <w:t>（类）</w:t>
      </w:r>
      <w:r>
        <w:rPr>
          <w:rStyle w:val="14"/>
          <w:rFonts w:hint="eastAsia" w:ascii="仿宋_GB2312" w:hAnsi="仿宋_GB2312" w:eastAsia="仿宋_GB2312" w:cs="仿宋_GB2312"/>
          <w:b w:val="0"/>
          <w:bCs/>
          <w:sz w:val="32"/>
          <w:szCs w:val="32"/>
          <w:lang w:eastAsia="zh-CN"/>
        </w:rPr>
        <w:t>国有土地使用权出让收入安排的支出</w:t>
      </w:r>
      <w:r>
        <w:rPr>
          <w:rStyle w:val="14"/>
          <w:rFonts w:hint="eastAsia" w:ascii="仿宋_GB2312" w:hAnsi="仿宋_GB2312" w:eastAsia="仿宋_GB2312" w:cs="仿宋_GB2312"/>
          <w:b w:val="0"/>
          <w:bCs/>
          <w:sz w:val="32"/>
          <w:szCs w:val="32"/>
        </w:rPr>
        <w:t>（款）</w:t>
      </w:r>
      <w:r>
        <w:rPr>
          <w:rStyle w:val="14"/>
          <w:rFonts w:hint="eastAsia" w:ascii="仿宋_GB2312" w:hAnsi="仿宋_GB2312" w:eastAsia="仿宋_GB2312" w:cs="仿宋_GB2312"/>
          <w:b w:val="0"/>
          <w:bCs/>
          <w:sz w:val="32"/>
          <w:szCs w:val="32"/>
          <w:lang w:eastAsia="zh-CN"/>
        </w:rPr>
        <w:t>土地开发支出</w:t>
      </w:r>
      <w:r>
        <w:rPr>
          <w:rStyle w:val="14"/>
          <w:rFonts w:hint="eastAsia" w:ascii="仿宋_GB2312" w:hAnsi="仿宋_GB2312" w:eastAsia="仿宋_GB2312" w:cs="仿宋_GB2312"/>
          <w:b w:val="0"/>
          <w:bCs/>
          <w:sz w:val="32"/>
          <w:szCs w:val="32"/>
        </w:rPr>
        <w:t>（项）</w:t>
      </w:r>
      <w:r>
        <w:rPr>
          <w:rStyle w:val="14"/>
          <w:rFonts w:hint="eastAsia" w:ascii="仿宋_GB2312" w:hAnsi="仿宋_GB2312" w:eastAsia="仿宋_GB2312" w:cs="仿宋_GB2312"/>
          <w:b w:val="0"/>
          <w:bCs/>
          <w:sz w:val="32"/>
          <w:szCs w:val="32"/>
          <w:lang w:eastAsia="zh-CN"/>
        </w:rPr>
        <w:t>：反映新疆生产建设兵团和地方政府用于前期土地开发性支出以及前期土地开发相关的费用等支出。</w:t>
      </w:r>
    </w:p>
    <w:p>
      <w:pPr>
        <w:spacing w:line="600" w:lineRule="exact"/>
        <w:ind w:firstLine="640" w:firstLineChars="200"/>
        <w:rPr>
          <w:rStyle w:val="14"/>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Cs/>
          <w:sz w:val="32"/>
          <w:szCs w:val="32"/>
          <w:lang w:val="en-US" w:eastAsia="zh-CN"/>
        </w:rPr>
        <w:t>17.</w:t>
      </w:r>
      <w:r>
        <w:rPr>
          <w:rFonts w:hint="eastAsia" w:ascii="仿宋_GB2312" w:hAnsi="仿宋_GB2312" w:eastAsia="仿宋_GB2312" w:cs="仿宋_GB2312"/>
          <w:bCs/>
          <w:sz w:val="32"/>
          <w:szCs w:val="32"/>
          <w:lang w:eastAsia="zh-CN"/>
        </w:rPr>
        <w:t>城乡社区支出</w:t>
      </w:r>
      <w:r>
        <w:rPr>
          <w:rStyle w:val="14"/>
          <w:rFonts w:hint="eastAsia" w:ascii="仿宋_GB2312" w:hAnsi="仿宋_GB2312" w:eastAsia="仿宋_GB2312" w:cs="仿宋_GB2312"/>
          <w:b w:val="0"/>
          <w:bCs/>
          <w:sz w:val="32"/>
          <w:szCs w:val="32"/>
        </w:rPr>
        <w:t>（类）</w:t>
      </w:r>
      <w:r>
        <w:rPr>
          <w:rStyle w:val="14"/>
          <w:rFonts w:hint="eastAsia" w:ascii="仿宋_GB2312" w:hAnsi="仿宋_GB2312" w:eastAsia="仿宋_GB2312" w:cs="仿宋_GB2312"/>
          <w:b w:val="0"/>
          <w:bCs/>
          <w:sz w:val="32"/>
          <w:szCs w:val="32"/>
          <w:lang w:eastAsia="zh-CN"/>
        </w:rPr>
        <w:t>国有土地使用权出让收入安排的支出</w:t>
      </w:r>
      <w:r>
        <w:rPr>
          <w:rStyle w:val="14"/>
          <w:rFonts w:hint="eastAsia" w:ascii="仿宋_GB2312" w:hAnsi="仿宋_GB2312" w:eastAsia="仿宋_GB2312" w:cs="仿宋_GB2312"/>
          <w:b w:val="0"/>
          <w:bCs/>
          <w:sz w:val="32"/>
          <w:szCs w:val="32"/>
        </w:rPr>
        <w:t>（款）</w:t>
      </w:r>
      <w:r>
        <w:rPr>
          <w:rStyle w:val="14"/>
          <w:rFonts w:hint="eastAsia" w:ascii="仿宋_GB2312" w:hAnsi="仿宋_GB2312" w:eastAsia="仿宋_GB2312" w:cs="仿宋_GB2312"/>
          <w:b w:val="0"/>
          <w:bCs/>
          <w:sz w:val="32"/>
          <w:szCs w:val="32"/>
          <w:lang w:eastAsia="zh-CN"/>
        </w:rPr>
        <w:t>其他国有土地使用权出让收入安排的支出</w:t>
      </w:r>
      <w:r>
        <w:rPr>
          <w:rStyle w:val="14"/>
          <w:rFonts w:hint="eastAsia" w:ascii="仿宋_GB2312" w:hAnsi="仿宋_GB2312" w:eastAsia="仿宋_GB2312" w:cs="仿宋_GB2312"/>
          <w:b w:val="0"/>
          <w:bCs/>
          <w:sz w:val="32"/>
          <w:szCs w:val="32"/>
        </w:rPr>
        <w:t>（项）</w:t>
      </w:r>
      <w:r>
        <w:rPr>
          <w:rStyle w:val="14"/>
          <w:rFonts w:hint="eastAsia" w:ascii="仿宋_GB2312" w:hAnsi="仿宋_GB2312" w:eastAsia="仿宋_GB2312" w:cs="仿宋_GB2312"/>
          <w:b w:val="0"/>
          <w:bCs/>
          <w:sz w:val="32"/>
          <w:szCs w:val="32"/>
          <w:lang w:eastAsia="zh-CN"/>
        </w:rPr>
        <w:t>：反映土地出让收入用于其他方面的支出。不包括市县级政府当年按规定用土地出让收入向中央和省级政府缴纳的新增建设用地土地有偿使用费的支出。</w:t>
      </w:r>
    </w:p>
    <w:p>
      <w:pPr>
        <w:spacing w:line="600" w:lineRule="exact"/>
        <w:ind w:firstLine="640" w:firstLineChars="200"/>
        <w:rPr>
          <w:rStyle w:val="14"/>
          <w:rFonts w:ascii="仿宋_GB2312" w:hAnsi="仿宋_GB2312" w:eastAsia="仿宋_GB2312" w:cs="仿宋_GB2312"/>
          <w:b w:val="0"/>
          <w:bCs/>
          <w:sz w:val="32"/>
          <w:szCs w:val="32"/>
        </w:rPr>
      </w:pPr>
      <w:r>
        <w:rPr>
          <w:rFonts w:hint="eastAsia" w:ascii="仿宋_GB2312" w:hAnsi="仿宋_GB2312" w:eastAsia="仿宋_GB2312" w:cs="仿宋_GB2312"/>
          <w:bCs/>
          <w:sz w:val="32"/>
          <w:szCs w:val="32"/>
          <w:lang w:val="en-US" w:eastAsia="zh-CN"/>
        </w:rPr>
        <w:t>18.</w:t>
      </w:r>
      <w:r>
        <w:rPr>
          <w:rFonts w:hint="eastAsia" w:ascii="仿宋_GB2312" w:hAnsi="仿宋_GB2312" w:eastAsia="仿宋_GB2312" w:cs="仿宋_GB2312"/>
          <w:bCs/>
          <w:sz w:val="32"/>
          <w:szCs w:val="32"/>
        </w:rPr>
        <w:t>住房保障支出</w:t>
      </w:r>
      <w:r>
        <w:rPr>
          <w:rStyle w:val="14"/>
          <w:rFonts w:hint="eastAsia" w:ascii="仿宋_GB2312" w:hAnsi="仿宋_GB2312" w:eastAsia="仿宋_GB2312" w:cs="仿宋_GB2312"/>
          <w:b w:val="0"/>
          <w:bCs/>
          <w:sz w:val="32"/>
          <w:szCs w:val="32"/>
        </w:rPr>
        <w:t>（类）住房改革支出（款）住房公积金（项）:</w:t>
      </w:r>
      <w:r>
        <w:rPr>
          <w:rStyle w:val="14"/>
          <w:rFonts w:ascii="仿宋_GB2312" w:hAnsi="仿宋_GB2312" w:eastAsia="仿宋_GB2312" w:cs="仿宋_GB2312"/>
          <w:b w:val="0"/>
          <w:bCs/>
          <w:sz w:val="32"/>
          <w:szCs w:val="32"/>
        </w:rPr>
        <w:t xml:space="preserve"> </w:t>
      </w:r>
      <w:r>
        <w:rPr>
          <w:rStyle w:val="14"/>
          <w:rFonts w:hint="eastAsia" w:ascii="仿宋_GB2312" w:hAnsi="仿宋_GB2312" w:eastAsia="仿宋_GB2312" w:cs="仿宋_GB2312"/>
          <w:b w:val="0"/>
          <w:bCs/>
          <w:sz w:val="32"/>
          <w:szCs w:val="32"/>
        </w:rPr>
        <w:t>反映行政事业单位按人力资源和社会保障部、财政部规定的基本工资和津贴补贴以及规定比例为职工缴纳的住房公积金。</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lang w:val="en-US" w:eastAsia="zh-CN"/>
        </w:rPr>
        <w:t>19.</w:t>
      </w:r>
      <w:r>
        <w:rPr>
          <w:rFonts w:hint="eastAsia" w:ascii="仿宋_GB2312" w:hAnsi="仿宋_GB2312" w:eastAsia="仿宋_GB2312" w:cs="仿宋_GB2312"/>
          <w:bCs/>
          <w:sz w:val="32"/>
          <w:szCs w:val="32"/>
        </w:rPr>
        <w:t>粮油物资储备支出</w:t>
      </w:r>
      <w:r>
        <w:rPr>
          <w:rStyle w:val="14"/>
          <w:rFonts w:hint="eastAsia" w:ascii="仿宋_GB2312" w:hAnsi="仿宋_GB2312" w:eastAsia="仿宋_GB2312" w:cs="仿宋_GB2312"/>
          <w:b w:val="0"/>
          <w:bCs/>
          <w:sz w:val="32"/>
          <w:szCs w:val="32"/>
        </w:rPr>
        <w:t>（类）粮油物资事务（款）行政运行（项）:</w:t>
      </w:r>
      <w:r>
        <w:rPr>
          <w:rStyle w:val="14"/>
          <w:rFonts w:ascii="仿宋_GB2312" w:hAnsi="仿宋_GB2312" w:eastAsia="仿宋_GB2312" w:cs="仿宋_GB2312"/>
          <w:b w:val="0"/>
          <w:bCs/>
          <w:sz w:val="32"/>
          <w:szCs w:val="32"/>
        </w:rPr>
        <w:t xml:space="preserve"> </w:t>
      </w:r>
      <w:r>
        <w:rPr>
          <w:rStyle w:val="14"/>
          <w:rFonts w:hint="eastAsia" w:ascii="仿宋_GB2312" w:hAnsi="仿宋_GB2312" w:eastAsia="仿宋_GB2312" w:cs="仿宋_GB2312"/>
          <w:b w:val="0"/>
          <w:bCs/>
          <w:sz w:val="32"/>
          <w:szCs w:val="32"/>
        </w:rPr>
        <w:t>反映行政单位（包括实行公务员管理的事业单位）的基本支出。</w:t>
      </w:r>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lang w:val="en-US" w:eastAsia="zh-CN"/>
        </w:rPr>
        <w:t>20.</w:t>
      </w:r>
      <w:r>
        <w:rPr>
          <w:rFonts w:hint="eastAsia" w:ascii="仿宋_GB2312" w:hAnsi="仿宋_GB2312" w:eastAsia="仿宋_GB2312" w:cs="仿宋_GB2312"/>
          <w:bCs/>
          <w:sz w:val="32"/>
          <w:szCs w:val="32"/>
        </w:rPr>
        <w:t>粮油物资储备支出</w:t>
      </w:r>
      <w:r>
        <w:rPr>
          <w:rStyle w:val="14"/>
          <w:rFonts w:hint="eastAsia" w:ascii="仿宋_GB2312" w:hAnsi="仿宋_GB2312" w:eastAsia="仿宋_GB2312" w:cs="仿宋_GB2312"/>
          <w:b w:val="0"/>
          <w:bCs/>
          <w:sz w:val="32"/>
          <w:szCs w:val="32"/>
        </w:rPr>
        <w:t>（类）粮油物资事务（款）</w:t>
      </w:r>
      <w:r>
        <w:rPr>
          <w:rStyle w:val="14"/>
          <w:rFonts w:hint="eastAsia" w:ascii="仿宋_GB2312" w:hAnsi="仿宋_GB2312" w:eastAsia="仿宋_GB2312" w:cs="仿宋_GB2312"/>
          <w:b w:val="0"/>
          <w:bCs/>
          <w:sz w:val="32"/>
          <w:szCs w:val="32"/>
          <w:lang w:eastAsia="zh-CN"/>
        </w:rPr>
        <w:t>粮食风险基金</w:t>
      </w:r>
      <w:r>
        <w:rPr>
          <w:rStyle w:val="14"/>
          <w:rFonts w:hint="eastAsia" w:ascii="仿宋_GB2312" w:hAnsi="仿宋_GB2312" w:eastAsia="仿宋_GB2312" w:cs="仿宋_GB2312"/>
          <w:b w:val="0"/>
          <w:bCs/>
          <w:sz w:val="32"/>
          <w:szCs w:val="32"/>
        </w:rPr>
        <w:t>（项）:</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反映</w:t>
      </w:r>
      <w:r>
        <w:rPr>
          <w:rFonts w:hint="eastAsia" w:ascii="仿宋_GB2312" w:hAnsi="仿宋_GB2312" w:eastAsia="仿宋_GB2312" w:cs="仿宋_GB2312"/>
          <w:bCs/>
          <w:sz w:val="32"/>
          <w:szCs w:val="32"/>
          <w:lang w:eastAsia="zh-CN"/>
        </w:rPr>
        <w:t>用粮食风险基金安排的</w:t>
      </w:r>
      <w:r>
        <w:rPr>
          <w:rFonts w:hint="eastAsia" w:ascii="仿宋_GB2312" w:hAnsi="仿宋_GB2312" w:eastAsia="仿宋_GB2312" w:cs="仿宋_GB2312"/>
          <w:bCs/>
          <w:sz w:val="32"/>
          <w:szCs w:val="32"/>
        </w:rPr>
        <w:t>支出。</w:t>
      </w:r>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lang w:val="en-US" w:eastAsia="zh-CN"/>
        </w:rPr>
        <w:t>21.</w:t>
      </w:r>
      <w:r>
        <w:rPr>
          <w:rFonts w:hint="eastAsia" w:ascii="仿宋_GB2312" w:hAnsi="仿宋_GB2312" w:eastAsia="仿宋_GB2312" w:cs="仿宋_GB2312"/>
          <w:bCs/>
          <w:sz w:val="32"/>
          <w:szCs w:val="32"/>
        </w:rPr>
        <w:t>粮油物资储备支出</w:t>
      </w:r>
      <w:r>
        <w:rPr>
          <w:rStyle w:val="14"/>
          <w:rFonts w:hint="eastAsia" w:ascii="仿宋_GB2312" w:hAnsi="仿宋_GB2312" w:eastAsia="仿宋_GB2312" w:cs="仿宋_GB2312"/>
          <w:b w:val="0"/>
          <w:bCs/>
          <w:sz w:val="32"/>
          <w:szCs w:val="32"/>
        </w:rPr>
        <w:t>（类）粮油物资事务（款）</w:t>
      </w:r>
      <w:r>
        <w:rPr>
          <w:rStyle w:val="14"/>
          <w:rFonts w:hint="eastAsia" w:ascii="仿宋_GB2312" w:hAnsi="仿宋_GB2312" w:eastAsia="仿宋_GB2312" w:cs="仿宋_GB2312"/>
          <w:b w:val="0"/>
          <w:bCs/>
          <w:sz w:val="32"/>
          <w:szCs w:val="32"/>
          <w:lang w:eastAsia="zh-CN"/>
        </w:rPr>
        <w:t>物资保管保养</w:t>
      </w:r>
      <w:r>
        <w:rPr>
          <w:rStyle w:val="14"/>
          <w:rFonts w:hint="eastAsia" w:ascii="仿宋_GB2312" w:hAnsi="仿宋_GB2312" w:eastAsia="仿宋_GB2312" w:cs="仿宋_GB2312"/>
          <w:b w:val="0"/>
          <w:bCs/>
          <w:sz w:val="32"/>
          <w:szCs w:val="32"/>
        </w:rPr>
        <w:t>（项）:反映</w:t>
      </w:r>
      <w:r>
        <w:rPr>
          <w:rStyle w:val="14"/>
          <w:rFonts w:hint="eastAsia" w:ascii="仿宋_GB2312" w:hAnsi="仿宋_GB2312" w:eastAsia="仿宋_GB2312" w:cs="仿宋_GB2312"/>
          <w:b w:val="0"/>
          <w:bCs/>
          <w:sz w:val="32"/>
          <w:szCs w:val="32"/>
          <w:lang w:eastAsia="zh-CN"/>
        </w:rPr>
        <w:t>粮食和储备部门物资保管保养、轮换转移，仓库资质许可，作业人员培训等</w:t>
      </w:r>
      <w:r>
        <w:rPr>
          <w:rStyle w:val="14"/>
          <w:rFonts w:hint="eastAsia" w:ascii="仿宋_GB2312" w:hAnsi="仿宋_GB2312" w:eastAsia="仿宋_GB2312" w:cs="仿宋_GB2312"/>
          <w:b w:val="0"/>
          <w:bCs/>
          <w:sz w:val="32"/>
          <w:szCs w:val="32"/>
        </w:rPr>
        <w:t>支出。</w:t>
      </w:r>
      <w:r>
        <w:rPr>
          <w:rFonts w:ascii="仿宋_GB2312" w:hAnsi="仿宋_GB2312" w:eastAsia="仿宋_GB2312" w:cs="仿宋_GB2312"/>
          <w:bCs/>
          <w:sz w:val="32"/>
          <w:szCs w:val="32"/>
        </w:rPr>
        <w:t xml:space="preserve"> </w:t>
      </w:r>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lang w:val="en-US" w:eastAsia="zh-CN"/>
        </w:rPr>
        <w:t>22.</w:t>
      </w:r>
      <w:r>
        <w:rPr>
          <w:rFonts w:hint="eastAsia" w:ascii="仿宋_GB2312" w:hAnsi="仿宋_GB2312" w:eastAsia="仿宋_GB2312" w:cs="仿宋_GB2312"/>
          <w:bCs/>
          <w:sz w:val="32"/>
          <w:szCs w:val="32"/>
        </w:rPr>
        <w:t>粮油物资储备支出</w:t>
      </w:r>
      <w:r>
        <w:rPr>
          <w:rStyle w:val="14"/>
          <w:rFonts w:hint="eastAsia" w:ascii="仿宋_GB2312" w:hAnsi="仿宋_GB2312" w:eastAsia="仿宋_GB2312" w:cs="仿宋_GB2312"/>
          <w:b w:val="0"/>
          <w:bCs/>
          <w:sz w:val="32"/>
          <w:szCs w:val="32"/>
        </w:rPr>
        <w:t>（类）粮油物资事务（款）其他粮油物资事务支出（项）:</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反映上述项目以外其他用于粮油和物资事务方面的支出。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26</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2" w:name="_Toc15377226"/>
      <w:r>
        <w:rPr>
          <w:rFonts w:ascii="宋体"/>
          <w:b/>
          <w:sz w:val="44"/>
          <w:szCs w:val="44"/>
        </w:rPr>
        <w:br w:type="page"/>
      </w:r>
      <w:bookmarkStart w:id="53" w:name="_Toc15396614"/>
      <w:r>
        <w:rPr>
          <w:rFonts w:hint="eastAsia" w:ascii="黑体" w:hAnsi="黑体" w:eastAsia="黑体"/>
          <w:sz w:val="44"/>
          <w:szCs w:val="44"/>
        </w:rPr>
        <w:t>第</w:t>
      </w:r>
      <w:r>
        <w:rPr>
          <w:rStyle w:val="24"/>
          <w:rFonts w:hint="eastAsia" w:ascii="黑体" w:hAnsi="黑体" w:eastAsia="黑体"/>
          <w:b w:val="0"/>
        </w:rPr>
        <w:t>四部分 附件</w:t>
      </w:r>
      <w:bookmarkEnd w:id="53"/>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4"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tbl>
      <w:tblPr>
        <w:tblStyle w:val="12"/>
        <w:tblW w:w="83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788"/>
        <w:gridCol w:w="806"/>
        <w:gridCol w:w="1371"/>
        <w:gridCol w:w="454"/>
        <w:gridCol w:w="904"/>
        <w:gridCol w:w="454"/>
        <w:gridCol w:w="951"/>
        <w:gridCol w:w="636"/>
        <w:gridCol w:w="637"/>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项目名称</w:t>
            </w:r>
          </w:p>
        </w:tc>
        <w:tc>
          <w:tcPr>
            <w:tcW w:w="6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51118122T000000387708-峨眉山市农产品果蔬批发市场管理费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主管部门</w:t>
            </w: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发改局</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实施单位 （盖章）</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峨眉山市粮食和物资储备中心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项目基本情况</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1.项目年度目标完成情况</w:t>
            </w: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项目年度目标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确保果蔬批发市场正常运营，服务周边区县蔬果交易需求</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督导金丰公司加强果蔬市场及周边管理，协调维护周边秩序，保障市场正常运营。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2.项目实施内容及过程概述</w:t>
            </w:r>
          </w:p>
        </w:tc>
        <w:tc>
          <w:tcPr>
            <w:tcW w:w="6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督导果蔬批发市场卫生、疫情防控、周边环境、车辆停放、商户管理等百余次，协调维护周边秩序，解决市民投诉，保障市场正常运营。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预算执行情况（10分）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年度预算数（万元）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年初预算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调整后预算数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总额</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10.40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其中：财政资金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10.40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财政专户管理资金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单位资金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其他资金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绩效指标（90分）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一级指标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二级指标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指标值</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产出指标</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数量指标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管理批发市场个数</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管理批发商家</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质量指标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市场秩序、环境卫生程度</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优良中低差</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良</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时效指标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完成项目修建财务决算及固资清理移交按时率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成本指标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完成财务决算及宗地测绘等市上交办任务成本控制</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效益指标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经济效益指标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对发展周边经济环境、增加就业机会、促进人民增收起到积极作用</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优良中低差</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社会效益指标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对果蔬批发涵盖全市、辐射周边区县，保障人民生活供应充足起到促进作用</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优良中低差</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可持续影响指标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持续改善周边居住舒适度、维持良好社会秩序起到积极作用</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优良中低差</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满意度指标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服务对象满意度指标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周边居民满意度</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评价结论</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该项目预算执行率100%、得分100分，基本保障了市场正常运营。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存在问题</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改进措施</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项目负责人：</w:t>
            </w:r>
          </w:p>
        </w:tc>
        <w:tc>
          <w:tcPr>
            <w:tcW w:w="41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9"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1494"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6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95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6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4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57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57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77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项目名称</w:t>
            </w:r>
          </w:p>
        </w:tc>
        <w:tc>
          <w:tcPr>
            <w:tcW w:w="6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51118122T000000387754-粮油购销公司补贴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主管部门</w:t>
            </w: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发改局</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实施单位 （盖章）</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峨眉山市粮食和物资储备中心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项目基本情况</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1.项目年度目标完成情况</w:t>
            </w: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项目年度目标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减轻企业负担，维护社会稳定</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保障原物流中心清退人员工资待遇，减轻企业负担。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2.项目实施内容及过程概述</w:t>
            </w:r>
          </w:p>
        </w:tc>
        <w:tc>
          <w:tcPr>
            <w:tcW w:w="6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按照同工同酬原则，按实补贴在企业工作的原物流中心清退人员工资待遇，减轻企业负担。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预算执行情况（10分）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年度预算数（万元）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年初预算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调整后预算数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总额</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10.67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10.62</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10.62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其中：财政资金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10.67</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10.62</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10.62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财政专户管理资金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单位资金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其他资金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绩效指标（90分）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一级指标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二级指标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指标值</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产出指标</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数量指标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保障原物流人员工资</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保障原物流人员基本福利</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质量指标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资金使用绩效目标检查合格率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时效指标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支付周期</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成本指标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成本控制</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10.7</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10.62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效益指标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经济效益指标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增加企业收入</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10.7</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10.62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社会效益指标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原物流清退人员基本工作保障落实率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可持续影响指标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减轻企业负担、保障企业正常运营、保障社会稳定</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高中低</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满意度指标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服务对象满意度指标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补贴对象满意度</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评价结论</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该项目预算执行率100%、得分100分，保障了原物流中心清退人员工资待遇，减轻了企业负担。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存在问题</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改进措施</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项目负责人：</w:t>
            </w:r>
          </w:p>
        </w:tc>
        <w:tc>
          <w:tcPr>
            <w:tcW w:w="41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9"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1494"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6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95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6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4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57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57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77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项目名称</w:t>
            </w:r>
          </w:p>
        </w:tc>
        <w:tc>
          <w:tcPr>
            <w:tcW w:w="6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51118122T000000387759-粮食政策性挂账贷款利息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主管部门</w:t>
            </w: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发改局</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实施单位 （盖章）</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峨眉山市粮食和物资储备中心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项目基本情况</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1.项目年度目标完成情况</w:t>
            </w: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项目年度目标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确保陈化粮挂账贷款和其他政策性挂账贷款利息按时支付</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按时支付粮食挂账贷款利息。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2.项目实施内容及过程概述</w:t>
            </w:r>
          </w:p>
        </w:tc>
        <w:tc>
          <w:tcPr>
            <w:tcW w:w="6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每半年支付一次，按时足额偿还利息。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预算执行情况（10分）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年度预算数（万元）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年初预算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调整后预算数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总额</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32.35</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32.35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追减原因为下半年利息在风险基金中列支。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其中：财政资金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32.35</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32.35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财政专户管理资金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单位资金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其他资金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绩效指标（90分）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一级指标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二级指标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指标值</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产出指标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数量指标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贷款挂账</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1242</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1242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质量指标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绩效目标完成率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时效指标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还息按时率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成本指标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利息成本控制</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32.35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效益指标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社会效益指标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促进解决国家粮企改革历史性遗留问题</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可持续影响指标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维护政府公信力</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优良中低差</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满意度指标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服务对象满意度指标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服务对象满意度</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评价结论</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该项目预算执行率100%、得分100分，保障了粮食挂账贷款利息按时足额偿还。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存在问题</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改进措施</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项目负责人：</w:t>
            </w:r>
          </w:p>
        </w:tc>
        <w:tc>
          <w:tcPr>
            <w:tcW w:w="41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9"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1494"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6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95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6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4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57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57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77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项目名称</w:t>
            </w:r>
          </w:p>
        </w:tc>
        <w:tc>
          <w:tcPr>
            <w:tcW w:w="6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51118122T000000387775-救灾物资储备工作经费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主管部门</w:t>
            </w: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发改局</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实施单位 （盖章）</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峨眉山市粮食和物资储备中心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项目基本情况</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1.项目年度目标完成情况</w:t>
            </w: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项目年度目标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确保我市应急救灾物资储备保管数量、质量达到标准，为我市应急处置工作提供物资保障。</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我市应急救灾物资储备保管数量、质量均达标。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2.项目实施内容及过程概述</w:t>
            </w:r>
          </w:p>
        </w:tc>
        <w:tc>
          <w:tcPr>
            <w:tcW w:w="6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根据每月检查台账，核算年度保管数量，按文件规定比列核算保管费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预算执行情况（10分）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年度预算数（万元）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年初预算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调整后预算数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总额</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39.04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11.48</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11.48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追减原因为财政紧张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其中：财政资金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39.04</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11.48</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11.48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财政专户管理资金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单位资金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其他资金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绩效指标（90分）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一级指标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二级指标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指标值</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产出指标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数量指标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聘用专职保管人员</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质量指标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物资储备发放验收合格率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成本指标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保管成本控制</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45</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安全指标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物资储备安全保障率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95</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效益指标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社会效益指标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为我市应急处置工作提供物资保障</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优良中低差</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可持续影响指标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完成应急物资储备管理，确保社会稳定</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定性</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优良中低差</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优</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满意度指标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服务对象满意度指标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服务对象满意度</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评价结论</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该项目预算执行率100%、得分100分，全市应急救灾物资储备保管数量、质量均合格。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存在问题</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改进措施</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项目负责人：</w:t>
            </w:r>
          </w:p>
        </w:tc>
        <w:tc>
          <w:tcPr>
            <w:tcW w:w="41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9"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1494"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6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95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6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4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57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576"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770" w:type="dxa"/>
            <w:tcBorders>
              <w:top w:val="nil"/>
              <w:left w:val="nil"/>
              <w:bottom w:val="nil"/>
              <w:right w:val="nil"/>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3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项目名称</w:t>
            </w:r>
          </w:p>
        </w:tc>
        <w:tc>
          <w:tcPr>
            <w:tcW w:w="6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51118122T000005632531-春节前工程款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主管部门</w:t>
            </w: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发改局</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实施单位 （盖章）</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峨眉山市粮食和物资储备中心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项目基本情况</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1.项目年度目标完成情况</w:t>
            </w: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项目年度目标</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41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保障拖欠企业工程款有支付进度，维护春节期间社会稳定</w:t>
            </w:r>
          </w:p>
        </w:tc>
        <w:tc>
          <w:tcPr>
            <w:tcW w:w="2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完成春节前工程款支付，维护社会稳定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2.项目实施内容及过程概述</w:t>
            </w:r>
          </w:p>
        </w:tc>
        <w:tc>
          <w:tcPr>
            <w:tcW w:w="69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按照财政下达资金，各项拖欠工程款均按一定比例支付。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预算执行情况（10分）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年度预算数（万元）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年初预算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调整后预算数</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总额</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追加原因为按年终拖欠金额一定比例核算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其中：财政资金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财政专户管理资金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单位资金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其他资金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绩效指标（90分）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一级指标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二级指标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指标性质</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指标值</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得分</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产出指标</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数量指标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支付拖欠工程款金额</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支付企业数量</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时效指标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支付发放率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效益指标</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经济效益指标</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结余率（计算方法为：结余数/预算数）</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4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评价结论</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该项目预算执行率100%、得分100分，支付了部分拖欠工程款，缓解企业压力，维护了春节期间社会稳定。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存在问题</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改进措施</w:t>
            </w:r>
          </w:p>
        </w:tc>
        <w:tc>
          <w:tcPr>
            <w:tcW w:w="77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项目负责人：</w:t>
            </w:r>
          </w:p>
        </w:tc>
        <w:tc>
          <w:tcPr>
            <w:tcW w:w="41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财务负责人：</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2"/>
      <w:bookmarkEnd w:id="54"/>
      <w:bookmarkStart w:id="55"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5"/>
    </w:p>
    <w:p>
      <w:pPr>
        <w:pStyle w:val="4"/>
        <w:rPr>
          <w:rFonts w:ascii="仿宋" w:hAnsi="仿宋" w:eastAsia="仿宋"/>
        </w:rPr>
      </w:pPr>
      <w:bookmarkStart w:id="56" w:name="_Toc15396620"/>
      <w:r>
        <w:rPr>
          <w:rFonts w:hint="eastAsia" w:ascii="仿宋" w:hAnsi="仿宋" w:eastAsia="仿宋"/>
          <w:b w:val="0"/>
        </w:rPr>
        <w:t>二、收</w:t>
      </w:r>
      <w:r>
        <w:rPr>
          <w:rStyle w:val="25"/>
          <w:rFonts w:hint="eastAsia" w:ascii="仿宋" w:hAnsi="仿宋" w:eastAsia="仿宋"/>
          <w:b w:val="0"/>
          <w:bCs w:val="0"/>
        </w:rPr>
        <w:t>入决算表</w:t>
      </w:r>
      <w:bookmarkEnd w:id="56"/>
    </w:p>
    <w:p>
      <w:pPr>
        <w:pStyle w:val="4"/>
        <w:rPr>
          <w:rFonts w:ascii="仿宋" w:hAnsi="仿宋" w:eastAsia="仿宋"/>
        </w:rPr>
      </w:pPr>
      <w:bookmarkStart w:id="57"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7"/>
    </w:p>
    <w:p>
      <w:pPr>
        <w:pStyle w:val="4"/>
        <w:rPr>
          <w:rFonts w:ascii="仿宋" w:hAnsi="仿宋" w:eastAsia="仿宋"/>
          <w:b w:val="0"/>
        </w:rPr>
      </w:pPr>
      <w:bookmarkStart w:id="58"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8"/>
    </w:p>
    <w:p>
      <w:pPr>
        <w:pStyle w:val="4"/>
        <w:rPr>
          <w:rStyle w:val="25"/>
          <w:rFonts w:ascii="仿宋" w:hAnsi="仿宋" w:eastAsia="仿宋"/>
          <w:b w:val="0"/>
          <w:bCs w:val="0"/>
        </w:rPr>
      </w:pPr>
      <w:bookmarkStart w:id="59"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9"/>
      <w:bookmarkStart w:id="60"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0"/>
    </w:p>
    <w:p>
      <w:pPr>
        <w:pStyle w:val="4"/>
        <w:rPr>
          <w:rFonts w:ascii="仿宋" w:hAnsi="仿宋" w:eastAsia="仿宋"/>
        </w:rPr>
      </w:pPr>
      <w:bookmarkStart w:id="61"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1"/>
    </w:p>
    <w:p>
      <w:pPr>
        <w:pStyle w:val="4"/>
        <w:rPr>
          <w:rFonts w:ascii="仿宋" w:hAnsi="仿宋" w:eastAsia="仿宋"/>
        </w:rPr>
      </w:pPr>
      <w:bookmarkStart w:id="62"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2"/>
    </w:p>
    <w:p>
      <w:pPr>
        <w:pStyle w:val="4"/>
        <w:rPr>
          <w:rFonts w:ascii="仿宋" w:hAnsi="仿宋" w:eastAsia="仿宋"/>
        </w:rPr>
      </w:pPr>
      <w:bookmarkStart w:id="63"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3"/>
    </w:p>
    <w:p>
      <w:pPr>
        <w:pStyle w:val="4"/>
        <w:rPr>
          <w:rFonts w:ascii="仿宋" w:hAnsi="仿宋" w:eastAsia="仿宋"/>
        </w:rPr>
      </w:pPr>
      <w:bookmarkStart w:id="64" w:name="_Toc15396628"/>
      <w:r>
        <w:rPr>
          <w:rStyle w:val="25"/>
          <w:rFonts w:hint="eastAsia" w:ascii="仿宋" w:hAnsi="仿宋" w:eastAsia="仿宋"/>
          <w:b w:val="0"/>
          <w:bCs w:val="0"/>
        </w:rPr>
        <w:t>十、</w:t>
      </w:r>
      <w:bookmarkEnd w:id="64"/>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5" w:name="_Toc15396629"/>
      <w:r>
        <w:rPr>
          <w:rStyle w:val="25"/>
          <w:rFonts w:hint="eastAsia" w:ascii="仿宋" w:hAnsi="仿宋" w:eastAsia="仿宋"/>
          <w:b w:val="0"/>
          <w:bCs w:val="0"/>
        </w:rPr>
        <w:t>十一、</w:t>
      </w:r>
      <w:bookmarkEnd w:id="65"/>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6" w:name="_Toc15396630"/>
      <w:r>
        <w:rPr>
          <w:rStyle w:val="25"/>
          <w:rFonts w:hint="eastAsia" w:ascii="仿宋" w:hAnsi="仿宋" w:eastAsia="仿宋"/>
          <w:b w:val="0"/>
          <w:bCs w:val="0"/>
        </w:rPr>
        <w:t>十二、</w:t>
      </w:r>
      <w:bookmarkEnd w:id="66"/>
      <w:r>
        <w:rPr>
          <w:rStyle w:val="25"/>
          <w:rFonts w:hint="eastAsia" w:ascii="仿宋" w:hAnsi="仿宋" w:eastAsia="仿宋"/>
          <w:b w:val="0"/>
          <w:bCs w:val="0"/>
        </w:rPr>
        <w:t>国有资本经营预算财政拨款支出决算表</w:t>
      </w:r>
    </w:p>
    <w:p>
      <w:pPr>
        <w:pStyle w:val="4"/>
        <w:rPr>
          <w:rFonts w:eastAsia="仿宋"/>
        </w:rPr>
      </w:pPr>
      <w:bookmarkStart w:id="67" w:name="_Toc15396631"/>
      <w:r>
        <w:rPr>
          <w:rStyle w:val="25"/>
          <w:rFonts w:hint="eastAsia" w:ascii="仿宋" w:hAnsi="仿宋" w:eastAsia="仿宋"/>
          <w:b w:val="0"/>
          <w:bCs w:val="0"/>
        </w:rPr>
        <w:t>十三、</w:t>
      </w:r>
      <w:bookmarkEnd w:id="67"/>
      <w:r>
        <w:rPr>
          <w:rStyle w:val="25"/>
          <w:rFonts w:hint="eastAsia" w:ascii="仿宋" w:hAnsi="仿宋" w:eastAsia="仿宋"/>
          <w:b w:val="0"/>
          <w:bCs w:val="0"/>
        </w:rPr>
        <w:t>财政拨款“三公”经费支出决算表</w:t>
      </w:r>
    </w:p>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OWFmMWQ4NjUyMWIzZmM3Mzc3ZGYxODhiMzM3OWQ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53A62B5"/>
    <w:rsid w:val="06795D59"/>
    <w:rsid w:val="0A2032A3"/>
    <w:rsid w:val="0B8A37D8"/>
    <w:rsid w:val="10C055FF"/>
    <w:rsid w:val="118107EC"/>
    <w:rsid w:val="11DD6519"/>
    <w:rsid w:val="16BB723D"/>
    <w:rsid w:val="18015F3F"/>
    <w:rsid w:val="1AC134B0"/>
    <w:rsid w:val="1BE8440E"/>
    <w:rsid w:val="1D155CEE"/>
    <w:rsid w:val="20F57F95"/>
    <w:rsid w:val="240371BF"/>
    <w:rsid w:val="25711CC6"/>
    <w:rsid w:val="25C741E6"/>
    <w:rsid w:val="2626463B"/>
    <w:rsid w:val="27842671"/>
    <w:rsid w:val="29FD04D3"/>
    <w:rsid w:val="2ABE7A3E"/>
    <w:rsid w:val="2BC5364D"/>
    <w:rsid w:val="2CA234A8"/>
    <w:rsid w:val="2EFA178C"/>
    <w:rsid w:val="30B46D73"/>
    <w:rsid w:val="319F7F4E"/>
    <w:rsid w:val="33D24A47"/>
    <w:rsid w:val="383D272C"/>
    <w:rsid w:val="39806C7A"/>
    <w:rsid w:val="39AE70AB"/>
    <w:rsid w:val="3C0C0783"/>
    <w:rsid w:val="3F9F3A96"/>
    <w:rsid w:val="40693EDF"/>
    <w:rsid w:val="440B5038"/>
    <w:rsid w:val="48BF60AB"/>
    <w:rsid w:val="493C27E9"/>
    <w:rsid w:val="496F39ED"/>
    <w:rsid w:val="49FF41D3"/>
    <w:rsid w:val="4A630184"/>
    <w:rsid w:val="4BE068DB"/>
    <w:rsid w:val="4BF6002B"/>
    <w:rsid w:val="4ECE2238"/>
    <w:rsid w:val="51DB4B86"/>
    <w:rsid w:val="55333C3E"/>
    <w:rsid w:val="64CA39A1"/>
    <w:rsid w:val="690E7B6B"/>
    <w:rsid w:val="69630ADE"/>
    <w:rsid w:val="6C4A05C8"/>
    <w:rsid w:val="6D3B1A89"/>
    <w:rsid w:val="6E122BAD"/>
    <w:rsid w:val="713C7F38"/>
    <w:rsid w:val="71BF4EC2"/>
    <w:rsid w:val="72734D90"/>
    <w:rsid w:val="7412278C"/>
    <w:rsid w:val="74827C66"/>
    <w:rsid w:val="79E7B28D"/>
    <w:rsid w:val="7E0048C7"/>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收入、支出决算总计变动情况表</a:t>
            </a:r>
          </a:p>
        </c:rich>
      </c:tx>
      <c:layout>
        <c:manualLayout>
          <c:xMode val="edge"/>
          <c:yMode val="edge"/>
          <c:x val="0.210885167464115"/>
          <c:y val="0.0343333333333333"/>
        </c:manualLayout>
      </c:layout>
      <c:overlay val="0"/>
      <c:spPr>
        <a:noFill/>
        <a:ln>
          <a:noFill/>
        </a:ln>
        <a:effectLst/>
      </c:spPr>
    </c:title>
    <c:autoTitleDeleted val="0"/>
    <c:plotArea>
      <c:layout>
        <c:manualLayout>
          <c:layoutTarget val="inner"/>
          <c:xMode val="edge"/>
          <c:yMode val="edge"/>
          <c:x val="0.0597602942921562"/>
          <c:y val="0.158694680375503"/>
          <c:w val="0.90997982674736"/>
          <c:h val="0.721591417076442"/>
        </c:manualLayout>
      </c:layout>
      <c:barChart>
        <c:barDir val="col"/>
        <c:grouping val="clustered"/>
        <c:varyColors val="0"/>
        <c:ser>
          <c:idx val="0"/>
          <c:order val="0"/>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400.91</c:v>
                </c:pt>
                <c:pt idx="1">
                  <c:v>446.1</c:v>
                </c:pt>
              </c:numCache>
            </c:numRef>
          </c:val>
        </c:ser>
        <c:dLbls>
          <c:showLegendKey val="0"/>
          <c:showVal val="0"/>
          <c:showCatName val="0"/>
          <c:showSerName val="0"/>
          <c:showPercent val="0"/>
          <c:showBubbleSize val="0"/>
        </c:dLbls>
        <c:gapWidth val="219"/>
        <c:overlap val="-27"/>
        <c:axId val="228365746"/>
        <c:axId val="678588637"/>
      </c:barChart>
      <c:catAx>
        <c:axId val="2283657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588637"/>
        <c:crosses val="autoZero"/>
        <c:auto val="1"/>
        <c:lblAlgn val="ctr"/>
        <c:lblOffset val="100"/>
        <c:noMultiLvlLbl val="0"/>
      </c:catAx>
      <c:valAx>
        <c:axId val="6785886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3657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manualLayout>
                  <c:x val="-0.0249597522695724"/>
                  <c:y val="-0.24137960386624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331642633559089"/>
                  <c:y val="0.18220848352857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0.00%</c:formatCode>
                <c:ptCount val="8"/>
                <c:pt idx="0">
                  <c:v>0.8844</c:v>
                </c:pt>
                <c:pt idx="1">
                  <c:v>0.1156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5575"/>
          <c:y val="0.0646644632849547"/>
          <c:w val="0.32925"/>
          <c:h val="0.8106049719787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63829303184776"/>
                  <c:y val="-0.15852030536307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1825676526353"/>
                  <c:y val="0.15075977821426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0.7392</c:v>
                </c:pt>
                <c:pt idx="1">
                  <c:v>0.2608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7886597938144"/>
          <c:y val="0.168027075452917"/>
          <c:w val="0.246649484536082"/>
          <c:h val="0.76786780808281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财政拨款收入、支出总计变动情况表</a:t>
            </a:r>
          </a:p>
        </c:rich>
      </c:tx>
      <c:layout>
        <c:manualLayout>
          <c:xMode val="edge"/>
          <c:yMode val="edge"/>
          <c:x val="0.210885167464115"/>
          <c:y val="0.0343333333333333"/>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400.46</c:v>
                </c:pt>
                <c:pt idx="1">
                  <c:v>445.86</c:v>
                </c:pt>
              </c:numCache>
            </c:numRef>
          </c:val>
        </c:ser>
        <c:dLbls>
          <c:showLegendKey val="0"/>
          <c:showVal val="0"/>
          <c:showCatName val="0"/>
          <c:showSerName val="0"/>
          <c:showPercent val="0"/>
          <c:showBubbleSize val="0"/>
        </c:dLbls>
        <c:gapWidth val="219"/>
        <c:overlap val="-27"/>
        <c:axId val="228365746"/>
        <c:axId val="678588637"/>
      </c:barChart>
      <c:catAx>
        <c:axId val="2283657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588637"/>
        <c:crosses val="autoZero"/>
        <c:auto val="1"/>
        <c:lblAlgn val="ctr"/>
        <c:lblOffset val="100"/>
        <c:noMultiLvlLbl val="0"/>
      </c:catAx>
      <c:valAx>
        <c:axId val="67858863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3657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一般公共预算财政拨款支出决算变动表</a:t>
            </a:r>
          </a:p>
        </c:rich>
      </c:tx>
      <c:layout/>
      <c:overlay val="0"/>
      <c:spPr>
        <a:noFill/>
        <a:ln>
          <a:noFill/>
        </a:ln>
        <a:effectLst/>
      </c:spPr>
    </c:title>
    <c:autoTitleDeleted val="0"/>
    <c:plotArea>
      <c:layout>
        <c:manualLayout>
          <c:layoutTarget val="inner"/>
          <c:xMode val="edge"/>
          <c:yMode val="edge"/>
          <c:x val="0.0719478981645944"/>
          <c:y val="0.310973624226636"/>
          <c:w val="0.910171699230314"/>
          <c:h val="0.593422338000651"/>
        </c:manualLayout>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delete val="1"/>
          </c:dLbls>
          <c:cat>
            <c:strRef>
              <c:f>Sheet1!$A$2:$A$3</c:f>
              <c:strCache>
                <c:ptCount val="2"/>
                <c:pt idx="0">
                  <c:v>2021年</c:v>
                </c:pt>
                <c:pt idx="1">
                  <c:v>2022年</c:v>
                </c:pt>
              </c:strCache>
            </c:strRef>
          </c:cat>
          <c:val>
            <c:numRef>
              <c:f>Sheet1!$B$2:$B$3</c:f>
              <c:numCache>
                <c:formatCode>General</c:formatCode>
                <c:ptCount val="2"/>
                <c:pt idx="0">
                  <c:v>380.96</c:v>
                </c:pt>
                <c:pt idx="1">
                  <c:v>394.38</c:v>
                </c:pt>
              </c:numCache>
            </c:numRef>
          </c:val>
        </c:ser>
        <c:dLbls>
          <c:showLegendKey val="0"/>
          <c:showVal val="0"/>
          <c:showCatName val="0"/>
          <c:showSerName val="0"/>
          <c:showPercent val="0"/>
          <c:showBubbleSize val="0"/>
        </c:dLbls>
        <c:gapWidth val="219"/>
        <c:overlap val="-27"/>
        <c:axId val="229350295"/>
        <c:axId val="580212744"/>
      </c:barChart>
      <c:catAx>
        <c:axId val="2293502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212744"/>
        <c:crosses val="autoZero"/>
        <c:auto val="1"/>
        <c:lblAlgn val="ctr"/>
        <c:lblOffset val="100"/>
        <c:noMultiLvlLbl val="0"/>
      </c:catAx>
      <c:valAx>
        <c:axId val="580212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3502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住房保障支出</c:v>
                </c:pt>
                <c:pt idx="3">
                  <c:v>粮油物资储备支出</c:v>
                </c:pt>
              </c:strCache>
            </c:strRef>
          </c:cat>
          <c:val>
            <c:numRef>
              <c:f>Sheet1!$B$2:$B$5</c:f>
              <c:numCache>
                <c:formatCode>0.00%</c:formatCode>
                <c:ptCount val="4"/>
                <c:pt idx="0">
                  <c:v>0.165</c:v>
                </c:pt>
                <c:pt idx="1">
                  <c:v>0.0314</c:v>
                </c:pt>
                <c:pt idx="2">
                  <c:v>0.0535</c:v>
                </c:pt>
                <c:pt idx="3">
                  <c:v>0.7501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24699221514508"/>
          <c:y val="0.165386461833893"/>
          <c:w val="0.261146496815287"/>
          <c:h val="0.7573211713874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120801928659716"/>
                  <c:y val="0.066031661707978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因公出国（境）费0%</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60086977530805"/>
                      <c:h val="0.114747131321717"/>
                    </c:manualLayout>
                  </c15:layout>
                </c:ext>
              </c:extLst>
            </c:dLbl>
            <c:dLbl>
              <c:idx val="1"/>
              <c:layout>
                <c:manualLayout>
                  <c:x val="-0.119075902966845"/>
                  <c:y val="-0.23974875381828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公务用车购置及运行维护费85%</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37895950308998"/>
                  <c:y val="0.1209642278874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公务接待费15%</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0%</c:formatCode>
                <c:ptCount val="3"/>
                <c:pt idx="0">
                  <c:v>0</c:v>
                </c:pt>
                <c:pt idx="1" c:formatCode="0.00%">
                  <c:v>0.852</c:v>
                </c:pt>
                <c:pt idx="2" c:formatCode="0.00%">
                  <c:v>0.148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29</Pages>
  <Words>9370</Words>
  <Characters>10533</Characters>
  <Lines>71</Lines>
  <Paragraphs>20</Paragraphs>
  <TotalTime>0</TotalTime>
  <ScaleCrop>false</ScaleCrop>
  <LinksUpToDate>false</LinksUpToDate>
  <CharactersWithSpaces>10617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朱艳红</cp:lastModifiedBy>
  <cp:lastPrinted>2023-07-31T02:35:00Z</cp:lastPrinted>
  <dcterms:modified xsi:type="dcterms:W3CDTF">2023-12-15T01:31:16Z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897FFC815006403C9B208EDC6D50EFD1</vt:lpwstr>
  </property>
</Properties>
</file>